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2400"/>
      </w:pPr>
    </w:p>
    <w:p>
      <w:pPr>
        <w:pStyle w:val="Title"/>
        <w:jc w:val="center"/>
      </w:pPr>
      <w:r>
        <w:rPr>
          <w:rFonts w:ascii="Calibri" w:hAnsi="Calibri"/>
          <w:b/>
          <w:color w:val="0B3D91"/>
          <w:sz w:val="72"/>
        </w:rPr>
        <w:t>LIVRE TECHNIQUE</w:t>
        <w:br/>
        <w:t>DE PHARMACOLOGIE CLINIQUE</w:t>
      </w:r>
    </w:p>
    <w:p>
      <w:pPr>
        <w:spacing w:before="240" w:after="120"/>
        <w:jc w:val="center"/>
      </w:pPr>
      <w:r>
        <w:rPr>
          <w:rFonts w:ascii="Calibri" w:hAnsi="Calibri"/>
          <w:b/>
          <w:color w:val="1F6B2E"/>
          <w:sz w:val="56"/>
        </w:rPr>
        <w:t>ANTIFONGIQUES</w:t>
      </w:r>
    </w:p>
    <w:p>
      <w:pPr>
        <w:jc w:val="center"/>
      </w:pPr>
      <w:r>
        <w:rPr>
          <w:rFonts w:ascii="Calibri" w:hAnsi="Calibri"/>
          <w:color w:val="808080"/>
          <w:sz w:val="40"/>
        </w:rPr>
        <w:t>&amp;</w:t>
      </w:r>
    </w:p>
    <w:p>
      <w:pPr>
        <w:spacing w:after="120"/>
        <w:jc w:val="center"/>
      </w:pPr>
      <w:r>
        <w:rPr>
          <w:rFonts w:ascii="Calibri" w:hAnsi="Calibri"/>
          <w:b/>
          <w:color w:val="B76E00"/>
          <w:sz w:val="56"/>
        </w:rPr>
        <w:t>ANTIPARASITAIRES</w:t>
      </w:r>
    </w:p>
    <w:p>
      <w:pPr>
        <w:jc w:val="center"/>
      </w:pPr>
      <w:r>
        <w:rPr>
          <w:rFonts w:ascii="Calibri" w:hAnsi="Calibri"/>
          <w:i/>
          <w:color w:val="606060"/>
          <w:sz w:val="40"/>
        </w:rPr>
        <w:t>en Algérie</w:t>
      </w:r>
    </w:p>
    <w:p>
      <w:pPr>
        <w:spacing w:before="400" w:after="400"/>
        <w:jc w:val="center"/>
      </w:pPr>
      <w:r>
        <w:rPr>
          <w:color w:val="0B3D91"/>
          <w:sz w:val="28"/>
        </w:rPr>
        <w:t>━━━━━━━━━━━━━━━━━━━━━━━━━━━━━━</w:t>
      </w:r>
    </w:p>
    <w:p>
      <w:pPr>
        <w:jc w:val="center"/>
      </w:pPr>
      <w:r>
        <w:rPr>
          <w:rFonts w:ascii="Calibri" w:hAnsi="Calibri"/>
          <w:b/>
          <w:color w:val="1F4E79"/>
          <w:sz w:val="36"/>
        </w:rPr>
        <w:t>Fascicule II</w:t>
      </w:r>
    </w:p>
    <w:p>
      <w:pPr>
        <w:jc w:val="center"/>
      </w:pPr>
      <w:r>
        <w:rPr>
          <w:rFonts w:ascii="Calibri" w:hAnsi="Calibri"/>
          <w:i/>
          <w:color w:val="606060"/>
          <w:sz w:val="28"/>
        </w:rPr>
        <w:t>Antifongiques et Antiparasitaires</w:t>
      </w:r>
    </w:p>
    <w:p>
      <w:pPr>
        <w:spacing w:before="1600"/>
      </w:pPr>
    </w:p>
    <w:p>
      <w:pPr>
        <w:jc w:val="center"/>
      </w:pPr>
      <w:r>
        <w:rPr>
          <w:rFonts w:ascii="Calibri" w:hAnsi="Calibri"/>
          <w:color w:val="404040"/>
          <w:sz w:val="24"/>
        </w:rPr>
        <w:t>Manuel académique et pratique pour étudiants en pharmacie d'officine</w:t>
      </w:r>
    </w:p>
    <w:p>
      <w:pPr>
        <w:jc w:val="center"/>
      </w:pPr>
      <w:r>
        <w:rPr>
          <w:rFonts w:ascii="Calibri" w:hAnsi="Calibri"/>
          <w:i/>
          <w:color w:val="606060"/>
          <w:sz w:val="22"/>
        </w:rPr>
        <w:t>Basé sur la nomenclature officielle des médicaments enregistrés en Algérie (Avril 2026)</w:t>
      </w:r>
    </w:p>
    <w:p>
      <w:pPr>
        <w:spacing w:before="1200"/>
      </w:pPr>
    </w:p>
    <w:p>
      <w:pPr>
        <w:jc w:val="center"/>
      </w:pPr>
      <w:r>
        <w:rPr>
          <w:rFonts w:ascii="Calibri" w:hAnsi="Calibri"/>
          <w:b/>
          <w:color w:val="0B3D91"/>
          <w:sz w:val="22"/>
        </w:rPr>
        <w:t>39 DCI traitées  •  250+ spécialités commerciales  •  6 chapitres thématiques</w:t>
      </w:r>
    </w:p>
    <w:p>
      <w:pPr>
        <w:spacing w:before="1600"/>
      </w:pPr>
    </w:p>
    <w:p>
      <w:pPr>
        <w:jc w:val="center"/>
      </w:pPr>
      <w:r>
        <w:rPr>
          <w:rFonts w:ascii="Calibri" w:hAnsi="Calibri"/>
          <w:b/>
          <w:color w:val="404040"/>
          <w:sz w:val="28"/>
        </w:rPr>
        <w:t>Édition Août 2026</w:t>
      </w:r>
    </w:p>
    <w:p>
      <w:pPr>
        <w:jc w:val="center"/>
      </w:pPr>
      <w:r>
        <w:rPr>
          <w:rFonts w:ascii="Calibri" w:hAnsi="Calibri"/>
          <w:i/>
          <w:color w:val="808080"/>
          <w:sz w:val="18"/>
        </w:rPr>
        <w:t>Sources : VIDAL • ANSM • Thériaque • OMS • CRAT • UpToDate • Micromedex</w:t>
      </w:r>
    </w:p>
    <w:p>
      <w:r>
        <w:br w:type="page"/>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6" w:name="X5f6cb80e6de4d5cfa6533bf7e5ccc8b0cb57d4d"/>
    <w:bookmarkStart w:id="20" w:name="X4c5640833458e1094cb5b87a806d968a46f5dce"/>
    <w:p>
      <w:r>
        <w:pict>
          <v:rect style="width:0;height:1.5pt" o:hralign="center" o:hrstd="t" o:hr="t"/>
        </w:pict>
      </w:r>
    </w:p>
    <w:bookmarkEnd w:id="20"/>
    <w:bookmarkStart w:id="34" w:name="X8e433e1cc632e7c8d3d942a2fb19405c24e8805"/>
    <w:p>
      <w:pPr>
        <w:pStyle w:val="Heading2"/>
      </w:pPr>
      <w:r>
        <w:t xml:space="preserve">Avant-propos et méthodologie du Fascicule II</w:t>
      </w:r>
    </w:p>
    <w:bookmarkStart w:id="21" w:name="objet-du-fascicule"/>
    <w:p>
      <w:pPr>
        <w:pStyle w:val="Heading3"/>
      </w:pPr>
      <w:r>
        <w:t xml:space="preserve">1. Objet du fascicule</w:t>
      </w:r>
    </w:p>
    <w:p>
      <w:pPr>
        <w:pStyle w:val="FirstParagraph"/>
      </w:pPr>
      <w:r>
        <w:t xml:space="preserve">Le présent fascicule constitue le second volet du traité technique de pharmacologie clinique destiné aux étudiants en pharmacie d’officine et aux praticiens exerçant sur le territoire algérien. Il poursuit la démarche engagée dans le Fascicule I (Antibiotiques) en traitant de manière exhaustive les classes thérapeutiques des</w:t>
      </w:r>
      <w:r>
        <w:t xml:space="preserve"> </w:t>
      </w:r>
      <w:r>
        <w:rPr>
          <w:b/>
          <w:bCs/>
        </w:rPr>
        <w:t xml:space="preserve">antifongiques</w:t>
      </w:r>
      <w:r>
        <w:t xml:space="preserve"> </w:t>
      </w:r>
      <w:r>
        <w:t xml:space="preserve">et des</w:t>
      </w:r>
      <w:r>
        <w:t xml:space="preserve"> </w:t>
      </w:r>
      <w:r>
        <w:rPr>
          <w:b/>
          <w:bCs/>
        </w:rPr>
        <w:t xml:space="preserve">antiparasitaires</w:t>
      </w:r>
      <w:r>
        <w:t xml:space="preserve"> </w:t>
      </w:r>
      <w:r>
        <w:t xml:space="preserve">enregistrées auprès du Ministère de la Santé algérien.</w:t>
      </w:r>
    </w:p>
    <w:p>
      <w:pPr>
        <w:pStyle w:val="BodyText"/>
      </w:pPr>
      <w:r>
        <w:t xml:space="preserve">La base réglementaire de référence utilisée est, comme pour le fascicule précédent, le fichier officiel</w:t>
      </w:r>
      <w:r>
        <w:t xml:space="preserve"> </w:t>
      </w:r>
      <w:r>
        <w:rPr>
          <w:b/>
          <w:bCs/>
        </w:rPr>
        <w:t xml:space="preserve">« COMPLETE LISTE.xlsx »</w:t>
      </w:r>
      <w:r>
        <w:t xml:space="preserve"> </w:t>
      </w:r>
      <w:r>
        <w:t xml:space="preserve">compilant la nomenclature des médicaments à l’avril 2026 (feuille « Nomenclature Avril 2026 » pour les spécialités actives, « Non Renouvelés » pour les AMM non renouvelées, et « Retraits » pour les spécialités retirées du marché).</w:t>
      </w:r>
    </w:p>
    <w:bookmarkEnd w:id="21"/>
    <w:bookmarkStart w:id="24" w:name="contexte-épidémiologique-algérien"/>
    <w:p>
      <w:pPr>
        <w:pStyle w:val="Heading3"/>
      </w:pPr>
      <w:r>
        <w:t xml:space="preserve">2. Contexte épidémiologique algérien</w:t>
      </w:r>
    </w:p>
    <w:bookmarkStart w:id="22" w:name="mycoses"/>
    <w:p>
      <w:pPr>
        <w:pStyle w:val="Heading4"/>
      </w:pPr>
      <w:r>
        <w:t xml:space="preserve">2.1 Mycoses</w:t>
      </w:r>
    </w:p>
    <w:p>
      <w:pPr>
        <w:pStyle w:val="FirstParagraph"/>
      </w:pPr>
      <w:r>
        <w:t xml:space="preserve">La situation épidémiologique algérienne en matière de mycoses présente plusieurs particularités justifiant l’importance de la formation pharmaceutique dans ce domaine :</w:t>
      </w:r>
    </w:p>
    <w:p>
      <w:pPr>
        <w:pStyle w:val="Compact"/>
        <w:numPr>
          <w:ilvl w:val="0"/>
          <w:numId w:val="1001"/>
        </w:numPr>
      </w:pPr>
      <w:r>
        <w:rPr>
          <w:b/>
          <w:bCs/>
        </w:rPr>
        <w:t xml:space="preserve">Climat méditerranéen et semi-aride</w:t>
      </w:r>
      <w:r>
        <w:t xml:space="preserve"> </w:t>
      </w:r>
      <w:r>
        <w:t xml:space="preserve">: favorise les dermatophyties (pied d’athlète, herpès circiné, intertrigos) avec une prévalence estivale accrue.</w:t>
      </w:r>
    </w:p>
    <w:p>
      <w:pPr>
        <w:pStyle w:val="Compact"/>
        <w:numPr>
          <w:ilvl w:val="0"/>
          <w:numId w:val="1001"/>
        </w:numPr>
      </w:pPr>
      <w:r>
        <w:rPr>
          <w:b/>
          <w:bCs/>
        </w:rPr>
        <w:t xml:space="preserve">Candidoses vulvo-vaginales</w:t>
      </w:r>
      <w:r>
        <w:t xml:space="preserve"> </w:t>
      </w:r>
      <w:r>
        <w:t xml:space="preserve">: premier motif de consultation gynécologique en pharmacie d’officine, particulièrement fréquentes chez la femme enceinte, diabétique ou sous antibiothérapie.</w:t>
      </w:r>
    </w:p>
    <w:p>
      <w:pPr>
        <w:pStyle w:val="Compact"/>
        <w:numPr>
          <w:ilvl w:val="0"/>
          <w:numId w:val="1001"/>
        </w:numPr>
      </w:pPr>
      <w:r>
        <w:rPr>
          <w:b/>
          <w:bCs/>
        </w:rPr>
        <w:t xml:space="preserve">Onychomycoses</w:t>
      </w:r>
      <w:r>
        <w:t xml:space="preserve"> </w:t>
      </w:r>
      <w:r>
        <w:t xml:space="preserve">: touchent environ 5 à 10 % de la population adulte, avec prédominance masculine et augmentation avec l’âge.</w:t>
      </w:r>
    </w:p>
    <w:p>
      <w:pPr>
        <w:pStyle w:val="Compact"/>
        <w:numPr>
          <w:ilvl w:val="0"/>
          <w:numId w:val="1001"/>
        </w:numPr>
      </w:pPr>
      <w:r>
        <w:rPr>
          <w:b/>
          <w:bCs/>
        </w:rPr>
        <w:t xml:space="preserve">Mycoses systémiques</w:t>
      </w:r>
      <w:r>
        <w:t xml:space="preserve"> </w:t>
      </w:r>
      <w:r>
        <w:t xml:space="preserve">: aspergilloses pulmonaires (en particulier sur terrains immunodéprimés, BPCO, post-tuberculose), candidémies nosocomiales, mucormycoses (rares mais de pronostic redoutable).</w:t>
      </w:r>
    </w:p>
    <w:p>
      <w:pPr>
        <w:pStyle w:val="Compact"/>
        <w:numPr>
          <w:ilvl w:val="0"/>
          <w:numId w:val="1001"/>
        </w:numPr>
      </w:pPr>
      <w:r>
        <w:rPr>
          <w:b/>
          <w:bCs/>
        </w:rPr>
        <w:t xml:space="preserve">Mycoses tropicales importées</w:t>
      </w:r>
      <w:r>
        <w:t xml:space="preserve"> </w:t>
      </w:r>
      <w:r>
        <w:t xml:space="preserve">: histoplasmose, pénicilliose chez les voyageurs de retour de zones d’endémie.</w:t>
      </w:r>
    </w:p>
    <w:p>
      <w:pPr>
        <w:pStyle w:val="FirstParagraph"/>
      </w:pPr>
      <w:r>
        <w:t xml:space="preserve">Le pharmacien d’officine occupe une position centrale dans le diagnostic orienté des dermatomycoses, le conseil thérapeutique pour les formes bénignes, et l’orientation médicale systématique pour les mycoses étendues, récidivantes, unguéales multiples ou systémiques.</w:t>
      </w:r>
    </w:p>
    <w:bookmarkEnd w:id="22"/>
    <w:bookmarkStart w:id="23" w:name="parasitoses"/>
    <w:p>
      <w:pPr>
        <w:pStyle w:val="Heading4"/>
      </w:pPr>
      <w:r>
        <w:t xml:space="preserve">2.2 Parasitoses</w:t>
      </w:r>
    </w:p>
    <w:p>
      <w:pPr>
        <w:pStyle w:val="FirstParagraph"/>
      </w:pPr>
      <w:r>
        <w:t xml:space="preserve">Le profil parasitologique algérien reflète la diversité géographique et climatique du pays :</w:t>
      </w:r>
    </w:p>
    <w:p>
      <w:pPr>
        <w:pStyle w:val="Compact"/>
        <w:numPr>
          <w:ilvl w:val="0"/>
          <w:numId w:val="1002"/>
        </w:numPr>
      </w:pPr>
      <w:r>
        <w:rPr>
          <w:b/>
          <w:bCs/>
        </w:rPr>
        <w:t xml:space="preserve">Paludisme</w:t>
      </w:r>
      <w:r>
        <w:t xml:space="preserve"> </w:t>
      </w:r>
      <w:r>
        <w:t xml:space="preserve">: l’Algérie a été certifiée pays sans paludisme par l’OMS en 2019 (premier pays africain), mais les cas importés (voyageurs, migrants en provenance d’Afrique subsaharienne) restent fréquents. La chimiorésistance de</w:t>
      </w:r>
      <w:r>
        <w:t xml:space="preserve"> </w:t>
      </w:r>
      <w:r>
        <w:rPr>
          <w:i/>
          <w:iCs/>
        </w:rPr>
        <w:t xml:space="preserve">Plasmodium falciparum</w:t>
      </w:r>
      <w:r>
        <w:t xml:space="preserve"> </w:t>
      </w:r>
      <w:r>
        <w:t xml:space="preserve">à la chloroquine impose l’usage des ACT (artémisinine-based combination therapy), mais ces spécialités ne sont pas toutes disponibles dans la nomenclature algérienne.</w:t>
      </w:r>
    </w:p>
    <w:p>
      <w:pPr>
        <w:pStyle w:val="Compact"/>
        <w:numPr>
          <w:ilvl w:val="0"/>
          <w:numId w:val="1002"/>
        </w:numPr>
      </w:pPr>
      <w:r>
        <w:rPr>
          <w:b/>
          <w:bCs/>
        </w:rPr>
        <w:t xml:space="preserve">Leishmanioses</w:t>
      </w:r>
      <w:r>
        <w:t xml:space="preserve"> </w:t>
      </w:r>
      <w:r>
        <w:t xml:space="preserve">: endémiques dans le sud du pays (Biskra, Ouargla, Ghardaïa, Tamanrasset), avec deux formes principales : leishmaniose cutanée (LC) à</w:t>
      </w:r>
      <w:r>
        <w:t xml:space="preserve"> </w:t>
      </w:r>
      <w:r>
        <w:rPr>
          <w:i/>
          <w:iCs/>
        </w:rPr>
        <w:t xml:space="preserve">Leishmania major</w:t>
      </w:r>
      <w:r>
        <w:t xml:space="preserve"> </w:t>
      </w:r>
      <w:r>
        <w:t xml:space="preserve">(zoonotique, rurale) et leishmaniose viscérale (LV) à</w:t>
      </w:r>
      <w:r>
        <w:t xml:space="preserve"> </w:t>
      </w:r>
      <w:r>
        <w:rPr>
          <w:i/>
          <w:iCs/>
        </w:rPr>
        <w:t xml:space="preserve">L. infantum</w:t>
      </w:r>
      <w:r>
        <w:t xml:space="preserve">. Les antimoniates de méglumine (Glucantime®) demeurent le traitement de première ligne.</w:t>
      </w:r>
    </w:p>
    <w:p>
      <w:pPr>
        <w:pStyle w:val="Compact"/>
        <w:numPr>
          <w:ilvl w:val="0"/>
          <w:numId w:val="1002"/>
        </w:numPr>
      </w:pPr>
      <w:r>
        <w:rPr>
          <w:b/>
          <w:bCs/>
        </w:rPr>
        <w:t xml:space="preserve">Helminthiases</w:t>
      </w:r>
      <w:r>
        <w:t xml:space="preserve"> </w:t>
      </w:r>
      <w:r>
        <w:t xml:space="preserve">: oxyurose (pédiatrique, extrêmement fréquente), ascaridiose, hyménolépiase, téniasis (bœuf, porc), hydatidose (kyste hydatique — endémique en zones d’élevage). L’hydatidose pose un problème majeur de santé publique en Algérie avec une prévalence chirurgicale élevée.</w:t>
      </w:r>
    </w:p>
    <w:p>
      <w:pPr>
        <w:pStyle w:val="Compact"/>
        <w:numPr>
          <w:ilvl w:val="0"/>
          <w:numId w:val="1002"/>
        </w:numPr>
      </w:pPr>
      <w:r>
        <w:rPr>
          <w:b/>
          <w:bCs/>
        </w:rPr>
        <w:t xml:space="preserve">Protozooses intestinales</w:t>
      </w:r>
      <w:r>
        <w:t xml:space="preserve"> </w:t>
      </w:r>
      <w:r>
        <w:t xml:space="preserve">: giardiose, amibiase (principalement</w:t>
      </w:r>
      <w:r>
        <w:t xml:space="preserve"> </w:t>
      </w:r>
      <w:r>
        <w:rPr>
          <w:i/>
          <w:iCs/>
        </w:rPr>
        <w:t xml:space="preserve">Entamoeba histolytica</w:t>
      </w:r>
      <w:r>
        <w:t xml:space="preserve">), cryptosporidiose sur terrains immunodéprimés.</w:t>
      </w:r>
    </w:p>
    <w:p>
      <w:pPr>
        <w:pStyle w:val="Compact"/>
        <w:numPr>
          <w:ilvl w:val="0"/>
          <w:numId w:val="1002"/>
        </w:numPr>
      </w:pPr>
      <w:r>
        <w:rPr>
          <w:b/>
          <w:bCs/>
        </w:rPr>
        <w:t xml:space="preserve">Parasitoses externes</w:t>
      </w:r>
      <w:r>
        <w:t xml:space="preserve"> </w:t>
      </w:r>
      <w:r>
        <w:t xml:space="preserve">: gale (épidémies périodiques en milieu scolaire et collectivité), pédiculose du cuir chevelu (résistance croissante aux pédiculocides classiques).</w:t>
      </w:r>
    </w:p>
    <w:bookmarkEnd w:id="23"/>
    <w:bookmarkEnd w:id="24"/>
    <w:bookmarkStart w:id="25" w:name="X413a8f3074492907b636f664aca3fa4893290e9"/>
    <w:p>
      <w:pPr>
        <w:pStyle w:val="Heading3"/>
      </w:pPr>
      <w:r>
        <w:t xml:space="preserve">3. Sources académiques et médicales mobilisées</w:t>
      </w:r>
    </w:p>
    <w:p>
      <w:pPr>
        <w:pStyle w:val="FirstParagraph"/>
      </w:pPr>
      <w:r>
        <w:t xml:space="preserve">L’ensemble des affirmations pharmacologiques et des recommandations a été vérifié en croisant les sources médicales de référence suivantes :</w:t>
      </w:r>
    </w:p>
    <w:p>
      <w:pPr>
        <w:pStyle w:val="Compact"/>
        <w:numPr>
          <w:ilvl w:val="0"/>
          <w:numId w:val="1003"/>
        </w:numPr>
      </w:pPr>
      <w:r>
        <w:rPr>
          <w:b/>
          <w:bCs/>
        </w:rPr>
        <w:t xml:space="preserve">VIDAL</w:t>
      </w:r>
      <w:r>
        <w:t xml:space="preserve"> </w:t>
      </w:r>
      <w:r>
        <w:t xml:space="preserve">: base de données française du médicament (AMM, RCP, interactions).</w:t>
      </w:r>
    </w:p>
    <w:p>
      <w:pPr>
        <w:pStyle w:val="Compact"/>
        <w:numPr>
          <w:ilvl w:val="0"/>
          <w:numId w:val="1003"/>
        </w:numPr>
      </w:pPr>
      <w:r>
        <w:rPr>
          <w:b/>
          <w:bCs/>
        </w:rPr>
        <w:t xml:space="preserve">ANSM</w:t>
      </w:r>
      <w:r>
        <w:t xml:space="preserve"> </w:t>
      </w:r>
      <w:r>
        <w:t xml:space="preserve">: recommandations et mises en garde (notamment sur le retrait du kétoconazole oral en 2013 pour hépatotoxicité, et les restrictions d’usage des triazoles systémiques).</w:t>
      </w:r>
    </w:p>
    <w:p>
      <w:pPr>
        <w:pStyle w:val="Compact"/>
        <w:numPr>
          <w:ilvl w:val="0"/>
          <w:numId w:val="1003"/>
        </w:numPr>
      </w:pPr>
      <w:r>
        <w:rPr>
          <w:b/>
          <w:bCs/>
        </w:rPr>
        <w:t xml:space="preserve">Thériaque</w:t>
      </w:r>
      <w:r>
        <w:t xml:space="preserve"> </w:t>
      </w:r>
      <w:r>
        <w:t xml:space="preserve">: banque de données pharmaceutiques (CNHIM).</w:t>
      </w:r>
    </w:p>
    <w:p>
      <w:pPr>
        <w:pStyle w:val="Compact"/>
        <w:numPr>
          <w:ilvl w:val="0"/>
          <w:numId w:val="1003"/>
        </w:numPr>
      </w:pPr>
      <w:r>
        <w:rPr>
          <w:b/>
          <w:bCs/>
        </w:rPr>
        <w:t xml:space="preserve">CRAT (Centre de Renseignement sur les Agents Tératogènes)</w:t>
      </w:r>
      <w:r>
        <w:t xml:space="preserve"> </w:t>
      </w:r>
      <w:r>
        <w:t xml:space="preserve">: données grossesse et allaitement, mises à jour 2024-2025.</w:t>
      </w:r>
    </w:p>
    <w:p>
      <w:pPr>
        <w:pStyle w:val="Compact"/>
        <w:numPr>
          <w:ilvl w:val="0"/>
          <w:numId w:val="1003"/>
        </w:numPr>
      </w:pPr>
      <w:r>
        <w:rPr>
          <w:b/>
          <w:bCs/>
        </w:rPr>
        <w:t xml:space="preserve">OMS</w:t>
      </w:r>
      <w:r>
        <w:t xml:space="preserve"> </w:t>
      </w:r>
      <w:r>
        <w:t xml:space="preserve">: guides de traitement du paludisme (World Malaria Report 2023), de la leishmaniose, des géohelminthiases ( Preventive Chemotherapy 2017).</w:t>
      </w:r>
    </w:p>
    <w:p>
      <w:pPr>
        <w:pStyle w:val="Compact"/>
        <w:numPr>
          <w:ilvl w:val="0"/>
          <w:numId w:val="1003"/>
        </w:numPr>
      </w:pPr>
      <w:r>
        <w:rPr>
          <w:b/>
          <w:bCs/>
        </w:rPr>
        <w:t xml:space="preserve">UpToDate, DynaMed, IBM Micromedex, BMJ Best Practice</w:t>
      </w:r>
      <w:r>
        <w:t xml:space="preserve"> </w:t>
      </w:r>
      <w:r>
        <w:t xml:space="preserve">: référentiels internationaux.</w:t>
      </w:r>
    </w:p>
    <w:p>
      <w:pPr>
        <w:pStyle w:val="Compact"/>
        <w:numPr>
          <w:ilvl w:val="0"/>
          <w:numId w:val="1003"/>
        </w:numPr>
      </w:pPr>
      <w:r>
        <w:rPr>
          <w:b/>
          <w:bCs/>
        </w:rPr>
        <w:t xml:space="preserve">PubMed</w:t>
      </w:r>
      <w:r>
        <w:t xml:space="preserve"> </w:t>
      </w:r>
      <w:r>
        <w:t xml:space="preserve">: littérature primaire pour les mécanismes moléculaires et données récentes.</w:t>
      </w:r>
    </w:p>
    <w:p>
      <w:pPr>
        <w:pStyle w:val="Compact"/>
        <w:numPr>
          <w:ilvl w:val="0"/>
          <w:numId w:val="1003"/>
        </w:numPr>
      </w:pPr>
      <w:r>
        <w:rPr>
          <w:b/>
          <w:bCs/>
        </w:rPr>
        <w:t xml:space="preserve">Recommandations algériennes</w:t>
      </w:r>
      <w:r>
        <w:t xml:space="preserve"> </w:t>
      </w:r>
      <w:r>
        <w:t xml:space="preserve">: Programme National de Lutte contre le Paludisme (PNLP), Société Algérienne de Mycologie Médicale (SAMM), Société Algérienne de Parasitologie.</w:t>
      </w:r>
    </w:p>
    <w:bookmarkEnd w:id="25"/>
    <w:bookmarkStart w:id="26" w:name="consolidation-des-dci"/>
    <w:p>
      <w:pPr>
        <w:pStyle w:val="Heading3"/>
      </w:pPr>
      <w:r>
        <w:t xml:space="preserve">4. Consolidation des DCI</w:t>
      </w:r>
    </w:p>
    <w:p>
      <w:pPr>
        <w:pStyle w:val="FirstParagraph"/>
      </w:pPr>
      <w:r>
        <w:t xml:space="preserve">Comme pour le Fascicule I, les entrées multiples d’une même molécule (variations de sels, hydrates, prodrogues) ont été consolidées sous une</w:t>
      </w:r>
      <w:r>
        <w:t xml:space="preserve"> </w:t>
      </w:r>
      <w:r>
        <w:rPr>
          <w:b/>
          <w:bCs/>
        </w:rPr>
        <w:t xml:space="preserve">DCI canonique</w:t>
      </w:r>
      <w:r>
        <w:t xml:space="preserve"> </w:t>
      </w:r>
      <w:r>
        <w:t xml:space="preserve">unique. Les variations de dosage exprimé en base/sel sont mentionnées dans la description des formes commerciales.</w:t>
      </w:r>
    </w:p>
    <w:bookmarkEnd w:id="26"/>
    <w:bookmarkStart w:id="29" w:name="périmètre-de-ce-fascicule"/>
    <w:p>
      <w:pPr>
        <w:pStyle w:val="Heading3"/>
      </w:pPr>
      <w:r>
        <w:t xml:space="preserve">5. Périmètre de ce fascicule</w:t>
      </w:r>
    </w:p>
    <w:p>
      <w:pPr>
        <w:pStyle w:val="FirstParagraph"/>
      </w:pPr>
      <w:r>
        <w:t xml:space="preserve">Ce fascicule couvre les classes suivantes :</w:t>
      </w:r>
    </w:p>
    <w:bookmarkStart w:id="27" w:name="antifongiques-23-dci"/>
    <w:p>
      <w:pPr>
        <w:pStyle w:val="Heading4"/>
      </w:pPr>
      <w:r>
        <w:t xml:space="preserve">Antifongiques (23 DCI)</w:t>
      </w:r>
    </w:p>
    <w:p>
      <w:pPr>
        <w:pStyle w:val="Compact"/>
        <w:numPr>
          <w:ilvl w:val="0"/>
          <w:numId w:val="1004"/>
        </w:numPr>
      </w:pPr>
      <w:r>
        <w:t xml:space="preserve">Polyènes (Amphotéricine B, Nystatine)</w:t>
      </w:r>
    </w:p>
    <w:p>
      <w:pPr>
        <w:pStyle w:val="Compact"/>
        <w:numPr>
          <w:ilvl w:val="0"/>
          <w:numId w:val="1004"/>
        </w:numPr>
      </w:pPr>
      <w:r>
        <w:t xml:space="preserve">Azoles imidazolés topiques (Miconazole, Kétoconazole, Éconazole, Clotrimazole, Fenticonazole, Sertaconazole, Butoconazole, Oxiconazole)</w:t>
      </w:r>
    </w:p>
    <w:p>
      <w:pPr>
        <w:pStyle w:val="Compact"/>
        <w:numPr>
          <w:ilvl w:val="0"/>
          <w:numId w:val="1004"/>
        </w:numPr>
      </w:pPr>
      <w:r>
        <w:t xml:space="preserve">Azoles triazolés systémiques (Fluconazole, Itraconazole, Voriconazole, Isavuconazole)</w:t>
      </w:r>
    </w:p>
    <w:p>
      <w:pPr>
        <w:pStyle w:val="Compact"/>
        <w:numPr>
          <w:ilvl w:val="0"/>
          <w:numId w:val="1004"/>
        </w:numPr>
      </w:pPr>
      <w:r>
        <w:t xml:space="preserve">Allylamines (Terbinafine, Naftifine)</w:t>
      </w:r>
    </w:p>
    <w:p>
      <w:pPr>
        <w:pStyle w:val="Compact"/>
        <w:numPr>
          <w:ilvl w:val="0"/>
          <w:numId w:val="1004"/>
        </w:numPr>
      </w:pPr>
      <w:r>
        <w:t xml:space="preserve">Morpholines (Amorolfine)</w:t>
      </w:r>
    </w:p>
    <w:p>
      <w:pPr>
        <w:pStyle w:val="Compact"/>
        <w:numPr>
          <w:ilvl w:val="0"/>
          <w:numId w:val="1004"/>
        </w:numPr>
      </w:pPr>
      <w:r>
        <w:t xml:space="preserve">Echinocandines (Caspofungine, Anidulafungine)</w:t>
      </w:r>
    </w:p>
    <w:p>
      <w:pPr>
        <w:pStyle w:val="Compact"/>
        <w:numPr>
          <w:ilvl w:val="0"/>
          <w:numId w:val="1004"/>
        </w:numPr>
      </w:pPr>
      <w:r>
        <w:t xml:space="preserve">Divers (Griséofulvine, Ciclopirox)</w:t>
      </w:r>
    </w:p>
    <w:p>
      <w:pPr>
        <w:pStyle w:val="Compact"/>
        <w:numPr>
          <w:ilvl w:val="0"/>
          <w:numId w:val="1004"/>
        </w:numPr>
      </w:pPr>
      <w:r>
        <w:t xml:space="preserve">Associations gynécologiques et locales (3 associations)</w:t>
      </w:r>
    </w:p>
    <w:bookmarkEnd w:id="27"/>
    <w:bookmarkStart w:id="28" w:name="antiparasitaires-16-dci"/>
    <w:p>
      <w:pPr>
        <w:pStyle w:val="Heading4"/>
      </w:pPr>
      <w:r>
        <w:t xml:space="preserve">Antiparasitaires (16 DCI)</w:t>
      </w:r>
    </w:p>
    <w:p>
      <w:pPr>
        <w:pStyle w:val="Compact"/>
        <w:numPr>
          <w:ilvl w:val="0"/>
          <w:numId w:val="1005"/>
        </w:numPr>
      </w:pPr>
      <w:r>
        <w:t xml:space="preserve">Antipaludiques — 4-aminoquinoléines (Chloroquine, Hydroxychloroquine)</w:t>
      </w:r>
    </w:p>
    <w:p>
      <w:pPr>
        <w:pStyle w:val="Compact"/>
        <w:numPr>
          <w:ilvl w:val="0"/>
          <w:numId w:val="1005"/>
        </w:numPr>
      </w:pPr>
      <w:r>
        <w:t xml:space="preserve">Antipaludiques — Artémisinines (Artésunate)</w:t>
      </w:r>
    </w:p>
    <w:p>
      <w:pPr>
        <w:pStyle w:val="Compact"/>
        <w:numPr>
          <w:ilvl w:val="0"/>
          <w:numId w:val="1005"/>
        </w:numPr>
      </w:pPr>
      <w:r>
        <w:t xml:space="preserve">Antipaludiques — Biguanides + Associations (Proguanil, Proguanil+Chloroquine)</w:t>
      </w:r>
    </w:p>
    <w:p>
      <w:pPr>
        <w:pStyle w:val="Compact"/>
        <w:numPr>
          <w:ilvl w:val="0"/>
          <w:numId w:val="1005"/>
        </w:numPr>
      </w:pPr>
      <w:r>
        <w:t xml:space="preserve">Antihelminthiques — Benzimidazoles (Albendazole, Mébendazole, Flubendazole, Tiabendazole)</w:t>
      </w:r>
    </w:p>
    <w:p>
      <w:pPr>
        <w:pStyle w:val="Compact"/>
        <w:numPr>
          <w:ilvl w:val="0"/>
          <w:numId w:val="1005"/>
        </w:numPr>
      </w:pPr>
      <w:r>
        <w:t xml:space="preserve">Antihelminthiques — Salicylanilides (Niclosamide)</w:t>
      </w:r>
    </w:p>
    <w:p>
      <w:pPr>
        <w:pStyle w:val="Compact"/>
        <w:numPr>
          <w:ilvl w:val="0"/>
          <w:numId w:val="1005"/>
        </w:numPr>
      </w:pPr>
      <w:r>
        <w:t xml:space="preserve">Antihelminthiques — Pyrimidines (Pyrantel)</w:t>
      </w:r>
    </w:p>
    <w:p>
      <w:pPr>
        <w:pStyle w:val="Compact"/>
        <w:numPr>
          <w:ilvl w:val="0"/>
          <w:numId w:val="1005"/>
        </w:numPr>
      </w:pPr>
      <w:r>
        <w:t xml:space="preserve">Antiprotozoaires — Anti-leishmaniens (Antimoniates)</w:t>
      </w:r>
    </w:p>
    <w:p>
      <w:pPr>
        <w:pStyle w:val="Compact"/>
        <w:numPr>
          <w:ilvl w:val="0"/>
          <w:numId w:val="1005"/>
        </w:numPr>
      </w:pPr>
      <w:r>
        <w:t xml:space="preserve">Antiparasitaires externes — Scabies/Pédiculose (Permethrine, Crotamiton, Diméticone)</w:t>
      </w:r>
    </w:p>
    <w:p>
      <w:pPr>
        <w:pStyle w:val="FirstParagraph"/>
      </w:pPr>
      <w:r>
        <w:rPr>
          <w:b/>
          <w:bCs/>
        </w:rPr>
        <w:t xml:space="preserve">Total : 39 DCI canoniques</w:t>
      </w:r>
      <w:r>
        <w:t xml:space="preserve"> </w:t>
      </w:r>
      <w:r>
        <w:t xml:space="preserve">traitées individuellement, représentant plus de</w:t>
      </w:r>
      <w:r>
        <w:t xml:space="preserve"> </w:t>
      </w:r>
      <w:r>
        <w:rPr>
          <w:b/>
          <w:bCs/>
        </w:rPr>
        <w:t xml:space="preserve">250 spécialités commerciales</w:t>
      </w:r>
      <w:r>
        <w:t xml:space="preserve"> </w:t>
      </w:r>
      <w:r>
        <w:t xml:space="preserve">actives, non renouvelables ou retirées.</w:t>
      </w:r>
    </w:p>
    <w:bookmarkEnd w:id="28"/>
    <w:bookmarkEnd w:id="29"/>
    <w:bookmarkStart w:id="30" w:name="particularités-algériennes-notables"/>
    <w:p>
      <w:pPr>
        <w:pStyle w:val="Heading3"/>
      </w:pPr>
      <w:r>
        <w:t xml:space="preserve">6. Particularités algériennes notables</w:t>
      </w:r>
    </w:p>
    <w:p>
      <w:pPr>
        <w:pStyle w:val="FirstParagraph"/>
      </w:pPr>
      <w:r>
        <w:t xml:space="preserve">Plusieurs molécules de référence internationale ne sont pas disponibles dans la nomenclature algérienne, ce qui doit être signalé dans chaque sous-classe concernée :</w:t>
      </w:r>
    </w:p>
    <w:p>
      <w:pPr>
        <w:pStyle w:val="Compact"/>
        <w:numPr>
          <w:ilvl w:val="0"/>
          <w:numId w:val="1006"/>
        </w:numPr>
      </w:pPr>
      <w:r>
        <w:rPr>
          <w:b/>
          <w:bCs/>
        </w:rPr>
        <w:t xml:space="preserve">Antifongiques</w:t>
      </w:r>
      <w:r>
        <w:t xml:space="preserve"> </w:t>
      </w:r>
      <w:r>
        <w:t xml:space="preserve">: formes lipidiques d’amphotéricine B (Ambisome®, Abelcet®), micafungine, posaconazole, flucytosine (5-FC).</w:t>
      </w:r>
    </w:p>
    <w:p>
      <w:pPr>
        <w:pStyle w:val="Compact"/>
        <w:numPr>
          <w:ilvl w:val="0"/>
          <w:numId w:val="1006"/>
        </w:numPr>
      </w:pPr>
      <w:r>
        <w:rPr>
          <w:b/>
          <w:bCs/>
        </w:rPr>
        <w:t xml:space="preserve">Antipaludiques</w:t>
      </w:r>
      <w:r>
        <w:t xml:space="preserve"> </w:t>
      </w:r>
      <w:r>
        <w:t xml:space="preserve">: quinine, méfloquine, primaquine, artéméther+lumefantrine (Coartem®), atovaquone+proguanil (Malarone®), sulfadoxine+pyriméthamine (Fansidar®).</w:t>
      </w:r>
    </w:p>
    <w:p>
      <w:pPr>
        <w:pStyle w:val="Compact"/>
        <w:numPr>
          <w:ilvl w:val="0"/>
          <w:numId w:val="1006"/>
        </w:numPr>
      </w:pPr>
      <w:r>
        <w:rPr>
          <w:b/>
          <w:bCs/>
        </w:rPr>
        <w:t xml:space="preserve">Antihelminthiques</w:t>
      </w:r>
      <w:r>
        <w:t xml:space="preserve"> </w:t>
      </w:r>
      <w:r>
        <w:t xml:space="preserve">: praziquantel, ivermectine, pipérazine, diéthylcarbamazine, lévamisole, triclabendazole.</w:t>
      </w:r>
    </w:p>
    <w:p>
      <w:pPr>
        <w:pStyle w:val="Compact"/>
        <w:numPr>
          <w:ilvl w:val="0"/>
          <w:numId w:val="1006"/>
        </w:numPr>
      </w:pPr>
      <w:r>
        <w:rPr>
          <w:b/>
          <w:bCs/>
        </w:rPr>
        <w:t xml:space="preserve">Antiprotozoaires</w:t>
      </w:r>
      <w:r>
        <w:t xml:space="preserve"> </w:t>
      </w:r>
      <w:r>
        <w:t xml:space="preserve">: pentamidine, miltefosine, nitazoxanide, paromomycine.</w:t>
      </w:r>
    </w:p>
    <w:p>
      <w:pPr>
        <w:pStyle w:val="Compact"/>
        <w:numPr>
          <w:ilvl w:val="0"/>
          <w:numId w:val="1006"/>
        </w:numPr>
      </w:pPr>
      <w:r>
        <w:rPr>
          <w:b/>
          <w:bCs/>
        </w:rPr>
        <w:t xml:space="preserve">Antiparasitaires externes</w:t>
      </w:r>
      <w:r>
        <w:t xml:space="preserve"> </w:t>
      </w:r>
      <w:r>
        <w:t xml:space="preserve">: malathion, lindane, benzyl benzoate, spinosad.</w:t>
      </w:r>
    </w:p>
    <w:p>
      <w:pPr>
        <w:pStyle w:val="FirstParagraph"/>
      </w:pPr>
      <w:r>
        <w:t xml:space="preserve">Pour chaque molécule non disponible, des alternatives thérapeutiques ou des circuits d’importation exceptionnels sont proposés dans les fiches concernées.</w:t>
      </w:r>
    </w:p>
    <w:bookmarkEnd w:id="30"/>
    <w:bookmarkStart w:id="31" w:name="structure-type-dune-fiche-dci"/>
    <w:p>
      <w:pPr>
        <w:pStyle w:val="Heading3"/>
      </w:pPr>
      <w:r>
        <w:t xml:space="preserve">7. Structure type d’une fiche DCI</w:t>
      </w:r>
    </w:p>
    <w:p>
      <w:pPr>
        <w:pStyle w:val="FirstParagraph"/>
      </w:pPr>
      <w:r>
        <w:t xml:space="preserve">Chaque fiche DCI suit la même structure uniforme en douze sections que le Fascicule I, garantissant la comparabilité entre molécules et l’exhaustivité au comptoir :</w:t>
      </w:r>
    </w:p>
    <w:p>
      <w:pPr>
        <w:pStyle w:val="Compact"/>
        <w:numPr>
          <w:ilvl w:val="0"/>
          <w:numId w:val="1007"/>
        </w:numPr>
      </w:pPr>
      <w:r>
        <w:t xml:space="preserve">Liste des catégories thérapeutiques.</w:t>
      </w:r>
    </w:p>
    <w:p>
      <w:pPr>
        <w:pStyle w:val="Compact"/>
        <w:numPr>
          <w:ilvl w:val="0"/>
          <w:numId w:val="1007"/>
        </w:numPr>
      </w:pPr>
      <w:r>
        <w:t xml:space="preserve">Médicaments disponibles en Algérie (marques, laboratoires, formes, statut).</w:t>
      </w:r>
    </w:p>
    <w:p>
      <w:pPr>
        <w:pStyle w:val="Compact"/>
        <w:numPr>
          <w:ilvl w:val="0"/>
          <w:numId w:val="1007"/>
        </w:numPr>
      </w:pPr>
      <w:r>
        <w:t xml:space="preserve">Sous-classe et mécanisme d’action moléculaire.</w:t>
      </w:r>
    </w:p>
    <w:p>
      <w:pPr>
        <w:pStyle w:val="Compact"/>
        <w:numPr>
          <w:ilvl w:val="0"/>
          <w:numId w:val="1007"/>
        </w:numPr>
      </w:pPr>
      <w:r>
        <w:t xml:space="preserve">Profil pharmacologique (indications, CI, EI avec physiopathologie).</w:t>
      </w:r>
    </w:p>
    <w:p>
      <w:pPr>
        <w:pStyle w:val="Compact"/>
        <w:numPr>
          <w:ilvl w:val="0"/>
          <w:numId w:val="1007"/>
        </w:numPr>
      </w:pPr>
      <w:r>
        <w:t xml:space="preserve">Prévention et gestion des EI.</w:t>
      </w:r>
    </w:p>
    <w:p>
      <w:pPr>
        <w:pStyle w:val="Compact"/>
        <w:numPr>
          <w:ilvl w:val="0"/>
          <w:numId w:val="1007"/>
        </w:numPr>
      </w:pPr>
      <w:r>
        <w:t xml:space="preserve">Interactions médicamenteuses.</w:t>
      </w:r>
    </w:p>
    <w:p>
      <w:pPr>
        <w:pStyle w:val="Compact"/>
        <w:numPr>
          <w:ilvl w:val="0"/>
          <w:numId w:val="1007"/>
        </w:numPr>
      </w:pPr>
      <w:r>
        <w:t xml:space="preserve">Grossesse et allaitement (CRAT).</w:t>
      </w:r>
    </w:p>
    <w:p>
      <w:pPr>
        <w:pStyle w:val="Compact"/>
        <w:numPr>
          <w:ilvl w:val="0"/>
          <w:numId w:val="1007"/>
        </w:numPr>
      </w:pPr>
      <w:r>
        <w:t xml:space="preserve">Posologie et mode d’administration.</w:t>
      </w:r>
    </w:p>
    <w:p>
      <w:pPr>
        <w:pStyle w:val="Compact"/>
        <w:numPr>
          <w:ilvl w:val="0"/>
          <w:numId w:val="1007"/>
        </w:numPr>
      </w:pPr>
      <w:r>
        <w:t xml:space="preserve">Arbitrage et bénéfices des formes galéniques.</w:t>
      </w:r>
    </w:p>
    <w:p>
      <w:pPr>
        <w:pStyle w:val="Compact"/>
        <w:numPr>
          <w:ilvl w:val="0"/>
          <w:numId w:val="1007"/>
        </w:numPr>
      </w:pPr>
      <w:r>
        <w:t xml:space="preserve">Instructions et conseils au patient.</w:t>
      </w:r>
    </w:p>
    <w:p>
      <w:pPr>
        <w:pStyle w:val="Compact"/>
        <w:numPr>
          <w:ilvl w:val="0"/>
          <w:numId w:val="1007"/>
        </w:numPr>
      </w:pPr>
      <w:r>
        <w:t xml:space="preserve">Notes, règles d’or et pièges au comptoir.</w:t>
      </w:r>
    </w:p>
    <w:p>
      <w:pPr>
        <w:pStyle w:val="Compact"/>
        <w:numPr>
          <w:ilvl w:val="0"/>
          <w:numId w:val="1007"/>
        </w:numPr>
      </w:pPr>
      <w:r>
        <w:t xml:space="preserve">Tableau comparatif de sous-classe en fin de chapitre.</w:t>
      </w:r>
    </w:p>
    <w:bookmarkEnd w:id="31"/>
    <w:bookmarkStart w:id="32" w:name="engagements-qualité"/>
    <w:p>
      <w:pPr>
        <w:pStyle w:val="Heading3"/>
      </w:pPr>
      <w:r>
        <w:t xml:space="preserve">8. Engagements qualité</w:t>
      </w:r>
    </w:p>
    <w:p>
      <w:pPr>
        <w:pStyle w:val="Compact"/>
        <w:numPr>
          <w:ilvl w:val="0"/>
          <w:numId w:val="1008"/>
        </w:numPr>
      </w:pPr>
      <w:r>
        <w:rPr>
          <w:b/>
          <w:bCs/>
        </w:rPr>
        <w:t xml:space="preserve">Égalité de traitement</w:t>
      </w:r>
      <w:r>
        <w:t xml:space="preserve"> </w:t>
      </w:r>
      <w:r>
        <w:t xml:space="preserve">: chaque DCI est traitée avec la même rigueur, quelle que soit sa fréquence d’usage.</w:t>
      </w:r>
    </w:p>
    <w:p>
      <w:pPr>
        <w:pStyle w:val="Compact"/>
        <w:numPr>
          <w:ilvl w:val="0"/>
          <w:numId w:val="1008"/>
        </w:numPr>
      </w:pPr>
      <w:r>
        <w:rPr>
          <w:b/>
          <w:bCs/>
        </w:rPr>
        <w:t xml:space="preserve">Exhaustivité absolue du fichier</w:t>
      </w:r>
      <w:r>
        <w:t xml:space="preserve"> </w:t>
      </w:r>
      <w:r>
        <w:t xml:space="preserve">: aucune marque enregistrée n’est omise.</w:t>
      </w:r>
    </w:p>
    <w:p>
      <w:pPr>
        <w:pStyle w:val="Compact"/>
        <w:numPr>
          <w:ilvl w:val="0"/>
          <w:numId w:val="1008"/>
        </w:numPr>
      </w:pPr>
      <w:r>
        <w:rPr>
          <w:b/>
          <w:bCs/>
        </w:rPr>
        <w:t xml:space="preserve">Zéro perte d’information scientifique</w:t>
      </w:r>
      <w:r>
        <w:t xml:space="preserve"> </w:t>
      </w:r>
      <w:r>
        <w:t xml:space="preserve">: mécanismes moléculaires, interactions et profils de tolérance détaillés.</w:t>
      </w:r>
    </w:p>
    <w:p>
      <w:pPr>
        <w:pStyle w:val="Compact"/>
        <w:numPr>
          <w:ilvl w:val="0"/>
          <w:numId w:val="1008"/>
        </w:numPr>
      </w:pPr>
      <w:r>
        <w:rPr>
          <w:b/>
          <w:bCs/>
        </w:rPr>
        <w:t xml:space="preserve">Vérification continue de la vérité scientifique</w:t>
      </w:r>
      <w:r>
        <w:t xml:space="preserve"> </w:t>
      </w:r>
      <w:r>
        <w:t xml:space="preserve">: recoupement systématique des sources.</w:t>
      </w:r>
    </w:p>
    <w:p>
      <w:pPr>
        <w:pStyle w:val="Compact"/>
        <w:numPr>
          <w:ilvl w:val="0"/>
          <w:numId w:val="1008"/>
        </w:numPr>
      </w:pPr>
      <w:r>
        <w:rPr>
          <w:b/>
          <w:bCs/>
        </w:rPr>
        <w:t xml:space="preserve">Focus Algérie</w:t>
      </w:r>
      <w:r>
        <w:t xml:space="preserve"> </w:t>
      </w:r>
      <w:r>
        <w:t xml:space="preserve">: seules les spécialités du fichier source sont mentionnées ; les molécules non disponibles sont explicitement signalées.</w:t>
      </w:r>
    </w:p>
    <w:bookmarkEnd w:id="32"/>
    <w:bookmarkStart w:id="33" w:name="Xa223af2481d7a1df9b3a4cca5da5acd9a733983"/>
    <w:p>
      <w:pPr>
        <w:pStyle w:val="Heading3"/>
      </w:pPr>
      <w:r>
        <w:t xml:space="preserve">9. Rappel stratégique sur l’usage rationnel des antifongiques et antiparasitaires</w:t>
      </w:r>
    </w:p>
    <w:p>
      <w:pPr>
        <w:pStyle w:val="FirstParagraph"/>
      </w:pPr>
      <w:r>
        <w:t xml:space="preserve">L’OMS souligne la progression mondiale des résistances fongiques (notamment</w:t>
      </w:r>
      <w:r>
        <w:t xml:space="preserve"> </w:t>
      </w:r>
      <w:r>
        <w:rPr>
          <w:i/>
          <w:iCs/>
        </w:rPr>
        <w:t xml:space="preserve">Candida auris</w:t>
      </w:r>
      <w:r>
        <w:t xml:space="preserve">,</w:t>
      </w:r>
      <w:r>
        <w:t xml:space="preserve"> </w:t>
      </w:r>
      <w:r>
        <w:rPr>
          <w:i/>
          <w:iCs/>
        </w:rPr>
        <w:t xml:space="preserve">Aspergillus fumigatus</w:t>
      </w:r>
      <w:r>
        <w:t xml:space="preserve"> </w:t>
      </w:r>
      <w:r>
        <w:t xml:space="preserve">résistant aux triazolés) et l’émergence de résistances antiparasitaires (paludisme multi-résistant, résistance des poux à la permethrine). En Algérie, le pharmacien d’officine joue un rôle clé dans :</w:t>
      </w:r>
    </w:p>
    <w:p>
      <w:pPr>
        <w:pStyle w:val="Compact"/>
        <w:numPr>
          <w:ilvl w:val="0"/>
          <w:numId w:val="1009"/>
        </w:numPr>
      </w:pPr>
      <w:r>
        <w:rPr>
          <w:b/>
          <w:bCs/>
        </w:rPr>
        <w:t xml:space="preserve">Le bon usage des antifongiques topiques</w:t>
      </w:r>
      <w:r>
        <w:t xml:space="preserve"> </w:t>
      </w:r>
      <w:r>
        <w:t xml:space="preserve">: ne pas délivrer sans ordonnance pour les mycoses étendues/récidivantes, limiter la durée d’utilisation, éviter les associations corticoïde-antifongique prolongées.</w:t>
      </w:r>
    </w:p>
    <w:p>
      <w:pPr>
        <w:pStyle w:val="Compact"/>
        <w:numPr>
          <w:ilvl w:val="0"/>
          <w:numId w:val="1009"/>
        </w:numPr>
      </w:pPr>
      <w:r>
        <w:rPr>
          <w:b/>
          <w:bCs/>
        </w:rPr>
        <w:t xml:space="preserve">La prophylaxie antipalustre</w:t>
      </w:r>
      <w:r>
        <w:t xml:space="preserve"> </w:t>
      </w:r>
      <w:r>
        <w:t xml:space="preserve">: information voyageurs, observance, chimioprophylaxie adaptée à la zone, mesures anti-moustiques.</w:t>
      </w:r>
    </w:p>
    <w:p>
      <w:pPr>
        <w:pStyle w:val="Compact"/>
        <w:numPr>
          <w:ilvl w:val="0"/>
          <w:numId w:val="1009"/>
        </w:numPr>
      </w:pPr>
      <w:r>
        <w:rPr>
          <w:b/>
          <w:bCs/>
        </w:rPr>
        <w:t xml:space="preserve">Le traitement des parasitoses familiales</w:t>
      </w:r>
      <w:r>
        <w:t xml:space="preserve"> </w:t>
      </w:r>
      <w:r>
        <w:t xml:space="preserve">: traitement de l’entourage (oxyurose), hygiène (gale), désinfection du linge et de la literie.</w:t>
      </w:r>
    </w:p>
    <w:p>
      <w:pPr>
        <w:pStyle w:val="Compact"/>
        <w:numPr>
          <w:ilvl w:val="0"/>
          <w:numId w:val="1009"/>
        </w:numPr>
      </w:pPr>
      <w:r>
        <w:rPr>
          <w:b/>
          <w:bCs/>
        </w:rPr>
        <w:t xml:space="preserve">L’orientation systématique</w:t>
      </w:r>
      <w:r>
        <w:t xml:space="preserve"> </w:t>
      </w:r>
      <w:r>
        <w:t xml:space="preserve">vers le médecin pour toute parasitose sévère, étendue, ou chez la femme enceinte, le jeune enfant, le sujet immunodéprimé.</w:t>
      </w:r>
    </w:p>
    <w:p>
      <w:r>
        <w:pict>
          <v:rect style="width:0;height:1.5pt" o:hralign="center" o:hrstd="t" o:hr="t"/>
        </w:pict>
      </w:r>
    </w:p>
    <w:bookmarkEnd w:id="33"/>
    <w:bookmarkEnd w:id="34"/>
    <w:bookmarkStart w:id="35" w:name="sommaire-général-du-fascicule-ii"/>
    <w:p>
      <w:pPr>
        <w:pStyle w:val="Heading2"/>
      </w:pPr>
      <w:r>
        <w:t xml:space="preserve">Sommaire général du Fascicule II</w:t>
      </w:r>
    </w:p>
    <w:tbl>
      <w:tblPr>
        <w:tblStyle w:val="Table"/>
        <w:tblW w:type="pct" w:w="5000"/>
        <w:jc w:val="left"/>
        <w:tblLayout w:type="fixed"/>
        <w:tblLook w:firstRow="1" w:lastRow="0" w:firstColumn="0" w:lastColumn="0" w:noHBand="0" w:noVBand="0" w:val="0020"/>
      </w:tblPr>
      <w:tblGrid>
        <w:gridCol w:w="1685"/>
        <w:gridCol w:w="3707"/>
        <w:gridCol w:w="2527"/>
      </w:tblGrid>
      <w:tr>
        <w:trPr>
          <w:tblHeader w:val="on"/>
        </w:trPr>
        <w:tc>
          <w:tcPr/>
          <w:p>
            <w:pPr>
              <w:pStyle w:val="Compact"/>
              <w:jc w:val="left"/>
            </w:pPr>
            <w:r>
              <w:t xml:space="preserve">Chapitre</w:t>
            </w:r>
          </w:p>
        </w:tc>
        <w:tc>
          <w:tcPr/>
          <w:p>
            <w:pPr>
              <w:pStyle w:val="Compact"/>
              <w:jc w:val="left"/>
            </w:pPr>
            <w:r>
              <w:t xml:space="preserve">Sous-classes traitées</w:t>
            </w:r>
          </w:p>
        </w:tc>
        <w:tc>
          <w:tcPr/>
          <w:p>
            <w:pPr>
              <w:pStyle w:val="Compact"/>
              <w:jc w:val="left"/>
            </w:pPr>
            <w:r>
              <w:t xml:space="preserve">Nombre de DCI</w:t>
            </w:r>
          </w:p>
        </w:tc>
      </w:tr>
      <w:tr>
        <w:tc>
          <w:tcPr/>
          <w:p>
            <w:pPr>
              <w:pStyle w:val="Compact"/>
              <w:jc w:val="left"/>
            </w:pPr>
            <w:r>
              <w:t xml:space="preserve">11</w:t>
            </w:r>
          </w:p>
        </w:tc>
        <w:tc>
          <w:tcPr/>
          <w:p>
            <w:pPr>
              <w:pStyle w:val="Compact"/>
              <w:jc w:val="left"/>
            </w:pPr>
            <w:r>
              <w:t xml:space="preserve">Antifongiques - Polyènes + Azoles imidazolés topiques</w:t>
            </w:r>
          </w:p>
        </w:tc>
        <w:tc>
          <w:tcPr/>
          <w:p>
            <w:pPr>
              <w:pStyle w:val="Compact"/>
              <w:jc w:val="left"/>
            </w:pPr>
            <w:r>
              <w:t xml:space="preserve">10</w:t>
            </w:r>
          </w:p>
        </w:tc>
      </w:tr>
      <w:tr>
        <w:tc>
          <w:tcPr/>
          <w:p>
            <w:pPr>
              <w:pStyle w:val="Compact"/>
              <w:jc w:val="left"/>
            </w:pPr>
            <w:r>
              <w:t xml:space="preserve">12</w:t>
            </w:r>
          </w:p>
        </w:tc>
        <w:tc>
          <w:tcPr/>
          <w:p>
            <w:pPr>
              <w:pStyle w:val="Compact"/>
              <w:jc w:val="left"/>
            </w:pPr>
            <w:r>
              <w:t xml:space="preserve">Antifongiques - Triazolés + Allylamines + Morpholines + Echinocandines + Divers</w:t>
            </w:r>
          </w:p>
        </w:tc>
        <w:tc>
          <w:tcPr/>
          <w:p>
            <w:pPr>
              <w:pStyle w:val="Compact"/>
              <w:jc w:val="left"/>
            </w:pPr>
            <w:r>
              <w:t xml:space="preserve">11</w:t>
            </w:r>
          </w:p>
        </w:tc>
      </w:tr>
      <w:tr>
        <w:tc>
          <w:tcPr/>
          <w:p>
            <w:pPr>
              <w:pStyle w:val="Compact"/>
              <w:jc w:val="left"/>
            </w:pPr>
            <w:r>
              <w:t xml:space="preserve">13</w:t>
            </w:r>
          </w:p>
        </w:tc>
        <w:tc>
          <w:tcPr/>
          <w:p>
            <w:pPr>
              <w:pStyle w:val="Compact"/>
              <w:jc w:val="left"/>
            </w:pPr>
            <w:r>
              <w:t xml:space="preserve">Antifongiques - Associations gynécologiques et locales</w:t>
            </w:r>
          </w:p>
        </w:tc>
        <w:tc>
          <w:tcPr/>
          <w:p>
            <w:pPr>
              <w:pStyle w:val="Compact"/>
              <w:jc w:val="left"/>
            </w:pPr>
            <w:r>
              <w:t xml:space="preserve">3</w:t>
            </w:r>
          </w:p>
        </w:tc>
      </w:tr>
      <w:tr>
        <w:tc>
          <w:tcPr/>
          <w:p>
            <w:pPr>
              <w:pStyle w:val="Compact"/>
              <w:jc w:val="left"/>
            </w:pPr>
            <w:r>
              <w:t xml:space="preserve">14</w:t>
            </w:r>
          </w:p>
        </w:tc>
        <w:tc>
          <w:tcPr/>
          <w:p>
            <w:pPr>
              <w:pStyle w:val="Compact"/>
              <w:jc w:val="left"/>
            </w:pPr>
            <w:r>
              <w:t xml:space="preserve">Antipaludiques</w:t>
            </w:r>
          </w:p>
        </w:tc>
        <w:tc>
          <w:tcPr/>
          <w:p>
            <w:pPr>
              <w:pStyle w:val="Compact"/>
              <w:jc w:val="left"/>
            </w:pPr>
            <w:r>
              <w:t xml:space="preserve">5</w:t>
            </w:r>
          </w:p>
        </w:tc>
      </w:tr>
      <w:tr>
        <w:tc>
          <w:tcPr/>
          <w:p>
            <w:pPr>
              <w:pStyle w:val="Compact"/>
              <w:jc w:val="left"/>
            </w:pPr>
            <w:r>
              <w:t xml:space="preserve">15</w:t>
            </w:r>
          </w:p>
        </w:tc>
        <w:tc>
          <w:tcPr/>
          <w:p>
            <w:pPr>
              <w:pStyle w:val="Compact"/>
              <w:jc w:val="left"/>
            </w:pPr>
            <w:r>
              <w:t xml:space="preserve">Antihelminthiques</w:t>
            </w:r>
          </w:p>
        </w:tc>
        <w:tc>
          <w:tcPr/>
          <w:p>
            <w:pPr>
              <w:pStyle w:val="Compact"/>
              <w:jc w:val="left"/>
            </w:pPr>
            <w:r>
              <w:t xml:space="preserve">6</w:t>
            </w:r>
          </w:p>
        </w:tc>
      </w:tr>
      <w:tr>
        <w:tc>
          <w:tcPr/>
          <w:p>
            <w:pPr>
              <w:pStyle w:val="Compact"/>
              <w:jc w:val="left"/>
            </w:pPr>
            <w:r>
              <w:t xml:space="preserve">16</w:t>
            </w:r>
          </w:p>
        </w:tc>
        <w:tc>
          <w:tcPr/>
          <w:p>
            <w:pPr>
              <w:pStyle w:val="Compact"/>
              <w:jc w:val="left"/>
            </w:pPr>
            <w:r>
              <w:t xml:space="preserve">Antiprotozoaires + Antiparasitaires externes</w:t>
            </w:r>
          </w:p>
        </w:tc>
        <w:tc>
          <w:tcPr/>
          <w:p>
            <w:pPr>
              <w:pStyle w:val="Compact"/>
              <w:jc w:val="left"/>
            </w:pPr>
            <w:r>
              <w:t xml:space="preserve">4</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39</w:t>
            </w:r>
          </w:p>
        </w:tc>
      </w:tr>
    </w:tbl>
    <w:p>
      <w:r>
        <w:pict>
          <v:rect style="width:0;height:1.5pt" o:hralign="center" o:hrstd="t" o:hr="t"/>
        </w:pict>
      </w:r>
    </w:p>
    <w:p>
      <w:r>
        <w:pict>
          <v:rect style="width:0;height:1.5pt" o:hralign="center" o:hrstd="t" o:hr="t"/>
        </w:pict>
      </w:r>
    </w:p>
    <w:bookmarkEnd w:id="35"/>
    <w:bookmarkEnd w:id="36"/>
    <w:bookmarkStart w:id="67" w:name="X8a0b991f79f4e4a724d8f03624515b8be28e782"/>
    <w:p>
      <w:pPr>
        <w:pStyle w:val="Heading1"/>
      </w:pPr>
      <w:r>
        <w:t xml:space="preserve">Chapitre 11 — Antifongiques : Polyènes &amp; Azoles topiques (imidazoles)</w:t>
      </w:r>
    </w:p>
    <w:p>
      <w:pPr>
        <w:pStyle w:val="BlockText"/>
      </w:pPr>
      <w:r>
        <w:rPr>
          <w:b/>
          <w:bCs/>
        </w:rPr>
        <w:t xml:space="preserve">Fascicule II — Antifongiques &amp; Antiparasitaires</w:t>
      </w:r>
      <w:r>
        <w:t xml:space="preserve"> </w:t>
      </w:r>
      <w:r>
        <w:rPr>
          <w:i/>
          <w:iCs/>
        </w:rPr>
        <w:t xml:space="preserve">Pharmacologie clinique à l’usage du pharmacien d’officine algérien</w:t>
      </w:r>
    </w:p>
    <w:p>
      <w:r>
        <w:pict>
          <v:rect style="width:0;height:1.5pt" o:hralign="center" o:hrstd="t" o:hr="t"/>
        </w:pict>
      </w:r>
    </w:p>
    <w:bookmarkStart w:id="37" w:name="sommaire-du-chapitre"/>
    <w:p>
      <w:pPr>
        <w:pStyle w:val="Heading2"/>
      </w:pPr>
      <w:r>
        <w:t xml:space="preserve">Sommaire du chapitre</w:t>
      </w:r>
    </w:p>
    <w:p>
      <w:pPr>
        <w:pStyle w:val="Compact"/>
        <w:numPr>
          <w:ilvl w:val="0"/>
          <w:numId w:val="1010"/>
        </w:numPr>
      </w:pPr>
      <w:r>
        <w:t xml:space="preserve">Introduction générale sur les antifongiques</w:t>
      </w:r>
    </w:p>
    <w:p>
      <w:pPr>
        <w:pStyle w:val="Compact"/>
        <w:numPr>
          <w:ilvl w:val="0"/>
          <w:numId w:val="1010"/>
        </w:numPr>
      </w:pPr>
      <w:r>
        <w:t xml:space="preserve">Sous-classe I — Polyènes</w:t>
      </w:r>
    </w:p>
    <w:p>
      <w:pPr>
        <w:pStyle w:val="Compact"/>
        <w:numPr>
          <w:ilvl w:val="1"/>
          <w:numId w:val="1011"/>
        </w:numPr>
      </w:pPr>
      <w:r>
        <w:t xml:space="preserve">11.1 Amphotéricine B</w:t>
      </w:r>
    </w:p>
    <w:p>
      <w:pPr>
        <w:pStyle w:val="Compact"/>
        <w:numPr>
          <w:ilvl w:val="1"/>
          <w:numId w:val="1011"/>
        </w:numPr>
      </w:pPr>
      <w:r>
        <w:t xml:space="preserve">11.2 Nystatine</w:t>
      </w:r>
    </w:p>
    <w:p>
      <w:pPr>
        <w:pStyle w:val="Compact"/>
        <w:numPr>
          <w:ilvl w:val="0"/>
          <w:numId w:val="1010"/>
        </w:numPr>
      </w:pPr>
      <w:r>
        <w:t xml:space="preserve">Sous-classe II — Azoles imidazolés topiques</w:t>
      </w:r>
    </w:p>
    <w:p>
      <w:pPr>
        <w:pStyle w:val="Compact"/>
        <w:numPr>
          <w:ilvl w:val="1"/>
          <w:numId w:val="1012"/>
        </w:numPr>
      </w:pPr>
      <w:r>
        <w:t xml:space="preserve">11.3 Miconazole</w:t>
      </w:r>
    </w:p>
    <w:p>
      <w:pPr>
        <w:pStyle w:val="Compact"/>
        <w:numPr>
          <w:ilvl w:val="1"/>
          <w:numId w:val="1012"/>
        </w:numPr>
      </w:pPr>
      <w:r>
        <w:t xml:space="preserve">11.4 Kétoconazole</w:t>
      </w:r>
    </w:p>
    <w:p>
      <w:pPr>
        <w:pStyle w:val="Compact"/>
        <w:numPr>
          <w:ilvl w:val="1"/>
          <w:numId w:val="1012"/>
        </w:numPr>
      </w:pPr>
      <w:r>
        <w:t xml:space="preserve">11.5 Éconazole</w:t>
      </w:r>
    </w:p>
    <w:p>
      <w:pPr>
        <w:pStyle w:val="Compact"/>
        <w:numPr>
          <w:ilvl w:val="1"/>
          <w:numId w:val="1012"/>
        </w:numPr>
      </w:pPr>
      <w:r>
        <w:t xml:space="preserve">11.6 Clotrimazole</w:t>
      </w:r>
    </w:p>
    <w:p>
      <w:pPr>
        <w:pStyle w:val="Compact"/>
        <w:numPr>
          <w:ilvl w:val="1"/>
          <w:numId w:val="1012"/>
        </w:numPr>
      </w:pPr>
      <w:r>
        <w:t xml:space="preserve">11.7 Fenticonazole</w:t>
      </w:r>
    </w:p>
    <w:p>
      <w:pPr>
        <w:pStyle w:val="Compact"/>
        <w:numPr>
          <w:ilvl w:val="1"/>
          <w:numId w:val="1012"/>
        </w:numPr>
      </w:pPr>
      <w:r>
        <w:t xml:space="preserve">11.8 Sertaconazole</w:t>
      </w:r>
    </w:p>
    <w:p>
      <w:pPr>
        <w:pStyle w:val="Compact"/>
        <w:numPr>
          <w:ilvl w:val="1"/>
          <w:numId w:val="1012"/>
        </w:numPr>
      </w:pPr>
      <w:r>
        <w:t xml:space="preserve">11.9 Butoconazole</w:t>
      </w:r>
    </w:p>
    <w:p>
      <w:pPr>
        <w:pStyle w:val="Compact"/>
        <w:numPr>
          <w:ilvl w:val="1"/>
          <w:numId w:val="1012"/>
        </w:numPr>
      </w:pPr>
      <w:r>
        <w:t xml:space="preserve">11.10 Oxiconazole</w:t>
      </w:r>
    </w:p>
    <w:p>
      <w:pPr>
        <w:pStyle w:val="Compact"/>
        <w:numPr>
          <w:ilvl w:val="0"/>
          <w:numId w:val="1010"/>
        </w:numPr>
      </w:pPr>
      <w:r>
        <w:t xml:space="preserve">Tableau comparatif synthétique</w:t>
      </w:r>
    </w:p>
    <w:p>
      <w:pPr>
        <w:pStyle w:val="Compact"/>
        <w:numPr>
          <w:ilvl w:val="0"/>
          <w:numId w:val="1010"/>
        </w:numPr>
      </w:pPr>
      <w:r>
        <w:t xml:space="preserve">Messages clés et synthèse pédagogique</w:t>
      </w:r>
    </w:p>
    <w:p>
      <w:r>
        <w:pict>
          <v:rect style="width:0;height:1.5pt" o:hralign="center" o:hrstd="t" o:hr="t"/>
        </w:pict>
      </w:r>
    </w:p>
    <w:bookmarkEnd w:id="37"/>
    <w:bookmarkStart w:id="38" w:name="Xb4fd515db47e77ac7f20c88d857e0c6e97d323e"/>
    <w:p>
      <w:pPr>
        <w:pStyle w:val="Heading2"/>
      </w:pPr>
      <w:r>
        <w:t xml:space="preserve">1. Introduction générale sur les antifongiques</w:t>
      </w:r>
    </w:p>
    <w:p>
      <w:pPr>
        <w:pStyle w:val="FirstParagraph"/>
      </w:pPr>
      <w:r>
        <w:t xml:space="preserve">Les mycoses regroupent un spectre extrêmement large d’affections, de la banale candidose cutanéo-muqueuse de l’officine jusqu’aux mycoses systémiques profondes (candidémies, aspergilloses invasives, mucormycoses) engageant le pronostic vital. La particularité pharmacologique majeure des antifongiques tient à la parenté phylogénétique entre champignon et hôte humain : deux cellules eucaryotes dont les membranes, organites et voies métaboliques partagent de nombreux points communs. La fenêtre thérapeutique est donc naturellement étroite, ce qui explique la toxicité intrinsèque des antifongiques systémiques (notamment l’amphotéricine B) et la rareté relative des classes thérapeutiques disponibles par rapport aux antibactériens.</w:t>
      </w:r>
    </w:p>
    <w:p>
      <w:pPr>
        <w:pStyle w:val="BodyText"/>
      </w:pPr>
      <w:r>
        <w:t xml:space="preserve">La cible moléculaire historique — et toujours centrale — des antifongiques est l’</w:t>
      </w:r>
      <w:r>
        <w:rPr>
          <w:b/>
          <w:bCs/>
        </w:rPr>
        <w:t xml:space="preserve">ergostérol</w:t>
      </w:r>
      <w:r>
        <w:t xml:space="preserve">, stérol membranaire fongique équivalent fonctionnel du cholestérol chez les mammifères. Trois grandes stratégies pharmacologiques coexistent :</w:t>
      </w:r>
    </w:p>
    <w:p>
      <w:pPr>
        <w:pStyle w:val="Compact"/>
        <w:numPr>
          <w:ilvl w:val="0"/>
          <w:numId w:val="1013"/>
        </w:numPr>
      </w:pPr>
      <w:r>
        <w:rPr>
          <w:b/>
          <w:bCs/>
        </w:rPr>
        <w:t xml:space="preserve">Liaison directe à l’ergostérol</w:t>
      </w:r>
      <w:r>
        <w:t xml:space="preserve"> </w:t>
      </w:r>
      <w:r>
        <w:t xml:space="preserve">avec formation d’un pore transmembranaire (Polyènes : amphotéricine B, nystatine).</w:t>
      </w:r>
    </w:p>
    <w:p>
      <w:pPr>
        <w:pStyle w:val="Compact"/>
        <w:numPr>
          <w:ilvl w:val="0"/>
          <w:numId w:val="1013"/>
        </w:numPr>
      </w:pPr>
      <w:r>
        <w:rPr>
          <w:b/>
          <w:bCs/>
        </w:rPr>
        <w:t xml:space="preserve">Inhibition de la biosynthèse de l’ergostérol</w:t>
      </w:r>
      <w:r>
        <w:t xml:space="preserve"> </w:t>
      </w:r>
      <w:r>
        <w:t xml:space="preserve">par blocage de la lanostérol 14α-déméthylase dépendante du cytochrome P450 (Azoles : imidazoles topiques et triazolés systémiques) ou de la squalène-époxidase (Allylamines : terbinafine, traitée dans un autre chapitre).</w:t>
      </w:r>
    </w:p>
    <w:p>
      <w:pPr>
        <w:pStyle w:val="Compact"/>
        <w:numPr>
          <w:ilvl w:val="0"/>
          <w:numId w:val="1013"/>
        </w:numPr>
      </w:pPr>
      <w:r>
        <w:rPr>
          <w:b/>
          <w:bCs/>
        </w:rPr>
        <w:t xml:space="preserve">Inhibition de la synthèse du β-1,3-glucane</w:t>
      </w:r>
      <w:r>
        <w:t xml:space="preserve"> </w:t>
      </w:r>
      <w:r>
        <w:t xml:space="preserve">pariétal (Échinocandines : caspofungine, traitée dans le chapitre des antifongiques systémiques divers).</w:t>
      </w:r>
    </w:p>
    <w:p>
      <w:pPr>
        <w:pStyle w:val="FirstParagraph"/>
      </w:pPr>
      <w:r>
        <w:t xml:space="preserve">À ces trois axes principaux s’ajoutent les morpholines (amorolfine), qui ciblent Δ14-réductase et Δ7-Δ8-isomérase, et la flucytosine, antimétabolite transformé par la cytosine désaminase fongique en 5-fluorouracile.</w:t>
      </w:r>
    </w:p>
    <w:p>
      <w:pPr>
        <w:pStyle w:val="BodyText"/>
      </w:pPr>
      <w:r>
        <w:t xml:space="preserve">Le présent chapitre couvre spécifiquement les</w:t>
      </w:r>
      <w:r>
        <w:t xml:space="preserve"> </w:t>
      </w:r>
      <w:r>
        <w:rPr>
          <w:b/>
          <w:bCs/>
        </w:rPr>
        <w:t xml:space="preserve">Polyènes</w:t>
      </w:r>
      <w:r>
        <w:t xml:space="preserve"> </w:t>
      </w:r>
      <w:r>
        <w:t xml:space="preserve">(amphotéricine B injectable et topique, nystatine) et les</w:t>
      </w:r>
      <w:r>
        <w:t xml:space="preserve"> </w:t>
      </w:r>
      <w:r>
        <w:rPr>
          <w:b/>
          <w:bCs/>
        </w:rPr>
        <w:t xml:space="preserve">Azoles topiques de la famille des imidazoles</w:t>
      </w:r>
      <w:r>
        <w:t xml:space="preserve"> </w:t>
      </w:r>
      <w:r>
        <w:t xml:space="preserve">(miconazole, kétoconazole, éconazole, clotrimazole, fenticonazole, sertaconazole, butoconazole, oxiconazole). Les</w:t>
      </w:r>
      <w:r>
        <w:t xml:space="preserve"> </w:t>
      </w:r>
      <w:r>
        <w:rPr>
          <w:b/>
          <w:bCs/>
        </w:rPr>
        <w:t xml:space="preserve">triazolés systémiques</w:t>
      </w:r>
      <w:r>
        <w:t xml:space="preserve"> </w:t>
      </w:r>
      <w:r>
        <w:t xml:space="preserve">(fluconazole, itraconazole, voriconazole, posaconazole, isavuconazole) sont traités dans le chapitre suivant (Group B). Cette séparation correspond à la classification officielle de la nomenclature algérienne des médicaments (Avril 2026) et traduit une réalité clinique :</w:t>
      </w:r>
      <w:r>
        <w:t xml:space="preserve"> </w:t>
      </w:r>
      <w:r>
        <w:rPr>
          <w:b/>
          <w:bCs/>
        </w:rPr>
        <w:t xml:space="preserve">les imidazoles topiques sont strictement réservés à l’application locale</w:t>
      </w:r>
      <w:r>
        <w:t xml:space="preserve"> </w:t>
      </w:r>
      <w:r>
        <w:t xml:space="preserve">en raison d’une toxicité systémique (hépatotoxicité pour le kétoconazole oral, interactions CYP3A4 massives) qui a conduit au retrait mondial de toutes les formes orales d’imidazoles au cours des années 2010.</w:t>
      </w:r>
    </w:p>
    <w:p>
      <w:r>
        <w:pict>
          <v:rect style="width:0;height:1.5pt" o:hralign="center" o:hrstd="t" o:hr="t"/>
        </w:pict>
      </w:r>
    </w:p>
    <w:bookmarkEnd w:id="38"/>
    <w:bookmarkStart w:id="42" w:name="sous-classe-i-polyènes"/>
    <w:p>
      <w:pPr>
        <w:pStyle w:val="Heading2"/>
      </w:pPr>
      <w:r>
        <w:t xml:space="preserve">2. Sous-classe I — Polyènes</w:t>
      </w:r>
    </w:p>
    <w:bookmarkStart w:id="39" w:name="introduction-à-la-sous-classe"/>
    <w:p>
      <w:pPr>
        <w:pStyle w:val="Heading3"/>
      </w:pPr>
      <w:r>
        <w:t xml:space="preserve">Introduction à la sous-classe</w:t>
      </w:r>
    </w:p>
    <w:p>
      <w:pPr>
        <w:pStyle w:val="FirstParagraph"/>
      </w:pPr>
      <w:r>
        <w:t xml:space="preserve">Les polyènes sont des</w:t>
      </w:r>
      <w:r>
        <w:t xml:space="preserve"> </w:t>
      </w:r>
      <w:r>
        <w:rPr>
          <w:b/>
          <w:bCs/>
        </w:rPr>
        <w:t xml:space="preserve">macrolides produits par les actinomycètes du genre</w:t>
      </w:r>
      <w:r>
        <w:rPr>
          <w:b/>
          <w:bCs/>
        </w:rPr>
        <w:t xml:space="preserve"> </w:t>
      </w:r>
      <w:r>
        <w:rPr>
          <w:b/>
          <w:bCs/>
          <w:i/>
          <w:iCs/>
        </w:rPr>
        <w:t xml:space="preserve">Streptomyces</w:t>
      </w:r>
      <w:r>
        <w:t xml:space="preserve"> </w:t>
      </w:r>
      <w:r>
        <w:t xml:space="preserve">: l’amphotéricine B est isolée de</w:t>
      </w:r>
      <w:r>
        <w:t xml:space="preserve"> </w:t>
      </w:r>
      <w:r>
        <w:rPr>
          <w:i/>
          <w:iCs/>
        </w:rPr>
        <w:t xml:space="preserve">Streptomyces nodosus</w:t>
      </w:r>
      <w:r>
        <w:t xml:space="preserve"> </w:t>
      </w:r>
      <w:r>
        <w:t xml:space="preserve">(1955, plateau vénézuélien de l’Orénoque), la nystatine de</w:t>
      </w:r>
      <w:r>
        <w:t xml:space="preserve"> </w:t>
      </w:r>
      <w:r>
        <w:rPr>
          <w:i/>
          <w:iCs/>
        </w:rPr>
        <w:t xml:space="preserve">Streptomyces noursei</w:t>
      </w:r>
      <w:r>
        <w:t xml:space="preserve"> </w:t>
      </w:r>
      <w:r>
        <w:t xml:space="preserve">(1950, ferme Dairymen en Virginie). Leur squelette est une très grande lactone macrocyclique (38 atomes pour l’amphotéricine B, 46 pour la nystatine) intégrant une chaîne</w:t>
      </w:r>
      <w:r>
        <w:t xml:space="preserve"> </w:t>
      </w:r>
      <w:r>
        <w:rPr>
          <w:b/>
          <w:bCs/>
        </w:rPr>
        <w:t xml:space="preserve">polyène</w:t>
      </w:r>
      <w:r>
        <w:t xml:space="preserve"> </w:t>
      </w:r>
      <w:r>
        <w:t xml:space="preserve">— c’est-à-dire une succession de doubles liaisons conjuguées. L’amphotéricine B possède 7 doubles liaisons conjuguées (heptaène, absorbant à 346-382 nm, d’où sa couleur jaune), la nystatine en possède 4 (tétraène). Cette région polyène hydrophobe et planaire est complétée par une région polyhydroxyle hydrophile qui confère à la molécule son caractère amphiphile et sa capacité à s’insérer dans les membranes lipidiques.</w:t>
      </w:r>
    </w:p>
    <w:p>
      <w:pPr>
        <w:pStyle w:val="BodyText"/>
      </w:pPr>
      <w:r>
        <w:t xml:space="preserve">Le mécanisme d’action commun est élégant et cinétiquement complexe : la région polyène se lie</w:t>
      </w:r>
      <w:r>
        <w:t xml:space="preserve"> </w:t>
      </w:r>
      <w:r>
        <w:rPr>
          <w:b/>
          <w:bCs/>
        </w:rPr>
        <w:t xml:space="preserve">de façon stéréospécifique à l’ergostérol</w:t>
      </w:r>
      <w:r>
        <w:t xml:space="preserve"> </w:t>
      </w:r>
      <w:r>
        <w:t xml:space="preserve">membranaire fongique avec une affinité très supérieure à celle qu’elle présente pour le cholestérol humain (rapport d’affinité d’environ 10:1 — ce qui n’empêche pas une certaine toxicité pour les cellules humaines, particulièrement les cellules tubulaires rénales riches en cholestérol). Cette interaction permet l’assemblage de plusieurs molécules d’amphotéricine B en un véritable</w:t>
      </w:r>
      <w:r>
        <w:t xml:space="preserve"> </w:t>
      </w:r>
      <w:r>
        <w:rPr>
          <w:b/>
          <w:bCs/>
        </w:rPr>
        <w:t xml:space="preserve">pore transmembranaire (annular channel)</w:t>
      </w:r>
      <w:r>
        <w:t xml:space="preserve">, formé par l’association de 8 à 12 molécules d’amphotéricine B côté fongique et d’une stœchiométrie équivalente de molécules d’ergostérol. Le pore ainsi constitué a un diamètre d’environ 0,4 à 0,8 nm, laisse passer les ions monovalents (K⁺, Na⁺, H⁺), puis les ions divalents (Ca²⁺, Mg²⁺) et de petits métabolites. La</w:t>
      </w:r>
      <w:r>
        <w:t xml:space="preserve"> </w:t>
      </w:r>
      <w:r>
        <w:rPr>
          <w:b/>
          <w:bCs/>
        </w:rPr>
        <w:t xml:space="preserve">perte ionique massive</w:t>
      </w:r>
      <w:r>
        <w:t xml:space="preserve"> </w:t>
      </w:r>
      <w:r>
        <w:t xml:space="preserve">entraîne dépolarisation membranaire, acidification cytoplasmique, sortie de K⁺ et de Mg²⁺, dérégulation des pompes ATP-dépendantes, et finalement la</w:t>
      </w:r>
      <w:r>
        <w:t xml:space="preserve"> </w:t>
      </w:r>
      <w:r>
        <w:rPr>
          <w:b/>
          <w:bCs/>
        </w:rPr>
        <w:t xml:space="preserve">lyse osmotique</w:t>
      </w:r>
      <w:r>
        <w:t xml:space="preserve"> </w:t>
      </w:r>
      <w:r>
        <w:t xml:space="preserve">de la cellule fongique. L’action est donc</w:t>
      </w:r>
      <w:r>
        <w:t xml:space="preserve"> </w:t>
      </w:r>
      <w:r>
        <w:rPr>
          <w:b/>
          <w:bCs/>
        </w:rPr>
        <w:t xml:space="preserve">fungicide</w:t>
      </w:r>
      <w:r>
        <w:t xml:space="preserve"> </w:t>
      </w:r>
      <w:r>
        <w:t xml:space="preserve">et concentration-dépendante.</w:t>
      </w:r>
    </w:p>
    <w:p>
      <w:pPr>
        <w:pStyle w:val="BodyText"/>
      </w:pPr>
      <w:r>
        <w:t xml:space="preserve">Cette même toxicité membranaire explique aussi, lorsque la molécule atteint la circulation systémique (amphotéricine B IV), l’effet indésirable cardinal de la classe : la</w:t>
      </w:r>
      <w:r>
        <w:t xml:space="preserve"> </w:t>
      </w:r>
      <w:r>
        <w:rPr>
          <w:b/>
          <w:bCs/>
        </w:rPr>
        <w:t xml:space="preserve">néphrotoxicité</w:t>
      </w:r>
      <w:r>
        <w:t xml:space="preserve">, qui résulte de la liaison aux membranes des cellules tubulaires rénales riches en cholestérol, provoquant vasoconstriction afférente, atteinte tubulaire directe, fuite de K⁺ et de Mg²⁺ et acidose tubulaire distale. Toute l’innovation galénique de la classe a porté sur la</w:t>
      </w:r>
      <w:r>
        <w:t xml:space="preserve"> </w:t>
      </w:r>
      <w:r>
        <w:rPr>
          <w:b/>
          <w:bCs/>
        </w:rPr>
        <w:t xml:space="preserve">réduction de cette néphrotoxicité</w:t>
      </w:r>
      <w:r>
        <w:t xml:space="preserve"> </w:t>
      </w:r>
      <w:r>
        <w:t xml:space="preserve">par encapsulation lipidique (Ambisome®, Abelcet®, Amphocil®), qui détourne l’amphotéricine B vers le foie et les macrophages tout en réduisant son accessibilité au rein. La nystatine, en revanche, est trop toxique par voie systémique pour être utilisée par voie injectable : elle reste strictement réservée aux usages topiques (cutané, digestif, vaginal).</w:t>
      </w:r>
    </w:p>
    <w:p>
      <w:pPr>
        <w:pStyle w:val="BodyText"/>
      </w:pPr>
      <w:r>
        <w:t xml:space="preserve">Le spectre des polyènes est large : levures (</w:t>
      </w:r>
      <w:r>
        <w:rPr>
          <w:i/>
          <w:iCs/>
        </w:rPr>
        <w:t xml:space="preserve">Candida</w:t>
      </w:r>
      <w:r>
        <w:t xml:space="preserve"> </w:t>
      </w:r>
      <w:r>
        <w:t xml:space="preserve">sp.,</w:t>
      </w:r>
      <w:r>
        <w:t xml:space="preserve"> </w:t>
      </w:r>
      <w:r>
        <w:rPr>
          <w:i/>
          <w:iCs/>
        </w:rPr>
        <w:t xml:space="preserve">Cryptococcus neoformans</w:t>
      </w:r>
      <w:r>
        <w:t xml:space="preserve">), moisissures (</w:t>
      </w:r>
      <w:r>
        <w:rPr>
          <w:i/>
          <w:iCs/>
        </w:rPr>
        <w:t xml:space="preserve">Aspergillus</w:t>
      </w:r>
      <w:r>
        <w:t xml:space="preserve"> </w:t>
      </w:r>
      <w:r>
        <w:t xml:space="preserve">sp., agents des mucormycoses</w:t>
      </w:r>
      <w:r>
        <w:t xml:space="preserve"> </w:t>
      </w:r>
      <w:r>
        <w:rPr>
          <w:i/>
          <w:iCs/>
        </w:rPr>
        <w:t xml:space="preserve">Mucorales</w:t>
      </w:r>
      <w:r>
        <w:t xml:space="preserve">), dimorphiques (</w:t>
      </w:r>
      <w:r>
        <w:rPr>
          <w:i/>
          <w:iCs/>
        </w:rPr>
        <w:t xml:space="preserve">Histoplasma capsulatum</w:t>
      </w:r>
      <w:r>
        <w:t xml:space="preserve">,</w:t>
      </w:r>
      <w:r>
        <w:t xml:space="preserve"> </w:t>
      </w:r>
      <w:r>
        <w:rPr>
          <w:i/>
          <w:iCs/>
        </w:rPr>
        <w:t xml:space="preserve">Coccidioides immitis</w:t>
      </w:r>
      <w:r>
        <w:t xml:space="preserve">,</w:t>
      </w:r>
      <w:r>
        <w:t xml:space="preserve"> </w:t>
      </w:r>
      <w:r>
        <w:rPr>
          <w:i/>
          <w:iCs/>
        </w:rPr>
        <w:t xml:space="preserve">Blastomyces dermatitidis</w:t>
      </w:r>
      <w:r>
        <w:t xml:space="preserve">,</w:t>
      </w:r>
      <w:r>
        <w:t xml:space="preserve"> </w:t>
      </w:r>
      <w:r>
        <w:rPr>
          <w:i/>
          <w:iCs/>
        </w:rPr>
        <w:t xml:space="preserve">Paracoccidioides brasiliensis</w:t>
      </w:r>
      <w:r>
        <w:t xml:space="preserve">) et même certains protozoaires (</w:t>
      </w:r>
      <w:r>
        <w:rPr>
          <w:i/>
          <w:iCs/>
        </w:rPr>
        <w:t xml:space="preserve">Leishmania</w:t>
      </w:r>
      <w:r>
        <w:t xml:space="preserve"> </w:t>
      </w:r>
      <w:r>
        <w:t xml:space="preserve">sp. — l’amphotéricine B liposomale est un antileishmanien de référence). La</w:t>
      </w:r>
      <w:r>
        <w:t xml:space="preserve"> </w:t>
      </w:r>
      <w:r>
        <w:rPr>
          <w:b/>
          <w:bCs/>
        </w:rPr>
        <w:t xml:space="preserve">résistance primaire</w:t>
      </w:r>
      <w:r>
        <w:t xml:space="preserve"> </w:t>
      </w:r>
      <w:r>
        <w:t xml:space="preserve">est rare mais existe :</w:t>
      </w:r>
      <w:r>
        <w:t xml:space="preserve"> </w:t>
      </w:r>
      <w:r>
        <w:rPr>
          <w:i/>
          <w:iCs/>
        </w:rPr>
        <w:t xml:space="preserve">Aspergillus terreus</w:t>
      </w:r>
      <w:r>
        <w:t xml:space="preserve">,</w:t>
      </w:r>
      <w:r>
        <w:t xml:space="preserve"> </w:t>
      </w:r>
      <w:r>
        <w:rPr>
          <w:i/>
          <w:iCs/>
        </w:rPr>
        <w:t xml:space="preserve">Candida lusitaniae</w:t>
      </w:r>
      <w:r>
        <w:t xml:space="preserve">, certains</w:t>
      </w:r>
      <w:r>
        <w:t xml:space="preserve"> </w:t>
      </w:r>
      <w:r>
        <w:rPr>
          <w:i/>
          <w:iCs/>
        </w:rPr>
        <w:t xml:space="preserve">Mucorales</w:t>
      </w:r>
      <w:r>
        <w:t xml:space="preserve">.</w:t>
      </w:r>
    </w:p>
    <w:p>
      <w:r>
        <w:pict>
          <v:rect style="width:0;height:1.5pt" o:hralign="center" o:hrstd="t" o:hr="t"/>
        </w:pict>
      </w:r>
    </w:p>
    <w:bookmarkEnd w:id="39"/>
    <w:bookmarkStart w:id="40" w:name="dci-amphotéricine-b-seule"/>
    <w:p>
      <w:pPr>
        <w:pStyle w:val="Heading3"/>
      </w:pPr>
      <w:r>
        <w:t xml:space="preserve">11.1. DCI : Amphotéricine B (Seule)</w:t>
      </w:r>
    </w:p>
    <w:p>
      <w:pPr>
        <w:pStyle w:val="FirstParagraph"/>
      </w:pPr>
      <w:r>
        <w:rPr>
          <w:b/>
          <w:bCs/>
        </w:rPr>
        <w:t xml:space="preserve">Liste des Catégories :</w:t>
      </w:r>
      <w:r>
        <w:t xml:space="preserve"> </w:t>
      </w:r>
      <w:r>
        <w:t xml:space="preserve">LISTE I ; usage hospitalier pour la forme IV ; suspension buvable en accès officinal sur prescription.</w:t>
      </w:r>
    </w:p>
    <w:p>
      <w:pPr>
        <w:pStyle w:val="BodyText"/>
      </w:pPr>
      <w:r>
        <w:t xml:space="preserve">L’amphotéricine B demeure, près de 70 ans après sa découverte, le</w:t>
      </w:r>
      <w:r>
        <w:t xml:space="preserve"> </w:t>
      </w:r>
      <w:r>
        <w:rPr>
          <w:b/>
          <w:bCs/>
        </w:rPr>
        <w:t xml:space="preserve">gold standard des antifongiques systémiques à large spectre</w:t>
      </w:r>
      <w:r>
        <w:t xml:space="preserve"> </w:t>
      </w:r>
      <w:r>
        <w:t xml:space="preserve">en milieu hospitalier, en particulier chez l’immunodéprimé (neutropénie fébrile prolongée, greffe de cellules souches hématopoïétiques, post-transplantation d’organe). En Algérie, sa forme conventionnelle (Fungizone IV, Amphotret, Amphonex) reste très largement prescrite dans les services de réanimation, d’onco-hématologie et de maladies infectieuses pour le traitement des candidémies, aspergilloses invasives, mucormycoses et leishmanioses viscérales. La forme orale (suspension buvable à 10 %) est utilisée comme</w:t>
      </w:r>
      <w:r>
        <w:t xml:space="preserve"> </w:t>
      </w:r>
      <w:r>
        <w:rPr>
          <w:b/>
          <w:bCs/>
        </w:rPr>
        <w:t xml:space="preserve">décontamination digestive sélective</w:t>
      </w:r>
      <w:r>
        <w:t xml:space="preserve"> </w:t>
      </w:r>
      <w:r>
        <w:t xml:space="preserve">chez le patient à risque ou comme traitement local des candidoses buccales et œsophagiennes, en particulier chez le nourrisson (muguet néonatal). L’absorption digestive de l’amphotéricine B est quasi nulle (&lt; 5 %), ce qui autorise son emploi oral pour une action de luminisation digestive sans exposition systémique.</w:t>
      </w:r>
    </w:p>
    <w:p>
      <w:pPr>
        <w:pStyle w:val="BodyText"/>
      </w:pPr>
      <w:r>
        <w:rPr>
          <w:b/>
          <w:bCs/>
        </w:rPr>
        <w:t xml:space="preserve">Médicaments disponibles en Algérie (Marques, Laboratoires, Formes et Dosages) :</w:t>
      </w:r>
    </w:p>
    <w:p>
      <w:pPr>
        <w:pStyle w:val="Compact"/>
        <w:numPr>
          <w:ilvl w:val="0"/>
          <w:numId w:val="1014"/>
        </w:numPr>
      </w:pPr>
      <w:r>
        <w:rPr>
          <w:b/>
          <w:bCs/>
        </w:rPr>
        <w:t xml:space="preserve">AMPHOTRET</w:t>
      </w:r>
      <w:r>
        <w:t xml:space="preserve"> </w:t>
      </w:r>
      <w:r>
        <w:t xml:space="preserve">(BAHARAT SERUMS AND VACCINES LIMITED)</w:t>
      </w:r>
    </w:p>
    <w:p>
      <w:pPr>
        <w:pStyle w:val="Compact"/>
        <w:numPr>
          <w:ilvl w:val="1"/>
          <w:numId w:val="1015"/>
        </w:numPr>
      </w:pPr>
      <w:r>
        <w:t xml:space="preserve">Forme : Poudre lyophilisée pour injection</w:t>
      </w:r>
    </w:p>
    <w:p>
      <w:pPr>
        <w:pStyle w:val="Compact"/>
        <w:numPr>
          <w:ilvl w:val="1"/>
          <w:numId w:val="1015"/>
        </w:numPr>
      </w:pPr>
      <w:r>
        <w:t xml:space="preserve">Dosage : 50 mg par flacon de 10 mL</w:t>
      </w:r>
    </w:p>
    <w:p>
      <w:pPr>
        <w:pStyle w:val="Compact"/>
        <w:numPr>
          <w:ilvl w:val="1"/>
          <w:numId w:val="1015"/>
        </w:numPr>
      </w:pPr>
      <w:r>
        <w:t xml:space="preserve">Statut :</w:t>
      </w:r>
      <w:r>
        <w:t xml:space="preserve"> </w:t>
      </w:r>
      <w:r>
        <w:rPr>
          <w:b/>
          <w:bCs/>
        </w:rPr>
        <w:t xml:space="preserve">Actif</w:t>
      </w:r>
    </w:p>
    <w:p>
      <w:pPr>
        <w:pStyle w:val="Compact"/>
        <w:numPr>
          <w:ilvl w:val="0"/>
          <w:numId w:val="1014"/>
        </w:numPr>
      </w:pPr>
      <w:r>
        <w:rPr>
          <w:b/>
          <w:bCs/>
        </w:rPr>
        <w:t xml:space="preserve">FUNGIZONE</w:t>
      </w:r>
      <w:r>
        <w:t xml:space="preserve"> </w:t>
      </w:r>
      <w:r>
        <w:t xml:space="preserve">(BRISTOL MYERS SQUIBB PHARMA EEIG)</w:t>
      </w:r>
    </w:p>
    <w:p>
      <w:pPr>
        <w:pStyle w:val="Compact"/>
        <w:numPr>
          <w:ilvl w:val="1"/>
          <w:numId w:val="1016"/>
        </w:numPr>
      </w:pPr>
      <w:r>
        <w:t xml:space="preserve">Formes : Poudre pour solution injectable IV 50 mg (boîte de 1 flacon) ; Suspension buvable 10 % (10 g/100 mL), flacon de 40 mL</w:t>
      </w:r>
    </w:p>
    <w:p>
      <w:pPr>
        <w:pStyle w:val="Compact"/>
        <w:numPr>
          <w:ilvl w:val="1"/>
          <w:numId w:val="1016"/>
        </w:numPr>
      </w:pPr>
      <w:r>
        <w:t xml:space="preserve">Statut :</w:t>
      </w:r>
      <w:r>
        <w:t xml:space="preserve"> </w:t>
      </w:r>
      <w:r>
        <w:rPr>
          <w:b/>
          <w:bCs/>
        </w:rPr>
        <w:t xml:space="preserve">Actif</w:t>
      </w:r>
    </w:p>
    <w:p>
      <w:pPr>
        <w:pStyle w:val="Compact"/>
        <w:numPr>
          <w:ilvl w:val="0"/>
          <w:numId w:val="1014"/>
        </w:numPr>
      </w:pPr>
      <w:r>
        <w:rPr>
          <w:b/>
          <w:bCs/>
        </w:rPr>
        <w:t xml:space="preserve">MYTRICINE</w:t>
      </w:r>
      <w:r>
        <w:t xml:space="preserve"> </w:t>
      </w:r>
      <w:r>
        <w:t xml:space="preserve">(GEOPHARM)</w:t>
      </w:r>
    </w:p>
    <w:p>
      <w:pPr>
        <w:pStyle w:val="Compact"/>
        <w:numPr>
          <w:ilvl w:val="1"/>
          <w:numId w:val="1017"/>
        </w:numPr>
      </w:pPr>
      <w:r>
        <w:t xml:space="preserve">Forme : Solution buvable 10 % (10 g/100 mL), flacon de 40 mL</w:t>
      </w:r>
    </w:p>
    <w:p>
      <w:pPr>
        <w:pStyle w:val="Compact"/>
        <w:numPr>
          <w:ilvl w:val="1"/>
          <w:numId w:val="1017"/>
        </w:numPr>
      </w:pPr>
      <w:r>
        <w:t xml:space="preserve">Statut :</w:t>
      </w:r>
      <w:r>
        <w:t xml:space="preserve"> </w:t>
      </w:r>
      <w:r>
        <w:rPr>
          <w:b/>
          <w:bCs/>
        </w:rPr>
        <w:t xml:space="preserve">Actif</w:t>
      </w:r>
    </w:p>
    <w:p>
      <w:pPr>
        <w:pStyle w:val="Compact"/>
        <w:numPr>
          <w:ilvl w:val="0"/>
          <w:numId w:val="1014"/>
        </w:numPr>
      </w:pPr>
      <w:r>
        <w:rPr>
          <w:b/>
          <w:bCs/>
        </w:rPr>
        <w:t xml:space="preserve">AMPHONEX</w:t>
      </w:r>
      <w:r>
        <w:t xml:space="preserve"> </w:t>
      </w:r>
      <w:r>
        <w:t xml:space="preserve">(BAHARAT SERUMS AND VACCINES LIMITED)</w:t>
      </w:r>
    </w:p>
    <w:p>
      <w:pPr>
        <w:pStyle w:val="Compact"/>
        <w:numPr>
          <w:ilvl w:val="1"/>
          <w:numId w:val="1018"/>
        </w:numPr>
      </w:pPr>
      <w:r>
        <w:t xml:space="preserve">Forme : Poudre pour perfusion 50 mg, boîte de 1 flacon</w:t>
      </w:r>
    </w:p>
    <w:p>
      <w:pPr>
        <w:pStyle w:val="Compact"/>
        <w:numPr>
          <w:ilvl w:val="1"/>
          <w:numId w:val="1018"/>
        </w:numPr>
      </w:pPr>
      <w:r>
        <w:t xml:space="preserve">Statut :</w:t>
      </w:r>
      <w:r>
        <w:t xml:space="preserve"> </w:t>
      </w:r>
      <w:r>
        <w:rPr>
          <w:b/>
          <w:bCs/>
        </w:rPr>
        <w:t xml:space="preserve">Actif</w:t>
      </w:r>
    </w:p>
    <w:p>
      <w:pPr>
        <w:pStyle w:val="FirstParagraph"/>
      </w:pPr>
      <w:r>
        <w:t xml:space="preserve">À noter l’absence à la nomenclature algérienne Avril 2026 des formulations lipidiques d’amphotéricine B (Ambisome® liposomale, Abelcet® complexe lipidique, Amphocil® colloïdal). Cette absence est importante à signaler à l’officine : un patient algérien nécessitant une forme lipidique devra recourir à l’importation directe (procédure ATMP — autorisation temporaire d’utilisation de médicament importé) via le ministère de la Santé, ou se voir proposer un alternatif systémique (caspofungine, voriconazole) selon le germe suspecté.</w:t>
      </w:r>
    </w:p>
    <w:p>
      <w:pPr>
        <w:pStyle w:val="BodyText"/>
      </w:pPr>
      <w:r>
        <w:rPr>
          <w:b/>
          <w:bCs/>
        </w:rPr>
        <w:t xml:space="preserve">Sous-classe et Mécanisme d’action :</w:t>
      </w:r>
    </w:p>
    <w:p>
      <w:pPr>
        <w:pStyle w:val="Compact"/>
        <w:numPr>
          <w:ilvl w:val="0"/>
          <w:numId w:val="1019"/>
        </w:numPr>
      </w:pPr>
      <w:r>
        <w:rPr>
          <w:b/>
          <w:bCs/>
        </w:rPr>
        <w:t xml:space="preserve">Sous-classe</w:t>
      </w:r>
      <w:r>
        <w:t xml:space="preserve"> </w:t>
      </w:r>
      <w:r>
        <w:t xml:space="preserve">: Polyène macrocyclique heptaénique ; antifongique de référence à large spectre, fungicide.</w:t>
      </w:r>
    </w:p>
    <w:p>
      <w:pPr>
        <w:pStyle w:val="Compact"/>
        <w:numPr>
          <w:ilvl w:val="0"/>
          <w:numId w:val="1019"/>
        </w:numPr>
      </w:pPr>
      <w:r>
        <w:rPr>
          <w:b/>
          <w:bCs/>
        </w:rPr>
        <w:t xml:space="preserve">Mécanisme d’action</w:t>
      </w:r>
      <w:r>
        <w:t xml:space="preserve"> </w:t>
      </w:r>
      <w:r>
        <w:t xml:space="preserve">: La molécule d’amphotéricine B, du fait de son caractère amphiphile, s’insère dans la membrane plasmique fongique où sa partie polyène se lie de façon stéréospécifique à l’</w:t>
      </w:r>
      <w:r>
        <w:rPr>
          <w:b/>
          <w:bCs/>
        </w:rPr>
        <w:t xml:space="preserve">ergostérol</w:t>
      </w:r>
      <w:r>
        <w:t xml:space="preserve"> </w:t>
      </w:r>
      <w:r>
        <w:t xml:space="preserve">(affinité 10× supérieure au cholestérol humain). L’assemblage de 8 à 12 molécules d’amphotéricine B avec un nombre équivalent de molécules d’ergostérol forme un</w:t>
      </w:r>
      <w:r>
        <w:t xml:space="preserve"> </w:t>
      </w:r>
      <w:r>
        <w:rPr>
          <w:b/>
          <w:bCs/>
        </w:rPr>
        <w:t xml:space="preserve">pore transmembranaire annulaire</w:t>
      </w:r>
      <w:r>
        <w:t xml:space="preserve"> </w:t>
      </w:r>
      <w:r>
        <w:t xml:space="preserve">(diamètre 0,4–0,8 nm). Ce pore permet la fuite passive des cations (K⁺, Na⁺, Ca²⁺, Mg²⁺), des anions et de petits métabolites, entraînant dépolarisation membranaire, acidification cytosolique, déplétion en ATP, arrêt des pompes ioniques actives, et finalement</w:t>
      </w:r>
      <w:r>
        <w:t xml:space="preserve"> </w:t>
      </w:r>
      <w:r>
        <w:rPr>
          <w:b/>
          <w:bCs/>
        </w:rPr>
        <w:t xml:space="preserve">lyse osmotique de la cellule fongique</w:t>
      </w:r>
      <w:r>
        <w:t xml:space="preserve">. Action</w:t>
      </w:r>
      <w:r>
        <w:t xml:space="preserve"> </w:t>
      </w:r>
      <w:r>
        <w:rPr>
          <w:b/>
          <w:bCs/>
        </w:rPr>
        <w:t xml:space="preserve">fungicide concentration-dépendante</w:t>
      </w:r>
      <w:r>
        <w:t xml:space="preserve"> </w:t>
      </w:r>
      <w:r>
        <w:t xml:space="preserve">avec effet post-antifongique (EPA) prolongé. La molécule exerce également une action oxydative par génération de radicaux libres oxygénés qui potentialisent l’effet lytique. Spectre :</w:t>
      </w:r>
      <w:r>
        <w:t xml:space="preserve"> </w:t>
      </w:r>
      <w:r>
        <w:rPr>
          <w:i/>
          <w:iCs/>
        </w:rPr>
        <w:t xml:space="preserve">Candida</w:t>
      </w:r>
      <w:r>
        <w:t xml:space="preserve"> </w:t>
      </w:r>
      <w:r>
        <w:t xml:space="preserve">sp. (toutes espèces sauf</w:t>
      </w:r>
      <w:r>
        <w:t xml:space="preserve"> </w:t>
      </w:r>
      <w:r>
        <w:rPr>
          <w:i/>
          <w:iCs/>
        </w:rPr>
        <w:t xml:space="preserve">C. lusitaniae</w:t>
      </w:r>
      <w:r>
        <w:t xml:space="preserve"> </w:t>
      </w:r>
      <w:r>
        <w:t xml:space="preserve">souvent résistant),</w:t>
      </w:r>
      <w:r>
        <w:t xml:space="preserve"> </w:t>
      </w:r>
      <w:r>
        <w:rPr>
          <w:i/>
          <w:iCs/>
        </w:rPr>
        <w:t xml:space="preserve">Cryptococcus neoformans</w:t>
      </w:r>
      <w:r>
        <w:t xml:space="preserve">,</w:t>
      </w:r>
      <w:r>
        <w:t xml:space="preserve"> </w:t>
      </w:r>
      <w:r>
        <w:rPr>
          <w:i/>
          <w:iCs/>
        </w:rPr>
        <w:t xml:space="preserve">Aspergillus</w:t>
      </w:r>
      <w:r>
        <w:t xml:space="preserve"> </w:t>
      </w:r>
      <w:r>
        <w:t xml:space="preserve">sp. (sauf</w:t>
      </w:r>
      <w:r>
        <w:t xml:space="preserve"> </w:t>
      </w:r>
      <w:r>
        <w:rPr>
          <w:i/>
          <w:iCs/>
        </w:rPr>
        <w:t xml:space="preserve">A. terreus</w:t>
      </w:r>
      <w:r>
        <w:t xml:space="preserve">),</w:t>
      </w:r>
      <w:r>
        <w:t xml:space="preserve"> </w:t>
      </w:r>
      <w:r>
        <w:rPr>
          <w:i/>
          <w:iCs/>
        </w:rPr>
        <w:t xml:space="preserve">Mucorales</w:t>
      </w:r>
      <w:r>
        <w:t xml:space="preserve"> </w:t>
      </w:r>
      <w:r>
        <w:t xml:space="preserve">(mucormycoses), dimorphiques (</w:t>
      </w:r>
      <w:r>
        <w:rPr>
          <w:i/>
          <w:iCs/>
        </w:rPr>
        <w:t xml:space="preserve">Histoplasma</w:t>
      </w:r>
      <w:r>
        <w:t xml:space="preserve">,</w:t>
      </w:r>
      <w:r>
        <w:t xml:space="preserve"> </w:t>
      </w:r>
      <w:r>
        <w:rPr>
          <w:i/>
          <w:iCs/>
        </w:rPr>
        <w:t xml:space="preserve">Coccidioides</w:t>
      </w:r>
      <w:r>
        <w:t xml:space="preserve">,</w:t>
      </w:r>
      <w:r>
        <w:t xml:space="preserve"> </w:t>
      </w:r>
      <w:r>
        <w:rPr>
          <w:i/>
          <w:iCs/>
        </w:rPr>
        <w:t xml:space="preserve">Blastomyces</w:t>
      </w:r>
      <w:r>
        <w:t xml:space="preserve">,</w:t>
      </w:r>
      <w:r>
        <w:t xml:space="preserve"> </w:t>
      </w:r>
      <w:r>
        <w:rPr>
          <w:i/>
          <w:iCs/>
        </w:rPr>
        <w:t xml:space="preserve">Paracoccidioides</w:t>
      </w:r>
      <w:r>
        <w:t xml:space="preserve">),</w:t>
      </w:r>
      <w:r>
        <w:t xml:space="preserve"> </w:t>
      </w:r>
      <w:r>
        <w:rPr>
          <w:i/>
          <w:iCs/>
        </w:rPr>
        <w:t xml:space="preserve">Leishmania</w:t>
      </w:r>
      <w:r>
        <w:t xml:space="preserve"> </w:t>
      </w:r>
      <w:r>
        <w:t xml:space="preserve">sp.</w:t>
      </w:r>
    </w:p>
    <w:p>
      <w:pPr>
        <w:pStyle w:val="FirstParagraph"/>
      </w:pPr>
      <w:r>
        <w:rPr>
          <w:b/>
          <w:bCs/>
        </w:rPr>
        <w:t xml:space="preserve">Profil Pharmacologique :</w:t>
      </w:r>
    </w:p>
    <w:p>
      <w:pPr>
        <w:pStyle w:val="Compact"/>
        <w:numPr>
          <w:ilvl w:val="0"/>
          <w:numId w:val="1020"/>
        </w:numPr>
      </w:pPr>
      <w:r>
        <w:rPr>
          <w:b/>
          <w:bCs/>
        </w:rPr>
        <w:t xml:space="preserve">Indications</w:t>
      </w:r>
      <w:r>
        <w:t xml:space="preserve"> </w:t>
      </w:r>
      <w:r>
        <w:t xml:space="preserve">:</w:t>
      </w:r>
    </w:p>
    <w:p>
      <w:pPr>
        <w:pStyle w:val="Compact"/>
        <w:numPr>
          <w:ilvl w:val="1"/>
          <w:numId w:val="1021"/>
        </w:numPr>
      </w:pPr>
      <w:r>
        <w:rPr>
          <w:b/>
          <w:bCs/>
        </w:rPr>
        <w:t xml:space="preserve">IV</w:t>
      </w:r>
      <w:r>
        <w:t xml:space="preserve"> </w:t>
      </w:r>
      <w:r>
        <w:t xml:space="preserve">: candidémie et candidose disséminée, aspergillose invasive (alternative au voriconazole en cas de résistance ou d’intolérance), mucormycose (traitement de première ligne), cryptococcose méningée (associée à la flucytosine), leishmaniose viscérale (forme liposomale de préférence, mais la forme conventionnelle reste utilisée en Algérie par défaut d’alternative), mycoses endémiques profondes (histoplasmose, blastomycose, coccidioidomycose), traitement empirique de la neutropénie fébrile prolongée chez le patient d’onco-hématologie non répondant à l’antibiothérapie large spectre au-delà de 4 à 7 jours.</w:t>
      </w:r>
    </w:p>
    <w:p>
      <w:pPr>
        <w:pStyle w:val="Compact"/>
        <w:numPr>
          <w:ilvl w:val="1"/>
          <w:numId w:val="1021"/>
        </w:numPr>
      </w:pPr>
      <w:r>
        <w:rPr>
          <w:b/>
          <w:bCs/>
        </w:rPr>
        <w:t xml:space="preserve">Buvable</w:t>
      </w:r>
      <w:r>
        <w:t xml:space="preserve"> </w:t>
      </w:r>
      <w:r>
        <w:t xml:space="preserve">: candidose bucco-phasique (muguet du nourrisson, candidose oropharyngée de l’immunodéprimé), décontamination digestive fongique, prophylaxie de la candidose invasive chez le patient de réanimation à haut risque.</w:t>
      </w:r>
    </w:p>
    <w:p>
      <w:pPr>
        <w:pStyle w:val="Compact"/>
        <w:numPr>
          <w:ilvl w:val="0"/>
          <w:numId w:val="1020"/>
        </w:numPr>
      </w:pPr>
      <w:r>
        <w:rPr>
          <w:b/>
          <w:bCs/>
        </w:rPr>
        <w:t xml:space="preserve">Contre-indications</w:t>
      </w:r>
      <w:r>
        <w:t xml:space="preserve"> </w:t>
      </w:r>
      <w:r>
        <w:t xml:space="preserve">: hypersensibilité à l’amphotéricine B ; insuffisance rénale sévère préexistante non dialysée (sauf urgence vitale et utilisation de forme lipidique) ; en pratique la prescription reste hospitalière et relève d’une évaluation bénéfice-risque par infectiologue ou réanimateur. La forme buvable est contre-indiquée en cas d’obstruction digestive haute ou d’iléus.</w:t>
      </w:r>
    </w:p>
    <w:p>
      <w:pPr>
        <w:pStyle w:val="Compact"/>
        <w:numPr>
          <w:ilvl w:val="0"/>
          <w:numId w:val="1020"/>
        </w:numPr>
      </w:pPr>
      <w:r>
        <w:rPr>
          <w:b/>
          <w:bCs/>
        </w:rPr>
        <w:t xml:space="preserve">Effets Indésirables</w:t>
      </w:r>
      <w:r>
        <w:t xml:space="preserve"> </w:t>
      </w:r>
      <w:r>
        <w:t xml:space="preserve">:</w:t>
      </w:r>
    </w:p>
    <w:p>
      <w:pPr>
        <w:pStyle w:val="Compact"/>
        <w:numPr>
          <w:ilvl w:val="1"/>
          <w:numId w:val="1022"/>
        </w:numPr>
      </w:pPr>
      <w:r>
        <w:rPr>
          <w:i/>
          <w:iCs/>
        </w:rPr>
        <w:t xml:space="preserve">Syndrome de perfusion</w:t>
      </w:r>
      <w:r>
        <w:t xml:space="preserve"> </w:t>
      </w:r>
      <w:r>
        <w:t xml:space="preserve">(forme IV) : fièvre, frissons, rigors, myalgies, arthralgies, hypotension, tachycardie, céphalées — survient chez 50 à 70 % des patients sans prémédication, maximal lors des premières perfusions.</w:t>
      </w:r>
    </w:p>
    <w:p>
      <w:pPr>
        <w:pStyle w:val="Compact"/>
        <w:numPr>
          <w:ilvl w:val="1"/>
          <w:numId w:val="1022"/>
        </w:numPr>
      </w:pPr>
      <w:r>
        <w:rPr>
          <w:i/>
          <w:iCs/>
        </w:rPr>
        <w:t xml:space="preserve">Néphrotoxicité</w:t>
      </w:r>
      <w:r>
        <w:t xml:space="preserve"> </w:t>
      </w:r>
      <w:r>
        <w:t xml:space="preserve">(forme IV) : quasi constante à des degrés variables ; se manifeste par une</w:t>
      </w:r>
      <w:r>
        <w:t xml:space="preserve"> </w:t>
      </w:r>
      <w:r>
        <w:rPr>
          <w:b/>
          <w:bCs/>
        </w:rPr>
        <w:t xml:space="preserve">hypokaliémie</w:t>
      </w:r>
      <w:r>
        <w:t xml:space="preserve"> </w:t>
      </w:r>
      <w:r>
        <w:t xml:space="preserve">(80 %),</w:t>
      </w:r>
      <w:r>
        <w:t xml:space="preserve"> </w:t>
      </w:r>
      <w:r>
        <w:rPr>
          <w:b/>
          <w:bCs/>
        </w:rPr>
        <w:t xml:space="preserve">hypomagnésémie</w:t>
      </w:r>
      <w:r>
        <w:t xml:space="preserve"> </w:t>
      </w:r>
      <w:r>
        <w:t xml:space="preserve">(60 %), acidose tubulaire distale (40 %), élévation de la créatinine (40 %), syndrome de Fanconi tubulaire rare. La néphrotoxicité est cumulative et peut imposer l’arrêt ou le relais par une forme lipidique.</w:t>
      </w:r>
    </w:p>
    <w:p>
      <w:pPr>
        <w:pStyle w:val="Compact"/>
        <w:numPr>
          <w:ilvl w:val="1"/>
          <w:numId w:val="1022"/>
        </w:numPr>
      </w:pPr>
      <w:r>
        <w:rPr>
          <w:i/>
          <w:iCs/>
        </w:rPr>
        <w:t xml:space="preserve">Anémie normocytaire normochrome</w:t>
      </w:r>
      <w:r>
        <w:t xml:space="preserve"> </w:t>
      </w:r>
      <w:r>
        <w:t xml:space="preserve">par inhibition de l’érythropoïétine (30 % après 2 semaines de traitement).</w:t>
      </w:r>
    </w:p>
    <w:p>
      <w:pPr>
        <w:pStyle w:val="Compact"/>
        <w:numPr>
          <w:ilvl w:val="1"/>
          <w:numId w:val="1022"/>
        </w:numPr>
      </w:pPr>
      <w:r>
        <w:rPr>
          <w:i/>
          <w:iCs/>
        </w:rPr>
        <w:t xml:space="preserve">Phlébite locale</w:t>
      </w:r>
      <w:r>
        <w:t xml:space="preserve"> </w:t>
      </w:r>
      <w:r>
        <w:t xml:space="preserve">au site de perfusion (à diluer correctement, à perfuser sur veine de gros calibre).</w:t>
      </w:r>
    </w:p>
    <w:p>
      <w:pPr>
        <w:pStyle w:val="Compact"/>
        <w:numPr>
          <w:ilvl w:val="1"/>
          <w:numId w:val="1022"/>
        </w:numPr>
      </w:pPr>
      <w:r>
        <w:rPr>
          <w:i/>
          <w:iCs/>
        </w:rPr>
        <w:t xml:space="preserve">Hépatotoxicité</w:t>
      </w:r>
      <w:r>
        <w:t xml:space="preserve"> </w:t>
      </w:r>
      <w:r>
        <w:t xml:space="preserve">modérée (élévation ASAT/ALAT dans 15 % des cas).</w:t>
      </w:r>
    </w:p>
    <w:p>
      <w:pPr>
        <w:pStyle w:val="Compact"/>
        <w:numPr>
          <w:ilvl w:val="1"/>
          <w:numId w:val="1022"/>
        </w:numPr>
      </w:pPr>
      <w:r>
        <w:rPr>
          <w:i/>
          <w:iCs/>
        </w:rPr>
        <w:t xml:space="preserve">Réactions anaphylactiques</w:t>
      </w:r>
      <w:r>
        <w:t xml:space="preserve"> </w:t>
      </w:r>
      <w:r>
        <w:t xml:space="preserve">exceptionnelles mais décrites.</w:t>
      </w:r>
    </w:p>
    <w:p>
      <w:pPr>
        <w:pStyle w:val="Compact"/>
        <w:numPr>
          <w:ilvl w:val="1"/>
          <w:numId w:val="1022"/>
        </w:numPr>
      </w:pPr>
      <w:r>
        <w:rPr>
          <w:i/>
          <w:iCs/>
        </w:rPr>
        <w:t xml:space="preserve">Forme buvable</w:t>
      </w:r>
      <w:r>
        <w:t xml:space="preserve"> </w:t>
      </w:r>
      <w:r>
        <w:t xml:space="preserve">: nausées, vomissements, diarrhée, goût métallique — habituellement bénins.</w:t>
      </w:r>
    </w:p>
    <w:p>
      <w:pPr>
        <w:pStyle w:val="FirstParagraph"/>
      </w:pPr>
      <w:r>
        <w:rPr>
          <w:b/>
          <w:bCs/>
        </w:rPr>
        <w:t xml:space="preserve">Prévention et Gestion des Effets Indésirables :</w:t>
      </w:r>
    </w:p>
    <w:p>
      <w:pPr>
        <w:pStyle w:val="Compact"/>
        <w:numPr>
          <w:ilvl w:val="0"/>
          <w:numId w:val="1023"/>
        </w:numPr>
      </w:pPr>
      <w:r>
        <w:rPr>
          <w:b/>
          <w:bCs/>
        </w:rPr>
        <w:t xml:space="preserve">Mesures Préventives</w:t>
      </w:r>
      <w:r>
        <w:t xml:space="preserve"> </w:t>
      </w:r>
      <w:r>
        <w:t xml:space="preserve">:</w:t>
      </w:r>
    </w:p>
    <w:p>
      <w:pPr>
        <w:pStyle w:val="Compact"/>
        <w:numPr>
          <w:ilvl w:val="1"/>
          <w:numId w:val="1024"/>
        </w:numPr>
      </w:pPr>
      <w:r>
        <w:rPr>
          <w:i/>
          <w:iCs/>
        </w:rPr>
        <w:t xml:space="preserve">Prémédication systématique</w:t>
      </w:r>
      <w:r>
        <w:t xml:space="preserve"> </w:t>
      </w:r>
      <w:r>
        <w:t xml:space="preserve">30 minutes avant la perfusion IV : paracétamol 1 g + antihistaminique H1 (chlorphénamine 4 mg ou prométhazine 25 mg) ± hydrocortisone 25 à 50 mg IV si réactions sévères. Pour les perfusions它 réactionnelles malgré la prémédication, on peut rajouter un opioïde (péthidine 25–50 mg IV) sur les rigors.</w:t>
      </w:r>
    </w:p>
    <w:p>
      <w:pPr>
        <w:pStyle w:val="Compact"/>
        <w:numPr>
          <w:ilvl w:val="1"/>
          <w:numId w:val="1024"/>
        </w:numPr>
      </w:pPr>
      <w:r>
        <w:rPr>
          <w:i/>
          <w:iCs/>
        </w:rPr>
        <w:t xml:space="preserve">Hydratation IV préalable</w:t>
      </w:r>
      <w:r>
        <w:t xml:space="preserve"> </w:t>
      </w:r>
      <w:r>
        <w:t xml:space="preserve">par sérum salé isotonique 500 mL en 30 min avant la perfusion (néphroprotection par expansion volémique et diminution de la vasoconstriction afférente).</w:t>
      </w:r>
    </w:p>
    <w:p>
      <w:pPr>
        <w:pStyle w:val="Compact"/>
        <w:numPr>
          <w:ilvl w:val="1"/>
          <w:numId w:val="1024"/>
        </w:numPr>
      </w:pPr>
      <w:r>
        <w:rPr>
          <w:i/>
          <w:iCs/>
        </w:rPr>
        <w:t xml:space="preserve">Surveillance biologique</w:t>
      </w:r>
      <w:r>
        <w:t xml:space="preserve"> </w:t>
      </w:r>
      <w:r>
        <w:t xml:space="preserve">: ionogramme sanguin (K⁺, Mg²⁺, Na⁺, Ca²⁺) et créatinine</w:t>
      </w:r>
      <w:r>
        <w:t xml:space="preserve"> </w:t>
      </w:r>
      <w:r>
        <w:rPr>
          <w:b/>
          <w:bCs/>
        </w:rPr>
        <w:t xml:space="preserve">avant chaque perfusion</w:t>
      </w:r>
      <w:r>
        <w:t xml:space="preserve">, puis 2 à 3 fois par semaine en entretien. Numération formule sanguine hebdomadaire (détection anémie). Bilan hépatique (ALAT, ASAT, bilirubine, PAL) 2 fois par semaine.</w:t>
      </w:r>
    </w:p>
    <w:p>
      <w:pPr>
        <w:pStyle w:val="Compact"/>
        <w:numPr>
          <w:ilvl w:val="1"/>
          <w:numId w:val="1024"/>
        </w:numPr>
      </w:pPr>
      <w:r>
        <w:rPr>
          <w:i/>
          <w:iCs/>
        </w:rPr>
        <w:t xml:space="preserve">Supplémentation</w:t>
      </w:r>
      <w:r>
        <w:t xml:space="preserve"> </w:t>
      </w:r>
      <w:r>
        <w:t xml:space="preserve">préventive en K⁺ (4 à 8 g/jour de KCl per os) et Mg²⁺ (300 à 600 mg/jour de MgCl₂ per os) souvent nécessaire dès la 2ᵉ semaine.</w:t>
      </w:r>
    </w:p>
    <w:p>
      <w:pPr>
        <w:pStyle w:val="Compact"/>
        <w:numPr>
          <w:ilvl w:val="1"/>
          <w:numId w:val="1024"/>
        </w:numPr>
      </w:pPr>
      <w:r>
        <w:rPr>
          <w:i/>
          <w:iCs/>
        </w:rPr>
        <w:t xml:space="preserve">Perfusion lente</w:t>
      </w:r>
      <w:r>
        <w:t xml:space="preserve"> </w:t>
      </w:r>
      <w:r>
        <w:t xml:space="preserve">sur 2 à 4 heures (jamais en bolus) sur voie veineuse centrale de préférence (diminution de la phlébite), à l’abri de la lumière (photosensibilité de la molécule, d’où l’usage historique de tubulures opaques).</w:t>
      </w:r>
    </w:p>
    <w:p>
      <w:pPr>
        <w:pStyle w:val="Compact"/>
        <w:numPr>
          <w:ilvl w:val="0"/>
          <w:numId w:val="1023"/>
        </w:numPr>
      </w:pPr>
      <w:r>
        <w:rPr>
          <w:b/>
          <w:bCs/>
        </w:rPr>
        <w:t xml:space="preserve">Conduite à Tenir</w:t>
      </w:r>
      <w:r>
        <w:t xml:space="preserve"> </w:t>
      </w:r>
      <w:r>
        <w:t xml:space="preserve">:</w:t>
      </w:r>
    </w:p>
    <w:p>
      <w:pPr>
        <w:pStyle w:val="Compact"/>
        <w:numPr>
          <w:ilvl w:val="1"/>
          <w:numId w:val="1025"/>
        </w:numPr>
      </w:pPr>
      <w:r>
        <w:rPr>
          <w:i/>
          <w:iCs/>
        </w:rPr>
        <w:t xml:space="preserve">Syndrome de perfusion majeur</w:t>
      </w:r>
      <w:r>
        <w:t xml:space="preserve"> </w:t>
      </w:r>
      <w:r>
        <w:t xml:space="preserve">: ralentir ou stopper transitoirement la perfusion, renforcer la prémédication, envisager relais par forme lipidique.</w:t>
      </w:r>
    </w:p>
    <w:p>
      <w:pPr>
        <w:pStyle w:val="Compact"/>
        <w:numPr>
          <w:ilvl w:val="1"/>
          <w:numId w:val="1025"/>
        </w:numPr>
      </w:pPr>
      <w:r>
        <w:rPr>
          <w:i/>
          <w:iCs/>
        </w:rPr>
        <w:t xml:space="preserve">Créatinine &gt; 250 µmol/L</w:t>
      </w:r>
      <w:r>
        <w:t xml:space="preserve"> </w:t>
      </w:r>
      <w:r>
        <w:t xml:space="preserve">ou K⁺ &lt; 2,5 mmol/L réfractaire : arrêt transitoire, réhydratation, correction ionique, discussion d’un relais par échinocandine ou triazolé systémique.</w:t>
      </w:r>
    </w:p>
    <w:p>
      <w:pPr>
        <w:pStyle w:val="Compact"/>
        <w:numPr>
          <w:ilvl w:val="1"/>
          <w:numId w:val="1025"/>
        </w:numPr>
      </w:pPr>
      <w:r>
        <w:rPr>
          <w:i/>
          <w:iCs/>
        </w:rPr>
        <w:t xml:space="preserve">Anémie profonde (Hb &lt; 7 g/dL)</w:t>
      </w:r>
      <w:r>
        <w:t xml:space="preserve"> </w:t>
      </w:r>
      <w:r>
        <w:t xml:space="preserve">: transfusion de culots globulaires, rarement érythropoïétine.</w:t>
      </w:r>
    </w:p>
    <w:p>
      <w:pPr>
        <w:pStyle w:val="Compact"/>
        <w:numPr>
          <w:ilvl w:val="1"/>
          <w:numId w:val="1025"/>
        </w:numPr>
      </w:pPr>
      <w:r>
        <w:rPr>
          <w:i/>
          <w:iCs/>
        </w:rPr>
        <w:t xml:space="preserve">Réaction anaphylactique</w:t>
      </w:r>
      <w:r>
        <w:t xml:space="preserve"> </w:t>
      </w:r>
      <w:r>
        <w:t xml:space="preserve">: arrêt immédiat, remplissage, adrénaline IM, relais thérapeutique par une autre classe.</w:t>
      </w:r>
    </w:p>
    <w:p>
      <w:pPr>
        <w:pStyle w:val="FirstParagraph"/>
      </w:pPr>
      <w:r>
        <w:rPr>
          <w:b/>
          <w:bCs/>
        </w:rPr>
        <w:t xml:space="preserve">Interactions Importantes :</w:t>
      </w:r>
    </w:p>
    <w:p>
      <w:pPr>
        <w:pStyle w:val="Compact"/>
        <w:numPr>
          <w:ilvl w:val="0"/>
          <w:numId w:val="1026"/>
        </w:numPr>
      </w:pPr>
      <w:r>
        <w:rPr>
          <w:b/>
          <w:bCs/>
        </w:rPr>
        <w:t xml:space="preserve">Diurétiques (furosémide, bumétanide, thiazidiques)</w:t>
      </w:r>
      <w:r>
        <w:t xml:space="preserve"> </w:t>
      </w:r>
      <w:r>
        <w:t xml:space="preserve">: potentialisation de l’hypokaliémie et de l’ototoxicité/néphrotoxicité. Surveillance stricte du K⁺ et supplémentation.</w:t>
      </w:r>
    </w:p>
    <w:p>
      <w:pPr>
        <w:pStyle w:val="Compact"/>
        <w:numPr>
          <w:ilvl w:val="0"/>
          <w:numId w:val="1026"/>
        </w:numPr>
      </w:pPr>
      <w:r>
        <w:rPr>
          <w:b/>
          <w:bCs/>
        </w:rPr>
        <w:t xml:space="preserve">Aminosides (gentamicine, amikacine)</w:t>
      </w:r>
      <w:r>
        <w:t xml:space="preserve"> </w:t>
      </w:r>
      <w:r>
        <w:t xml:space="preserve">: néphrotoxicité additive majeure. Éviter l’association si possible ; si indispensable, surveillance rénale rapprochée et espacement des doses.</w:t>
      </w:r>
    </w:p>
    <w:p>
      <w:pPr>
        <w:pStyle w:val="Compact"/>
        <w:numPr>
          <w:ilvl w:val="0"/>
          <w:numId w:val="1026"/>
        </w:numPr>
      </w:pPr>
      <w:r>
        <w:rPr>
          <w:b/>
          <w:bCs/>
        </w:rPr>
        <w:t xml:space="preserve">Ciclosporine, tacrolimus</w:t>
      </w:r>
      <w:r>
        <w:t xml:space="preserve"> </w:t>
      </w:r>
      <w:r>
        <w:t xml:space="preserve">: néphrotoxicité additive. Adapter la posologie des immunosuppresseurs et surveiller les taux résiduels.</w:t>
      </w:r>
    </w:p>
    <w:p>
      <w:pPr>
        <w:pStyle w:val="Compact"/>
        <w:numPr>
          <w:ilvl w:val="0"/>
          <w:numId w:val="1026"/>
        </w:numPr>
      </w:pPr>
      <w:r>
        <w:rPr>
          <w:b/>
          <w:bCs/>
        </w:rPr>
        <w:t xml:space="preserve">Digitaliques (digoxine)</w:t>
      </w:r>
      <w:r>
        <w:t xml:space="preserve"> </w:t>
      </w:r>
      <w:r>
        <w:t xml:space="preserve">: hypokaliémie induite par l’amphotéricine B majorant le risque de toxicité digitalique (tachycardie ventriculaire, bloc AV). Maintenir K⁺ &gt; 4 mmol/L.</w:t>
      </w:r>
    </w:p>
    <w:p>
      <w:pPr>
        <w:pStyle w:val="Compact"/>
        <w:numPr>
          <w:ilvl w:val="0"/>
          <w:numId w:val="1026"/>
        </w:numPr>
      </w:pPr>
      <w:r>
        <w:rPr>
          <w:b/>
          <w:bCs/>
        </w:rPr>
        <w:t xml:space="preserve">Corticostéroïdes</w:t>
      </w:r>
      <w:r>
        <w:t xml:space="preserve"> </w:t>
      </w:r>
      <w:r>
        <w:t xml:space="preserve">: majoration de l’hypokaliémie et de la rétention hydrosodée. Surveillance renforcée.</w:t>
      </w:r>
    </w:p>
    <w:p>
      <w:pPr>
        <w:pStyle w:val="Compact"/>
        <w:numPr>
          <w:ilvl w:val="0"/>
          <w:numId w:val="1026"/>
        </w:numPr>
      </w:pPr>
      <w:r>
        <w:rPr>
          <w:b/>
          <w:bCs/>
        </w:rPr>
        <w:t xml:space="preserve">Flucytosine</w:t>
      </w:r>
      <w:r>
        <w:t xml:space="preserve"> </w:t>
      </w:r>
      <w:r>
        <w:t xml:space="preserve">: synergie thérapeutique (efficacité accrue) mais aussi potentialisation de la toxicité hématologique de la flucytosine par diminution de sa clairance rénale induite par l’amphotéricine B.</w:t>
      </w:r>
    </w:p>
    <w:p>
      <w:pPr>
        <w:pStyle w:val="Compact"/>
        <w:numPr>
          <w:ilvl w:val="0"/>
          <w:numId w:val="1026"/>
        </w:numPr>
      </w:pPr>
      <w:r>
        <w:rPr>
          <w:b/>
          <w:bCs/>
        </w:rPr>
        <w:t xml:space="preserve">Contraceptifs oraux estroprogestatifs</w:t>
      </w:r>
      <w:r>
        <w:t xml:space="preserve"> </w:t>
      </w:r>
      <w:r>
        <w:t xml:space="preserve">: risque accru de thrombose veineuse en contexte d’inflammation et de déshydratation pendant la perfusion — pas d’interaction directe mais vigilance clinique.</w:t>
      </w:r>
    </w:p>
    <w:p>
      <w:pPr>
        <w:pStyle w:val="FirstParagraph"/>
      </w:pPr>
      <w:r>
        <w:rPr>
          <w:b/>
          <w:bCs/>
        </w:rPr>
        <w:t xml:space="preserve">Grossesse et Allaitement :</w:t>
      </w:r>
    </w:p>
    <w:p>
      <w:pPr>
        <w:pStyle w:val="Compact"/>
        <w:numPr>
          <w:ilvl w:val="0"/>
          <w:numId w:val="1027"/>
        </w:numPr>
      </w:pPr>
      <w:r>
        <w:rPr>
          <w:b/>
          <w:bCs/>
        </w:rPr>
        <w:t xml:space="preserve">Grossesse</w:t>
      </w:r>
      <w:r>
        <w:t xml:space="preserve"> </w:t>
      </w:r>
      <w:r>
        <w:t xml:space="preserve">: L’amphotéricine B est considérée par le CRAT comme l’</w:t>
      </w:r>
      <w:r>
        <w:rPr>
          <w:b/>
          <w:bCs/>
        </w:rPr>
        <w:t xml:space="preserve">antifongique systémique de choix chez la femme enceinte</w:t>
      </w:r>
      <w:r>
        <w:t xml:space="preserve">. Elle n’est pas tératogène chez l’animal et aucun cas de malformation n’a été rapporté chez l’humain à ce jour. La molécule ne traverse pas significativement le placenta (liaison protéique &gt; 90 %, poids moléculaire élevé). Indiquée en particulier pour le traitement des candidoses systémiques gravidiques (rare mais grave), des cryptococcoses neuroméningées, des leishmanioses viscérales et des mucormycoses. La forme lipidique liposomale (Ambisome®) est à privilégier en cas de nécessité pour réduire la néphrotoxicité maternelle et fœtale. Les triazolés (fluconazole au 1ᵉʳ trimestre, itraconazole, voriconazole) sont à éviter chez la femme enceinte (tératogénicité documentée).</w:t>
      </w:r>
    </w:p>
    <w:p>
      <w:pPr>
        <w:pStyle w:val="Compact"/>
        <w:numPr>
          <w:ilvl w:val="0"/>
          <w:numId w:val="1027"/>
        </w:numPr>
      </w:pPr>
      <w:r>
        <w:rPr>
          <w:b/>
          <w:bCs/>
        </w:rPr>
        <w:t xml:space="preserve">Allaitement</w:t>
      </w:r>
      <w:r>
        <w:t xml:space="preserve"> </w:t>
      </w:r>
      <w:r>
        <w:t xml:space="preserve">: L’amphotéricine B passe très faiblement dans le lait maternel (liaison protéique élevée, faible liposolubilité, absorption digestive quasi nulle de l’enfant). L’allaitement est</w:t>
      </w:r>
      <w:r>
        <w:t xml:space="preserve"> </w:t>
      </w:r>
      <w:r>
        <w:rPr>
          <w:b/>
          <w:bCs/>
        </w:rPr>
        <w:t xml:space="preserve">maintenable</w:t>
      </w:r>
      <w:r>
        <w:t xml:space="preserve"> </w:t>
      </w:r>
      <w:r>
        <w:t xml:space="preserve">pendant un traitement par amphotéricine B selon le CRAT.</w:t>
      </w:r>
    </w:p>
    <w:p>
      <w:pPr>
        <w:pStyle w:val="Compact"/>
        <w:numPr>
          <w:ilvl w:val="0"/>
          <w:numId w:val="1027"/>
        </w:numPr>
      </w:pPr>
      <w:r>
        <w:rPr>
          <w:b/>
          <w:bCs/>
        </w:rPr>
        <w:t xml:space="preserve">Précisions</w:t>
      </w:r>
      <w:r>
        <w:t xml:space="preserve"> </w:t>
      </w:r>
      <w:r>
        <w:t xml:space="preserve">: Pour la forme buvable, aucune restriction pendant la grossesse ni l’allaitement (absence d’absorption systémique).</w:t>
      </w:r>
    </w:p>
    <w:p>
      <w:pPr>
        <w:pStyle w:val="FirstParagraph"/>
      </w:pPr>
      <w:r>
        <w:rPr>
          <w:b/>
          <w:bCs/>
        </w:rPr>
        <w:t xml:space="preserve">Posologie et Mode d’administration (Standard) :</w:t>
      </w:r>
    </w:p>
    <w:p>
      <w:pPr>
        <w:pStyle w:val="Compact"/>
        <w:numPr>
          <w:ilvl w:val="0"/>
          <w:numId w:val="1028"/>
        </w:numPr>
      </w:pPr>
      <w:r>
        <w:rPr>
          <w:b/>
          <w:bCs/>
        </w:rPr>
        <w:t xml:space="preserve">Adulte IV (forme conventionnelle)</w:t>
      </w:r>
      <w:r>
        <w:t xml:space="preserve"> </w:t>
      </w:r>
      <w:r>
        <w:t xml:space="preserve">:</w:t>
      </w:r>
    </w:p>
    <w:p>
      <w:pPr>
        <w:pStyle w:val="Compact"/>
        <w:numPr>
          <w:ilvl w:val="1"/>
          <w:numId w:val="1029"/>
        </w:numPr>
      </w:pPr>
      <w:r>
        <w:rPr>
          <w:i/>
          <w:iCs/>
        </w:rPr>
        <w:t xml:space="preserve">Dose test</w:t>
      </w:r>
      <w:r>
        <w:t xml:space="preserve"> </w:t>
      </w:r>
      <w:r>
        <w:t xml:space="preserve">: 1 mg dans 20 mL de G5% en perfusion IV sur 20–30 minutes pour dépister une réaction d’hypersensibilité immédiate.</w:t>
      </w:r>
    </w:p>
    <w:p>
      <w:pPr>
        <w:pStyle w:val="Compact"/>
        <w:numPr>
          <w:ilvl w:val="1"/>
          <w:numId w:val="1029"/>
        </w:numPr>
      </w:pPr>
      <w:r>
        <w:rPr>
          <w:i/>
          <w:iCs/>
        </w:rPr>
        <w:t xml:space="preserve">Dose thérapeutique initiale</w:t>
      </w:r>
      <w:r>
        <w:t xml:space="preserve"> </w:t>
      </w:r>
      <w:r>
        <w:t xml:space="preserve">: 0,25 mg/kg/jour en perfusion sur 2 à 4 h, en augmentant progressivement de 0,25 mg/kg/jour jusqu’à la dose cible de</w:t>
      </w:r>
      <w:r>
        <w:t xml:space="preserve"> </w:t>
      </w:r>
      <w:r>
        <w:rPr>
          <w:b/>
          <w:bCs/>
        </w:rPr>
        <w:t xml:space="preserve">0,5 à 1 mg/kg/jour</w:t>
      </w:r>
      <w:r>
        <w:t xml:space="preserve"> </w:t>
      </w:r>
      <w:r>
        <w:t xml:space="preserve">(parfois 1,5 mg/kg/jour pour les mucormycoses).</w:t>
      </w:r>
    </w:p>
    <w:p>
      <w:pPr>
        <w:pStyle w:val="Compact"/>
        <w:numPr>
          <w:ilvl w:val="1"/>
          <w:numId w:val="1029"/>
        </w:numPr>
      </w:pPr>
      <w:r>
        <w:rPr>
          <w:i/>
          <w:iCs/>
        </w:rPr>
        <w:t xml:space="preserve">Dose cumulée totale</w:t>
      </w:r>
      <w:r>
        <w:t xml:space="preserve"> </w:t>
      </w:r>
      <w:r>
        <w:t xml:space="preserve">: 1,5 à 4 g sur 4 à 12 semaines selon l’indication.</w:t>
      </w:r>
    </w:p>
    <w:p>
      <w:pPr>
        <w:pStyle w:val="Compact"/>
        <w:numPr>
          <w:ilvl w:val="1"/>
          <w:numId w:val="1029"/>
        </w:numPr>
      </w:pPr>
      <w:r>
        <w:rPr>
          <w:i/>
          <w:iCs/>
        </w:rPr>
        <w:t xml:space="preserve">Perfusion alternative au jour le jour ou discontinue (jour sur jour)</w:t>
      </w:r>
      <w:r>
        <w:t xml:space="preserve"> </w:t>
      </w:r>
      <w:r>
        <w:t xml:space="preserve">: perfusion de 1 mg/kg un jour sur deux, ou 1,5 mg/kg 3 fois/semaine, en particulier pour les traitements prolongés (leishmaniose viscérale).</w:t>
      </w:r>
    </w:p>
    <w:p>
      <w:pPr>
        <w:pStyle w:val="Compact"/>
        <w:numPr>
          <w:ilvl w:val="0"/>
          <w:numId w:val="1028"/>
        </w:numPr>
      </w:pPr>
      <w:r>
        <w:rPr>
          <w:b/>
          <w:bCs/>
        </w:rPr>
        <w:t xml:space="preserve">Adulte oral (suspension buvable 10 %)</w:t>
      </w:r>
      <w:r>
        <w:t xml:space="preserve"> </w:t>
      </w:r>
      <w:r>
        <w:t xml:space="preserve">: 1 mL (100 mg) à 4 mL (400 mg) quatre fois par jour, en bain de bouche suivi d’ingestion ou recrachement selon l’indication. Muguet du nourrisson : 1 mL dans la bouche après chaque tétée, pendant 7 à 14 jours.</w:t>
      </w:r>
    </w:p>
    <w:p>
      <w:pPr>
        <w:pStyle w:val="Compact"/>
        <w:numPr>
          <w:ilvl w:val="0"/>
          <w:numId w:val="1028"/>
        </w:numPr>
      </w:pPr>
      <w:r>
        <w:rPr>
          <w:b/>
          <w:bCs/>
        </w:rPr>
        <w:t xml:space="preserve">Enfant</w:t>
      </w:r>
      <w:r>
        <w:t xml:space="preserve"> </w:t>
      </w:r>
      <w:r>
        <w:t xml:space="preserve">: IV 0,5 à 1 mg/kg/jour selon le schéma adulte, sans dépasser 1,5 mg/kg/jour. Buvable : 100 mg (1 mL) 4 fois/jour.</w:t>
      </w:r>
    </w:p>
    <w:p>
      <w:pPr>
        <w:pStyle w:val="Compact"/>
        <w:numPr>
          <w:ilvl w:val="0"/>
          <w:numId w:val="1028"/>
        </w:numPr>
      </w:pPr>
      <w:r>
        <w:rPr>
          <w:b/>
          <w:bCs/>
        </w:rPr>
        <w:t xml:space="preserve">Durée</w:t>
      </w:r>
      <w:r>
        <w:t xml:space="preserve"> </w:t>
      </w:r>
      <w:r>
        <w:t xml:space="preserve">: candidémie 2 semaines après la première hémoculture négative ; aspergillose invasive 6 à 12 semaines ; mucormycose jusqu’à guérison chirurgicale + 4 à 6 semaines IV ; leishmaniose viscérale 20 jours consécutifs à 1 mg/kg/jour (forme conventionnelle) ou 5 mg/kg/jour pendant 5 jours (forme liposomale). Muguet : 7 à 14 jours.</w:t>
      </w:r>
    </w:p>
    <w:p>
      <w:pPr>
        <w:pStyle w:val="Compact"/>
        <w:numPr>
          <w:ilvl w:val="0"/>
          <w:numId w:val="1028"/>
        </w:numPr>
      </w:pPr>
      <w:r>
        <w:rPr>
          <w:b/>
          <w:bCs/>
        </w:rPr>
        <w:t xml:space="preserve">Moment de prise</w:t>
      </w:r>
      <w:r>
        <w:t xml:space="preserve"> </w:t>
      </w:r>
      <w:r>
        <w:t xml:space="preserve">: perfusion IV à débit constant sur 2 à 4 h, à l’abri de la lumière, sur voie veineuse centrale de préférence. Suspension buvable : à distance des repas pour le muguet néonatal (après la tétée).</w:t>
      </w:r>
    </w:p>
    <w:p>
      <w:pPr>
        <w:pStyle w:val="FirstParagraph"/>
      </w:pPr>
      <w:r>
        <w:rPr>
          <w:b/>
          <w:bCs/>
        </w:rPr>
        <w:t xml:space="preserve">Arbitrage et Bénéfices des Formes Galéniques :</w:t>
      </w:r>
    </w:p>
    <w:p>
      <w:pPr>
        <w:pStyle w:val="BodyText"/>
      </w:pPr>
      <w:r>
        <w:t xml:space="preserve">L’arbitrage essentiel de la classe oppose la</w:t>
      </w:r>
      <w:r>
        <w:t xml:space="preserve"> </w:t>
      </w:r>
      <w:r>
        <w:rPr>
          <w:b/>
          <w:bCs/>
        </w:rPr>
        <w:t xml:space="preserve">forme conventionnelle</w:t>
      </w:r>
      <w:r>
        <w:t xml:space="preserve"> </w:t>
      </w:r>
      <w:r>
        <w:t xml:space="preserve">(Fungizone IV, Amphotret, Amphonex — désoxycholate de sodium ou simple poudre lyophilisée) aux</w:t>
      </w:r>
      <w:r>
        <w:t xml:space="preserve"> </w:t>
      </w:r>
      <w:r>
        <w:rPr>
          <w:b/>
          <w:bCs/>
        </w:rPr>
        <w:t xml:space="preserve">formes lipidiques</w:t>
      </w:r>
      <w:r>
        <w:t xml:space="preserve"> </w:t>
      </w:r>
      <w:r>
        <w:t xml:space="preserve">(Ambisome® liposomale, Abelcet® complexe lipidique, Amphocil® colloïdal). Les formes lipidiques réduisent la néphrotoxicité d’environ 50 à 70 % en détournant l’amphotéricine B vers les macrophages et le système réticulo-endothélial, et diminuent aussi le syndrome de perfusion. Elles permettent d’augmenter les doses unitaires jusqu’à 5 mg/kg/jour (Ambisome) ou 5 mg/kg/jour (Abelcet). Leurs inconvénients : coût très élevé (10 à 30 fois le prix de la forme conventionnelle), et en Algérie leur</w:t>
      </w:r>
      <w:r>
        <w:t xml:space="preserve"> </w:t>
      </w:r>
      <w:r>
        <w:rPr>
          <w:b/>
          <w:bCs/>
        </w:rPr>
        <w:t xml:space="preserve">absence de commercialisation régulière</w:t>
      </w:r>
      <w:r>
        <w:t xml:space="preserve"> </w:t>
      </w:r>
      <w:r>
        <w:t xml:space="preserve">oblige à recourir à l’importation ATMP. La forme conventionnelle reste donc la référence de premier recours en pratique clinique algérienne, avec une stricte surveillance néphrologique et ionique.</w:t>
      </w:r>
    </w:p>
    <w:p>
      <w:pPr>
        <w:pStyle w:val="BodyText"/>
      </w:pPr>
      <w:r>
        <w:t xml:space="preserve">La</w:t>
      </w:r>
      <w:r>
        <w:t xml:space="preserve"> </w:t>
      </w:r>
      <w:r>
        <w:rPr>
          <w:b/>
          <w:bCs/>
        </w:rPr>
        <w:t xml:space="preserve">suspension buvable</w:t>
      </w:r>
      <w:r>
        <w:t xml:space="preserve"> </w:t>
      </w:r>
      <w:r>
        <w:t xml:space="preserve">(Fungizone 10 %, Mytricine) exploite la quasi-absence d’absorption digestive (bioavailability &lt; 5 %) pour une action de luminisation digestive sans exposition systémique. Particulièrement utile chez le nourrisson pour le muguet et chez le patient immunodéprimé pour la prophylaxie digestive. Le goût amer et métallique est un facteur d’observance pédiatrique à anticiper (masquage possible avec du miel chez l’enfant de plus de 1 an).</w:t>
      </w:r>
    </w:p>
    <w:p>
      <w:pPr>
        <w:pStyle w:val="BodyText"/>
      </w:pPr>
      <w:r>
        <w:rPr>
          <w:b/>
          <w:bCs/>
        </w:rPr>
        <w:t xml:space="preserve">Instructions et Conseils au Patient :</w:t>
      </w:r>
    </w:p>
    <w:p>
      <w:pPr>
        <w:pStyle w:val="Compact"/>
        <w:numPr>
          <w:ilvl w:val="0"/>
          <w:numId w:val="1030"/>
        </w:numPr>
      </w:pPr>
      <w:r>
        <w:rPr>
          <w:b/>
          <w:bCs/>
        </w:rPr>
        <w:t xml:space="preserve">Communication au comptoir</w:t>
      </w:r>
      <w:r>
        <w:t xml:space="preserve"> </w:t>
      </w:r>
      <w:r>
        <w:t xml:space="preserve">(pour la forme buvable) : « Ce médicament traite une infection par un champignon de la bouche ou du tube digestif. Il n’est pas absorbé par le sang, son action reste locale. Ne pas s’alarmer si les selles deviennent un peu plus molles : c’est fréquent et bénin. »</w:t>
      </w:r>
    </w:p>
    <w:p>
      <w:pPr>
        <w:pStyle w:val="Compact"/>
        <w:numPr>
          <w:ilvl w:val="0"/>
          <w:numId w:val="1030"/>
        </w:numPr>
      </w:pPr>
      <w:r>
        <w:rPr>
          <w:b/>
          <w:bCs/>
        </w:rPr>
        <w:t xml:space="preserve">Mode d’utilisation pratique</w:t>
      </w:r>
      <w:r>
        <w:t xml:space="preserve"> </w:t>
      </w:r>
      <w:r>
        <w:t xml:space="preserve">:</w:t>
      </w:r>
    </w:p>
    <w:p>
      <w:pPr>
        <w:pStyle w:val="Compact"/>
        <w:numPr>
          <w:ilvl w:val="1"/>
          <w:numId w:val="1031"/>
        </w:numPr>
      </w:pPr>
      <w:r>
        <w:t xml:space="preserve">Bien agiter le flacon avant chaque prise (suspension).</w:t>
      </w:r>
    </w:p>
    <w:p>
      <w:pPr>
        <w:pStyle w:val="Compact"/>
        <w:numPr>
          <w:ilvl w:val="1"/>
          <w:numId w:val="1031"/>
        </w:numPr>
      </w:pPr>
      <w:r>
        <w:t xml:space="preserve">Pour le muguet du nourrisson : administrer 1 mL à l’aide de la pipette après chaque tétée, badigeonner l’intérieur des joues et de la langue. Ne pas rincer la bouche après application. Continuer le traitement 48 h après disparition des plaques blanches.</w:t>
      </w:r>
    </w:p>
    <w:p>
      <w:pPr>
        <w:pStyle w:val="Compact"/>
        <w:numPr>
          <w:ilvl w:val="1"/>
          <w:numId w:val="1031"/>
        </w:numPr>
      </w:pPr>
      <w:r>
        <w:t xml:space="preserve">Pour l’adulte (bain de bouche) : garder 1 à 2 mL en bouche 2 minutes avant d’avaler ou de recracher selon prescription, 4 fois par jour.</w:t>
      </w:r>
    </w:p>
    <w:p>
      <w:pPr>
        <w:pStyle w:val="Compact"/>
        <w:numPr>
          <w:ilvl w:val="1"/>
          <w:numId w:val="1031"/>
        </w:numPr>
      </w:pPr>
      <w:r>
        <w:t xml:space="preserve">Conservation : suspension après ouverture : 7 jours à température ambiante, 14 jours au réfrigérateur. Ne pas congeler. La poudre lyophilisée pour injection se conserve à température &lt; 25 °C, à l’abri de la lumière ; après reconstitution, la solution reste stable 24 h à 4 °C et à l’abri de la lumière.</w:t>
      </w:r>
    </w:p>
    <w:p>
      <w:pPr>
        <w:pStyle w:val="FirstParagraph"/>
      </w:pPr>
      <w:r>
        <w:rPr>
          <w:b/>
          <w:bCs/>
        </w:rPr>
        <w:t xml:space="preserve">Notes, Règles d’Or &amp; Pièges au Comptoir :</w:t>
      </w:r>
    </w:p>
    <w:p>
      <w:pPr>
        <w:pStyle w:val="Compact"/>
        <w:numPr>
          <w:ilvl w:val="0"/>
          <w:numId w:val="1032"/>
        </w:numPr>
      </w:pPr>
      <w:r>
        <w:rPr>
          <w:b/>
          <w:bCs/>
        </w:rPr>
        <w:t xml:space="preserve">Piège classique</w:t>
      </w:r>
      <w:r>
        <w:t xml:space="preserve"> </w:t>
      </w:r>
      <w:r>
        <w:t xml:space="preserve">: la poudre lyophilisée pour perfusion IV doit être</w:t>
      </w:r>
      <w:r>
        <w:t xml:space="preserve"> </w:t>
      </w:r>
      <w:r>
        <w:rPr>
          <w:b/>
          <w:bCs/>
        </w:rPr>
        <w:t xml:space="preserve">reconstituée exclusivement avec de l’eau pour préparation injectable</w:t>
      </w:r>
      <w:r>
        <w:t xml:space="preserve"> </w:t>
      </w:r>
      <w:r>
        <w:t xml:space="preserve">puis diluée dans du G5% (jamais de NaCl ! — précipitation immédiate par effet salting-out). Cette erreur d’usage est grave et peut provoquer une embolie cristalline.</w:t>
      </w:r>
    </w:p>
    <w:p>
      <w:pPr>
        <w:pStyle w:val="Compact"/>
        <w:numPr>
          <w:ilvl w:val="0"/>
          <w:numId w:val="1032"/>
        </w:numPr>
      </w:pPr>
      <w:r>
        <w:rPr>
          <w:b/>
          <w:bCs/>
        </w:rPr>
        <w:t xml:space="preserve">Règle de prise</w:t>
      </w:r>
      <w:r>
        <w:t xml:space="preserve"> </w:t>
      </w:r>
      <w:r>
        <w:t xml:space="preserve">: la perfusion doit se faire sur</w:t>
      </w:r>
      <w:r>
        <w:t xml:space="preserve"> </w:t>
      </w:r>
      <w:r>
        <w:rPr>
          <w:b/>
          <w:bCs/>
        </w:rPr>
        <w:t xml:space="preserve">voie veineuse centrale</w:t>
      </w:r>
      <w:r>
        <w:t xml:space="preserve"> </w:t>
      </w:r>
      <w:r>
        <w:t xml:space="preserve">de préférence (risque de phlébite) ; à l’abri de la lumière ; sur 2 à 4 heures (jamais en bolus).</w:t>
      </w:r>
    </w:p>
    <w:p>
      <w:pPr>
        <w:pStyle w:val="Compact"/>
        <w:numPr>
          <w:ilvl w:val="0"/>
          <w:numId w:val="1032"/>
        </w:numPr>
      </w:pPr>
      <w:r>
        <w:rPr>
          <w:b/>
          <w:bCs/>
        </w:rPr>
        <w:t xml:space="preserve">Préparation et Conservation</w:t>
      </w:r>
      <w:r>
        <w:t xml:space="preserve"> </w:t>
      </w:r>
      <w:r>
        <w:t xml:space="preserve">: après ouverture, la suspension buvable se conserve 14 jours au réfrigérateur. Vérifier l’absence de trouble anormal ou de dépôt avant chaque prise.</w:t>
      </w:r>
    </w:p>
    <w:p>
      <w:pPr>
        <w:pStyle w:val="Compact"/>
        <w:numPr>
          <w:ilvl w:val="0"/>
          <w:numId w:val="1032"/>
        </w:numPr>
      </w:pPr>
      <w:r>
        <w:rPr>
          <w:b/>
          <w:bCs/>
        </w:rPr>
        <w:t xml:space="preserve">Piège du surdosage / Substitution</w:t>
      </w:r>
      <w:r>
        <w:t xml:space="preserve"> </w:t>
      </w:r>
      <w:r>
        <w:t xml:space="preserve">: ne jamais substituer la forme lipidique par la forme conventionnelle à dose identique — les doses lipidiques sont 5 à 7 fois supérieures (5 mg/kg/jour pour Ambisome vs 1 mg/kg/jour pour Fungizone). Inversement, prescrire de la forme conventionnelle à la dose lipidique serait létal.</w:t>
      </w:r>
    </w:p>
    <w:p>
      <w:pPr>
        <w:pStyle w:val="Compact"/>
        <w:numPr>
          <w:ilvl w:val="0"/>
          <w:numId w:val="1032"/>
        </w:numPr>
      </w:pPr>
      <w:r>
        <w:rPr>
          <w:b/>
          <w:bCs/>
        </w:rPr>
        <w:t xml:space="preserve">Alerte pharmacovigilance</w:t>
      </w:r>
      <w:r>
        <w:t xml:space="preserve"> </w:t>
      </w:r>
      <w:r>
        <w:t xml:space="preserve">: le patient sous amphotéricine B IV doit être informé des signes nécessitant un appel médical immédiat : fièvre élevée pendant la perfusion, frissons intenses, douleurs lombaires, oligurie, faiblesse musculaire (hypokaliémie), palpitations (hypokaliémie + QT long). Le pharmacien d’officine dispensant la suspension buvable doit vérifier l’absence de prise concomitante d’autres antifongiques azolés oraux sans avis médical (risque d’interaction additive hépatique).</w:t>
      </w:r>
    </w:p>
    <w:p>
      <w:r>
        <w:pict>
          <v:rect style="width:0;height:1.5pt" o:hralign="center" o:hrstd="t" o:hr="t"/>
        </w:pict>
      </w:r>
    </w:p>
    <w:bookmarkEnd w:id="40"/>
    <w:bookmarkStart w:id="41" w:name="dci-nystatine-seule-et-en-association"/>
    <w:p>
      <w:pPr>
        <w:pStyle w:val="Heading3"/>
      </w:pPr>
      <w:r>
        <w:t xml:space="preserve">11.2. DCI : Nystatine (Seule et en association)</w:t>
      </w:r>
    </w:p>
    <w:p>
      <w:pPr>
        <w:pStyle w:val="FirstParagraph"/>
      </w:pPr>
      <w:r>
        <w:rPr>
          <w:b/>
          <w:bCs/>
        </w:rPr>
        <w:t xml:space="preserve">Liste des Catégories :</w:t>
      </w:r>
      <w:r>
        <w:t xml:space="preserve"> </w:t>
      </w:r>
      <w:r>
        <w:t xml:space="preserve">LISTE I ; usage topique cutané, vaginal et digestif.</w:t>
      </w:r>
    </w:p>
    <w:p>
      <w:pPr>
        <w:pStyle w:val="BodyText"/>
      </w:pPr>
      <w:r>
        <w:t xml:space="preserve">La nystatine, premier polyène historique (1950, Hazen et Brown), tire son nom de la laboratoire qui l’a découverte — le New York State Board of Health. Si elle partage avec l’amphotéricine B le mécanisme d’action polyène–ergostérol et le spectre principalement anti-</w:t>
      </w:r>
      <w:r>
        <w:rPr>
          <w:i/>
          <w:iCs/>
        </w:rPr>
        <w:t xml:space="preserve">Candida</w:t>
      </w:r>
      <w:r>
        <w:t xml:space="preserve">, elle s’en distingue par une</w:t>
      </w:r>
      <w:r>
        <w:t xml:space="preserve"> </w:t>
      </w:r>
      <w:r>
        <w:rPr>
          <w:b/>
          <w:bCs/>
        </w:rPr>
        <w:t xml:space="preserve">toxicité systémique rédhibitoire</w:t>
      </w:r>
      <w:r>
        <w:t xml:space="preserve"> </w:t>
      </w:r>
      <w:r>
        <w:t xml:space="preserve">(néphrotoxicité et hépatotoxicité majeures en cas d’injection IV) qui la réserve strictement à l’usage</w:t>
      </w:r>
      <w:r>
        <w:t xml:space="preserve"> </w:t>
      </w:r>
      <w:r>
        <w:rPr>
          <w:b/>
          <w:bCs/>
        </w:rPr>
        <w:t xml:space="preserve">topique</w:t>
      </w:r>
      <w:r>
        <w:t xml:space="preserve"> </w:t>
      </w:r>
      <w:r>
        <w:t xml:space="preserve">: cutané, muqueux (buccal), vaginal et digestif (luminisation). En Algérie, la nystatine se décline en deux grandes catégories de spécialités : (i) la</w:t>
      </w:r>
      <w:r>
        <w:t xml:space="preserve"> </w:t>
      </w:r>
      <w:r>
        <w:rPr>
          <w:b/>
          <w:bCs/>
        </w:rPr>
        <w:t xml:space="preserve">nystatine seule</w:t>
      </w:r>
      <w:r>
        <w:t xml:space="preserve"> </w:t>
      </w:r>
      <w:r>
        <w:t xml:space="preserve">en pommade dermique, comprimés gynécologiques, comprimés oraux et suspension buvable ; (ii) la</w:t>
      </w:r>
      <w:r>
        <w:t xml:space="preserve"> </w:t>
      </w:r>
      <w:r>
        <w:rPr>
          <w:b/>
          <w:bCs/>
        </w:rPr>
        <w:t xml:space="preserve">nystatine en association fixe triphasique</w:t>
      </w:r>
      <w:r>
        <w:t xml:space="preserve"> </w:t>
      </w:r>
      <w:r>
        <w:t xml:space="preserve">avec triamcinolone (corticostéroïde) et néomycine (aminoside) — l’association « antifongique + anti-inflammatoire + antibactérien » classique des dermatoses mixtes ou surinfectées. Cette association, très prescrite en Algérie, est disponible sous au moins 4 marques actives (Micotyde, Mycocide, Mycocine, Mycomex) et témoigne de l’importance historique de la classe.</w:t>
      </w:r>
    </w:p>
    <w:p>
      <w:pPr>
        <w:pStyle w:val="BodyText"/>
      </w:pPr>
      <w:r>
        <w:rPr>
          <w:b/>
          <w:bCs/>
        </w:rPr>
        <w:t xml:space="preserve">Médicaments disponibles en Algérie (Marques, Laboratoires, Formes et Dosages) :</w:t>
      </w:r>
    </w:p>
    <w:p>
      <w:pPr>
        <w:pStyle w:val="BodyText"/>
      </w:pPr>
      <w:r>
        <w:rPr>
          <w:i/>
          <w:iCs/>
        </w:rPr>
        <w:t xml:space="preserve">Forme association fixe Nystatine + Triamcinolone + Néomycine — pommade dermique 10 MUI + 0,1 g + 0,25 g / 100 g, tube 15 g :</w:t>
      </w:r>
      <w:r>
        <w:t xml:space="preserve"> </w:t>
      </w:r>
      <w:r>
        <w:t xml:space="preserve">-</w:t>
      </w:r>
      <w:r>
        <w:t xml:space="preserve"> </w:t>
      </w:r>
      <w:r>
        <w:rPr>
          <w:b/>
          <w:bCs/>
        </w:rPr>
        <w:t xml:space="preserve">MICOTYDE</w:t>
      </w:r>
      <w:r>
        <w:t xml:space="preserve"> </w:t>
      </w:r>
      <w:r>
        <w:t xml:space="preserve">(4A SANTE INDUSTRIE) —</w:t>
      </w:r>
      <w:r>
        <w:t xml:space="preserve"> </w:t>
      </w:r>
      <w:r>
        <w:rPr>
          <w:b/>
          <w:bCs/>
        </w:rPr>
        <w:t xml:space="preserve">Actif</w:t>
      </w:r>
      <w:r>
        <w:t xml:space="preserve"> </w:t>
      </w:r>
      <w:r>
        <w:t xml:space="preserve">-</w:t>
      </w:r>
      <w:r>
        <w:t xml:space="preserve"> </w:t>
      </w:r>
      <w:r>
        <w:rPr>
          <w:b/>
          <w:bCs/>
        </w:rPr>
        <w:t xml:space="preserve">MYCOCIDE</w:t>
      </w:r>
      <w:r>
        <w:t xml:space="preserve"> </w:t>
      </w:r>
      <w:r>
        <w:t xml:space="preserve">(GROUPE SAIDAL) —</w:t>
      </w:r>
      <w:r>
        <w:t xml:space="preserve"> </w:t>
      </w:r>
      <w:r>
        <w:rPr>
          <w:b/>
          <w:bCs/>
        </w:rPr>
        <w:t xml:space="preserve">Actif</w:t>
      </w:r>
      <w:r>
        <w:t xml:space="preserve"> </w:t>
      </w:r>
      <w:r>
        <w:t xml:space="preserve">-</w:t>
      </w:r>
      <w:r>
        <w:t xml:space="preserve"> </w:t>
      </w:r>
      <w:r>
        <w:rPr>
          <w:b/>
          <w:bCs/>
        </w:rPr>
        <w:t xml:space="preserve">MYCOCINE</w:t>
      </w:r>
      <w:r>
        <w:t xml:space="preserve"> </w:t>
      </w:r>
      <w:r>
        <w:t xml:space="preserve">(LABORATOIRES PHARMAGHREB) —</w:t>
      </w:r>
      <w:r>
        <w:t xml:space="preserve"> </w:t>
      </w:r>
      <w:r>
        <w:rPr>
          <w:b/>
          <w:bCs/>
        </w:rPr>
        <w:t xml:space="preserve">Actif</w:t>
      </w:r>
      <w:r>
        <w:t xml:space="preserve"> </w:t>
      </w:r>
      <w:r>
        <w:t xml:space="preserve">-</w:t>
      </w:r>
      <w:r>
        <w:t xml:space="preserve"> </w:t>
      </w:r>
      <w:r>
        <w:rPr>
          <w:b/>
          <w:bCs/>
        </w:rPr>
        <w:t xml:space="preserve">MYCOMEX</w:t>
      </w:r>
      <w:r>
        <w:t xml:space="preserve"> </w:t>
      </w:r>
      <w:r>
        <w:t xml:space="preserve">(KPMA BIOTIC) —</w:t>
      </w:r>
      <w:r>
        <w:t xml:space="preserve"> </w:t>
      </w:r>
      <w:r>
        <w:rPr>
          <w:b/>
          <w:bCs/>
        </w:rPr>
        <w:t xml:space="preserve">Actif</w:t>
      </w:r>
    </w:p>
    <w:p>
      <w:pPr>
        <w:pStyle w:val="BodyText"/>
      </w:pPr>
      <w:r>
        <w:rPr>
          <w:i/>
          <w:iCs/>
        </w:rPr>
        <w:t xml:space="preserve">Forme Nystatine seule :</w:t>
      </w:r>
      <w:r>
        <w:t xml:space="preserve"> </w:t>
      </w:r>
      <w:r>
        <w:t xml:space="preserve">-</w:t>
      </w:r>
      <w:r>
        <w:t xml:space="preserve"> </w:t>
      </w:r>
      <w:r>
        <w:rPr>
          <w:b/>
          <w:bCs/>
        </w:rPr>
        <w:t xml:space="preserve">MYCOTINE</w:t>
      </w:r>
      <w:r>
        <w:t xml:space="preserve"> </w:t>
      </w:r>
      <w:r>
        <w:t xml:space="preserve">(GROUPE SAIDAL) — Pommade dermique 100 000 UI/g, tube 15 g —</w:t>
      </w:r>
      <w:r>
        <w:t xml:space="preserve"> </w:t>
      </w:r>
      <w:r>
        <w:rPr>
          <w:b/>
          <w:bCs/>
        </w:rPr>
        <w:t xml:space="preserve">Actif</w:t>
      </w:r>
      <w:r>
        <w:t xml:space="preserve"> </w:t>
      </w:r>
      <w:r>
        <w:t xml:space="preserve">-</w:t>
      </w:r>
      <w:r>
        <w:t xml:space="preserve"> </w:t>
      </w:r>
      <w:r>
        <w:rPr>
          <w:b/>
          <w:bCs/>
        </w:rPr>
        <w:t xml:space="preserve">LIFENYSTIN</w:t>
      </w:r>
      <w:r>
        <w:t xml:space="preserve"> </w:t>
      </w:r>
      <w:r>
        <w:t xml:space="preserve">(LIFEPHARMA) — Comprimés gynécologiques 100 000 UI, boîte de 12 — Non Renouvelable</w:t>
      </w:r>
      <w:r>
        <w:t xml:space="preserve"> </w:t>
      </w:r>
      <w:r>
        <w:t xml:space="preserve">-</w:t>
      </w:r>
      <w:r>
        <w:t xml:space="preserve"> </w:t>
      </w:r>
      <w:r>
        <w:rPr>
          <w:b/>
          <w:bCs/>
        </w:rPr>
        <w:t xml:space="preserve">MYCOSTATINE</w:t>
      </w:r>
      <w:r>
        <w:t xml:space="preserve"> </w:t>
      </w:r>
      <w:r>
        <w:t xml:space="preserve">(BRISTOL MYERS SQUIBB) — Comprimés gynécologiques 100 000 UI, boîte de 12 — Non Renouvelable</w:t>
      </w:r>
      <w:r>
        <w:t xml:space="preserve"> </w:t>
      </w:r>
      <w:r>
        <w:t xml:space="preserve">-</w:t>
      </w:r>
      <w:r>
        <w:t xml:space="preserve"> </w:t>
      </w:r>
      <w:r>
        <w:rPr>
          <w:b/>
          <w:bCs/>
        </w:rPr>
        <w:t xml:space="preserve">LIFENYSTIN</w:t>
      </w:r>
      <w:r>
        <w:t xml:space="preserve"> </w:t>
      </w:r>
      <w:r>
        <w:t xml:space="preserve">(LIFEPHARMA) — Comprimé pelliculé 500 000 UI, boîte de 16 — Non Renouvelable</w:t>
      </w:r>
      <w:r>
        <w:t xml:space="preserve"> </w:t>
      </w:r>
      <w:r>
        <w:t xml:space="preserve">-</w:t>
      </w:r>
      <w:r>
        <w:t xml:space="preserve"> </w:t>
      </w:r>
      <w:r>
        <w:rPr>
          <w:b/>
          <w:bCs/>
        </w:rPr>
        <w:t xml:space="preserve">NYSTAR</w:t>
      </w:r>
      <w:r>
        <w:t xml:space="preserve"> </w:t>
      </w:r>
      <w:r>
        <w:t xml:space="preserve">(BIOVITAL Sarl) — Suspension buvable gouttes 100 000 UI, flacon gouttes 30 mL — Non Renouvelable</w:t>
      </w:r>
    </w:p>
    <w:p>
      <w:pPr>
        <w:pStyle w:val="BodyText"/>
      </w:pPr>
      <w:r>
        <w:rPr>
          <w:i/>
          <w:iCs/>
        </w:rPr>
        <w:t xml:space="preserve">Spécialités retirées (R) :</w:t>
      </w:r>
      <w:r>
        <w:t xml:space="preserve"> </w:t>
      </w:r>
      <w:r>
        <w:t xml:space="preserve">-</w:t>
      </w:r>
      <w:r>
        <w:t xml:space="preserve"> </w:t>
      </w:r>
      <w:r>
        <w:rPr>
          <w:b/>
          <w:bCs/>
        </w:rPr>
        <w:t xml:space="preserve">MYCOLOG</w:t>
      </w:r>
      <w:r>
        <w:t xml:space="preserve"> </w:t>
      </w:r>
      <w:r>
        <w:t xml:space="preserve">(BRISTOL MYERS SQUIBB) — PDE derm., nystatine 1 MUI + triamcinolone 10 mg + néomycine 25 000 UI / 10 g, tube 10 g — (R)</w:t>
      </w:r>
      <w:r>
        <w:t xml:space="preserve"> </w:t>
      </w:r>
      <w:r>
        <w:t xml:space="preserve">-</w:t>
      </w:r>
      <w:r>
        <w:t xml:space="preserve"> </w:t>
      </w:r>
      <w:r>
        <w:rPr>
          <w:b/>
          <w:bCs/>
        </w:rPr>
        <w:t xml:space="preserve">CRONOLONE-NEO-NISTA</w:t>
      </w:r>
      <w:r>
        <w:t xml:space="preserve"> </w:t>
      </w:r>
      <w:r>
        <w:t xml:space="preserve">(CROVIS PHILCOM) — PDE derm., 10 MUI + 0,1 g + 0,25 g / 100 g, tube 15 g — (R)</w:t>
      </w:r>
      <w:r>
        <w:t xml:space="preserve"> </w:t>
      </w:r>
      <w:r>
        <w:t xml:space="preserve">-</w:t>
      </w:r>
      <w:r>
        <w:t xml:space="preserve"> </w:t>
      </w:r>
      <w:r>
        <w:rPr>
          <w:b/>
          <w:bCs/>
        </w:rPr>
        <w:t xml:space="preserve">NYSTAMED</w:t>
      </w:r>
      <w:r>
        <w:t xml:space="preserve"> </w:t>
      </w:r>
      <w:r>
        <w:t xml:space="preserve">(MEDI PHARMA INTERNATIONAL / MEDICOLABS SYRIE) — Crème dermique 100 000 UI/g, tube 20 g — (R)</w:t>
      </w:r>
      <w:r>
        <w:t xml:space="preserve"> </w:t>
      </w:r>
      <w:r>
        <w:t xml:space="preserve">-</w:t>
      </w:r>
      <w:r>
        <w:t xml:space="preserve"> </w:t>
      </w:r>
      <w:r>
        <w:rPr>
          <w:b/>
          <w:bCs/>
        </w:rPr>
        <w:t xml:space="preserve">DERMOSA CUSI NYSTATINE</w:t>
      </w:r>
      <w:r>
        <w:t xml:space="preserve"> </w:t>
      </w:r>
      <w:r>
        <w:t xml:space="preserve">(CUSI) — PDE derm. 100 000 UI/g, tube 30 g — (R)</w:t>
      </w:r>
      <w:r>
        <w:t xml:space="preserve"> </w:t>
      </w:r>
      <w:r>
        <w:t xml:space="preserve">-</w:t>
      </w:r>
      <w:r>
        <w:t xml:space="preserve"> </w:t>
      </w:r>
      <w:r>
        <w:rPr>
          <w:b/>
          <w:bCs/>
        </w:rPr>
        <w:t xml:space="preserve">MYCOSTATINE</w:t>
      </w:r>
      <w:r>
        <w:t xml:space="preserve"> </w:t>
      </w:r>
      <w:r>
        <w:t xml:space="preserve">(BRISTOL MYERS SQUIBB) — Comprimé enrobé 500 000 UI, boîte de 12 — (R)</w:t>
      </w:r>
      <w:r>
        <w:t xml:space="preserve"> </w:t>
      </w:r>
      <w:r>
        <w:t xml:space="preserve">-</w:t>
      </w:r>
      <w:r>
        <w:t xml:space="preserve"> </w:t>
      </w:r>
      <w:r>
        <w:rPr>
          <w:b/>
          <w:bCs/>
        </w:rPr>
        <w:t xml:space="preserve">MYCOTINE</w:t>
      </w:r>
      <w:r>
        <w:t xml:space="preserve"> </w:t>
      </w:r>
      <w:r>
        <w:t xml:space="preserve">(SAIDAL) — Dragées 500 000 UI, boîte de 16 — (R)</w:t>
      </w:r>
    </w:p>
    <w:p>
      <w:pPr>
        <w:pStyle w:val="BodyText"/>
      </w:pPr>
      <w:r>
        <w:rPr>
          <w:b/>
          <w:bCs/>
        </w:rPr>
        <w:t xml:space="preserve">Sous-classe et Mécanisme d’action :</w:t>
      </w:r>
    </w:p>
    <w:p>
      <w:pPr>
        <w:pStyle w:val="Compact"/>
        <w:numPr>
          <w:ilvl w:val="0"/>
          <w:numId w:val="1033"/>
        </w:numPr>
      </w:pPr>
      <w:r>
        <w:rPr>
          <w:b/>
          <w:bCs/>
        </w:rPr>
        <w:t xml:space="preserve">Sous-classe</w:t>
      </w:r>
      <w:r>
        <w:t xml:space="preserve"> </w:t>
      </w:r>
      <w:r>
        <w:t xml:space="preserve">: Polyène macrocyclique tétraénique ; antifongique topique de spectre étroit (essentiellement</w:t>
      </w:r>
      <w:r>
        <w:t xml:space="preserve"> </w:t>
      </w:r>
      <w:r>
        <w:rPr>
          <w:i/>
          <w:iCs/>
        </w:rPr>
        <w:t xml:space="preserve">Candida</w:t>
      </w:r>
      <w:r>
        <w:t xml:space="preserve">), fungicide.</w:t>
      </w:r>
    </w:p>
    <w:p>
      <w:pPr>
        <w:pStyle w:val="Compact"/>
        <w:numPr>
          <w:ilvl w:val="0"/>
          <w:numId w:val="1033"/>
        </w:numPr>
      </w:pPr>
      <w:r>
        <w:rPr>
          <w:b/>
          <w:bCs/>
        </w:rPr>
        <w:t xml:space="preserve">Mécanisme d’action</w:t>
      </w:r>
      <w:r>
        <w:t xml:space="preserve"> </w:t>
      </w:r>
      <w:r>
        <w:t xml:space="preserve">: Identique à celui de l’amphotéricine B — liaison stéréospécifique à l’ergostérol membranaire des levures, assemblage en pore transmembranaire, fuite ionique (K⁺, Mg²⁺), dépolarisation, acidification cytosolique et lyse osmotique. Le tétraène est légèrement moins affine pour l’ergostérol que l’heptaène, ce qui se traduit par une activité antifongique légèrement inférieure mais aussi une toxicité systémique plus marquée (d’où l’exclusivité de l’usage topique). Spectre : principalement</w:t>
      </w:r>
      <w:r>
        <w:t xml:space="preserve"> </w:t>
      </w:r>
      <w:r>
        <w:rPr>
          <w:i/>
          <w:iCs/>
        </w:rPr>
        <w:t xml:space="preserve">Candida albicans</w:t>
      </w:r>
      <w:r>
        <w:t xml:space="preserve"> </w:t>
      </w:r>
      <w:r>
        <w:t xml:space="preserve">et autres</w:t>
      </w:r>
      <w:r>
        <w:t xml:space="preserve"> </w:t>
      </w:r>
      <w:r>
        <w:rPr>
          <w:i/>
          <w:iCs/>
        </w:rPr>
        <w:t xml:space="preserve">Candida</w:t>
      </w:r>
      <w:r>
        <w:t xml:space="preserve"> </w:t>
      </w:r>
      <w:r>
        <w:t xml:space="preserve">sp. ; inactive sur les dermatophytes (</w:t>
      </w:r>
      <w:r>
        <w:rPr>
          <w:i/>
          <w:iCs/>
        </w:rPr>
        <w:t xml:space="preserve">Trichophyton, Microsporum, Epidermophyton</w:t>
      </w:r>
      <w:r>
        <w:t xml:space="preserve">) et sur les moisissures. Aucune action antibactérienne ni antivirale.</w:t>
      </w:r>
    </w:p>
    <w:p>
      <w:pPr>
        <w:pStyle w:val="FirstParagraph"/>
      </w:pPr>
      <w:r>
        <w:rPr>
          <w:b/>
          <w:bCs/>
        </w:rPr>
        <w:t xml:space="preserve">Profil Pharmacologique :</w:t>
      </w:r>
    </w:p>
    <w:p>
      <w:pPr>
        <w:pStyle w:val="Compact"/>
        <w:numPr>
          <w:ilvl w:val="0"/>
          <w:numId w:val="1034"/>
        </w:numPr>
      </w:pPr>
      <w:r>
        <w:rPr>
          <w:b/>
          <w:bCs/>
        </w:rPr>
        <w:t xml:space="preserve">Indications</w:t>
      </w:r>
      <w:r>
        <w:t xml:space="preserve"> </w:t>
      </w:r>
      <w:r>
        <w:t xml:space="preserve">:</w:t>
      </w:r>
    </w:p>
    <w:p>
      <w:pPr>
        <w:pStyle w:val="Compact"/>
        <w:numPr>
          <w:ilvl w:val="1"/>
          <w:numId w:val="1035"/>
        </w:numPr>
      </w:pPr>
      <w:r>
        <w:rPr>
          <w:i/>
          <w:iCs/>
        </w:rPr>
        <w:t xml:space="preserve">Candidoses cutanéo-muqueuses</w:t>
      </w:r>
      <w:r>
        <w:t xml:space="preserve"> </w:t>
      </w:r>
      <w:r>
        <w:t xml:space="preserve">: muguet buccal du nourrisson, perlèche candidosique, candidose du pli (intertrigo interdigital, inguinal, sous-mammaire), candidose anale, balanite candidosique.</w:t>
      </w:r>
    </w:p>
    <w:p>
      <w:pPr>
        <w:pStyle w:val="Compact"/>
        <w:numPr>
          <w:ilvl w:val="1"/>
          <w:numId w:val="1035"/>
        </w:numPr>
      </w:pPr>
      <w:r>
        <w:rPr>
          <w:i/>
          <w:iCs/>
        </w:rPr>
        <w:t xml:space="preserve">Candidose vaginale</w:t>
      </w:r>
      <w:r>
        <w:t xml:space="preserve"> </w:t>
      </w:r>
      <w:r>
        <w:t xml:space="preserve">: ovules gynécologiques à 100 000 UI en traitement de 14 jours.</w:t>
      </w:r>
    </w:p>
    <w:p>
      <w:pPr>
        <w:pStyle w:val="Compact"/>
        <w:numPr>
          <w:ilvl w:val="1"/>
          <w:numId w:val="1035"/>
        </w:numPr>
      </w:pPr>
      <w:r>
        <w:rPr>
          <w:i/>
          <w:iCs/>
        </w:rPr>
        <w:t xml:space="preserve">Candidose digestive</w:t>
      </w:r>
      <w:r>
        <w:t xml:space="preserve"> </w:t>
      </w:r>
      <w:r>
        <w:t xml:space="preserve">: suspension buvable ou comprimés oraux pour le traitement de la candidose oropharyngée et œsophagienne, et la décontamination digestive chez l’immunodéprimé.</w:t>
      </w:r>
    </w:p>
    <w:p>
      <w:pPr>
        <w:pStyle w:val="Compact"/>
        <w:numPr>
          <w:ilvl w:val="1"/>
          <w:numId w:val="1035"/>
        </w:numPr>
      </w:pPr>
      <w:r>
        <w:rPr>
          <w:i/>
          <w:iCs/>
        </w:rPr>
        <w:t xml:space="preserve">Associations fixes avec triamcinolone + néomycine</w:t>
      </w:r>
      <w:r>
        <w:t xml:space="preserve"> </w:t>
      </w:r>
      <w:r>
        <w:t xml:space="preserve">: dermatoses mixtes où coexistent inflammation, surinfection bactérienne et candidose (eczéma surinfecté, otite externe, intertrigo surinfecté).</w:t>
      </w:r>
    </w:p>
    <w:p>
      <w:pPr>
        <w:pStyle w:val="Compact"/>
        <w:numPr>
          <w:ilvl w:val="0"/>
          <w:numId w:val="1034"/>
        </w:numPr>
      </w:pPr>
      <w:r>
        <w:rPr>
          <w:b/>
          <w:bCs/>
        </w:rPr>
        <w:t xml:space="preserve">Contre-indications</w:t>
      </w:r>
      <w:r>
        <w:t xml:space="preserve"> </w:t>
      </w:r>
      <w:r>
        <w:t xml:space="preserve">: hypersensibilité à la nystatine ou aux excipients ; hypersensibilité croisée possible avec les autres polyènes. L’association fixe avec triamcinolone + néomycine est contre-indiquée en cas de lésions ulcérées, de plaies ouvertes, d’infections virales cutanées (herpès, varicelle, zona) et chez le nourrisson de moins de 2 ans pour application sur peau lésée étendue (risque systémique de corticoïde + aminoside).</w:t>
      </w:r>
    </w:p>
    <w:p>
      <w:pPr>
        <w:pStyle w:val="Compact"/>
        <w:numPr>
          <w:ilvl w:val="0"/>
          <w:numId w:val="1034"/>
        </w:numPr>
      </w:pPr>
      <w:r>
        <w:rPr>
          <w:b/>
          <w:bCs/>
        </w:rPr>
        <w:t xml:space="preserve">Effets Indésirables</w:t>
      </w:r>
      <w:r>
        <w:t xml:space="preserve"> </w:t>
      </w:r>
      <w:r>
        <w:t xml:space="preserve">:</w:t>
      </w:r>
    </w:p>
    <w:p>
      <w:pPr>
        <w:pStyle w:val="Compact"/>
        <w:numPr>
          <w:ilvl w:val="1"/>
          <w:numId w:val="1036"/>
        </w:numPr>
      </w:pPr>
      <w:r>
        <w:rPr>
          <w:i/>
          <w:iCs/>
        </w:rPr>
        <w:t xml:space="preserve">Topique cutané</w:t>
      </w:r>
      <w:r>
        <w:t xml:space="preserve"> </w:t>
      </w:r>
      <w:r>
        <w:t xml:space="preserve">: sensation de brûlure transitoire, prurit, érythème local, dermatite de contact allergique rare.</w:t>
      </w:r>
    </w:p>
    <w:p>
      <w:pPr>
        <w:pStyle w:val="Compact"/>
        <w:numPr>
          <w:ilvl w:val="1"/>
          <w:numId w:val="1036"/>
        </w:numPr>
      </w:pPr>
      <w:r>
        <w:rPr>
          <w:i/>
          <w:iCs/>
        </w:rPr>
        <w:t xml:space="preserve">Buccal/digestif</w:t>
      </w:r>
      <w:r>
        <w:t xml:space="preserve"> </w:t>
      </w:r>
      <w:r>
        <w:t xml:space="preserve">: nausées, vomissements, diarrhée (surtout à haute dose), goût amer, irritation buccale.</w:t>
      </w:r>
    </w:p>
    <w:p>
      <w:pPr>
        <w:pStyle w:val="Compact"/>
        <w:numPr>
          <w:ilvl w:val="1"/>
          <w:numId w:val="1036"/>
        </w:numPr>
      </w:pPr>
      <w:r>
        <w:rPr>
          <w:i/>
          <w:iCs/>
        </w:rPr>
        <w:t xml:space="preserve">Vaginal</w:t>
      </w:r>
      <w:r>
        <w:t xml:space="preserve"> </w:t>
      </w:r>
      <w:r>
        <w:t xml:space="preserve">: sensation de brûlure locale, irritation, leucorrhées accrues transitoirement.</w:t>
      </w:r>
    </w:p>
    <w:p>
      <w:pPr>
        <w:pStyle w:val="Compact"/>
        <w:numPr>
          <w:ilvl w:val="1"/>
          <w:numId w:val="1036"/>
        </w:numPr>
      </w:pPr>
      <w:r>
        <w:rPr>
          <w:i/>
          <w:iCs/>
        </w:rPr>
        <w:t xml:space="preserve">Forme associée</w:t>
      </w:r>
      <w:r>
        <w:t xml:space="preserve"> </w:t>
      </w:r>
      <w:r>
        <w:t xml:space="preserve">: aux EI de la nystatine s’ajoutent ceux de la triamcinolone (atrophie cutanée en cas d’usage prolongé, télangiectasies, dermite périorale, effet stéroïdien systémique en cas d’application étendue ou sous occlusion) et ceux de la néomycine (sensibilisation cutanée de contact, risque ototoxique en cas d’application sur peau lésée étendue).</w:t>
      </w:r>
    </w:p>
    <w:p>
      <w:pPr>
        <w:pStyle w:val="FirstParagraph"/>
      </w:pPr>
      <w:r>
        <w:rPr>
          <w:b/>
          <w:bCs/>
        </w:rPr>
        <w:t xml:space="preserve">Prévention et Gestion des Effets Indésirables :</w:t>
      </w:r>
    </w:p>
    <w:p>
      <w:pPr>
        <w:pStyle w:val="Compact"/>
        <w:numPr>
          <w:ilvl w:val="0"/>
          <w:numId w:val="1037"/>
        </w:numPr>
      </w:pPr>
      <w:r>
        <w:rPr>
          <w:b/>
          <w:bCs/>
        </w:rPr>
        <w:t xml:space="preserve">Mesures Préventives</w:t>
      </w:r>
      <w:r>
        <w:t xml:space="preserve"> </w:t>
      </w:r>
      <w:r>
        <w:t xml:space="preserve">:</w:t>
      </w:r>
    </w:p>
    <w:p>
      <w:pPr>
        <w:pStyle w:val="Compact"/>
        <w:numPr>
          <w:ilvl w:val="1"/>
          <w:numId w:val="1038"/>
        </w:numPr>
      </w:pPr>
      <w:r>
        <w:rPr>
          <w:i/>
          <w:iCs/>
        </w:rPr>
        <w:t xml:space="preserve">Durée de traitement limitée</w:t>
      </w:r>
      <w:r>
        <w:t xml:space="preserve"> </w:t>
      </w:r>
      <w:r>
        <w:t xml:space="preserve">pour la forme associée à la triamcinolone + néomycine : ne pas dépasser 7 à 14 jours sur peau lésée et 4 semaines sur peau saine, en raison du risque d’atrophie cutanée cortisonée et de sensibilisation à la néomycine.</w:t>
      </w:r>
    </w:p>
    <w:p>
      <w:pPr>
        <w:pStyle w:val="Compact"/>
        <w:numPr>
          <w:ilvl w:val="1"/>
          <w:numId w:val="1038"/>
        </w:numPr>
      </w:pPr>
      <w:r>
        <w:rPr>
          <w:i/>
          <w:iCs/>
        </w:rPr>
        <w:t xml:space="preserve">Éviter l’application sous pansement occlusif</w:t>
      </w:r>
      <w:r>
        <w:t xml:space="preserve"> </w:t>
      </w:r>
      <w:r>
        <w:t xml:space="preserve">qui majore le passage systémique de la triamcinolone.</w:t>
      </w:r>
    </w:p>
    <w:p>
      <w:pPr>
        <w:pStyle w:val="Compact"/>
        <w:numPr>
          <w:ilvl w:val="1"/>
          <w:numId w:val="1038"/>
        </w:numPr>
      </w:pPr>
      <w:r>
        <w:rPr>
          <w:i/>
          <w:iCs/>
        </w:rPr>
        <w:t xml:space="preserve">Respecter les contre-indications</w:t>
      </w:r>
      <w:r>
        <w:t xml:space="preserve"> </w:t>
      </w:r>
      <w:r>
        <w:t xml:space="preserve">(lésions virales, dermatoses rosacéiformes, perlèche unilatérale évoquant un herpès).</w:t>
      </w:r>
    </w:p>
    <w:p>
      <w:pPr>
        <w:pStyle w:val="Compact"/>
        <w:numPr>
          <w:ilvl w:val="1"/>
          <w:numId w:val="1038"/>
        </w:numPr>
      </w:pPr>
      <w:r>
        <w:rPr>
          <w:i/>
          <w:iCs/>
        </w:rPr>
        <w:t xml:space="preserve">Ne pas appliquer</w:t>
      </w:r>
      <w:r>
        <w:t xml:space="preserve"> </w:t>
      </w:r>
      <w:r>
        <w:t xml:space="preserve">la forme associée sur l’œil, le conduit auditif en cas de tympan perforé, ni sur le visage du nourrisson sans avis médical.</w:t>
      </w:r>
    </w:p>
    <w:p>
      <w:pPr>
        <w:pStyle w:val="Compact"/>
        <w:numPr>
          <w:ilvl w:val="0"/>
          <w:numId w:val="1037"/>
        </w:numPr>
      </w:pPr>
      <w:r>
        <w:rPr>
          <w:b/>
          <w:bCs/>
        </w:rPr>
        <w:t xml:space="preserve">Conduite à Tenir</w:t>
      </w:r>
      <w:r>
        <w:t xml:space="preserve"> </w:t>
      </w:r>
      <w:r>
        <w:t xml:space="preserve">:</w:t>
      </w:r>
    </w:p>
    <w:p>
      <w:pPr>
        <w:pStyle w:val="Compact"/>
        <w:numPr>
          <w:ilvl w:val="1"/>
          <w:numId w:val="1039"/>
        </w:numPr>
      </w:pPr>
      <w:r>
        <w:rPr>
          <w:i/>
          <w:iCs/>
        </w:rPr>
        <w:t xml:space="preserve">Dermatite de contact</w:t>
      </w:r>
      <w:r>
        <w:t xml:space="preserve"> </w:t>
      </w:r>
      <w:r>
        <w:t xml:space="preserve">: arrêt, relais par antifongique topique d’une autre classe (imidazolé topique), dermocorticoïde léger si composante inflammatoire marquée.</w:t>
      </w:r>
    </w:p>
    <w:p>
      <w:pPr>
        <w:pStyle w:val="Compact"/>
        <w:numPr>
          <w:ilvl w:val="1"/>
          <w:numId w:val="1039"/>
        </w:numPr>
      </w:pPr>
      <w:r>
        <w:rPr>
          <w:i/>
          <w:iCs/>
        </w:rPr>
        <w:t xml:space="preserve">Aggravation ou absence d’amélioration après 7 jours</w:t>
      </w:r>
      <w:r>
        <w:t xml:space="preserve"> </w:t>
      </w:r>
      <w:r>
        <w:t xml:space="preserve">: réévaluation médicale (recherche d’une résistance, d’un diagnostic erroné — dermatophytie et non candidose, ou d’une surinfection bactérienne profonde).</w:t>
      </w:r>
    </w:p>
    <w:p>
      <w:pPr>
        <w:pStyle w:val="Compact"/>
        <w:numPr>
          <w:ilvl w:val="1"/>
          <w:numId w:val="1039"/>
        </w:numPr>
      </w:pPr>
      <w:r>
        <w:rPr>
          <w:i/>
          <w:iCs/>
        </w:rPr>
        <w:t xml:space="preserve">Atrophie cutanée sous corticothérapie locale prolongée</w:t>
      </w:r>
      <w:r>
        <w:t xml:space="preserve"> </w:t>
      </w:r>
      <w:r>
        <w:t xml:space="preserve">: arrêt progressif, relais par émollients.</w:t>
      </w:r>
    </w:p>
    <w:p>
      <w:pPr>
        <w:pStyle w:val="FirstParagraph"/>
      </w:pPr>
      <w:r>
        <w:rPr>
          <w:b/>
          <w:bCs/>
        </w:rPr>
        <w:t xml:space="preserve">Interactions Importantes :</w:t>
      </w:r>
    </w:p>
    <w:p>
      <w:pPr>
        <w:pStyle w:val="Compact"/>
        <w:numPr>
          <w:ilvl w:val="0"/>
          <w:numId w:val="1040"/>
        </w:numPr>
      </w:pPr>
      <w:r>
        <w:t xml:space="preserve">La nystatine en forme topique n’a</w:t>
      </w:r>
      <w:r>
        <w:t xml:space="preserve"> </w:t>
      </w:r>
      <w:r>
        <w:rPr>
          <w:b/>
          <w:bCs/>
        </w:rPr>
        <w:t xml:space="preserve">pas d’interactions systémiques significatives</w:t>
      </w:r>
      <w:r>
        <w:t xml:space="preserve"> </w:t>
      </w:r>
      <w:r>
        <w:t xml:space="preserve">en raison de son absorption nulle.</w:t>
      </w:r>
    </w:p>
    <w:p>
      <w:pPr>
        <w:pStyle w:val="Compact"/>
        <w:numPr>
          <w:ilvl w:val="0"/>
          <w:numId w:val="1040"/>
        </w:numPr>
      </w:pPr>
      <w:r>
        <w:t xml:space="preserve">L’association fixe avec néomycine expose au risque de</w:t>
      </w:r>
      <w:r>
        <w:t xml:space="preserve"> </w:t>
      </w:r>
      <w:r>
        <w:rPr>
          <w:b/>
          <w:bCs/>
        </w:rPr>
        <w:t xml:space="preserve">sensibilisation croisée</w:t>
      </w:r>
      <w:r>
        <w:t xml:space="preserve"> </w:t>
      </w:r>
      <w:r>
        <w:t xml:space="preserve">avec les autres aminosides (gentamicine, amikacine, tobramycine) — un patient sensibilisé à la néomycine topique peut développer une allergie systémique grave à un aminoside injectable ultérieur. Toujours noter l’allergie à la néomycine dans le dossier pharmaceutique.</w:t>
      </w:r>
    </w:p>
    <w:p>
      <w:pPr>
        <w:pStyle w:val="Compact"/>
        <w:numPr>
          <w:ilvl w:val="0"/>
          <w:numId w:val="1040"/>
        </w:numPr>
      </w:pPr>
      <w:r>
        <w:t xml:space="preserve">L’association fixe avec triamcinolone peut</w:t>
      </w:r>
      <w:r>
        <w:t xml:space="preserve"> </w:t>
      </w:r>
      <w:r>
        <w:rPr>
          <w:b/>
          <w:bCs/>
        </w:rPr>
        <w:t xml:space="preserve">interférer avec les tests cutanés allergologiques</w:t>
      </w:r>
      <w:r>
        <w:t xml:space="preserve"> </w:t>
      </w:r>
      <w:r>
        <w:t xml:space="preserve">(diminution de la réactivité locale) — respecter un délai de 2 semaines après arrêt avant les tests.</w:t>
      </w:r>
    </w:p>
    <w:p>
      <w:pPr>
        <w:pStyle w:val="Compact"/>
        <w:numPr>
          <w:ilvl w:val="0"/>
          <w:numId w:val="1040"/>
        </w:numPr>
      </w:pPr>
      <w:r>
        <w:t xml:space="preserve">Éviter l’application concomitante d’autres topiques cutanés sur la même zone (espacer de 15 minutes minimum).</w:t>
      </w:r>
    </w:p>
    <w:p>
      <w:pPr>
        <w:pStyle w:val="FirstParagraph"/>
      </w:pPr>
      <w:r>
        <w:rPr>
          <w:b/>
          <w:bCs/>
        </w:rPr>
        <w:t xml:space="preserve">Grossesse et Allaitement :</w:t>
      </w:r>
    </w:p>
    <w:p>
      <w:pPr>
        <w:pStyle w:val="Compact"/>
        <w:numPr>
          <w:ilvl w:val="0"/>
          <w:numId w:val="1041"/>
        </w:numPr>
      </w:pPr>
      <w:r>
        <w:rPr>
          <w:b/>
          <w:bCs/>
        </w:rPr>
        <w:t xml:space="preserve">Grossesse</w:t>
      </w:r>
      <w:r>
        <w:t xml:space="preserve"> </w:t>
      </w:r>
      <w:r>
        <w:t xml:space="preserve">: Selon le CRAT, la nystatine est l’</w:t>
      </w:r>
      <w:r>
        <w:rPr>
          <w:b/>
          <w:bCs/>
        </w:rPr>
        <w:t xml:space="preserve">antifongique topique de choix au cours de la grossesse</w:t>
      </w:r>
      <w:r>
        <w:t xml:space="preserve">, en particulier pour les candidoses vaginales (extrêmement fréquentes en raison de l’imprégnation œstrogénique et de la glycosurie gravidique). La molécule n’est pas absorbée systémiquement et aucun effet tératogène n’a été rapporté. Pour la candidose vaginale gravidique, préférer la nystatine ovules (14 jours) ou le clotrimazole ovules à faible dose ; éviter le miconazole vaginal au 1ᵉʳ trimestre en raison d’un possible sur-risque obstétrical discuté. Pour les formes associées contenant un corticoïde et un aminoside, à utiliser avec prudence et sur avis médical, en évitant l’application étendue ou prolongée.</w:t>
      </w:r>
    </w:p>
    <w:p>
      <w:pPr>
        <w:pStyle w:val="Compact"/>
        <w:numPr>
          <w:ilvl w:val="0"/>
          <w:numId w:val="1041"/>
        </w:numPr>
      </w:pPr>
      <w:r>
        <w:rPr>
          <w:b/>
          <w:bCs/>
        </w:rPr>
        <w:t xml:space="preserve">Allaitement</w:t>
      </w:r>
      <w:r>
        <w:t xml:space="preserve"> </w:t>
      </w:r>
      <w:r>
        <w:t xml:space="preserve">: Compatible avec l’allaitement pour la nystatine seule. Pour la forme associée, éviter l’application sur le sein avant la tétée (risque d’ingestion de corticoïde et d’aminoside par le nourrisson) ; nettoyer soigneusement le mamelon avant la tétée.</w:t>
      </w:r>
    </w:p>
    <w:p>
      <w:pPr>
        <w:pStyle w:val="Compact"/>
        <w:numPr>
          <w:ilvl w:val="0"/>
          <w:numId w:val="1041"/>
        </w:numPr>
      </w:pPr>
      <w:r>
        <w:rPr>
          <w:b/>
          <w:bCs/>
        </w:rPr>
        <w:t xml:space="preserve">Précisions</w:t>
      </w:r>
      <w:r>
        <w:t xml:space="preserve"> </w:t>
      </w:r>
      <w:r>
        <w:t xml:space="preserve">: La suspension buvable de nystatine est le traitement de première intention du muguet buccal du nourrisson, y compris chez le prématuré.</w:t>
      </w:r>
    </w:p>
    <w:p>
      <w:pPr>
        <w:pStyle w:val="FirstParagraph"/>
      </w:pPr>
      <w:r>
        <w:rPr>
          <w:b/>
          <w:bCs/>
        </w:rPr>
        <w:t xml:space="preserve">Posologie et Mode d’administration (Standard) :</w:t>
      </w:r>
    </w:p>
    <w:p>
      <w:pPr>
        <w:pStyle w:val="Compact"/>
        <w:numPr>
          <w:ilvl w:val="0"/>
          <w:numId w:val="1042"/>
        </w:numPr>
      </w:pPr>
      <w:r>
        <w:rPr>
          <w:b/>
          <w:bCs/>
        </w:rPr>
        <w:t xml:space="preserve">Adulte</w:t>
      </w:r>
      <w:r>
        <w:t xml:space="preserve"> </w:t>
      </w:r>
      <w:r>
        <w:t xml:space="preserve">:</w:t>
      </w:r>
    </w:p>
    <w:p>
      <w:pPr>
        <w:pStyle w:val="Compact"/>
        <w:numPr>
          <w:ilvl w:val="1"/>
          <w:numId w:val="1043"/>
        </w:numPr>
      </w:pPr>
      <w:r>
        <w:rPr>
          <w:i/>
          <w:iCs/>
        </w:rPr>
        <w:t xml:space="preserve">Pommade dermique</w:t>
      </w:r>
      <w:r>
        <w:t xml:space="preserve"> </w:t>
      </w:r>
      <w:r>
        <w:t xml:space="preserve">(Nystatine seule, 100 000 UI/g) : 2 à 3 applications par jour sur peau propre et sèche, pendant 2 à 4 semaines.</w:t>
      </w:r>
    </w:p>
    <w:p>
      <w:pPr>
        <w:pStyle w:val="Compact"/>
        <w:numPr>
          <w:ilvl w:val="1"/>
          <w:numId w:val="1043"/>
        </w:numPr>
      </w:pPr>
      <w:r>
        <w:rPr>
          <w:i/>
          <w:iCs/>
        </w:rPr>
        <w:t xml:space="preserve">Pommade dermique</w:t>
      </w:r>
      <w:r>
        <w:t xml:space="preserve"> </w:t>
      </w:r>
      <w:r>
        <w:t xml:space="preserve">(Nystatine + triamcinolone + néomycine) : 2 applications par jour sur lésion propre, pendant 7 à 14 jours maximum (à réévaluer au-delà).</w:t>
      </w:r>
    </w:p>
    <w:p>
      <w:pPr>
        <w:pStyle w:val="Compact"/>
        <w:numPr>
          <w:ilvl w:val="1"/>
          <w:numId w:val="1043"/>
        </w:numPr>
      </w:pPr>
      <w:r>
        <w:rPr>
          <w:i/>
          <w:iCs/>
        </w:rPr>
        <w:t xml:space="preserve">Comprimés gynécologiques</w:t>
      </w:r>
      <w:r>
        <w:t xml:space="preserve"> </w:t>
      </w:r>
      <w:r>
        <w:t xml:space="preserve">(100 000 UI) : 1 ovule gynécologique par jour au coucher, profondeur vaginale, pendant 14 jours (traitement plus long que les imidazolés à dose unique).</w:t>
      </w:r>
    </w:p>
    <w:p>
      <w:pPr>
        <w:pStyle w:val="Compact"/>
        <w:numPr>
          <w:ilvl w:val="1"/>
          <w:numId w:val="1043"/>
        </w:numPr>
      </w:pPr>
      <w:r>
        <w:rPr>
          <w:i/>
          <w:iCs/>
        </w:rPr>
        <w:t xml:space="preserve">Comprimés oraux</w:t>
      </w:r>
      <w:r>
        <w:t xml:space="preserve"> </w:t>
      </w:r>
      <w:r>
        <w:t xml:space="preserve">(500 000 UI) : 1 à 2 comprimés 3 fois par jour, à sucer ou avaler, pour les candidoses digestives hautes, pendant 7 à 14 jours.</w:t>
      </w:r>
    </w:p>
    <w:p>
      <w:pPr>
        <w:pStyle w:val="Compact"/>
        <w:numPr>
          <w:ilvl w:val="1"/>
          <w:numId w:val="1043"/>
        </w:numPr>
      </w:pPr>
      <w:r>
        <w:rPr>
          <w:i/>
          <w:iCs/>
        </w:rPr>
        <w:t xml:space="preserve">Suspension buvable</w:t>
      </w:r>
      <w:r>
        <w:t xml:space="preserve"> </w:t>
      </w:r>
      <w:r>
        <w:t xml:space="preserve">(100 000 UI/mL) : 4 à 6 mL en bain de bouche 4 fois par jour (à garder 2 min en bouche puis avaler ou recracher selon indication).</w:t>
      </w:r>
    </w:p>
    <w:p>
      <w:pPr>
        <w:pStyle w:val="Compact"/>
        <w:numPr>
          <w:ilvl w:val="0"/>
          <w:numId w:val="1042"/>
        </w:numPr>
      </w:pPr>
      <w:r>
        <w:rPr>
          <w:b/>
          <w:bCs/>
        </w:rPr>
        <w:t xml:space="preserve">Enfant</w:t>
      </w:r>
      <w:r>
        <w:t xml:space="preserve"> </w:t>
      </w:r>
      <w:r>
        <w:t xml:space="preserve">:</w:t>
      </w:r>
    </w:p>
    <w:p>
      <w:pPr>
        <w:pStyle w:val="Compact"/>
        <w:numPr>
          <w:ilvl w:val="1"/>
          <w:numId w:val="1044"/>
        </w:numPr>
      </w:pPr>
      <w:r>
        <w:rPr>
          <w:i/>
          <w:iCs/>
        </w:rPr>
        <w:t xml:space="preserve">Muguet buccal du nourrisson</w:t>
      </w:r>
      <w:r>
        <w:t xml:space="preserve"> </w:t>
      </w:r>
      <w:r>
        <w:t xml:space="preserve">: 1 mL (100 000 UI) dans la bouche après chaque tétée (soit 6 à 8 fois par jour), pendant 10 à 14 jours, à poursuivre 48 h après la disparition des plaques.</w:t>
      </w:r>
    </w:p>
    <w:p>
      <w:pPr>
        <w:pStyle w:val="Compact"/>
        <w:numPr>
          <w:ilvl w:val="1"/>
          <w:numId w:val="1044"/>
        </w:numPr>
      </w:pPr>
      <w:r>
        <w:rPr>
          <w:i/>
          <w:iCs/>
        </w:rPr>
        <w:t xml:space="preserve">Suspension buvable pédiatrique</w:t>
      </w:r>
      <w:r>
        <w:t xml:space="preserve"> </w:t>
      </w:r>
      <w:r>
        <w:t xml:space="preserve">: 100 000 à 200 000 UI 4 fois par jour.</w:t>
      </w:r>
    </w:p>
    <w:p>
      <w:pPr>
        <w:pStyle w:val="Compact"/>
        <w:numPr>
          <w:ilvl w:val="0"/>
          <w:numId w:val="1042"/>
        </w:numPr>
      </w:pPr>
      <w:r>
        <w:rPr>
          <w:b/>
          <w:bCs/>
        </w:rPr>
        <w:t xml:space="preserve">Durée</w:t>
      </w:r>
      <w:r>
        <w:t xml:space="preserve"> </w:t>
      </w:r>
      <w:r>
        <w:t xml:space="preserve">: candidose cutanéo-muqueuse 2 à 4 semaines ; candidose vaginale 14 jours ; candidose digestive 7 à 14 jours ; muguet néonatal 10 à 14 jours.</w:t>
      </w:r>
    </w:p>
    <w:p>
      <w:pPr>
        <w:pStyle w:val="Compact"/>
        <w:numPr>
          <w:ilvl w:val="0"/>
          <w:numId w:val="1042"/>
        </w:numPr>
      </w:pPr>
      <w:r>
        <w:rPr>
          <w:b/>
          <w:bCs/>
        </w:rPr>
        <w:t xml:space="preserve">Moment de prise</w:t>
      </w:r>
      <w:r>
        <w:t xml:space="preserve"> </w:t>
      </w:r>
      <w:r>
        <w:t xml:space="preserve">: application cutanée sur peau sèche et propre, idéalement après la toilette et le séchage soigneux des plis ; ovule vaginal au coucher ; suspension buvable après les repas ou après la tétée chez le nourrisson.</w:t>
      </w:r>
    </w:p>
    <w:p>
      <w:pPr>
        <w:pStyle w:val="FirstParagraph"/>
      </w:pPr>
      <w:r>
        <w:rPr>
          <w:b/>
          <w:bCs/>
        </w:rPr>
        <w:t xml:space="preserve">Arbitrage et Bénéfices des Formes Galéniques :</w:t>
      </w:r>
    </w:p>
    <w:p>
      <w:pPr>
        <w:pStyle w:val="BodyText"/>
      </w:pPr>
      <w:r>
        <w:t xml:space="preserve">La diversité des formes galéniques reflète la pluralité des cibles cliniques :</w:t>
      </w:r>
      <w:r>
        <w:t xml:space="preserve"> </w:t>
      </w:r>
      <w:r>
        <w:rPr>
          <w:b/>
          <w:bCs/>
        </w:rPr>
        <w:t xml:space="preserve">pommade dermique</w:t>
      </w:r>
      <w:r>
        <w:t xml:space="preserve"> </w:t>
      </w:r>
      <w:r>
        <w:t xml:space="preserve">pour les intertrigos et perlèches (graisse, occlusion modérée, bonne adhérence) ;</w:t>
      </w:r>
      <w:r>
        <w:t xml:space="preserve"> </w:t>
      </w:r>
      <w:r>
        <w:rPr>
          <w:b/>
          <w:bCs/>
        </w:rPr>
        <w:t xml:space="preserve">suspension buvable</w:t>
      </w:r>
      <w:r>
        <w:t xml:space="preserve"> </w:t>
      </w:r>
      <w:r>
        <w:t xml:space="preserve">pour le muguet néonatal et les candidoses oropharyngées (contact prolongé par le bain de bouche, suspension stable mais à agiter) ;</w:t>
      </w:r>
      <w:r>
        <w:t xml:space="preserve"> </w:t>
      </w:r>
      <w:r>
        <w:rPr>
          <w:b/>
          <w:bCs/>
        </w:rPr>
        <w:t xml:space="preserve">comprimés oraux</w:t>
      </w:r>
      <w:r>
        <w:t xml:space="preserve"> </w:t>
      </w:r>
      <w:r>
        <w:t xml:space="preserve">pour la décontamination digestive (libération différée le long du tube digestif) ;</w:t>
      </w:r>
      <w:r>
        <w:t xml:space="preserve"> </w:t>
      </w:r>
      <w:r>
        <w:rPr>
          <w:b/>
          <w:bCs/>
        </w:rPr>
        <w:t xml:space="preserve">comprimés gynécologiques</w:t>
      </w:r>
      <w:r>
        <w:t xml:space="preserve"> </w:t>
      </w:r>
      <w:r>
        <w:t xml:space="preserve">pour les candidoses vaginales (libération locale prolongée). La nystatine seule reste particulièrement indiquée dans le muguet du nourrisson — où sa sécurité d’emploi est inégalée — et dans la candidose digestive, où les imidazolés topiques n’ont pas d’AMM.</w:t>
      </w:r>
    </w:p>
    <w:p>
      <w:pPr>
        <w:pStyle w:val="BodyText"/>
      </w:pPr>
      <w:r>
        <w:t xml:space="preserve">L’</w:t>
      </w:r>
      <w:r>
        <w:rPr>
          <w:b/>
          <w:bCs/>
        </w:rPr>
        <w:t xml:space="preserve">association fixe triphasique</w:t>
      </w:r>
      <w:r>
        <w:t xml:space="preserve"> </w:t>
      </w:r>
      <w:r>
        <w:t xml:space="preserve">(nystatine + triamcinolone + néomycine) est une illustration pédagogique intéressante de la polyvalence thérapeutique : elle combine action antifongique (nystatine), anti-inflammatoire (triamcinolone, corticoïde fluoré de puissance modérée à forte) et antibactérienne (néomycine, aminoside à large spectre couvrant staphylocoques et Gram négatifs). Cette combinaison est très utile en pratique dermatologique courante pour les dermatoses mixtes (intertrigo surinfecté, otite externe, eczéma microbien). Cependant, elle expose à la</w:t>
      </w:r>
      <w:r>
        <w:t xml:space="preserve"> </w:t>
      </w:r>
      <w:r>
        <w:rPr>
          <w:b/>
          <w:bCs/>
        </w:rPr>
        <w:t xml:space="preserve">masque des symptômes</w:t>
      </w:r>
      <w:r>
        <w:t xml:space="preserve"> </w:t>
      </w:r>
      <w:r>
        <w:t xml:space="preserve">(la corticothérapie masque l’évolution d’une infection plus profonde) et doit être utilisée sur une durée brève, sous surveillance clinique. Le pharmacien d’officine doit être particulièrement vigilant à la</w:t>
      </w:r>
      <w:r>
        <w:t xml:space="preserve"> </w:t>
      </w:r>
      <w:r>
        <w:rPr>
          <w:b/>
          <w:bCs/>
        </w:rPr>
        <w:t xml:space="preserve">durée d’utilisation</w:t>
      </w:r>
      <w:r>
        <w:t xml:space="preserve"> </w:t>
      </w:r>
      <w:r>
        <w:t xml:space="preserve">et à la</w:t>
      </w:r>
      <w:r>
        <w:t xml:space="preserve"> </w:t>
      </w:r>
      <w:r>
        <w:rPr>
          <w:b/>
          <w:bCs/>
        </w:rPr>
        <w:t xml:space="preserve">surface d’application</w:t>
      </w:r>
      <w:r>
        <w:t xml:space="preserve">.</w:t>
      </w:r>
    </w:p>
    <w:p>
      <w:pPr>
        <w:pStyle w:val="BodyText"/>
      </w:pPr>
      <w:r>
        <w:rPr>
          <w:b/>
          <w:bCs/>
        </w:rPr>
        <w:t xml:space="preserve">Instructions et Conseils au Patient :</w:t>
      </w:r>
    </w:p>
    <w:p>
      <w:pPr>
        <w:pStyle w:val="Compact"/>
        <w:numPr>
          <w:ilvl w:val="0"/>
          <w:numId w:val="1045"/>
        </w:numPr>
      </w:pPr>
      <w:r>
        <w:rPr>
          <w:b/>
          <w:bCs/>
        </w:rPr>
        <w:t xml:space="preserve">Communication au comptoir</w:t>
      </w:r>
      <w:r>
        <w:t xml:space="preserve"> </w:t>
      </w:r>
      <w:r>
        <w:t xml:space="preserve">:</w:t>
      </w:r>
    </w:p>
    <w:p>
      <w:pPr>
        <w:pStyle w:val="Compact"/>
        <w:numPr>
          <w:ilvl w:val="1"/>
          <w:numId w:val="1046"/>
        </w:numPr>
      </w:pPr>
      <w:r>
        <w:t xml:space="preserve">« Pour la pommade : appliquez en couche fine, 2 fois par jour, sur peau propre et parfaitement sèche. Lavez-vous les mains avant et après. Ne dépassez pas 2 semaines pour la forme avec corticoïde (Micotyde, Mycocide, Mycocine, Mycomex) sans avis médical. »</w:t>
      </w:r>
    </w:p>
    <w:p>
      <w:pPr>
        <w:pStyle w:val="Compact"/>
        <w:numPr>
          <w:ilvl w:val="1"/>
          <w:numId w:val="1046"/>
        </w:numPr>
      </w:pPr>
      <w:r>
        <w:t xml:space="preserve">« Pour le muguet du nourrisson : 1 mL dans la bouche après chaque tétée pendant 10 à 14 jours. Continuez 2 jours après la disparition des plaques blanches. »</w:t>
      </w:r>
    </w:p>
    <w:p>
      <w:pPr>
        <w:pStyle w:val="Compact"/>
        <w:numPr>
          <w:ilvl w:val="1"/>
          <w:numId w:val="1046"/>
        </w:numPr>
      </w:pPr>
      <w:r>
        <w:t xml:space="preserve">« Pour l’ovule gynécologique : à insérer profondément au coucher, en position allongée, pendant 14 jours. »</w:t>
      </w:r>
    </w:p>
    <w:p>
      <w:pPr>
        <w:pStyle w:val="Compact"/>
        <w:numPr>
          <w:ilvl w:val="0"/>
          <w:numId w:val="1045"/>
        </w:numPr>
      </w:pPr>
      <w:r>
        <w:rPr>
          <w:b/>
          <w:bCs/>
        </w:rPr>
        <w:t xml:space="preserve">Mode d’utilisation pratique</w:t>
      </w:r>
      <w:r>
        <w:t xml:space="preserve"> </w:t>
      </w:r>
      <w:r>
        <w:t xml:space="preserve">:</w:t>
      </w:r>
    </w:p>
    <w:p>
      <w:pPr>
        <w:pStyle w:val="Compact"/>
        <w:numPr>
          <w:ilvl w:val="1"/>
          <w:numId w:val="1047"/>
        </w:numPr>
      </w:pPr>
      <w:r>
        <w:t xml:space="preserve">Pour les intertrigos : bien sécher les plis (séchoir à air tiède si nécessaire) avant application ; porter des sous-vêtements en coton ; changer de chaussettes quotidiennement ; éviter les vêtements occlusifs (synthétiques, pantalons serrés).</w:t>
      </w:r>
    </w:p>
    <w:p>
      <w:pPr>
        <w:pStyle w:val="Compact"/>
        <w:numPr>
          <w:ilvl w:val="1"/>
          <w:numId w:val="1047"/>
        </w:numPr>
      </w:pPr>
      <w:r>
        <w:t xml:space="preserve">Pour le muguet : stériliser les tétines et biberons par ébullition 20 min ; traiter la mère si elle allaite (recherche de candida au mamelon).</w:t>
      </w:r>
    </w:p>
    <w:p>
      <w:pPr>
        <w:pStyle w:val="Compact"/>
        <w:numPr>
          <w:ilvl w:val="1"/>
          <w:numId w:val="1047"/>
        </w:numPr>
      </w:pPr>
      <w:r>
        <w:t xml:space="preserve">Pour les ovules : préférer une protection périoïodique (tissu) car l’ovule fond et peut tacher les sous-vêtements.</w:t>
      </w:r>
    </w:p>
    <w:p>
      <w:pPr>
        <w:pStyle w:val="FirstParagraph"/>
      </w:pPr>
      <w:r>
        <w:rPr>
          <w:b/>
          <w:bCs/>
        </w:rPr>
        <w:t xml:space="preserve">Notes, Règles d’Or &amp; Pièges au Comptoir :</w:t>
      </w:r>
    </w:p>
    <w:p>
      <w:pPr>
        <w:pStyle w:val="Compact"/>
        <w:numPr>
          <w:ilvl w:val="0"/>
          <w:numId w:val="1048"/>
        </w:numPr>
      </w:pPr>
      <w:r>
        <w:rPr>
          <w:b/>
          <w:bCs/>
        </w:rPr>
        <w:t xml:space="preserve">Piège classique</w:t>
      </w:r>
      <w:r>
        <w:t xml:space="preserve"> </w:t>
      </w:r>
      <w:r>
        <w:t xml:space="preserve">: la nystatine est</w:t>
      </w:r>
      <w:r>
        <w:t xml:space="preserve"> </w:t>
      </w:r>
      <w:r>
        <w:rPr>
          <w:b/>
          <w:bCs/>
        </w:rPr>
        <w:t xml:space="preserve">inactive sur les dermatophytes</w:t>
      </w:r>
      <w:r>
        <w:t xml:space="preserve"> </w:t>
      </w:r>
      <w:r>
        <w:t xml:space="preserve">(Trichophyton, Microsporum, Epidermophyton). Une mycose des pieds (« pied d’athlète »), une teigne, une mycose de la peau glabre à dermatophyte ne répondront pas à la nystatine — il faut un imidazolé topique (kétoconazole, éconazole, miconazole) ou une allylamine (terbinafine). Devant une mycose cutanée non étiquetée, demander un avis médical ou orienter vers un prélèvement mycologique.</w:t>
      </w:r>
    </w:p>
    <w:p>
      <w:pPr>
        <w:pStyle w:val="Compact"/>
        <w:numPr>
          <w:ilvl w:val="0"/>
          <w:numId w:val="1048"/>
        </w:numPr>
      </w:pPr>
      <w:r>
        <w:rPr>
          <w:b/>
          <w:bCs/>
        </w:rPr>
        <w:t xml:space="preserve">Règle de prise</w:t>
      </w:r>
      <w:r>
        <w:t xml:space="preserve"> </w:t>
      </w:r>
      <w:r>
        <w:t xml:space="preserve">: la nystatine n’est pas absorbée — pour une efficacité maximale, le produit doit rester</w:t>
      </w:r>
      <w:r>
        <w:t xml:space="preserve"> </w:t>
      </w:r>
      <w:r>
        <w:rPr>
          <w:b/>
          <w:bCs/>
        </w:rPr>
        <w:t xml:space="preserve">au contact de la muqueuse ou de la peau</w:t>
      </w:r>
      <w:r>
        <w:t xml:space="preserve"> </w:t>
      </w:r>
      <w:r>
        <w:t xml:space="preserve">le plus longtemps possible (bain de bouche prolongé, application cutanée après séchage, ovule au coucher).</w:t>
      </w:r>
    </w:p>
    <w:p>
      <w:pPr>
        <w:pStyle w:val="Compact"/>
        <w:numPr>
          <w:ilvl w:val="0"/>
          <w:numId w:val="1048"/>
        </w:numPr>
      </w:pPr>
      <w:r>
        <w:rPr>
          <w:b/>
          <w:bCs/>
        </w:rPr>
        <w:t xml:space="preserve">Préparation et Conservation</w:t>
      </w:r>
      <w:r>
        <w:t xml:space="preserve"> </w:t>
      </w:r>
      <w:r>
        <w:t xml:space="preserve">: la suspension buvable doit être</w:t>
      </w:r>
      <w:r>
        <w:t xml:space="preserve"> </w:t>
      </w:r>
      <w:r>
        <w:rPr>
          <w:b/>
          <w:bCs/>
        </w:rPr>
        <w:t xml:space="preserve">agité vigoureusement</w:t>
      </w:r>
      <w:r>
        <w:t xml:space="preserve"> </w:t>
      </w:r>
      <w:r>
        <w:t xml:space="preserve">avant chaque prise (la nystatine se dépose au fond du flacon). Conservation : 7 jours après ouverture à température ambiante, 14 jours au réfrigérateur. Ne pas congeler.</w:t>
      </w:r>
    </w:p>
    <w:p>
      <w:pPr>
        <w:pStyle w:val="Compact"/>
        <w:numPr>
          <w:ilvl w:val="0"/>
          <w:numId w:val="1048"/>
        </w:numPr>
      </w:pPr>
      <w:r>
        <w:rPr>
          <w:b/>
          <w:bCs/>
        </w:rPr>
        <w:t xml:space="preserve">Piège du surdosage / Substitution</w:t>
      </w:r>
      <w:r>
        <w:t xml:space="preserve"> </w:t>
      </w:r>
      <w:r>
        <w:t xml:space="preserve">: attention à la confusion possible entre les spécialités contenant de la</w:t>
      </w:r>
      <w:r>
        <w:t xml:space="preserve"> </w:t>
      </w:r>
      <w:r>
        <w:rPr>
          <w:b/>
          <w:bCs/>
        </w:rPr>
        <w:t xml:space="preserve">nystatine seule</w:t>
      </w:r>
      <w:r>
        <w:t xml:space="preserve"> </w:t>
      </w:r>
      <w:r>
        <w:t xml:space="preserve">(Mycoctine, Mycostatine, Lifenystin) et les</w:t>
      </w:r>
      <w:r>
        <w:t xml:space="preserve"> </w:t>
      </w:r>
      <w:r>
        <w:rPr>
          <w:b/>
          <w:bCs/>
        </w:rPr>
        <w:t xml:space="preserve">associations fixes avec triamcinolone + néomycine</w:t>
      </w:r>
      <w:r>
        <w:t xml:space="preserve"> </w:t>
      </w:r>
      <w:r>
        <w:t xml:space="preserve">(Micotyde, Mycocide, Mycocine, Mycomex). Une substitution inappropriée entre les deux formes peut être dangereuse (application d’un corticoïde + aminoside sur une dermatose virale ou un nourrisson, ou inversement inefficacité d’une candidose surinfectée traitée par nystatine seule).</w:t>
      </w:r>
    </w:p>
    <w:p>
      <w:pPr>
        <w:pStyle w:val="Compact"/>
        <w:numPr>
          <w:ilvl w:val="0"/>
          <w:numId w:val="1048"/>
        </w:numPr>
      </w:pPr>
      <w:r>
        <w:rPr>
          <w:b/>
          <w:bCs/>
        </w:rPr>
        <w:t xml:space="preserve">Alerte</w:t>
      </w:r>
      <w:r>
        <w:t xml:space="preserve"> </w:t>
      </w:r>
      <w:r>
        <w:t xml:space="preserve">: la néomycine de l’association fixe est un allergisant puissant — un patient allergique à la néomycine peut présenter un eczéma de contact après quelques jours d’application. Toujours interroger le patient sur ses allergies cutanées avant dispensation.</w:t>
      </w:r>
    </w:p>
    <w:p>
      <w:r>
        <w:pict>
          <v:rect style="width:0;height:1.5pt" o:hralign="center" o:hrstd="t" o:hr="t"/>
        </w:pict>
      </w:r>
    </w:p>
    <w:bookmarkEnd w:id="41"/>
    <w:bookmarkEnd w:id="42"/>
    <w:bookmarkStart w:id="52" w:name="Xd6350816cb6faea643c9465b4c1fc2b1e959e62"/>
    <w:p>
      <w:pPr>
        <w:pStyle w:val="Heading2"/>
      </w:pPr>
      <w:r>
        <w:t xml:space="preserve">3. Sous-classe II — Azoles topiques (imidazolés)</w:t>
      </w:r>
    </w:p>
    <w:bookmarkStart w:id="43" w:name="introduction-à-la-sous-classe-1"/>
    <w:p>
      <w:pPr>
        <w:pStyle w:val="Heading3"/>
      </w:pPr>
      <w:r>
        <w:t xml:space="preserve">Introduction à la sous-classe</w:t>
      </w:r>
    </w:p>
    <w:p>
      <w:pPr>
        <w:pStyle w:val="FirstParagraph"/>
      </w:pPr>
      <w:r>
        <w:t xml:space="preserve">Les azoles antifongiques constituent la plus large famille d’antifongiques actuellement disponible, structurée en deux grands groupes : les</w:t>
      </w:r>
      <w:r>
        <w:t xml:space="preserve"> </w:t>
      </w:r>
      <w:r>
        <w:rPr>
          <w:b/>
          <w:bCs/>
        </w:rPr>
        <w:t xml:space="preserve">imidazolés</w:t>
      </w:r>
      <w:r>
        <w:t xml:space="preserve"> </w:t>
      </w:r>
      <w:r>
        <w:t xml:space="preserve">(à 2 atomes d’azote dans le cycle azolé) — anciennement disponibles par voie orale (kétoconazole, miconazole) mais aujourd’hui strictement topiques pour la plupart, et les</w:t>
      </w:r>
      <w:r>
        <w:t xml:space="preserve"> </w:t>
      </w:r>
      <w:r>
        <w:rPr>
          <w:b/>
          <w:bCs/>
        </w:rPr>
        <w:t xml:space="preserve">triazolés</w:t>
      </w:r>
      <w:r>
        <w:t xml:space="preserve"> </w:t>
      </w:r>
      <w:r>
        <w:t xml:space="preserve">(à 3 atomes d’azote) — fluconazole, itraconazole, voriconazole, posaconazole, isavuconazole, qui sont traités dans le chapitre suivant.</w:t>
      </w:r>
    </w:p>
    <w:p>
      <w:pPr>
        <w:pStyle w:val="BodyText"/>
      </w:pPr>
      <w:r>
        <w:t xml:space="preserve">Les imidazolés topiques partagent tous le même mécanisme d’action :</w:t>
      </w:r>
      <w:r>
        <w:t xml:space="preserve"> </w:t>
      </w:r>
      <w:r>
        <w:rPr>
          <w:b/>
          <w:bCs/>
        </w:rPr>
        <w:t xml:space="preserve">inhibition de la lanostérol 14α-déméthylase fongique</w:t>
      </w:r>
      <w:r>
        <w:t xml:space="preserve">, enzyme du cytochrome P450 (CYP51, ou CYP51A1 selon la nomenclature moderne). Cette enzyme catalyse la conversion du lanostérol en ergostérol par déméthylation en position 14α, étape clé de la biosynthèse des stérols membranaires fongiques. L’inhibition se fait par coordination du noyau imidazolé (atome d’azote N3 ou N4 non substitué, donneur de paire d’électrons libre) avec l’</w:t>
      </w:r>
      <w:r>
        <w:rPr>
          <w:b/>
          <w:bCs/>
        </w:rPr>
        <w:t xml:space="preserve">atome de fer ferreux (Fe²⁺) du groupe hème</w:t>
      </w:r>
      <w:r>
        <w:t xml:space="preserve"> </w:t>
      </w:r>
      <w:r>
        <w:t xml:space="preserve">de la CYP51. Cette interaction bloque le transfert d’électrons nécessaire à l’activation de l’oxygène moléculaire et empêche l’hydroxylation déméthylante. Conséquence :</w:t>
      </w:r>
      <w:r>
        <w:t xml:space="preserve"> </w:t>
      </w:r>
      <w:r>
        <w:rPr>
          <w:b/>
          <w:bCs/>
        </w:rPr>
        <w:t xml:space="preserve">déplétion en ergostérol</w:t>
      </w:r>
      <w:r>
        <w:t xml:space="preserve"> </w:t>
      </w:r>
      <w:r>
        <w:t xml:space="preserve">membranaire (stérol fonctionnel) et</w:t>
      </w:r>
      <w:r>
        <w:t xml:space="preserve"> </w:t>
      </w:r>
      <w:r>
        <w:rPr>
          <w:b/>
          <w:bCs/>
        </w:rPr>
        <w:t xml:space="preserve">accumulation de méthylstérols toxiques</w:t>
      </w:r>
      <w:r>
        <w:t xml:space="preserve"> </w:t>
      </w:r>
      <w:r>
        <w:t xml:space="preserve">(14α-méthylstérols : lanostérol, 14-diméthyllanostérol) qui altèrent la fluidité membranaire, inhibent la croissance et finissent par compromettre l’intégrité fongique. L’action est</w:t>
      </w:r>
      <w:r>
        <w:t xml:space="preserve"> </w:t>
      </w:r>
      <w:r>
        <w:rPr>
          <w:b/>
          <w:bCs/>
        </w:rPr>
        <w:t xml:space="preserve">fungistatique</w:t>
      </w:r>
      <w:r>
        <w:t xml:space="preserve"> </w:t>
      </w:r>
      <w:r>
        <w:t xml:space="preserve">sur les levures et</w:t>
      </w:r>
      <w:r>
        <w:t xml:space="preserve"> </w:t>
      </w:r>
      <w:r>
        <w:rPr>
          <w:b/>
          <w:bCs/>
        </w:rPr>
        <w:t xml:space="preserve">fungicide</w:t>
      </w:r>
      <w:r>
        <w:t xml:space="preserve"> </w:t>
      </w:r>
      <w:r>
        <w:t xml:space="preserve">concentration-dépendante sur les dermatophytes et certains filamenteux.</w:t>
      </w:r>
    </w:p>
    <w:p>
      <w:pPr>
        <w:pStyle w:val="BodyText"/>
      </w:pPr>
      <w:r>
        <w:t xml:space="preserve">La</w:t>
      </w:r>
      <w:r>
        <w:t xml:space="preserve"> </w:t>
      </w:r>
      <w:r>
        <w:rPr>
          <w:b/>
          <w:bCs/>
        </w:rPr>
        <w:t xml:space="preserve">sélectivité</w:t>
      </w:r>
      <w:r>
        <w:t xml:space="preserve"> </w:t>
      </w:r>
      <w:r>
        <w:t xml:space="preserve">pour la CYP51 fongique par rapport à la CYP humaine est bonne mais imparfaite : c’est elle qui explique l’</w:t>
      </w:r>
      <w:r>
        <w:rPr>
          <w:b/>
          <w:bCs/>
        </w:rPr>
        <w:t xml:space="preserve">hépatotoxicité du kétoconazole oral</w:t>
      </w:r>
      <w:r>
        <w:t xml:space="preserve"> </w:t>
      </w:r>
      <w:r>
        <w:t xml:space="preserve">(inhibition de la CYP3A4 hépatique et toxicité directe sur l’hépatocyte, ayant conduit à son retrait mondial de la forme orale en 2013–2014 après plusieurs cas d’hépatites fulminantes mortelles) et les</w:t>
      </w:r>
      <w:r>
        <w:t xml:space="preserve"> </w:t>
      </w:r>
      <w:r>
        <w:rPr>
          <w:b/>
          <w:bCs/>
        </w:rPr>
        <w:t xml:space="preserve">interactions médicamenteuses massives</w:t>
      </w:r>
      <w:r>
        <w:t xml:space="preserve"> </w:t>
      </w:r>
      <w:r>
        <w:t xml:space="preserve">des imidazolés lorsqu’ils atteignent la circulation systémique. Pour les formes topiques, l’absorption cutanée et muqueuse est faible mais non nulle, en particulier sur peau lésée ou muqueuse vaginale. Le passage systémique du miconazole vaginal, par exemple, peut suffire à inhiber la CYP3A4 hépatique et majorer significativement l’INR sous warfarine (interaction documentée, parfois grave). Cette particularité doit rester présente à l’esprit du pharmacien d’officine lors de la dispensation d’un ovule azolé à une patiente sous anticoagulant oral.</w:t>
      </w:r>
    </w:p>
    <w:p>
      <w:pPr>
        <w:pStyle w:val="BodyText"/>
      </w:pPr>
      <w:r>
        <w:t xml:space="preserve">Le</w:t>
      </w:r>
      <w:r>
        <w:t xml:space="preserve"> </w:t>
      </w:r>
      <w:r>
        <w:rPr>
          <w:b/>
          <w:bCs/>
        </w:rPr>
        <w:t xml:space="preserve">spectre</w:t>
      </w:r>
      <w:r>
        <w:t xml:space="preserve"> </w:t>
      </w:r>
      <w:r>
        <w:t xml:space="preserve">des imidazolés topiques est large :</w:t>
      </w:r>
      <w:r>
        <w:t xml:space="preserve"> </w:t>
      </w:r>
      <w:r>
        <w:rPr>
          <w:i/>
          <w:iCs/>
        </w:rPr>
        <w:t xml:space="preserve">Candida</w:t>
      </w:r>
      <w:r>
        <w:t xml:space="preserve"> </w:t>
      </w:r>
      <w:r>
        <w:t xml:space="preserve">sp., dermatophytes (</w:t>
      </w:r>
      <w:r>
        <w:rPr>
          <w:i/>
          <w:iCs/>
        </w:rPr>
        <w:t xml:space="preserve">Trichophyton, Microsporum, Epidermophyton</w:t>
      </w:r>
      <w:r>
        <w:t xml:space="preserve">), moisissures (</w:t>
      </w:r>
      <w:r>
        <w:rPr>
          <w:i/>
          <w:iCs/>
        </w:rPr>
        <w:t xml:space="preserve">Aspergillus, Scopulariopsis, Fusarium</w:t>
      </w:r>
      <w:r>
        <w:t xml:space="preserve">),</w:t>
      </w:r>
      <w:r>
        <w:t xml:space="preserve"> </w:t>
      </w:r>
      <w:r>
        <w:rPr>
          <w:i/>
          <w:iCs/>
        </w:rPr>
        <w:t xml:space="preserve">Malassezia</w:t>
      </w:r>
      <w:r>
        <w:t xml:space="preserve"> </w:t>
      </w:r>
      <w:r>
        <w:t xml:space="preserve">sp. (agent du pityriasis versicolor et de la dermatite séborrhéique), et certains parasites (</w:t>
      </w:r>
      <w:r>
        <w:rPr>
          <w:i/>
          <w:iCs/>
        </w:rPr>
        <w:t xml:space="preserve">Trichomonas vaginalis</w:t>
      </w:r>
      <w:r>
        <w:t xml:space="preserve"> </w:t>
      </w:r>
      <w:r>
        <w:t xml:space="preserve">pour le miconazole vaginal). Le spectre varie peu d’une molécule à l’autre au sein de la classe ; les différences essentielles résident dans les</w:t>
      </w:r>
      <w:r>
        <w:t xml:space="preserve"> </w:t>
      </w:r>
      <w:r>
        <w:rPr>
          <w:b/>
          <w:bCs/>
        </w:rPr>
        <w:t xml:space="preserve">galéniques disponibles</w:t>
      </w:r>
      <w:r>
        <w:t xml:space="preserve"> </w:t>
      </w:r>
      <w:r>
        <w:t xml:space="preserve">(crème, gel, solution, lotion, ovule, shampooing, gel buccal), les</w:t>
      </w:r>
      <w:r>
        <w:t xml:space="preserve"> </w:t>
      </w:r>
      <w:r>
        <w:rPr>
          <w:b/>
          <w:bCs/>
        </w:rPr>
        <w:t xml:space="preserve">cinétiques locales</w:t>
      </w:r>
      <w:r>
        <w:t xml:space="preserve"> </w:t>
      </w:r>
      <w:r>
        <w:t xml:space="preserve">(libération prolongée pour les ovules LP), et certaines particularités chimiques (le sertaconazole possède un groupe benzothiophène qui majore son affinité pour l’ergostérol et son activité anti-inflammatoire).</w:t>
      </w:r>
    </w:p>
    <w:p>
      <w:pPr>
        <w:pStyle w:val="BodyText"/>
      </w:pPr>
      <w:r>
        <w:t xml:space="preserve">L’usage local des imidazolés est globalement</w:t>
      </w:r>
      <w:r>
        <w:t xml:space="preserve"> </w:t>
      </w:r>
      <w:r>
        <w:rPr>
          <w:b/>
          <w:bCs/>
        </w:rPr>
        <w:t xml:space="preserve">sûr</w:t>
      </w:r>
      <w:r>
        <w:t xml:space="preserve"> </w:t>
      </w:r>
      <w:r>
        <w:t xml:space="preserve">et bien toléré. Les principaux effets indésirables sont locaux : sensation de brûlure, prurit, érythème, irritation, parfois dermatite de contact allergique (rare). La tolérance systémique est excellente en dehors des situations à risque d’absorption accrue (application sur peau lésée étendue, occlusion, usage vaginal chez la patiente sous anticoagulant).</w:t>
      </w:r>
    </w:p>
    <w:p>
      <w:pPr>
        <w:pStyle w:val="BodyText"/>
      </w:pPr>
      <w:r>
        <w:t xml:space="preserve">La présente sous-classe couvre les 8 imidazolés topiques de la nomenclature algérienne : miconazole, kétoconazole, éconazole, clotrimazole, fenticonazole, sertaconazole, butoconazole, oxiconazole. Les triazolés systémiques (fluconazole, itraconazole, voriconazole, posaconazole, isavuconazole) sont traités dans un chapitre séparé.</w:t>
      </w:r>
    </w:p>
    <w:p>
      <w:r>
        <w:pict>
          <v:rect style="width:0;height:1.5pt" o:hralign="center" o:hrstd="t" o:hr="t"/>
        </w:pict>
      </w:r>
    </w:p>
    <w:bookmarkEnd w:id="43"/>
    <w:bookmarkStart w:id="44" w:name="dci-miconazole-seule"/>
    <w:p>
      <w:pPr>
        <w:pStyle w:val="Heading3"/>
      </w:pPr>
      <w:r>
        <w:t xml:space="preserve">11.3. DCI : Miconazole (Seule)</w:t>
      </w:r>
    </w:p>
    <w:p>
      <w:pPr>
        <w:pStyle w:val="FirstParagraph"/>
      </w:pPr>
      <w:r>
        <w:rPr>
          <w:b/>
          <w:bCs/>
        </w:rPr>
        <w:t xml:space="preserve">Liste des Catégories :</w:t>
      </w:r>
      <w:r>
        <w:t xml:space="preserve"> </w:t>
      </w:r>
      <w:r>
        <w:t xml:space="preserve">LISTE I ; topique cutané, buccal et vaginal.</w:t>
      </w:r>
    </w:p>
    <w:p>
      <w:pPr>
        <w:pStyle w:val="BodyText"/>
      </w:pPr>
      <w:r>
        <w:t xml:space="preserve">Le miconazole est l’un des plus anciens imidazolés topiques (Janssen, 1968), et son usage reste très répandu en Algérie où il est principalement disponible sous forme de</w:t>
      </w:r>
      <w:r>
        <w:t xml:space="preserve"> </w:t>
      </w:r>
      <w:r>
        <w:rPr>
          <w:b/>
          <w:bCs/>
        </w:rPr>
        <w:t xml:space="preserve">gel buccal</w:t>
      </w:r>
      <w:r>
        <w:t xml:space="preserve"> </w:t>
      </w:r>
      <w:r>
        <w:t xml:space="preserve">pour le traitement des candidoses oropharyngées (muguet de l’adulte, perlèche, stomatite candidosique sous prothèse) et plus rarement en crème/gel dermique pour les candidoses cutanées. La forme orale systémique a été retirée du marché international dans les années 1990 en raison d’interactions médicamenteuses majeures (inhibition CYP3A4) ; seule subsiste la forme topique.</w:t>
      </w:r>
    </w:p>
    <w:p>
      <w:pPr>
        <w:pStyle w:val="BodyText"/>
      </w:pPr>
      <w:r>
        <w:rPr>
          <w:b/>
          <w:bCs/>
        </w:rPr>
        <w:t xml:space="preserve">Médicaments disponibles en Algérie (Marques, Laboratoires, Formes et Dosages) :</w:t>
      </w:r>
    </w:p>
    <w:p>
      <w:pPr>
        <w:pStyle w:val="Compact"/>
        <w:numPr>
          <w:ilvl w:val="0"/>
          <w:numId w:val="1049"/>
        </w:numPr>
      </w:pPr>
      <w:r>
        <w:rPr>
          <w:b/>
          <w:bCs/>
        </w:rPr>
        <w:t xml:space="preserve">DAKTAZOL</w:t>
      </w:r>
      <w:r>
        <w:t xml:space="preserve"> </w:t>
      </w:r>
      <w:r>
        <w:t xml:space="preserve">(EL KENDI INDUSTRIE DU MEDICAMENT) — Gel buccal 2 g/100 g (2 %), tube 40 g + cuillère-mesure —</w:t>
      </w:r>
      <w:r>
        <w:t xml:space="preserve"> </w:t>
      </w:r>
      <w:r>
        <w:rPr>
          <w:b/>
          <w:bCs/>
        </w:rPr>
        <w:t xml:space="preserve">Actif</w:t>
      </w:r>
    </w:p>
    <w:p>
      <w:pPr>
        <w:pStyle w:val="Compact"/>
        <w:numPr>
          <w:ilvl w:val="0"/>
          <w:numId w:val="1049"/>
        </w:numPr>
      </w:pPr>
      <w:r>
        <w:rPr>
          <w:b/>
          <w:bCs/>
        </w:rPr>
        <w:t xml:space="preserve">DAKTAZYL</w:t>
      </w:r>
      <w:r>
        <w:t xml:space="preserve"> </w:t>
      </w:r>
      <w:r>
        <w:t xml:space="preserve">(LABORATOIRES PHARMAGHREB) — Gel buccal 0,02 (2 %), tube 40 g —</w:t>
      </w:r>
      <w:r>
        <w:t xml:space="preserve"> </w:t>
      </w:r>
      <w:r>
        <w:rPr>
          <w:b/>
          <w:bCs/>
        </w:rPr>
        <w:t xml:space="preserve">Actif</w:t>
      </w:r>
    </w:p>
    <w:p>
      <w:pPr>
        <w:pStyle w:val="Compact"/>
        <w:numPr>
          <w:ilvl w:val="0"/>
          <w:numId w:val="1049"/>
        </w:numPr>
      </w:pPr>
      <w:r>
        <w:rPr>
          <w:b/>
          <w:bCs/>
        </w:rPr>
        <w:t xml:space="preserve">DEKTAGEL</w:t>
      </w:r>
      <w:r>
        <w:t xml:space="preserve"> </w:t>
      </w:r>
      <w:r>
        <w:t xml:space="preserve">(NEOMEDIC) — Gel buccal 0,02 (2 %), tube 40 g + cuillère-mesure 5 mL —</w:t>
      </w:r>
      <w:r>
        <w:t xml:space="preserve"> </w:t>
      </w:r>
      <w:r>
        <w:rPr>
          <w:b/>
          <w:bCs/>
        </w:rPr>
        <w:t xml:space="preserve">Actif</w:t>
      </w:r>
    </w:p>
    <w:p>
      <w:pPr>
        <w:pStyle w:val="Compact"/>
        <w:numPr>
          <w:ilvl w:val="0"/>
          <w:numId w:val="1049"/>
        </w:numPr>
      </w:pPr>
      <w:r>
        <w:rPr>
          <w:b/>
          <w:bCs/>
        </w:rPr>
        <w:t xml:space="preserve">MICONAZOLE NOVAGENERICS</w:t>
      </w:r>
      <w:r>
        <w:t xml:space="preserve"> </w:t>
      </w:r>
      <w:r>
        <w:t xml:space="preserve">(NOVAPHARM TRADING) — Gel buccal 0,02 (2 %), tube 50 g + cuillère-mesure 5 mL —</w:t>
      </w:r>
      <w:r>
        <w:t xml:space="preserve"> </w:t>
      </w:r>
      <w:r>
        <w:rPr>
          <w:b/>
          <w:bCs/>
        </w:rPr>
        <w:t xml:space="preserve">Actif</w:t>
      </w:r>
    </w:p>
    <w:p>
      <w:pPr>
        <w:pStyle w:val="Compact"/>
        <w:numPr>
          <w:ilvl w:val="0"/>
          <w:numId w:val="1049"/>
        </w:numPr>
      </w:pPr>
      <w:r>
        <w:rPr>
          <w:b/>
          <w:bCs/>
        </w:rPr>
        <w:t xml:space="preserve">ULCEGO</w:t>
      </w:r>
      <w:r>
        <w:t xml:space="preserve"> </w:t>
      </w:r>
      <w:r>
        <w:t xml:space="preserve">(BIOPHARM) — Gel buccal 0,02 (2 %), tube 50 g —</w:t>
      </w:r>
      <w:r>
        <w:t xml:space="preserve"> </w:t>
      </w:r>
      <w:r>
        <w:rPr>
          <w:b/>
          <w:bCs/>
        </w:rPr>
        <w:t xml:space="preserve">Actif</w:t>
      </w:r>
    </w:p>
    <w:p>
      <w:pPr>
        <w:pStyle w:val="FirstParagraph"/>
      </w:pPr>
      <w:r>
        <w:rPr>
          <w:i/>
          <w:iCs/>
        </w:rPr>
        <w:t xml:space="preserve">Spécialités Non Renouvelables :</w:t>
      </w:r>
      <w:r>
        <w:t xml:space="preserve"> </w:t>
      </w:r>
      <w:r>
        <w:t xml:space="preserve">-</w:t>
      </w:r>
      <w:r>
        <w:t xml:space="preserve"> </w:t>
      </w:r>
      <w:r>
        <w:rPr>
          <w:b/>
          <w:bCs/>
        </w:rPr>
        <w:t xml:space="preserve">MICODAL</w:t>
      </w:r>
      <w:r>
        <w:t xml:space="preserve"> </w:t>
      </w:r>
      <w:r>
        <w:t xml:space="preserve">(GROUPE SAIDAL) — Gel dermique 2 %, tube 40 g — Non Renouvelable</w:t>
      </w:r>
      <w:r>
        <w:t xml:space="preserve"> </w:t>
      </w:r>
      <w:r>
        <w:t xml:space="preserve">-</w:t>
      </w:r>
      <w:r>
        <w:t xml:space="preserve"> </w:t>
      </w:r>
      <w:r>
        <w:rPr>
          <w:b/>
          <w:bCs/>
        </w:rPr>
        <w:t xml:space="preserve">MICOGEL</w:t>
      </w:r>
      <w:r>
        <w:t xml:space="preserve"> </w:t>
      </w:r>
      <w:r>
        <w:t xml:space="preserve">(CIPLA LIMITED) — Gel dermique 2 %, tube 30 g — Non Renouvelable</w:t>
      </w:r>
      <w:r>
        <w:t xml:space="preserve"> </w:t>
      </w:r>
      <w:r>
        <w:t xml:space="preserve">-</w:t>
      </w:r>
      <w:r>
        <w:t xml:space="preserve"> </w:t>
      </w:r>
      <w:r>
        <w:rPr>
          <w:b/>
          <w:bCs/>
        </w:rPr>
        <w:t xml:space="preserve">MICOHEAL</w:t>
      </w:r>
      <w:r>
        <w:t xml:space="preserve"> </w:t>
      </w:r>
      <w:r>
        <w:t xml:space="preserve">(DAR AL DAWA) — Crème dermique 2 %, tube 30 g — Non Renouvelable</w:t>
      </w:r>
    </w:p>
    <w:p>
      <w:pPr>
        <w:pStyle w:val="BodyText"/>
      </w:pPr>
      <w:r>
        <w:rPr>
          <w:i/>
          <w:iCs/>
        </w:rPr>
        <w:t xml:space="preserve">Spécialités retirées (R) :</w:t>
      </w:r>
      <w:r>
        <w:t xml:space="preserve"> </w:t>
      </w:r>
      <w:r>
        <w:t xml:space="preserve">-</w:t>
      </w:r>
      <w:r>
        <w:t xml:space="preserve"> </w:t>
      </w:r>
      <w:r>
        <w:rPr>
          <w:b/>
          <w:bCs/>
        </w:rPr>
        <w:t xml:space="preserve">DAKTARIN</w:t>
      </w:r>
      <w:r>
        <w:t xml:space="preserve"> </w:t>
      </w:r>
      <w:r>
        <w:t xml:space="preserve">(JANSSEN CILAG) — Lotion 2 %, flacon 30 g — (R)</w:t>
      </w:r>
      <w:r>
        <w:t xml:space="preserve"> </w:t>
      </w:r>
      <w:r>
        <w:t xml:space="preserve">-</w:t>
      </w:r>
      <w:r>
        <w:t xml:space="preserve"> </w:t>
      </w:r>
      <w:r>
        <w:rPr>
          <w:b/>
          <w:bCs/>
        </w:rPr>
        <w:t xml:space="preserve">MICONAL</w:t>
      </w:r>
      <w:r>
        <w:t xml:space="preserve"> </w:t>
      </w:r>
      <w:r>
        <w:t xml:space="preserve">(MEDIFARMAL) — Crème dermique 2 %, tube 30 g — (R)</w:t>
      </w:r>
      <w:r>
        <w:t xml:space="preserve"> </w:t>
      </w:r>
      <w:r>
        <w:t xml:space="preserve">-</w:t>
      </w:r>
      <w:r>
        <w:t xml:space="preserve"> </w:t>
      </w:r>
      <w:r>
        <w:rPr>
          <w:b/>
          <w:bCs/>
        </w:rPr>
        <w:t xml:space="preserve">CANDIZOL</w:t>
      </w:r>
      <w:r>
        <w:t xml:space="preserve"> </w:t>
      </w:r>
      <w:r>
        <w:t xml:space="preserve">(UNITED PHARMACEUTICAL MANUFACTURING — UPM) — Crème dermique 2 %, tube 30 g — (R)</w:t>
      </w:r>
      <w:r>
        <w:t xml:space="preserve"> </w:t>
      </w:r>
      <w:r>
        <w:t xml:space="preserve">-</w:t>
      </w:r>
      <w:r>
        <w:t xml:space="preserve"> </w:t>
      </w:r>
      <w:r>
        <w:rPr>
          <w:b/>
          <w:bCs/>
        </w:rPr>
        <w:t xml:space="preserve">DAKTARIN</w:t>
      </w:r>
      <w:r>
        <w:t xml:space="preserve"> </w:t>
      </w:r>
      <w:r>
        <w:t xml:space="preserve">(JANSSEN CILAG) — Gel dermique 2 %, tube 30 g — (R)</w:t>
      </w:r>
      <w:r>
        <w:t xml:space="preserve"> </w:t>
      </w:r>
      <w:r>
        <w:t xml:space="preserve">-</w:t>
      </w:r>
      <w:r>
        <w:t xml:space="preserve"> </w:t>
      </w:r>
      <w:r>
        <w:rPr>
          <w:b/>
          <w:bCs/>
        </w:rPr>
        <w:t xml:space="preserve">DAKTARIN</w:t>
      </w:r>
      <w:r>
        <w:t xml:space="preserve"> </w:t>
      </w:r>
      <w:r>
        <w:t xml:space="preserve">(JANSSEN CILAG) — Gel buccal 2 %, tube 40 g — (R)</w:t>
      </w:r>
    </w:p>
    <w:p>
      <w:pPr>
        <w:pStyle w:val="BodyText"/>
      </w:pPr>
      <w:r>
        <w:rPr>
          <w:b/>
          <w:bCs/>
        </w:rPr>
        <w:t xml:space="preserve">Sous-classe et Mécanisme d’action :</w:t>
      </w:r>
    </w:p>
    <w:p>
      <w:pPr>
        <w:pStyle w:val="Compact"/>
        <w:numPr>
          <w:ilvl w:val="0"/>
          <w:numId w:val="1050"/>
        </w:numPr>
      </w:pPr>
      <w:r>
        <w:rPr>
          <w:b/>
          <w:bCs/>
        </w:rPr>
        <w:t xml:space="preserve">Sous-classe</w:t>
      </w:r>
      <w:r>
        <w:t xml:space="preserve"> </w:t>
      </w:r>
      <w:r>
        <w:t xml:space="preserve">: Imidazolé de première génération ; antifongique topique à large spectre, fungistatique sur les levures et fungicide concentration-dépendante sur les dermatophytes.</w:t>
      </w:r>
    </w:p>
    <w:p>
      <w:pPr>
        <w:pStyle w:val="Compact"/>
        <w:numPr>
          <w:ilvl w:val="0"/>
          <w:numId w:val="1050"/>
        </w:numPr>
      </w:pPr>
      <w:r>
        <w:rPr>
          <w:b/>
          <w:bCs/>
        </w:rPr>
        <w:t xml:space="preserve">Mécanisme d’action</w:t>
      </w:r>
      <w:r>
        <w:t xml:space="preserve"> </w:t>
      </w:r>
      <w:r>
        <w:t xml:space="preserve">: Inhibition de la lanostérol 14α-déméthylase fongique (CYP51) par coordination de l’atome d’azote N3 du noyau imidazole avec le fer ferreux (Fe²⁺) du groupe hème de l’enzyme. Blocage de la déméthylation du lanostérol → déplétion en ergostérol membranaire + accumulation de 14α-méthylstérols toxiques → altération de la fluidité membranaire, inhibition de la croissance, lyse. Action principalement</w:t>
      </w:r>
      <w:r>
        <w:t xml:space="preserve"> </w:t>
      </w:r>
      <w:r>
        <w:rPr>
          <w:b/>
          <w:bCs/>
        </w:rPr>
        <w:t xml:space="preserve">fungistatique</w:t>
      </w:r>
      <w:r>
        <w:t xml:space="preserve"> </w:t>
      </w:r>
      <w:r>
        <w:t xml:space="preserve">sur</w:t>
      </w:r>
      <w:r>
        <w:t xml:space="preserve"> </w:t>
      </w:r>
      <w:r>
        <w:rPr>
          <w:i/>
          <w:iCs/>
        </w:rPr>
        <w:t xml:space="preserve">Candida</w:t>
      </w:r>
      <w:r>
        <w:t xml:space="preserve"> </w:t>
      </w:r>
      <w:r>
        <w:t xml:space="preserve">mais</w:t>
      </w:r>
      <w:r>
        <w:t xml:space="preserve"> </w:t>
      </w:r>
      <w:r>
        <w:rPr>
          <w:b/>
          <w:bCs/>
        </w:rPr>
        <w:t xml:space="preserve">fungicide</w:t>
      </w:r>
      <w:r>
        <w:t xml:space="preserve"> </w:t>
      </w:r>
      <w:r>
        <w:t xml:space="preserve">sur dermatophytes à concentration élevée. Spectre :</w:t>
      </w:r>
      <w:r>
        <w:t xml:space="preserve"> </w:t>
      </w:r>
      <w:r>
        <w:rPr>
          <w:i/>
          <w:iCs/>
        </w:rPr>
        <w:t xml:space="preserve">Candida</w:t>
      </w:r>
      <w:r>
        <w:t xml:space="preserve"> </w:t>
      </w:r>
      <w:r>
        <w:t xml:space="preserve">sp. (y compris certaines souches résistantes au fluconazole), dermatophytes (</w:t>
      </w:r>
      <w:r>
        <w:rPr>
          <w:i/>
          <w:iCs/>
        </w:rPr>
        <w:t xml:space="preserve">Trichophyton, Microsporum, Epidermophyton</w:t>
      </w:r>
      <w:r>
        <w:t xml:space="preserve">),</w:t>
      </w:r>
      <w:r>
        <w:t xml:space="preserve"> </w:t>
      </w:r>
      <w:r>
        <w:rPr>
          <w:i/>
          <w:iCs/>
        </w:rPr>
        <w:t xml:space="preserve">Malassezia</w:t>
      </w:r>
      <w:r>
        <w:t xml:space="preserve"> </w:t>
      </w:r>
      <w:r>
        <w:t xml:space="preserve">sp.,</w:t>
      </w:r>
      <w:r>
        <w:t xml:space="preserve"> </w:t>
      </w:r>
      <w:r>
        <w:rPr>
          <w:i/>
          <w:iCs/>
        </w:rPr>
        <w:t xml:space="preserve">Aspergillus</w:t>
      </w:r>
      <w:r>
        <w:t xml:space="preserve"> </w:t>
      </w:r>
      <w:r>
        <w:t xml:space="preserve">sp.,</w:t>
      </w:r>
      <w:r>
        <w:t xml:space="preserve"> </w:t>
      </w:r>
      <w:r>
        <w:rPr>
          <w:i/>
          <w:iCs/>
        </w:rPr>
        <w:t xml:space="preserve">Trichomonas vaginalis</w:t>
      </w:r>
      <w:r>
        <w:t xml:space="preserve"> </w:t>
      </w:r>
      <w:r>
        <w:t xml:space="preserve">(action antiparasitaire accessoire), certains Gram positifs (streptocoques, staphylocoques — activité antibactérienne modeste).</w:t>
      </w:r>
    </w:p>
    <w:p>
      <w:pPr>
        <w:pStyle w:val="FirstParagraph"/>
      </w:pPr>
      <w:r>
        <w:rPr>
          <w:b/>
          <w:bCs/>
        </w:rPr>
        <w:t xml:space="preserve">Profil Pharmacologique :</w:t>
      </w:r>
    </w:p>
    <w:p>
      <w:pPr>
        <w:pStyle w:val="Compact"/>
        <w:numPr>
          <w:ilvl w:val="0"/>
          <w:numId w:val="1051"/>
        </w:numPr>
      </w:pPr>
      <w:r>
        <w:rPr>
          <w:b/>
          <w:bCs/>
        </w:rPr>
        <w:t xml:space="preserve">Indications</w:t>
      </w:r>
      <w:r>
        <w:t xml:space="preserve"> </w:t>
      </w:r>
      <w:r>
        <w:t xml:space="preserve">:</w:t>
      </w:r>
    </w:p>
    <w:p>
      <w:pPr>
        <w:pStyle w:val="Compact"/>
        <w:numPr>
          <w:ilvl w:val="1"/>
          <w:numId w:val="1052"/>
        </w:numPr>
      </w:pPr>
      <w:r>
        <w:rPr>
          <w:i/>
          <w:iCs/>
        </w:rPr>
        <w:t xml:space="preserve">Gel buccal</w:t>
      </w:r>
      <w:r>
        <w:t xml:space="preserve"> </w:t>
      </w:r>
      <w:r>
        <w:t xml:space="preserve">: candidose oropharyngée de l’adulte et de l’enfant &gt; 4 mois (muguet, perlèche, stomatite sous prothèse, candidose du patient immunodéprimé, VIH, sous corticothérapie inhalée).</w:t>
      </w:r>
    </w:p>
    <w:p>
      <w:pPr>
        <w:pStyle w:val="Compact"/>
        <w:numPr>
          <w:ilvl w:val="1"/>
          <w:numId w:val="1052"/>
        </w:numPr>
      </w:pPr>
      <w:r>
        <w:rPr>
          <w:i/>
          <w:iCs/>
        </w:rPr>
        <w:t xml:space="preserve">Crème/gel dermique</w:t>
      </w:r>
      <w:r>
        <w:t xml:space="preserve"> </w:t>
      </w:r>
      <w:r>
        <w:t xml:space="preserve">: candidose cutanée (intertrigo, perlèche, balanite, vulvite candidosique), dermatophyties cutanées (pied d’athlète, mycose de la peau glabre), pityriasis versicolor, dermatite séborrhéique (en alternative au kétoconazole).</w:t>
      </w:r>
    </w:p>
    <w:p>
      <w:pPr>
        <w:pStyle w:val="Compact"/>
        <w:numPr>
          <w:ilvl w:val="1"/>
          <w:numId w:val="1052"/>
        </w:numPr>
      </w:pPr>
      <w:r>
        <w:rPr>
          <w:i/>
          <w:iCs/>
        </w:rPr>
        <w:t xml:space="preserve">Forme vaginale</w:t>
      </w:r>
      <w:r>
        <w:t xml:space="preserve"> </w:t>
      </w:r>
      <w:r>
        <w:t xml:space="preserve">(non disponible en Algérie à la nomenclature Avril 2026) : candidose vaginale.</w:t>
      </w:r>
    </w:p>
    <w:p>
      <w:pPr>
        <w:pStyle w:val="Compact"/>
        <w:numPr>
          <w:ilvl w:val="0"/>
          <w:numId w:val="1051"/>
        </w:numPr>
      </w:pPr>
      <w:r>
        <w:rPr>
          <w:b/>
          <w:bCs/>
        </w:rPr>
        <w:t xml:space="preserve">Contre-indications</w:t>
      </w:r>
      <w:r>
        <w:t xml:space="preserve"> </w:t>
      </w:r>
      <w:r>
        <w:t xml:space="preserve">: hypersensibilité au miconazole ou aux autres imidazolés ; enfant de moins de 6 mois pour le gel buccal (risque d’aspiration et de faux-route) ; patient sous anticoagulants oraux (warfarine, acénocoumarol) pour les formes vaginales (absorption systémique suffisante pour majorer l’INR) — pour le gel buccal, surveiller l’INR si traitement prolongé.</w:t>
      </w:r>
    </w:p>
    <w:p>
      <w:pPr>
        <w:pStyle w:val="Compact"/>
        <w:numPr>
          <w:ilvl w:val="0"/>
          <w:numId w:val="1051"/>
        </w:numPr>
      </w:pPr>
      <w:r>
        <w:rPr>
          <w:b/>
          <w:bCs/>
        </w:rPr>
        <w:t xml:space="preserve">Effets Indésirables</w:t>
      </w:r>
      <w:r>
        <w:t xml:space="preserve"> </w:t>
      </w:r>
      <w:r>
        <w:t xml:space="preserve">:</w:t>
      </w:r>
    </w:p>
    <w:p>
      <w:pPr>
        <w:pStyle w:val="Compact"/>
        <w:numPr>
          <w:ilvl w:val="1"/>
          <w:numId w:val="1053"/>
        </w:numPr>
      </w:pPr>
      <w:r>
        <w:rPr>
          <w:i/>
          <w:iCs/>
        </w:rPr>
        <w:t xml:space="preserve">Gel buccal</w:t>
      </w:r>
      <w:r>
        <w:t xml:space="preserve"> </w:t>
      </w:r>
      <w:r>
        <w:t xml:space="preserve">: sensation de brûlure buccale transitoire, modification du goût (dysgueusie métallique), nausées, vomissements, diarrhée (en cas de déglutition), stomatite, glossite, sécheresse buccale. Rarement : réactions d’hypersensibilité (urticaire, angio-œdème), éruption cutanée.</w:t>
      </w:r>
    </w:p>
    <w:p>
      <w:pPr>
        <w:pStyle w:val="Compact"/>
        <w:numPr>
          <w:ilvl w:val="1"/>
          <w:numId w:val="1053"/>
        </w:numPr>
      </w:pPr>
      <w:r>
        <w:rPr>
          <w:i/>
          <w:iCs/>
        </w:rPr>
        <w:t xml:space="preserve">Crème/gel dermique</w:t>
      </w:r>
      <w:r>
        <w:t xml:space="preserve"> </w:t>
      </w:r>
      <w:r>
        <w:t xml:space="preserve">: sensation de brûlure, prurit, érythème, irritation locale, dermite de contact allergique (rare).</w:t>
      </w:r>
    </w:p>
    <w:p>
      <w:pPr>
        <w:pStyle w:val="Compact"/>
        <w:numPr>
          <w:ilvl w:val="1"/>
          <w:numId w:val="1053"/>
        </w:numPr>
      </w:pPr>
      <w:r>
        <w:rPr>
          <w:i/>
          <w:iCs/>
        </w:rPr>
        <w:t xml:space="preserve">Systémique</w:t>
      </w:r>
      <w:r>
        <w:t xml:space="preserve"> </w:t>
      </w:r>
      <w:r>
        <w:t xml:space="preserve">(en cas d’absorption vaginale ou de gel buccal avalé massivement) : hépatotoxicité exceptionnelle, interactions CYP3A4.</w:t>
      </w:r>
    </w:p>
    <w:p>
      <w:pPr>
        <w:pStyle w:val="FirstParagraph"/>
      </w:pPr>
      <w:r>
        <w:rPr>
          <w:b/>
          <w:bCs/>
        </w:rPr>
        <w:t xml:space="preserve">Prévention et Gestion des Effets Indésirables :</w:t>
      </w:r>
    </w:p>
    <w:p>
      <w:pPr>
        <w:pStyle w:val="Compact"/>
        <w:numPr>
          <w:ilvl w:val="0"/>
          <w:numId w:val="1054"/>
        </w:numPr>
      </w:pPr>
      <w:r>
        <w:rPr>
          <w:b/>
          <w:bCs/>
        </w:rPr>
        <w:t xml:space="preserve">Mesures Préventives</w:t>
      </w:r>
      <w:r>
        <w:t xml:space="preserve"> </w:t>
      </w:r>
      <w:r>
        <w:t xml:space="preserve">:</w:t>
      </w:r>
    </w:p>
    <w:p>
      <w:pPr>
        <w:pStyle w:val="Compact"/>
        <w:numPr>
          <w:ilvl w:val="1"/>
          <w:numId w:val="1055"/>
        </w:numPr>
      </w:pPr>
      <w:r>
        <w:rPr>
          <w:i/>
          <w:iCs/>
        </w:rPr>
        <w:t xml:space="preserve">Gel buccal</w:t>
      </w:r>
      <w:r>
        <w:t xml:space="preserve"> </w:t>
      </w:r>
      <w:r>
        <w:t xml:space="preserve">: garder le gel en bouche le plus longtemps possible avant d’avaler (contact prolongé), éviter de manger ou boire pendant 30 minutes après application. Chez le patient sous corticothérapie inhalée, rincer la bouche après chaque prise de corticoïde pour éviter les dépôts fongiques.</w:t>
      </w:r>
    </w:p>
    <w:p>
      <w:pPr>
        <w:pStyle w:val="Compact"/>
        <w:numPr>
          <w:ilvl w:val="1"/>
          <w:numId w:val="1055"/>
        </w:numPr>
      </w:pPr>
      <w:r>
        <w:rPr>
          <w:i/>
          <w:iCs/>
        </w:rPr>
        <w:t xml:space="preserve">Crème dermique</w:t>
      </w:r>
      <w:r>
        <w:t xml:space="preserve"> </w:t>
      </w:r>
      <w:r>
        <w:t xml:space="preserve">: appliquer sur peau propre et sèche, ne pas couvrir d’un pansement occlusif (risque d’atrophie cutanée et de majoration de l’absorption).</w:t>
      </w:r>
    </w:p>
    <w:p>
      <w:pPr>
        <w:pStyle w:val="Compact"/>
        <w:numPr>
          <w:ilvl w:val="1"/>
          <w:numId w:val="1055"/>
        </w:numPr>
      </w:pPr>
      <w:r>
        <w:rPr>
          <w:i/>
          <w:iCs/>
        </w:rPr>
        <w:t xml:space="preserve">Anticoagulants oraux</w:t>
      </w:r>
      <w:r>
        <w:t xml:space="preserve"> </w:t>
      </w:r>
      <w:r>
        <w:t xml:space="preserve">: surveillance accrue de l’INR pendant et 8 jours après l’arrêt du miconazole vaginal ou buccal prolongé ; adaptation de la dose d’anticoagulant.</w:t>
      </w:r>
    </w:p>
    <w:p>
      <w:pPr>
        <w:pStyle w:val="Compact"/>
        <w:numPr>
          <w:ilvl w:val="0"/>
          <w:numId w:val="1054"/>
        </w:numPr>
      </w:pPr>
      <w:r>
        <w:rPr>
          <w:b/>
          <w:bCs/>
        </w:rPr>
        <w:t xml:space="preserve">Conduite à Tenir</w:t>
      </w:r>
      <w:r>
        <w:t xml:space="preserve"> </w:t>
      </w:r>
      <w:r>
        <w:t xml:space="preserve">:</w:t>
      </w:r>
    </w:p>
    <w:p>
      <w:pPr>
        <w:pStyle w:val="Compact"/>
        <w:numPr>
          <w:ilvl w:val="1"/>
          <w:numId w:val="1056"/>
        </w:numPr>
      </w:pPr>
      <w:r>
        <w:rPr>
          <w:i/>
          <w:iCs/>
        </w:rPr>
        <w:t xml:space="preserve">Dermatite de contact</w:t>
      </w:r>
      <w:r>
        <w:t xml:space="preserve"> </w:t>
      </w:r>
      <w:r>
        <w:t xml:space="preserve">: arrêt, relais par un autre antifongique topique d’une autre classe (allylamine — terbinafine).</w:t>
      </w:r>
    </w:p>
    <w:p>
      <w:pPr>
        <w:pStyle w:val="Compact"/>
        <w:numPr>
          <w:ilvl w:val="1"/>
          <w:numId w:val="1056"/>
        </w:numPr>
      </w:pPr>
      <w:r>
        <w:rPr>
          <w:i/>
          <w:iCs/>
        </w:rPr>
        <w:t xml:space="preserve">Aggravation ou absence d’amélioration à 7 jours</w:t>
      </w:r>
      <w:r>
        <w:t xml:space="preserve"> </w:t>
      </w:r>
      <w:r>
        <w:t xml:space="preserve">: réévaluation médicale, prélèvement mycologique.</w:t>
      </w:r>
    </w:p>
    <w:p>
      <w:pPr>
        <w:pStyle w:val="Compact"/>
        <w:numPr>
          <w:ilvl w:val="1"/>
          <w:numId w:val="1056"/>
        </w:numPr>
      </w:pPr>
      <w:r>
        <w:rPr>
          <w:i/>
          <w:iCs/>
        </w:rPr>
        <w:t xml:space="preserve">Saignement anormal sous anticoagulant</w:t>
      </w:r>
      <w:r>
        <w:t xml:space="preserve"> </w:t>
      </w:r>
      <w:r>
        <w:t xml:space="preserve">: arrêt immédiat du miconazole, contrôle INR en urgence, adaptation de l’antivitamine K.</w:t>
      </w:r>
    </w:p>
    <w:p>
      <w:pPr>
        <w:pStyle w:val="FirstParagraph"/>
      </w:pPr>
      <w:r>
        <w:rPr>
          <w:b/>
          <w:bCs/>
        </w:rPr>
        <w:t xml:space="preserve">Interactions Importantes :</w:t>
      </w:r>
    </w:p>
    <w:p>
      <w:pPr>
        <w:pStyle w:val="Compact"/>
        <w:numPr>
          <w:ilvl w:val="0"/>
          <w:numId w:val="1057"/>
        </w:numPr>
      </w:pPr>
      <w:r>
        <w:rPr>
          <w:b/>
          <w:bCs/>
        </w:rPr>
        <w:t xml:space="preserve">Anticoagulants oraux (warfarine, acénocoumarol)</w:t>
      </w:r>
      <w:r>
        <w:t xml:space="preserve"> </w:t>
      </w:r>
      <w:r>
        <w:t xml:space="preserve">: inhibition du CYP2C9 et CYP3A4 par le miconazole → augmentation importante de l’INR et risque hémorragique (saignement gastro-intestinal, cérébral, épistaxis). Interaction documentée même avec le gel buccal avalé ou la crème vaginale. Surveillance stricte de l’INR.</w:t>
      </w:r>
    </w:p>
    <w:p>
      <w:pPr>
        <w:pStyle w:val="Compact"/>
        <w:numPr>
          <w:ilvl w:val="0"/>
          <w:numId w:val="1057"/>
        </w:numPr>
      </w:pPr>
      <w:r>
        <w:rPr>
          <w:b/>
          <w:bCs/>
        </w:rPr>
        <w:t xml:space="preserve">Sulfonylurées (glibenclamide, glimépiride)</w:t>
      </w:r>
      <w:r>
        <w:t xml:space="preserve"> </w:t>
      </w:r>
      <w:r>
        <w:t xml:space="preserve">: inhibition du CYP2C9 → hypoglycémie prolongée et sévère.</w:t>
      </w:r>
    </w:p>
    <w:p>
      <w:pPr>
        <w:pStyle w:val="Compact"/>
        <w:numPr>
          <w:ilvl w:val="0"/>
          <w:numId w:val="1057"/>
        </w:numPr>
      </w:pPr>
      <w:r>
        <w:rPr>
          <w:b/>
          <w:bCs/>
        </w:rPr>
        <w:t xml:space="preserve">Statines (simvastatine, atorvastatine)</w:t>
      </w:r>
      <w:r>
        <w:t xml:space="preserve"> </w:t>
      </w:r>
      <w:r>
        <w:t xml:space="preserve">: inhibition du CYP3A4 → majoration du risque de rhabdomyolyse (surtout pour le gel buccal avalé ou la forme vaginale).</w:t>
      </w:r>
    </w:p>
    <w:p>
      <w:pPr>
        <w:pStyle w:val="Compact"/>
        <w:numPr>
          <w:ilvl w:val="0"/>
          <w:numId w:val="1057"/>
        </w:numPr>
      </w:pPr>
      <w:r>
        <w:rPr>
          <w:b/>
          <w:bCs/>
        </w:rPr>
        <w:t xml:space="preserve">Inhibiteurs calciques (amlodipine, félodipine)</w:t>
      </w:r>
      <w:r>
        <w:t xml:space="preserve"> </w:t>
      </w:r>
      <w:r>
        <w:t xml:space="preserve">: majoration de l’effet hypotenseur.</w:t>
      </w:r>
    </w:p>
    <w:p>
      <w:pPr>
        <w:pStyle w:val="Compact"/>
        <w:numPr>
          <w:ilvl w:val="0"/>
          <w:numId w:val="1057"/>
        </w:numPr>
      </w:pPr>
      <w:r>
        <w:rPr>
          <w:b/>
          <w:bCs/>
        </w:rPr>
        <w:t xml:space="preserve">Midazolam, triazolam</w:t>
      </w:r>
      <w:r>
        <w:t xml:space="preserve"> </w:t>
      </w:r>
      <w:r>
        <w:t xml:space="preserve">: sédation excessive.</w:t>
      </w:r>
    </w:p>
    <w:p>
      <w:pPr>
        <w:pStyle w:val="Compact"/>
        <w:numPr>
          <w:ilvl w:val="0"/>
          <w:numId w:val="1057"/>
        </w:numPr>
      </w:pPr>
      <w:r>
        <w:rPr>
          <w:b/>
          <w:bCs/>
        </w:rPr>
        <w:t xml:space="preserve">Ciclosporine, tacrolimus</w:t>
      </w:r>
      <w:r>
        <w:t xml:space="preserve"> </w:t>
      </w:r>
      <w:r>
        <w:t xml:space="preserve">: augmentation des taux sanguins et risque de néphrotoxicité.</w:t>
      </w:r>
    </w:p>
    <w:p>
      <w:pPr>
        <w:pStyle w:val="FirstParagraph"/>
      </w:pPr>
      <w:r>
        <w:rPr>
          <w:b/>
          <w:bCs/>
        </w:rPr>
        <w:t xml:space="preserve">Grossesse et Allaitement :</w:t>
      </w:r>
    </w:p>
    <w:p>
      <w:pPr>
        <w:pStyle w:val="Compact"/>
        <w:numPr>
          <w:ilvl w:val="0"/>
          <w:numId w:val="1058"/>
        </w:numPr>
      </w:pPr>
      <w:r>
        <w:rPr>
          <w:b/>
          <w:bCs/>
        </w:rPr>
        <w:t xml:space="preserve">Grossesse</w:t>
      </w:r>
      <w:r>
        <w:t xml:space="preserve"> </w:t>
      </w:r>
      <w:r>
        <w:t xml:space="preserve">: Selon le CRAT, le miconazole topique (cutané, buccal) est</w:t>
      </w:r>
      <w:r>
        <w:t xml:space="preserve"> </w:t>
      </w:r>
      <w:r>
        <w:rPr>
          <w:b/>
          <w:bCs/>
        </w:rPr>
        <w:t xml:space="preserve">utilisable chez la femme enceinte</w:t>
      </w:r>
      <w:r>
        <w:t xml:space="preserve"> </w:t>
      </w:r>
      <w:r>
        <w:t xml:space="preserve">à tous les trimestres, l’absorption systémique étant négligeable. Pour la forme vaginale, l’usage est déconseillé au 1ᵉʳ trimestre (par mesure de prudence) et autorisé au 2ᵉ et 3ᵉ trimestre (préférer un ovule à dose unique de clotrimazole ou d’éconazole). Le miconazole oral (systémique) est tératogène chez l’animal et strictement contre-indiqué pendant la grossesse — mais il n’est plus commercialisé en Algérie.</w:t>
      </w:r>
    </w:p>
    <w:p>
      <w:pPr>
        <w:pStyle w:val="Compact"/>
        <w:numPr>
          <w:ilvl w:val="0"/>
          <w:numId w:val="1058"/>
        </w:numPr>
      </w:pPr>
      <w:r>
        <w:rPr>
          <w:b/>
          <w:bCs/>
        </w:rPr>
        <w:t xml:space="preserve">Allaitement</w:t>
      </w:r>
      <w:r>
        <w:t xml:space="preserve"> </w:t>
      </w:r>
      <w:r>
        <w:t xml:space="preserve">: Compatible avec l’allaitement pour les formes cutanées et buccales (passage lacté minimal). Éviter l’application sur le mamelon avant la tétée (nettoyer soigneusement).</w:t>
      </w:r>
    </w:p>
    <w:p>
      <w:pPr>
        <w:pStyle w:val="Compact"/>
        <w:numPr>
          <w:ilvl w:val="0"/>
          <w:numId w:val="1058"/>
        </w:numPr>
      </w:pPr>
      <w:r>
        <w:rPr>
          <w:b/>
          <w:bCs/>
        </w:rPr>
        <w:t xml:space="preserve">Précisions</w:t>
      </w:r>
      <w:r>
        <w:t xml:space="preserve"> </w:t>
      </w:r>
      <w:r>
        <w:t xml:space="preserve">: Pour le gel buccal chez une femme enceinte, préférer les bains de bouche courte durée et éviter l’ingestion massive.</w:t>
      </w:r>
    </w:p>
    <w:p>
      <w:pPr>
        <w:pStyle w:val="FirstParagraph"/>
      </w:pPr>
      <w:r>
        <w:rPr>
          <w:b/>
          <w:bCs/>
        </w:rPr>
        <w:t xml:space="preserve">Posologie et Mode d’administration (Standard) :</w:t>
      </w:r>
    </w:p>
    <w:p>
      <w:pPr>
        <w:pStyle w:val="Compact"/>
        <w:numPr>
          <w:ilvl w:val="0"/>
          <w:numId w:val="1059"/>
        </w:numPr>
      </w:pPr>
      <w:r>
        <w:rPr>
          <w:b/>
          <w:bCs/>
        </w:rPr>
        <w:t xml:space="preserve">Adulte</w:t>
      </w:r>
      <w:r>
        <w:t xml:space="preserve"> </w:t>
      </w:r>
      <w:r>
        <w:t xml:space="preserve">:</w:t>
      </w:r>
    </w:p>
    <w:p>
      <w:pPr>
        <w:pStyle w:val="Compact"/>
        <w:numPr>
          <w:ilvl w:val="1"/>
          <w:numId w:val="1060"/>
        </w:numPr>
      </w:pPr>
      <w:r>
        <w:rPr>
          <w:i/>
          <w:iCs/>
        </w:rPr>
        <w:t xml:space="preserve">Gel buccal</w:t>
      </w:r>
      <w:r>
        <w:t xml:space="preserve"> </w:t>
      </w:r>
      <w:r>
        <w:t xml:space="preserve">: 1 à 2 cuillères-mesure de 5 mL (soit 100 à 200 mg de miconazole) 4 fois par jour, à garder en bouche le plus longtemps possible avant d’avaler. Bain de bouche au coucher maintenu en bouche 5 min. Traitement de 7 jours minimum, à poursuivre 48 h après disparition des symptômes.</w:t>
      </w:r>
    </w:p>
    <w:p>
      <w:pPr>
        <w:pStyle w:val="Compact"/>
        <w:numPr>
          <w:ilvl w:val="1"/>
          <w:numId w:val="1060"/>
        </w:numPr>
      </w:pPr>
      <w:r>
        <w:rPr>
          <w:i/>
          <w:iCs/>
        </w:rPr>
        <w:t xml:space="preserve">Crème/gel dermique</w:t>
      </w:r>
      <w:r>
        <w:t xml:space="preserve"> </w:t>
      </w:r>
      <w:r>
        <w:t xml:space="preserve">: 2 applications par jour sur peau propre et sèche, pendant 2 à 4 semaines (4 à 6 semaines pour les mycoses des pieds).</w:t>
      </w:r>
    </w:p>
    <w:p>
      <w:pPr>
        <w:pStyle w:val="Compact"/>
        <w:numPr>
          <w:ilvl w:val="0"/>
          <w:numId w:val="1059"/>
        </w:numPr>
      </w:pPr>
      <w:r>
        <w:rPr>
          <w:b/>
          <w:bCs/>
        </w:rPr>
        <w:t xml:space="preserve">Enfant</w:t>
      </w:r>
      <w:r>
        <w:t xml:space="preserve"> </w:t>
      </w:r>
      <w:r>
        <w:t xml:space="preserve">:</w:t>
      </w:r>
    </w:p>
    <w:p>
      <w:pPr>
        <w:pStyle w:val="Compact"/>
        <w:numPr>
          <w:ilvl w:val="1"/>
          <w:numId w:val="1061"/>
        </w:numPr>
      </w:pPr>
      <w:r>
        <w:rPr>
          <w:i/>
          <w:iCs/>
        </w:rPr>
        <w:t xml:space="preserve">Gel buccal</w:t>
      </w:r>
      <w:r>
        <w:t xml:space="preserve"> </w:t>
      </w:r>
      <w:r>
        <w:t xml:space="preserve">: à partir de 6 mois, 1/2 cuillère-mesure de 5 mL (50 mg) 4 fois par jour. Pour les enfants plus jeunes (4 mois à 6 mois), uniquement sur avis médical, application localisée avec petit doigt ou compresse.</w:t>
      </w:r>
    </w:p>
    <w:p>
      <w:pPr>
        <w:pStyle w:val="Compact"/>
        <w:numPr>
          <w:ilvl w:val="1"/>
          <w:numId w:val="1061"/>
        </w:numPr>
      </w:pPr>
      <w:r>
        <w:rPr>
          <w:i/>
          <w:iCs/>
        </w:rPr>
        <w:t xml:space="preserve">Crème dermique</w:t>
      </w:r>
      <w:r>
        <w:t xml:space="preserve"> </w:t>
      </w:r>
      <w:r>
        <w:t xml:space="preserve">: 2 applications par jour, durée identique à l’adulte.</w:t>
      </w:r>
    </w:p>
    <w:p>
      <w:pPr>
        <w:pStyle w:val="Compact"/>
        <w:numPr>
          <w:ilvl w:val="0"/>
          <w:numId w:val="1059"/>
        </w:numPr>
      </w:pPr>
      <w:r>
        <w:rPr>
          <w:b/>
          <w:bCs/>
        </w:rPr>
        <w:t xml:space="preserve">Durée</w:t>
      </w:r>
      <w:r>
        <w:t xml:space="preserve"> </w:t>
      </w:r>
      <w:r>
        <w:t xml:space="preserve">: candidose buccale 7 à 14 jours ; candidose cutanée 2 à 4 semaines ; dermatophytie cutanée 4 à 6 semaines ; pityriasis versicolor 2 à 3 semaines.</w:t>
      </w:r>
    </w:p>
    <w:p>
      <w:pPr>
        <w:pStyle w:val="Compact"/>
        <w:numPr>
          <w:ilvl w:val="0"/>
          <w:numId w:val="1059"/>
        </w:numPr>
      </w:pPr>
      <w:r>
        <w:rPr>
          <w:b/>
          <w:bCs/>
        </w:rPr>
        <w:t xml:space="preserve">Moment de prise</w:t>
      </w:r>
      <w:r>
        <w:t xml:space="preserve"> </w:t>
      </w:r>
      <w:r>
        <w:t xml:space="preserve">: gel buccal après les repas et au coucher ; crème dermique matin et soir sur peau propre et sèche.</w:t>
      </w:r>
    </w:p>
    <w:p>
      <w:pPr>
        <w:pStyle w:val="FirstParagraph"/>
      </w:pPr>
      <w:r>
        <w:rPr>
          <w:b/>
          <w:bCs/>
        </w:rPr>
        <w:t xml:space="preserve">Arbitrage et Bénéfices des Formes Galéniques :</w:t>
      </w:r>
    </w:p>
    <w:p>
      <w:pPr>
        <w:pStyle w:val="BodyText"/>
      </w:pPr>
      <w:r>
        <w:t xml:space="preserve">Le</w:t>
      </w:r>
      <w:r>
        <w:t xml:space="preserve"> </w:t>
      </w:r>
      <w:r>
        <w:rPr>
          <w:b/>
          <w:bCs/>
        </w:rPr>
        <w:t xml:space="preserve">gel buccal</w:t>
      </w:r>
      <w:r>
        <w:t xml:space="preserve"> </w:t>
      </w:r>
      <w:r>
        <w:t xml:space="preserve">est la forme galénique emblématique du miconazole en Algérie. Sa consistance gélifiée permet une</w:t>
      </w:r>
      <w:r>
        <w:t xml:space="preserve"> </w:t>
      </w:r>
      <w:r>
        <w:rPr>
          <w:b/>
          <w:bCs/>
        </w:rPr>
        <w:t xml:space="preserve">adhésion muqueuse prolongée</w:t>
      </w:r>
      <w:r>
        <w:t xml:space="preserve"> </w:t>
      </w:r>
      <w:r>
        <w:t xml:space="preserve">(muco-adhésion), maintenant une concentration locale élevée de miconazole au contact de la muqueuse atteinte pendant 30 à 60 minutes après application — bien plus efficace qu’une simple solution liquide en bain de bouche. La concentration à 2 % est adaptée à la candidose buccale. Le gel peut être appliqué avec le doigt propre, une compresse ou la cuillère-mesure.</w:t>
      </w:r>
    </w:p>
    <w:p>
      <w:pPr>
        <w:pStyle w:val="BodyText"/>
      </w:pPr>
      <w:r>
        <w:t xml:space="preserve">La</w:t>
      </w:r>
      <w:r>
        <w:t xml:space="preserve"> </w:t>
      </w:r>
      <w:r>
        <w:rPr>
          <w:b/>
          <w:bCs/>
        </w:rPr>
        <w:t xml:space="preserve">crème et le gel dermique</w:t>
      </w:r>
      <w:r>
        <w:t xml:space="preserve"> </w:t>
      </w:r>
      <w:r>
        <w:t xml:space="preserve">(formes moins disponibles actuellement en Algérie où l’on observe un recul des marques Micodal, Micogel, Micoheal, Miconal, Daktarin crème) ont un intérêt pour les candidoses cutanées et les dermatophyties, mais le pharmacien doit savoir orienter le patient vers un autre imidazolé topique disponible (kétoconazole, éconazole, clotrimazole) en cas d’indisponibilité.</w:t>
      </w:r>
    </w:p>
    <w:p>
      <w:pPr>
        <w:pStyle w:val="BodyText"/>
      </w:pPr>
      <w:r>
        <w:rPr>
          <w:b/>
          <w:bCs/>
        </w:rPr>
        <w:t xml:space="preserve">Instructions et Conseils au Patient :</w:t>
      </w:r>
    </w:p>
    <w:p>
      <w:pPr>
        <w:pStyle w:val="Compact"/>
        <w:numPr>
          <w:ilvl w:val="0"/>
          <w:numId w:val="1062"/>
        </w:numPr>
      </w:pPr>
      <w:r>
        <w:rPr>
          <w:b/>
          <w:bCs/>
        </w:rPr>
        <w:t xml:space="preserve">Communication au comptoir</w:t>
      </w:r>
      <w:r>
        <w:t xml:space="preserve"> </w:t>
      </w:r>
      <w:r>
        <w:t xml:space="preserve">:</w:t>
      </w:r>
    </w:p>
    <w:p>
      <w:pPr>
        <w:pStyle w:val="Compact"/>
        <w:numPr>
          <w:ilvl w:val="1"/>
          <w:numId w:val="1063"/>
        </w:numPr>
      </w:pPr>
      <w:r>
        <w:t xml:space="preserve">« Pour le gel buccal : appliquez 4 fois par jour avec le doigt ou la cuillère-mesure, sur les zones blanches de la bouche. Gardez le gel le plus longtemps possible en bouche avant d’avaler. Ne mangez pas et ne buvez pas pendant 30 minutes après. Continuez 48 heures après la disparition des plaques. »</w:t>
      </w:r>
    </w:p>
    <w:p>
      <w:pPr>
        <w:pStyle w:val="Compact"/>
        <w:numPr>
          <w:ilvl w:val="1"/>
          <w:numId w:val="1063"/>
        </w:numPr>
      </w:pPr>
      <w:r>
        <w:t xml:space="preserve">« Pour la crème : appliquez 2 fois par jour sur peau propre et parfaitement sèche, pendant 2 à 4 semaines. Lavez-vous les mains avant et après. »</w:t>
      </w:r>
    </w:p>
    <w:p>
      <w:pPr>
        <w:pStyle w:val="Compact"/>
        <w:numPr>
          <w:ilvl w:val="1"/>
          <w:numId w:val="1063"/>
        </w:numPr>
      </w:pPr>
      <w:r>
        <w:t xml:space="preserve">« Attention : si vous prenez un anticoagulant (Sintrom, Coumadin), prévenez votre médecin avant d’utiliser le miconazole buccal ou vaginal. »</w:t>
      </w:r>
    </w:p>
    <w:p>
      <w:pPr>
        <w:pStyle w:val="Compact"/>
        <w:numPr>
          <w:ilvl w:val="0"/>
          <w:numId w:val="1062"/>
        </w:numPr>
      </w:pPr>
      <w:r>
        <w:rPr>
          <w:b/>
          <w:bCs/>
        </w:rPr>
        <w:t xml:space="preserve">Mode d’utilisation pratique</w:t>
      </w:r>
      <w:r>
        <w:t xml:space="preserve"> </w:t>
      </w:r>
      <w:r>
        <w:t xml:space="preserve">:</w:t>
      </w:r>
    </w:p>
    <w:p>
      <w:pPr>
        <w:pStyle w:val="Compact"/>
        <w:numPr>
          <w:ilvl w:val="1"/>
          <w:numId w:val="1064"/>
        </w:numPr>
      </w:pPr>
      <w:r>
        <w:t xml:space="preserve">Pour le gel buccal chez l’adulte avec prothèse dentaire : retirer la prothèse avant application, nettoyer la prothèse à part avec une solution antifongique (à défaut de solution, tremper dans l’eau additionnée de miconazole gel dilué).</w:t>
      </w:r>
    </w:p>
    <w:p>
      <w:pPr>
        <w:pStyle w:val="Compact"/>
        <w:numPr>
          <w:ilvl w:val="1"/>
          <w:numId w:val="1064"/>
        </w:numPr>
      </w:pPr>
      <w:r>
        <w:t xml:space="preserve">Pour le patient sous corticothérapie inhalée : toujours rincer la bouche après chaque prise de corticoïde inhalé, et appliquer le miconazole en prévention si prescription prophylactique.</w:t>
      </w:r>
    </w:p>
    <w:p>
      <w:pPr>
        <w:pStyle w:val="FirstParagraph"/>
      </w:pPr>
      <w:r>
        <w:rPr>
          <w:b/>
          <w:bCs/>
        </w:rPr>
        <w:t xml:space="preserve">Notes, Règles d’Or &amp; Pièges au Comptoir :</w:t>
      </w:r>
    </w:p>
    <w:p>
      <w:pPr>
        <w:pStyle w:val="Compact"/>
        <w:numPr>
          <w:ilvl w:val="0"/>
          <w:numId w:val="1065"/>
        </w:numPr>
      </w:pPr>
      <w:r>
        <w:rPr>
          <w:b/>
          <w:bCs/>
        </w:rPr>
        <w:t xml:space="preserve">Piège classique</w:t>
      </w:r>
      <w:r>
        <w:t xml:space="preserve"> </w:t>
      </w:r>
      <w:r>
        <w:t xml:space="preserve">: le gel buccal miconazole ne doit pas être utilisé chez le nourrisson de moins de 6 mois en automédication (risque de fausse-route et de cyanose par spasme laryngé). Pour le muguet du nourrisson, préférer la nystatine suspension buvable.</w:t>
      </w:r>
    </w:p>
    <w:p>
      <w:pPr>
        <w:pStyle w:val="Compact"/>
        <w:numPr>
          <w:ilvl w:val="0"/>
          <w:numId w:val="1065"/>
        </w:numPr>
      </w:pPr>
      <w:r>
        <w:rPr>
          <w:b/>
          <w:bCs/>
        </w:rPr>
        <w:t xml:space="preserve">Règle de prise</w:t>
      </w:r>
      <w:r>
        <w:t xml:space="preserve"> </w:t>
      </w:r>
      <w:r>
        <w:t xml:space="preserve">: pour le gel buccal, ne pas avaler immédiatement — l’efficacité dépend du</w:t>
      </w:r>
      <w:r>
        <w:t xml:space="preserve"> </w:t>
      </w:r>
      <w:r>
        <w:rPr>
          <w:b/>
          <w:bCs/>
        </w:rPr>
        <w:t xml:space="preserve">temps de contact muqueux</w:t>
      </w:r>
      <w:r>
        <w:t xml:space="preserve">. Pour la crème, ne pas rincer la zone traitée dans l’heure suivant l’application.</w:t>
      </w:r>
    </w:p>
    <w:p>
      <w:pPr>
        <w:pStyle w:val="Compact"/>
        <w:numPr>
          <w:ilvl w:val="0"/>
          <w:numId w:val="1065"/>
        </w:numPr>
      </w:pPr>
      <w:r>
        <w:rPr>
          <w:b/>
          <w:bCs/>
        </w:rPr>
        <w:t xml:space="preserve">Préparation et Conservation</w:t>
      </w:r>
      <w:r>
        <w:t xml:space="preserve"> </w:t>
      </w:r>
      <w:r>
        <w:t xml:space="preserve">: tube bien fermé, à température &lt; 25 °C. Durée de conservation après première ouverture : 3 mois pour le gel buccal, 6 mois pour la crème.</w:t>
      </w:r>
    </w:p>
    <w:p>
      <w:pPr>
        <w:pStyle w:val="Compact"/>
        <w:numPr>
          <w:ilvl w:val="0"/>
          <w:numId w:val="1065"/>
        </w:numPr>
      </w:pPr>
      <w:r>
        <w:rPr>
          <w:b/>
          <w:bCs/>
        </w:rPr>
        <w:t xml:space="preserve">Piège du surdosage / Substitution</w:t>
      </w:r>
      <w:r>
        <w:t xml:space="preserve"> </w:t>
      </w:r>
      <w:r>
        <w:t xml:space="preserve">: ne pas associer deux imidazolés topiques (pas de bénéfice, risque de sensibilisation croisée). En cas de candidose buccale résistante au miconazole après 14 jours, envisager le fluconazole oral (sur prescription médicale) après prélèvement mycologique.</w:t>
      </w:r>
    </w:p>
    <w:p>
      <w:pPr>
        <w:pStyle w:val="Compact"/>
        <w:numPr>
          <w:ilvl w:val="0"/>
          <w:numId w:val="1065"/>
        </w:numPr>
      </w:pPr>
      <w:r>
        <w:rPr>
          <w:b/>
          <w:bCs/>
        </w:rPr>
        <w:t xml:space="preserve">Alerte</w:t>
      </w:r>
      <w:r>
        <w:t xml:space="preserve"> </w:t>
      </w:r>
      <w:r>
        <w:t xml:space="preserve">: le miconazole (gel buccal ou vaginal) + anticoagulant oral est une interaction médicamenteuse à risque hémorragique majeur — le pharmacien d’officine doit systématiquement demander au patient s’il prend un anticoagulant avant de délivrer le miconazole, et si oui, l’orienter vers son médecin traitant pour surveillance de l’INR.</w:t>
      </w:r>
    </w:p>
    <w:p>
      <w:r>
        <w:pict>
          <v:rect style="width:0;height:1.5pt" o:hralign="center" o:hrstd="t" o:hr="t"/>
        </w:pict>
      </w:r>
    </w:p>
    <w:bookmarkEnd w:id="44"/>
    <w:bookmarkStart w:id="45" w:name="dci-kétoconazole-seule"/>
    <w:p>
      <w:pPr>
        <w:pStyle w:val="Heading3"/>
      </w:pPr>
      <w:r>
        <w:t xml:space="preserve">11.4. DCI : Kétoconazole (Seule)</w:t>
      </w:r>
    </w:p>
    <w:p>
      <w:pPr>
        <w:pStyle w:val="FirstParagraph"/>
      </w:pPr>
      <w:r>
        <w:rPr>
          <w:b/>
          <w:bCs/>
        </w:rPr>
        <w:t xml:space="preserve">Liste des Catégories :</w:t>
      </w:r>
      <w:r>
        <w:t xml:space="preserve"> </w:t>
      </w:r>
      <w:r>
        <w:t xml:space="preserve">LISTE I ; topique cutané (crème, gel moussant, shampooing) — la forme orale est retirée du marché mondial et algérien depuis 2013–2014.</w:t>
      </w:r>
    </w:p>
    <w:p>
      <w:pPr>
        <w:pStyle w:val="BodyText"/>
      </w:pPr>
      <w:r>
        <w:t xml:space="preserve">Le kétoconazole occupe une place particulière dans la pharmacologie des imidazolés : historiquement premier azolé disponible par voie orale (Janssen, 1981, Nizoral® comprimé), il a révolutionné le traitement des mycoses systémiques avant l’arrivée du fluconazole et de l’itraconazole. Cependant, des cas d’</w:t>
      </w:r>
      <w:r>
        <w:rPr>
          <w:b/>
          <w:bCs/>
        </w:rPr>
        <w:t xml:space="preserve">hépatotoxicité sévère</w:t>
      </w:r>
      <w:r>
        <w:t xml:space="preserve"> </w:t>
      </w:r>
      <w:r>
        <w:t xml:space="preserve">(hépatites cytolytiques, cas mortels rapportés dès les années 1990) et d’</w:t>
      </w:r>
      <w:r>
        <w:rPr>
          <w:b/>
          <w:bCs/>
        </w:rPr>
        <w:t xml:space="preserve">interactions médicamenteuses massives</w:t>
      </w:r>
      <w:r>
        <w:t xml:space="preserve"> </w:t>
      </w:r>
      <w:r>
        <w:t xml:space="preserve">(inhibition puissante du CYP3A4 avec surdosage en nombreux médicaments) ont conduit l’EMA et la FDA à retirer la forme orale du marché en 2013–2014. Seules subsistent aujourd’hui les</w:t>
      </w:r>
      <w:r>
        <w:t xml:space="preserve"> </w:t>
      </w:r>
      <w:r>
        <w:rPr>
          <w:b/>
          <w:bCs/>
        </w:rPr>
        <w:t xml:space="preserve">formes topiques</w:t>
      </w:r>
      <w:r>
        <w:t xml:space="preserve"> </w:t>
      </w:r>
      <w:r>
        <w:t xml:space="preserve">: crème dermique pour les mycoses cutanées, gel moussant et shampooing pour la dermatite séborrhéique, le pityriasis versicolor et les pellicules.</w:t>
      </w:r>
    </w:p>
    <w:p>
      <w:pPr>
        <w:pStyle w:val="BodyText"/>
      </w:pPr>
      <w:r>
        <w:rPr>
          <w:b/>
          <w:bCs/>
        </w:rPr>
        <w:t xml:space="preserve">Médicaments disponibles en Algérie (Marques, Laboratoires, Formes et Dosages) :</w:t>
      </w:r>
    </w:p>
    <w:p>
      <w:pPr>
        <w:pStyle w:val="BodyText"/>
      </w:pPr>
      <w:r>
        <w:rPr>
          <w:i/>
          <w:iCs/>
        </w:rPr>
        <w:t xml:space="preserve">Crème dermique 2 % (0,02) — tube 15 g :</w:t>
      </w:r>
      <w:r>
        <w:t xml:space="preserve"> </w:t>
      </w:r>
      <w:r>
        <w:t xml:space="preserve">-</w:t>
      </w:r>
      <w:r>
        <w:t xml:space="preserve"> </w:t>
      </w:r>
      <w:r>
        <w:rPr>
          <w:b/>
          <w:bCs/>
        </w:rPr>
        <w:t xml:space="preserve">KETOCREM</w:t>
      </w:r>
      <w:r>
        <w:t xml:space="preserve"> </w:t>
      </w:r>
      <w:r>
        <w:t xml:space="preserve">(NOVAPHARM TRADING) —</w:t>
      </w:r>
      <w:r>
        <w:t xml:space="preserve"> </w:t>
      </w:r>
      <w:r>
        <w:rPr>
          <w:b/>
          <w:bCs/>
        </w:rPr>
        <w:t xml:space="preserve">Actif</w:t>
      </w:r>
      <w:r>
        <w:t xml:space="preserve"> </w:t>
      </w:r>
      <w:r>
        <w:t xml:space="preserve">-</w:t>
      </w:r>
      <w:r>
        <w:t xml:space="preserve"> </w:t>
      </w:r>
      <w:r>
        <w:rPr>
          <w:b/>
          <w:bCs/>
        </w:rPr>
        <w:t xml:space="preserve">KETODEL</w:t>
      </w:r>
      <w:r>
        <w:t xml:space="preserve"> </w:t>
      </w:r>
      <w:r>
        <w:t xml:space="preserve">(LAD PHARMA) —</w:t>
      </w:r>
      <w:r>
        <w:t xml:space="preserve"> </w:t>
      </w:r>
      <w:r>
        <w:rPr>
          <w:b/>
          <w:bCs/>
        </w:rPr>
        <w:t xml:space="preserve">Actif</w:t>
      </w:r>
      <w:r>
        <w:t xml:space="preserve"> </w:t>
      </w:r>
      <w:r>
        <w:t xml:space="preserve">-</w:t>
      </w:r>
      <w:r>
        <w:t xml:space="preserve"> </w:t>
      </w:r>
      <w:r>
        <w:rPr>
          <w:b/>
          <w:bCs/>
        </w:rPr>
        <w:t xml:space="preserve">KETODERM</w:t>
      </w:r>
      <w:r>
        <w:t xml:space="preserve"> </w:t>
      </w:r>
      <w:r>
        <w:t xml:space="preserve">(JANSSEN CILAG) —</w:t>
      </w:r>
      <w:r>
        <w:t xml:space="preserve"> </w:t>
      </w:r>
      <w:r>
        <w:rPr>
          <w:b/>
          <w:bCs/>
        </w:rPr>
        <w:t xml:space="preserve">Actif</w:t>
      </w:r>
      <w:r>
        <w:t xml:space="preserve"> </w:t>
      </w:r>
      <w:r>
        <w:t xml:space="preserve">-</w:t>
      </w:r>
      <w:r>
        <w:t xml:space="preserve"> </w:t>
      </w:r>
      <w:r>
        <w:rPr>
          <w:b/>
          <w:bCs/>
        </w:rPr>
        <w:t xml:space="preserve">KETONAZOLE</w:t>
      </w:r>
      <w:r>
        <w:t xml:space="preserve"> </w:t>
      </w:r>
      <w:r>
        <w:t xml:space="preserve">(LABORATOIRES PHARMAGHREB) —</w:t>
      </w:r>
      <w:r>
        <w:t xml:space="preserve"> </w:t>
      </w:r>
      <w:r>
        <w:rPr>
          <w:b/>
          <w:bCs/>
        </w:rPr>
        <w:t xml:space="preserve">Actif</w:t>
      </w:r>
      <w:r>
        <w:t xml:space="preserve"> </w:t>
      </w:r>
      <w:r>
        <w:t xml:space="preserve">-</w:t>
      </w:r>
      <w:r>
        <w:t xml:space="preserve"> </w:t>
      </w:r>
      <w:r>
        <w:rPr>
          <w:b/>
          <w:bCs/>
        </w:rPr>
        <w:t xml:space="preserve">KETOSKIN</w:t>
      </w:r>
      <w:r>
        <w:t xml:space="preserve"> </w:t>
      </w:r>
      <w:r>
        <w:t xml:space="preserve">(GROUPE SAIDAL) —</w:t>
      </w:r>
      <w:r>
        <w:t xml:space="preserve"> </w:t>
      </w:r>
      <w:r>
        <w:rPr>
          <w:b/>
          <w:bCs/>
        </w:rPr>
        <w:t xml:space="preserve">Actif</w:t>
      </w:r>
      <w:r>
        <w:t xml:space="preserve"> </w:t>
      </w:r>
      <w:r>
        <w:t xml:space="preserve">-</w:t>
      </w:r>
      <w:r>
        <w:t xml:space="preserve"> </w:t>
      </w:r>
      <w:r>
        <w:rPr>
          <w:b/>
          <w:bCs/>
        </w:rPr>
        <w:t xml:space="preserve">MYCOZOL</w:t>
      </w:r>
      <w:r>
        <w:t xml:space="preserve"> </w:t>
      </w:r>
      <w:r>
        <w:t xml:space="preserve">(NEOMEDIC) —</w:t>
      </w:r>
      <w:r>
        <w:t xml:space="preserve"> </w:t>
      </w:r>
      <w:r>
        <w:rPr>
          <w:b/>
          <w:bCs/>
        </w:rPr>
        <w:t xml:space="preserve">Actif</w:t>
      </w:r>
      <w:r>
        <w:t xml:space="preserve"> </w:t>
      </w:r>
      <w:r>
        <w:t xml:space="preserve">-</w:t>
      </w:r>
      <w:r>
        <w:t xml:space="preserve"> </w:t>
      </w:r>
      <w:r>
        <w:rPr>
          <w:b/>
          <w:bCs/>
        </w:rPr>
        <w:t xml:space="preserve">VAVO</w:t>
      </w:r>
      <w:r>
        <w:t xml:space="preserve"> </w:t>
      </w:r>
      <w:r>
        <w:t xml:space="preserve">(EL KENDI INDUSTRIE DU MEDICAMENT) —</w:t>
      </w:r>
      <w:r>
        <w:t xml:space="preserve"> </w:t>
      </w:r>
      <w:r>
        <w:rPr>
          <w:b/>
          <w:bCs/>
        </w:rPr>
        <w:t xml:space="preserve">Actif</w:t>
      </w:r>
    </w:p>
    <w:p>
      <w:pPr>
        <w:pStyle w:val="BodyText"/>
      </w:pPr>
      <w:r>
        <w:rPr>
          <w:i/>
          <w:iCs/>
        </w:rPr>
        <w:t xml:space="preserve">Gel moussant 2 % — tube 20 g ou flacon 100 mL :</w:t>
      </w:r>
      <w:r>
        <w:t xml:space="preserve"> </w:t>
      </w:r>
      <w:r>
        <w:t xml:space="preserve">-</w:t>
      </w:r>
      <w:r>
        <w:t xml:space="preserve"> </w:t>
      </w:r>
      <w:r>
        <w:rPr>
          <w:b/>
          <w:bCs/>
        </w:rPr>
        <w:t xml:space="preserve">KETOCONAZOLE NOVAGENERICS</w:t>
      </w:r>
      <w:r>
        <w:t xml:space="preserve"> </w:t>
      </w:r>
      <w:r>
        <w:t xml:space="preserve">(NOVAPHARM TRADING) — Gel moussant tube 20 g —</w:t>
      </w:r>
      <w:r>
        <w:t xml:space="preserve"> </w:t>
      </w:r>
      <w:r>
        <w:rPr>
          <w:b/>
          <w:bCs/>
        </w:rPr>
        <w:t xml:space="preserve">Actif</w:t>
      </w:r>
      <w:r>
        <w:t xml:space="preserve"> </w:t>
      </w:r>
      <w:r>
        <w:t xml:space="preserve">-</w:t>
      </w:r>
      <w:r>
        <w:t xml:space="preserve"> </w:t>
      </w:r>
      <w:r>
        <w:rPr>
          <w:b/>
          <w:bCs/>
        </w:rPr>
        <w:t xml:space="preserve">SKINOZOL</w:t>
      </w:r>
      <w:r>
        <w:t xml:space="preserve"> </w:t>
      </w:r>
      <w:r>
        <w:t xml:space="preserve">(BIOPHARM) — Gel moussant en sachet-dose 6 g, boîte de 8 —</w:t>
      </w:r>
      <w:r>
        <w:t xml:space="preserve"> </w:t>
      </w:r>
      <w:r>
        <w:rPr>
          <w:b/>
          <w:bCs/>
        </w:rPr>
        <w:t xml:space="preserve">Actif</w:t>
      </w:r>
      <w:r>
        <w:t xml:space="preserve"> </w:t>
      </w:r>
      <w:r>
        <w:t xml:space="preserve">-</w:t>
      </w:r>
      <w:r>
        <w:t xml:space="preserve"> </w:t>
      </w:r>
      <w:r>
        <w:rPr>
          <w:b/>
          <w:bCs/>
        </w:rPr>
        <w:t xml:space="preserve">KETOCONAZOLE NOVAGENERICS</w:t>
      </w:r>
      <w:r>
        <w:t xml:space="preserve"> </w:t>
      </w:r>
      <w:r>
        <w:t xml:space="preserve">(NOVAPHARM TRADING) — Gel moussant en sachet-dose 6 g, boîte de 8 —</w:t>
      </w:r>
      <w:r>
        <w:t xml:space="preserve"> </w:t>
      </w:r>
      <w:r>
        <w:rPr>
          <w:b/>
          <w:bCs/>
        </w:rPr>
        <w:t xml:space="preserve">Actif</w:t>
      </w:r>
      <w:r>
        <w:t xml:space="preserve"> </w:t>
      </w:r>
      <w:r>
        <w:t xml:space="preserve">-</w:t>
      </w:r>
      <w:r>
        <w:t xml:space="preserve"> </w:t>
      </w:r>
      <w:r>
        <w:rPr>
          <w:b/>
          <w:bCs/>
        </w:rPr>
        <w:t xml:space="preserve">KETONAZOLE</w:t>
      </w:r>
      <w:r>
        <w:t xml:space="preserve"> </w:t>
      </w:r>
      <w:r>
        <w:t xml:space="preserve">(LABORATOIRES PHARMAGHREB) — Gel moussant flacon 100 mL —</w:t>
      </w:r>
      <w:r>
        <w:t xml:space="preserve"> </w:t>
      </w:r>
      <w:r>
        <w:rPr>
          <w:b/>
          <w:bCs/>
        </w:rPr>
        <w:t xml:space="preserve">Actif</w:t>
      </w:r>
    </w:p>
    <w:p>
      <w:pPr>
        <w:pStyle w:val="BodyText"/>
      </w:pPr>
      <w:r>
        <w:rPr>
          <w:i/>
          <w:iCs/>
        </w:rPr>
        <w:t xml:space="preserve">Shampooing 2 % — flacon 100 mL :</w:t>
      </w:r>
      <w:r>
        <w:t xml:space="preserve"> </w:t>
      </w:r>
      <w:r>
        <w:t xml:space="preserve">-</w:t>
      </w:r>
      <w:r>
        <w:t xml:space="preserve"> </w:t>
      </w:r>
      <w:r>
        <w:rPr>
          <w:b/>
          <w:bCs/>
        </w:rPr>
        <w:t xml:space="preserve">DANDREX</w:t>
      </w:r>
      <w:r>
        <w:t xml:space="preserve"> </w:t>
      </w:r>
      <w:r>
        <w:t xml:space="preserve">(BEIT JALA PHARMACEUTICALS COMPANY) —</w:t>
      </w:r>
      <w:r>
        <w:t xml:space="preserve"> </w:t>
      </w:r>
      <w:r>
        <w:rPr>
          <w:b/>
          <w:bCs/>
        </w:rPr>
        <w:t xml:space="preserve">Actif</w:t>
      </w:r>
      <w:r>
        <w:t xml:space="preserve"> </w:t>
      </w:r>
      <w:r>
        <w:t xml:space="preserve">-</w:t>
      </w:r>
      <w:r>
        <w:t xml:space="preserve"> </w:t>
      </w:r>
      <w:r>
        <w:rPr>
          <w:b/>
          <w:bCs/>
        </w:rPr>
        <w:t xml:space="preserve">KETOCONAZOLE NOVAGENERICS</w:t>
      </w:r>
      <w:r>
        <w:t xml:space="preserve"> </w:t>
      </w:r>
      <w:r>
        <w:t xml:space="preserve">(NOVAPHARM TRADING) —</w:t>
      </w:r>
      <w:r>
        <w:t xml:space="preserve"> </w:t>
      </w:r>
      <w:r>
        <w:rPr>
          <w:b/>
          <w:bCs/>
        </w:rPr>
        <w:t xml:space="preserve">Actif</w:t>
      </w:r>
      <w:r>
        <w:t xml:space="preserve"> </w:t>
      </w:r>
      <w:r>
        <w:t xml:space="preserve">-</w:t>
      </w:r>
      <w:r>
        <w:t xml:space="preserve"> </w:t>
      </w:r>
      <w:r>
        <w:rPr>
          <w:b/>
          <w:bCs/>
        </w:rPr>
        <w:t xml:space="preserve">VAVO SHAMPOO</w:t>
      </w:r>
      <w:r>
        <w:t xml:space="preserve"> </w:t>
      </w:r>
      <w:r>
        <w:t xml:space="preserve">(TABUK ALGERIE) —</w:t>
      </w:r>
      <w:r>
        <w:t xml:space="preserve"> </w:t>
      </w:r>
      <w:r>
        <w:rPr>
          <w:b/>
          <w:bCs/>
        </w:rPr>
        <w:t xml:space="preserve">Actif</w:t>
      </w:r>
    </w:p>
    <w:p>
      <w:pPr>
        <w:pStyle w:val="BodyText"/>
      </w:pPr>
      <w:r>
        <w:rPr>
          <w:i/>
          <w:iCs/>
        </w:rPr>
        <w:t xml:space="preserve">Spécialités Non Renouvelables :</w:t>
      </w:r>
      <w:r>
        <w:t xml:space="preserve"> </w:t>
      </w:r>
      <w:r>
        <w:t xml:space="preserve">-</w:t>
      </w:r>
      <w:r>
        <w:t xml:space="preserve"> </w:t>
      </w:r>
      <w:r>
        <w:rPr>
          <w:b/>
          <w:bCs/>
        </w:rPr>
        <w:t xml:space="preserve">KETODERM</w:t>
      </w:r>
      <w:r>
        <w:t xml:space="preserve"> </w:t>
      </w:r>
      <w:r>
        <w:t xml:space="preserve">(JANSSEN CILAG) — Gel moussant en sachet-dose 6 g, boîte de 8 — Non Renouvelable</w:t>
      </w:r>
      <w:r>
        <w:t xml:space="preserve"> </w:t>
      </w:r>
      <w:r>
        <w:t xml:space="preserve">-</w:t>
      </w:r>
      <w:r>
        <w:t xml:space="preserve"> </w:t>
      </w:r>
      <w:r>
        <w:rPr>
          <w:b/>
          <w:bCs/>
        </w:rPr>
        <w:t xml:space="preserve">TINUVIN</w:t>
      </w:r>
      <w:r>
        <w:t xml:space="preserve"> </w:t>
      </w:r>
      <w:r>
        <w:t xml:space="preserve">(MEDOCHEMIE LTD) — Comprimé 200 mg, boîte de 10 — Non Renouvelable (forme orale historique, ne plus délivrer)</w:t>
      </w:r>
    </w:p>
    <w:p>
      <w:pPr>
        <w:pStyle w:val="BodyText"/>
      </w:pPr>
      <w:r>
        <w:rPr>
          <w:i/>
          <w:iCs/>
        </w:rPr>
        <w:t xml:space="preserve">Spécialités retirées (R) :</w:t>
      </w:r>
      <w:r>
        <w:t xml:space="preserve"> </w:t>
      </w:r>
      <w:r>
        <w:t xml:space="preserve">-</w:t>
      </w:r>
      <w:r>
        <w:t xml:space="preserve"> </w:t>
      </w:r>
      <w:r>
        <w:rPr>
          <w:b/>
          <w:bCs/>
        </w:rPr>
        <w:t xml:space="preserve">KETOCONAZOLE</w:t>
      </w:r>
      <w:r>
        <w:t xml:space="preserve"> </w:t>
      </w:r>
      <w:r>
        <w:t xml:space="preserve">(MEDICUBA) — Crème dermique 2 %, tube 15 g — (R)</w:t>
      </w:r>
      <w:r>
        <w:t xml:space="preserve"> </w:t>
      </w:r>
      <w:r>
        <w:t xml:space="preserve">-</w:t>
      </w:r>
      <w:r>
        <w:t xml:space="preserve"> </w:t>
      </w:r>
      <w:r>
        <w:rPr>
          <w:b/>
          <w:bCs/>
        </w:rPr>
        <w:t xml:space="preserve">KETODERM TUBE MONODOSE</w:t>
      </w:r>
      <w:r>
        <w:t xml:space="preserve"> </w:t>
      </w:r>
      <w:r>
        <w:t xml:space="preserve">(JANSSEN CILAG) — Gel moussant 2 %, tube 20 g — (R)</w:t>
      </w:r>
      <w:r>
        <w:t xml:space="preserve"> </w:t>
      </w:r>
      <w:r>
        <w:t xml:space="preserve">-</w:t>
      </w:r>
      <w:r>
        <w:t xml:space="preserve"> </w:t>
      </w:r>
      <w:r>
        <w:rPr>
          <w:b/>
          <w:bCs/>
        </w:rPr>
        <w:t xml:space="preserve">KETOCONAZOL RATIOPHARM</w:t>
      </w:r>
      <w:r>
        <w:t xml:space="preserve"> </w:t>
      </w:r>
      <w:r>
        <w:t xml:space="preserve">(RATIOPHARM S.A.) — Comprimé 200 mg, boîte de 10 — (R)</w:t>
      </w:r>
      <w:r>
        <w:t xml:space="preserve"> </w:t>
      </w:r>
      <w:r>
        <w:t xml:space="preserve">-</w:t>
      </w:r>
      <w:r>
        <w:t xml:space="preserve"> </w:t>
      </w:r>
      <w:r>
        <w:rPr>
          <w:b/>
          <w:bCs/>
        </w:rPr>
        <w:t xml:space="preserve">KETOCONAZOLE</w:t>
      </w:r>
      <w:r>
        <w:t xml:space="preserve"> </w:t>
      </w:r>
      <w:r>
        <w:t xml:space="preserve">(MEDICUBA) — Comprimé 200 mg, boîte de 20 — (R)</w:t>
      </w:r>
      <w:r>
        <w:t xml:space="preserve"> </w:t>
      </w:r>
      <w:r>
        <w:t xml:space="preserve">-</w:t>
      </w:r>
      <w:r>
        <w:t xml:space="preserve"> </w:t>
      </w:r>
      <w:r>
        <w:rPr>
          <w:b/>
          <w:bCs/>
        </w:rPr>
        <w:t xml:space="preserve">NIZORAL</w:t>
      </w:r>
      <w:r>
        <w:t xml:space="preserve"> </w:t>
      </w:r>
      <w:r>
        <w:t xml:space="preserve">(JANSSEN CILAG) — Comprimé 200 mg, boîte de 10 — (R) —</w:t>
      </w:r>
      <w:r>
        <w:t xml:space="preserve"> </w:t>
      </w:r>
      <w:r>
        <w:rPr>
          <w:i/>
          <w:iCs/>
        </w:rPr>
        <w:t xml:space="preserve">forme orale retirée du marché</w:t>
      </w:r>
      <w:r>
        <w:t xml:space="preserve"> </w:t>
      </w:r>
      <w:r>
        <w:t xml:space="preserve">-</w:t>
      </w:r>
      <w:r>
        <w:t xml:space="preserve"> </w:t>
      </w:r>
      <w:r>
        <w:rPr>
          <w:b/>
          <w:bCs/>
        </w:rPr>
        <w:t xml:space="preserve">KETOCONAZOL</w:t>
      </w:r>
      <w:r>
        <w:t xml:space="preserve"> </w:t>
      </w:r>
      <w:r>
        <w:t xml:space="preserve">(POLFARMEX S.A.) — Comprimé 200 mg, boîte de 20 — (R)</w:t>
      </w:r>
    </w:p>
    <w:p>
      <w:pPr>
        <w:pStyle w:val="BodyText"/>
      </w:pPr>
      <w:r>
        <w:rPr>
          <w:b/>
          <w:bCs/>
        </w:rPr>
        <w:t xml:space="preserve">Sous-classe et Mécanisme d’action :</w:t>
      </w:r>
    </w:p>
    <w:p>
      <w:pPr>
        <w:pStyle w:val="Compact"/>
        <w:numPr>
          <w:ilvl w:val="0"/>
          <w:numId w:val="1066"/>
        </w:numPr>
      </w:pPr>
      <w:r>
        <w:rPr>
          <w:b/>
          <w:bCs/>
        </w:rPr>
        <w:t xml:space="preserve">Sous-classe</w:t>
      </w:r>
      <w:r>
        <w:t xml:space="preserve"> </w:t>
      </w:r>
      <w:r>
        <w:t xml:space="preserve">: Imidazolé de première génération, piperazinyl-phénoxy-propyle ; antifongique topique à large spectre, autrefois systémique, désormais strictement topique.</w:t>
      </w:r>
    </w:p>
    <w:p>
      <w:pPr>
        <w:pStyle w:val="Compact"/>
        <w:numPr>
          <w:ilvl w:val="0"/>
          <w:numId w:val="1066"/>
        </w:numPr>
      </w:pPr>
      <w:r>
        <w:rPr>
          <w:b/>
          <w:bCs/>
        </w:rPr>
        <w:t xml:space="preserve">Mécanisme d’action</w:t>
      </w:r>
      <w:r>
        <w:t xml:space="preserve"> </w:t>
      </w:r>
      <w:r>
        <w:t xml:space="preserve">: Identique à celui des autres imidazolés — inhibition de la lanostérol 14α-déméthylase fongique (CYP51) par coordination avec le fer ferreux du groupe hème. Le kétoconazole se distingue par une</w:t>
      </w:r>
      <w:r>
        <w:t xml:space="preserve"> </w:t>
      </w:r>
      <w:r>
        <w:rPr>
          <w:b/>
          <w:bCs/>
        </w:rPr>
        <w:t xml:space="preserve">inhibition très puissante et peu sélective</w:t>
      </w:r>
      <w:r>
        <w:t xml:space="preserve"> </w:t>
      </w:r>
      <w:r>
        <w:t xml:space="preserve">des cytochromes P450 (CYP3A4, CYP2C9, CYP2C19), ce qui explique à la fois sa toxicité hépatique (inhibition de la CYP hépatique humaine + toxicité directe sur les hépatocytes par stress oxydatif mitochondrial) et ses interactions médicamenteuses massives par voie orale. Le kétoconazole inhibe aussi la</w:t>
      </w:r>
      <w:r>
        <w:t xml:space="preserve"> </w:t>
      </w:r>
      <w:r>
        <w:rPr>
          <w:b/>
          <w:bCs/>
        </w:rPr>
        <w:t xml:space="preserve">stéroïdogenèse surrénalienne et gonadique</w:t>
      </w:r>
      <w:r>
        <w:t xml:space="preserve"> </w:t>
      </w:r>
      <w:r>
        <w:t xml:space="preserve">(inhibition de la 11β-hydroxylase, 17α-hydroxylase et de la CYP17 lyase), propriété exploitée historiquement dans le syndrome de Cushing et l’hyperandrogénie féminine — usage abandonné en raison de la toxicité hépatique. Spectre topique :</w:t>
      </w:r>
      <w:r>
        <w:t xml:space="preserve"> </w:t>
      </w:r>
      <w:r>
        <w:rPr>
          <w:i/>
          <w:iCs/>
        </w:rPr>
        <w:t xml:space="preserve">Candida</w:t>
      </w:r>
      <w:r>
        <w:t xml:space="preserve"> </w:t>
      </w:r>
      <w:r>
        <w:t xml:space="preserve">sp., dermatophytes (</w:t>
      </w:r>
      <w:r>
        <w:rPr>
          <w:i/>
          <w:iCs/>
        </w:rPr>
        <w:t xml:space="preserve">Trichophyton, Microsporum, Epidermophyton</w:t>
      </w:r>
      <w:r>
        <w:t xml:space="preserve">),</w:t>
      </w:r>
      <w:r>
        <w:t xml:space="preserve"> </w:t>
      </w:r>
      <w:r>
        <w:rPr>
          <w:b/>
          <w:bCs/>
        </w:rPr>
        <w:t xml:space="preserve">Malassezia</w:t>
      </w:r>
      <w:r>
        <w:t xml:space="preserve"> </w:t>
      </w:r>
      <w:r>
        <w:t xml:space="preserve">sp. (activité remarquable sur</w:t>
      </w:r>
      <w:r>
        <w:t xml:space="preserve"> </w:t>
      </w:r>
      <w:r>
        <w:rPr>
          <w:i/>
          <w:iCs/>
        </w:rPr>
        <w:t xml:space="preserve">M. furfur</w:t>
      </w:r>
      <w:r>
        <w:t xml:space="preserve"> </w:t>
      </w:r>
      <w:r>
        <w:t xml:space="preserve">et</w:t>
      </w:r>
      <w:r>
        <w:t xml:space="preserve"> </w:t>
      </w:r>
      <w:r>
        <w:rPr>
          <w:i/>
          <w:iCs/>
        </w:rPr>
        <w:t xml:space="preserve">M. globosa</w:t>
      </w:r>
      <w:r>
        <w:t xml:space="preserve"> </w:t>
      </w:r>
      <w:r>
        <w:t xml:space="preserve">— agents du pityriasis versicolor et de la dermatite séborrhéique),</w:t>
      </w:r>
      <w:r>
        <w:t xml:space="preserve"> </w:t>
      </w:r>
      <w:r>
        <w:rPr>
          <w:i/>
          <w:iCs/>
        </w:rPr>
        <w:t xml:space="preserve">Aspergillus</w:t>
      </w:r>
      <w:r>
        <w:t xml:space="preserve"> </w:t>
      </w:r>
      <w:r>
        <w:t xml:space="preserve">sp. Action fungistatique.</w:t>
      </w:r>
    </w:p>
    <w:p>
      <w:pPr>
        <w:pStyle w:val="FirstParagraph"/>
      </w:pPr>
      <w:r>
        <w:rPr>
          <w:b/>
          <w:bCs/>
        </w:rPr>
        <w:t xml:space="preserve">Profil Pharmacologique :</w:t>
      </w:r>
    </w:p>
    <w:p>
      <w:pPr>
        <w:pStyle w:val="Compact"/>
        <w:numPr>
          <w:ilvl w:val="0"/>
          <w:numId w:val="1067"/>
        </w:numPr>
      </w:pPr>
      <w:r>
        <w:rPr>
          <w:b/>
          <w:bCs/>
        </w:rPr>
        <w:t xml:space="preserve">Indications</w:t>
      </w:r>
      <w:r>
        <w:t xml:space="preserve"> </w:t>
      </w:r>
      <w:r>
        <w:t xml:space="preserve">:</w:t>
      </w:r>
    </w:p>
    <w:p>
      <w:pPr>
        <w:pStyle w:val="Compact"/>
        <w:numPr>
          <w:ilvl w:val="1"/>
          <w:numId w:val="1068"/>
        </w:numPr>
      </w:pPr>
      <w:r>
        <w:rPr>
          <w:i/>
          <w:iCs/>
        </w:rPr>
        <w:t xml:space="preserve">Crème dermique</w:t>
      </w:r>
      <w:r>
        <w:t xml:space="preserve"> </w:t>
      </w:r>
      <w:r>
        <w:t xml:space="preserve">: candidoses cutanées (intertrigo, perlèche), dermatophyties (pied d’athlète, mycose de la peau glabre, herpès circiné), pityriasis versicolor. Indications historiques (formes orales retirées) : mycoses systémiques résistantes, chromomycose, paracoccidioidomycose, maladie de Cushing (à titre exceptionnel).</w:t>
      </w:r>
    </w:p>
    <w:p>
      <w:pPr>
        <w:pStyle w:val="Compact"/>
        <w:numPr>
          <w:ilvl w:val="1"/>
          <w:numId w:val="1068"/>
        </w:numPr>
      </w:pPr>
      <w:r>
        <w:rPr>
          <w:i/>
          <w:iCs/>
        </w:rPr>
        <w:t xml:space="preserve">Gel moussant</w:t>
      </w:r>
      <w:r>
        <w:t xml:space="preserve"> </w:t>
      </w:r>
      <w:r>
        <w:t xml:space="preserve">: dermatite séborrhéique du visage et du cuir chevelu, pityriasis versicolor en zones étendues.</w:t>
      </w:r>
    </w:p>
    <w:p>
      <w:pPr>
        <w:pStyle w:val="Compact"/>
        <w:numPr>
          <w:ilvl w:val="1"/>
          <w:numId w:val="1068"/>
        </w:numPr>
      </w:pPr>
      <w:r>
        <w:rPr>
          <w:i/>
          <w:iCs/>
        </w:rPr>
        <w:t xml:space="preserve">Shampooing</w:t>
      </w:r>
      <w:r>
        <w:t xml:space="preserve"> </w:t>
      </w:r>
      <w:r>
        <w:t xml:space="preserve">: pellicules, dermatite séborrhéique du cuir chevelu, pityriasis versicolor capillaire, traitement d’attaque et d’entretien.</w:t>
      </w:r>
    </w:p>
    <w:p>
      <w:pPr>
        <w:pStyle w:val="Compact"/>
        <w:numPr>
          <w:ilvl w:val="0"/>
          <w:numId w:val="1067"/>
        </w:numPr>
      </w:pPr>
      <w:r>
        <w:rPr>
          <w:b/>
          <w:bCs/>
        </w:rPr>
        <w:t xml:space="preserve">Contre-indications</w:t>
      </w:r>
      <w:r>
        <w:t xml:space="preserve"> </w:t>
      </w:r>
      <w:r>
        <w:t xml:space="preserve">: hypersensibilité au kétoconazole. La forme orale (retirée du marché mais encore présente dans certaines pharmacies à stocks résiduels) est strictement contre-indiquée en cas d’insuffisance hépatique, de grossesse, d’allaitement, et en association avec les médicaments métabolisés par le CYP3A4 (cisapride, terfénadine, astémizole, midazolam oral, triazolam, simvastatine, lovastatine — liste non exhaustive). En pratique,</w:t>
      </w:r>
      <w:r>
        <w:t xml:space="preserve"> </w:t>
      </w:r>
      <w:r>
        <w:rPr>
          <w:b/>
          <w:bCs/>
        </w:rPr>
        <w:t xml:space="preserve">ne jamais délivrer la forme orale même si trouvée en stock</w:t>
      </w:r>
      <w:r>
        <w:t xml:space="preserve">.</w:t>
      </w:r>
    </w:p>
    <w:p>
      <w:pPr>
        <w:pStyle w:val="Compact"/>
        <w:numPr>
          <w:ilvl w:val="0"/>
          <w:numId w:val="1067"/>
        </w:numPr>
      </w:pPr>
      <w:r>
        <w:rPr>
          <w:b/>
          <w:bCs/>
        </w:rPr>
        <w:t xml:space="preserve">Effets Indésirables</w:t>
      </w:r>
      <w:r>
        <w:t xml:space="preserve"> </w:t>
      </w:r>
      <w:r>
        <w:t xml:space="preserve">:</w:t>
      </w:r>
    </w:p>
    <w:p>
      <w:pPr>
        <w:pStyle w:val="Compact"/>
        <w:numPr>
          <w:ilvl w:val="1"/>
          <w:numId w:val="1069"/>
        </w:numPr>
      </w:pPr>
      <w:r>
        <w:rPr>
          <w:i/>
          <w:iCs/>
        </w:rPr>
        <w:t xml:space="preserve">Topique cutané</w:t>
      </w:r>
      <w:r>
        <w:t xml:space="preserve"> </w:t>
      </w:r>
      <w:r>
        <w:t xml:space="preserve">: sensation de brûlure, prurit, érythème, irritation locale, dermite de contact allergique (rare), modification de la texture des cheveux avec le shampooing (dessèchement, décoloration modeste des cheveux gris).</w:t>
      </w:r>
    </w:p>
    <w:p>
      <w:pPr>
        <w:pStyle w:val="Compact"/>
        <w:numPr>
          <w:ilvl w:val="1"/>
          <w:numId w:val="1069"/>
        </w:numPr>
      </w:pPr>
      <w:r>
        <w:rPr>
          <w:i/>
          <w:iCs/>
        </w:rPr>
        <w:t xml:space="preserve">Shampooing</w:t>
      </w:r>
      <w:r>
        <w:t xml:space="preserve"> </w:t>
      </w:r>
      <w:r>
        <w:t xml:space="preserve">: irritation du cuir chevelu, modification de la texture des cheveux, sécheresse, démangeaisons.</w:t>
      </w:r>
    </w:p>
    <w:p>
      <w:pPr>
        <w:pStyle w:val="Compact"/>
        <w:numPr>
          <w:ilvl w:val="1"/>
          <w:numId w:val="1069"/>
        </w:numPr>
      </w:pPr>
      <w:r>
        <w:rPr>
          <w:i/>
          <w:iCs/>
        </w:rPr>
        <w:t xml:space="preserve">Systémique</w:t>
      </w:r>
      <w:r>
        <w:t xml:space="preserve"> </w:t>
      </w:r>
      <w:r>
        <w:t xml:space="preserve">(en cas d’usage prolongé sur peau lésée étendue ou occluse) : hépatotoxicité théorique, inhibition surrénalienne théorique — en pratique très rare avec les formes topiques à dose usuelle.</w:t>
      </w:r>
    </w:p>
    <w:p>
      <w:pPr>
        <w:pStyle w:val="Compact"/>
        <w:numPr>
          <w:ilvl w:val="1"/>
          <w:numId w:val="1069"/>
        </w:numPr>
      </w:pPr>
      <w:r>
        <w:rPr>
          <w:i/>
          <w:iCs/>
        </w:rPr>
        <w:t xml:space="preserve">Forme orale historique (R)</w:t>
      </w:r>
      <w:r>
        <w:t xml:space="preserve"> </w:t>
      </w:r>
      <w:r>
        <w:t xml:space="preserve">: hépatite cytolytique pouvant évoluer vers l’insuffisance hépatique fulminante (incidence 1/10 000 à 1/15 000, mortalité 5–30 % des cas symptomatiques), inhibition de la stéroïdogenèse (hypercorticisme compensatoire, gynécomastie, baisse de libido, impuissance), interactions CYP3A4 majeures.</w:t>
      </w:r>
    </w:p>
    <w:p>
      <w:pPr>
        <w:pStyle w:val="FirstParagraph"/>
      </w:pPr>
      <w:r>
        <w:rPr>
          <w:b/>
          <w:bCs/>
        </w:rPr>
        <w:t xml:space="preserve">Prévention et Gestion des Effets Indésirables :</w:t>
      </w:r>
    </w:p>
    <w:p>
      <w:pPr>
        <w:pStyle w:val="Compact"/>
        <w:numPr>
          <w:ilvl w:val="0"/>
          <w:numId w:val="1070"/>
        </w:numPr>
      </w:pPr>
      <w:r>
        <w:rPr>
          <w:b/>
          <w:bCs/>
        </w:rPr>
        <w:t xml:space="preserve">Mesures Préventives</w:t>
      </w:r>
      <w:r>
        <w:t xml:space="preserve"> </w:t>
      </w:r>
      <w:r>
        <w:t xml:space="preserve">:</w:t>
      </w:r>
    </w:p>
    <w:p>
      <w:pPr>
        <w:pStyle w:val="Compact"/>
        <w:numPr>
          <w:ilvl w:val="1"/>
          <w:numId w:val="1071"/>
        </w:numPr>
      </w:pPr>
      <w:r>
        <w:rPr>
          <w:i/>
          <w:iCs/>
        </w:rPr>
        <w:t xml:space="preserve">Topique cutané</w:t>
      </w:r>
      <w:r>
        <w:t xml:space="preserve"> </w:t>
      </w:r>
      <w:r>
        <w:t xml:space="preserve">: ne pas appliquer sur peau lésée étendue, ne pas utiliser sous pansement occlusif, limiter la durée à 4 semaines (crème) ou 2 semaines (gel moussant visage) sauf avis médical.</w:t>
      </w:r>
    </w:p>
    <w:p>
      <w:pPr>
        <w:pStyle w:val="Compact"/>
        <w:numPr>
          <w:ilvl w:val="1"/>
          <w:numId w:val="1071"/>
        </w:numPr>
      </w:pPr>
      <w:r>
        <w:rPr>
          <w:i/>
          <w:iCs/>
        </w:rPr>
        <w:t xml:space="preserve">Shampooing</w:t>
      </w:r>
      <w:r>
        <w:t xml:space="preserve"> </w:t>
      </w:r>
      <w:r>
        <w:t xml:space="preserve">: éviter le contact avec les yeux (irritation), rincer abondamment. En cas d’usage prolongé, alterner avec un shampooing doux pour éviter la sécheresse.</w:t>
      </w:r>
    </w:p>
    <w:p>
      <w:pPr>
        <w:pStyle w:val="Compact"/>
        <w:numPr>
          <w:ilvl w:val="1"/>
          <w:numId w:val="1071"/>
        </w:numPr>
      </w:pPr>
      <w:r>
        <w:rPr>
          <w:i/>
          <w:iCs/>
        </w:rPr>
        <w:t xml:space="preserve">Forme orale (R) — ne pas délivrer</w:t>
      </w:r>
      <w:r>
        <w:t xml:space="preserve"> </w:t>
      </w:r>
      <w:r>
        <w:t xml:space="preserve">: informer le patient que la forme orale est retirée du marché pour hépatotoxicité. Si un patient présente une ordonnance ancienne prescrivant du kétoconazole oral (Tinuvin, Nizoral comprimés), contacter le prescripteur pour substitution par fluconazole ou itraconazole.</w:t>
      </w:r>
    </w:p>
    <w:p>
      <w:pPr>
        <w:pStyle w:val="Compact"/>
        <w:numPr>
          <w:ilvl w:val="0"/>
          <w:numId w:val="1070"/>
        </w:numPr>
      </w:pPr>
      <w:r>
        <w:rPr>
          <w:b/>
          <w:bCs/>
        </w:rPr>
        <w:t xml:space="preserve">Conduite à Tenir</w:t>
      </w:r>
      <w:r>
        <w:t xml:space="preserve"> </w:t>
      </w:r>
      <w:r>
        <w:t xml:space="preserve">:</w:t>
      </w:r>
    </w:p>
    <w:p>
      <w:pPr>
        <w:pStyle w:val="Compact"/>
        <w:numPr>
          <w:ilvl w:val="1"/>
          <w:numId w:val="1072"/>
        </w:numPr>
      </w:pPr>
      <w:r>
        <w:rPr>
          <w:i/>
          <w:iCs/>
        </w:rPr>
        <w:t xml:space="preserve">Dermatite de contact</w:t>
      </w:r>
      <w:r>
        <w:t xml:space="preserve"> </w:t>
      </w:r>
      <w:r>
        <w:t xml:space="preserve">: arrêt, relais par allylamine (terbinafine).</w:t>
      </w:r>
    </w:p>
    <w:p>
      <w:pPr>
        <w:pStyle w:val="Compact"/>
        <w:numPr>
          <w:ilvl w:val="1"/>
          <w:numId w:val="1072"/>
        </w:numPr>
      </w:pPr>
      <w:r>
        <w:rPr>
          <w:i/>
          <w:iCs/>
        </w:rPr>
        <w:t xml:space="preserve">Aggravation ou absence d’amélioration après 4 semaines</w:t>
      </w:r>
      <w:r>
        <w:t xml:space="preserve"> </w:t>
      </w:r>
      <w:r>
        <w:t xml:space="preserve">: réévaluation médicale, prélèvement mycologique.</w:t>
      </w:r>
    </w:p>
    <w:p>
      <w:pPr>
        <w:pStyle w:val="Compact"/>
        <w:numPr>
          <w:ilvl w:val="1"/>
          <w:numId w:val="1072"/>
        </w:numPr>
      </w:pPr>
      <w:r>
        <w:rPr>
          <w:i/>
          <w:iCs/>
        </w:rPr>
        <w:t xml:space="preserve">Suspicion d’hépatotoxicité</w:t>
      </w:r>
      <w:r>
        <w:t xml:space="preserve"> </w:t>
      </w:r>
      <w:r>
        <w:t xml:space="preserve">(ictère, asthénie, nausées, urines foncées) chez un patient ayant utilisé le kétoconazole topique de façon très prolongée ou étendue : arrêt immédiat, bilan hépatique en urgence.</w:t>
      </w:r>
    </w:p>
    <w:p>
      <w:pPr>
        <w:pStyle w:val="FirstParagraph"/>
      </w:pPr>
      <w:r>
        <w:rPr>
          <w:b/>
          <w:bCs/>
        </w:rPr>
        <w:t xml:space="preserve">Interactions Importantes :</w:t>
      </w:r>
    </w:p>
    <w:p>
      <w:pPr>
        <w:pStyle w:val="Compact"/>
        <w:numPr>
          <w:ilvl w:val="0"/>
          <w:numId w:val="1073"/>
        </w:numPr>
      </w:pPr>
      <w:r>
        <w:rPr>
          <w:b/>
          <w:bCs/>
        </w:rPr>
        <w:t xml:space="preserve">Pour les formes topiques</w:t>
      </w:r>
      <w:r>
        <w:t xml:space="preserve"> </w:t>
      </w:r>
      <w:r>
        <w:t xml:space="preserve">: l’absorption systémique est faible mais non nulle. Sur peau lésée étendue ou chez le nourrisson (peau fine), l’absorption peut être suffisante pour inhiber le CYP3A4 hépatique. Prudence avec les anticoagulants oraux, les statines (simvastatine), les hypoglycémiants sulfonylurées.</w:t>
      </w:r>
    </w:p>
    <w:p>
      <w:pPr>
        <w:pStyle w:val="Compact"/>
        <w:numPr>
          <w:ilvl w:val="0"/>
          <w:numId w:val="1073"/>
        </w:numPr>
      </w:pPr>
      <w:r>
        <w:rPr>
          <w:b/>
          <w:bCs/>
        </w:rPr>
        <w:t xml:space="preserve">Pour les shampoings</w:t>
      </w:r>
      <w:r>
        <w:t xml:space="preserve"> </w:t>
      </w:r>
      <w:r>
        <w:t xml:space="preserve">: absorption minimale, pas d’interaction cliniquement significative aux doses recommandées (2 applications/semaine en traitement d’attaque, 1 application/semaine ou tous les 15 jours en entretien).</w:t>
      </w:r>
    </w:p>
    <w:p>
      <w:pPr>
        <w:pStyle w:val="Compact"/>
        <w:numPr>
          <w:ilvl w:val="0"/>
          <w:numId w:val="1073"/>
        </w:numPr>
      </w:pPr>
      <w:r>
        <w:rPr>
          <w:b/>
          <w:bCs/>
        </w:rPr>
        <w:t xml:space="preserve">Pour la forme orale (R — ne pas délivrer)</w:t>
      </w:r>
      <w:r>
        <w:t xml:space="preserve"> </w:t>
      </w:r>
      <w:r>
        <w:t xml:space="preserve">: interactions massives avec tous les substrats du CYP3A4 (cisapride, terfénadine → QT long et torsades de pointes ; simvastatine → rhabdomyolyse ; ciclosporine → surdosage immunosuppresseur ; midazolam → sédation prolongée ; warfarine → hémorragie ; antirétroviraux inhibiteurs de protéase → surdosage).</w:t>
      </w:r>
    </w:p>
    <w:p>
      <w:pPr>
        <w:pStyle w:val="FirstParagraph"/>
      </w:pPr>
      <w:r>
        <w:rPr>
          <w:b/>
          <w:bCs/>
        </w:rPr>
        <w:t xml:space="preserve">Grossesse et Allaitement :</w:t>
      </w:r>
    </w:p>
    <w:p>
      <w:pPr>
        <w:pStyle w:val="Compact"/>
        <w:numPr>
          <w:ilvl w:val="0"/>
          <w:numId w:val="1074"/>
        </w:numPr>
      </w:pPr>
      <w:r>
        <w:rPr>
          <w:b/>
          <w:bCs/>
        </w:rPr>
        <w:t xml:space="preserve">Grossesse</w:t>
      </w:r>
      <w:r>
        <w:t xml:space="preserve"> </w:t>
      </w:r>
      <w:r>
        <w:t xml:space="preserve">: Selon le CRAT, le kétoconazole topique (crème, gel, shampooing) est</w:t>
      </w:r>
      <w:r>
        <w:t xml:space="preserve"> </w:t>
      </w:r>
      <w:r>
        <w:rPr>
          <w:b/>
          <w:bCs/>
        </w:rPr>
        <w:t xml:space="preserve">utilisable chez la femme enceinte</w:t>
      </w:r>
      <w:r>
        <w:t xml:space="preserve">, l’absorption systémique étant négligeable. La forme orale est</w:t>
      </w:r>
      <w:r>
        <w:t xml:space="preserve"> </w:t>
      </w:r>
      <w:r>
        <w:rPr>
          <w:b/>
          <w:bCs/>
        </w:rPr>
        <w:t xml:space="preserve">strictement contre-indiquée</w:t>
      </w:r>
      <w:r>
        <w:t xml:space="preserve"> </w:t>
      </w:r>
      <w:r>
        <w:t xml:space="preserve">(effets tératogènes et embryotoxiques chez l’animal, hépatotoxicité maternelle).</w:t>
      </w:r>
    </w:p>
    <w:p>
      <w:pPr>
        <w:pStyle w:val="Compact"/>
        <w:numPr>
          <w:ilvl w:val="0"/>
          <w:numId w:val="1074"/>
        </w:numPr>
      </w:pPr>
      <w:r>
        <w:rPr>
          <w:b/>
          <w:bCs/>
        </w:rPr>
        <w:t xml:space="preserve">Allaitement</w:t>
      </w:r>
      <w:r>
        <w:t xml:space="preserve"> </w:t>
      </w:r>
      <w:r>
        <w:t xml:space="preserve">: Compatible avec l’allaitement pour les formes topiques cutanées et le shampooing. Éviter l’application sur le sein avant la tétée.</w:t>
      </w:r>
    </w:p>
    <w:p>
      <w:pPr>
        <w:pStyle w:val="Compact"/>
        <w:numPr>
          <w:ilvl w:val="0"/>
          <w:numId w:val="1074"/>
        </w:numPr>
      </w:pPr>
      <w:r>
        <w:rPr>
          <w:b/>
          <w:bCs/>
        </w:rPr>
        <w:t xml:space="preserve">Précisions</w:t>
      </w:r>
      <w:r>
        <w:t xml:space="preserve"> </w:t>
      </w:r>
      <w:r>
        <w:t xml:space="preserve">: Le kétoconazole passe dans le lait maternel en cas de prise orale (forme retirée) — l’allaitement est alors contre-indiqué.</w:t>
      </w:r>
    </w:p>
    <w:p>
      <w:pPr>
        <w:pStyle w:val="FirstParagraph"/>
      </w:pPr>
      <w:r>
        <w:rPr>
          <w:b/>
          <w:bCs/>
        </w:rPr>
        <w:t xml:space="preserve">Posologie et Mode d’administration (Standard) :</w:t>
      </w:r>
    </w:p>
    <w:p>
      <w:pPr>
        <w:pStyle w:val="Compact"/>
        <w:numPr>
          <w:ilvl w:val="0"/>
          <w:numId w:val="1075"/>
        </w:numPr>
      </w:pPr>
      <w:r>
        <w:rPr>
          <w:b/>
          <w:bCs/>
        </w:rPr>
        <w:t xml:space="preserve">Adulte</w:t>
      </w:r>
      <w:r>
        <w:t xml:space="preserve"> </w:t>
      </w:r>
      <w:r>
        <w:t xml:space="preserve">:</w:t>
      </w:r>
    </w:p>
    <w:p>
      <w:pPr>
        <w:pStyle w:val="Compact"/>
        <w:numPr>
          <w:ilvl w:val="1"/>
          <w:numId w:val="1076"/>
        </w:numPr>
      </w:pPr>
      <w:r>
        <w:rPr>
          <w:i/>
          <w:iCs/>
        </w:rPr>
        <w:t xml:space="preserve">Crème dermique 2 %</w:t>
      </w:r>
      <w:r>
        <w:t xml:space="preserve"> </w:t>
      </w:r>
      <w:r>
        <w:t xml:space="preserve">: 1 à 2 applications par jour sur peau propre et sèche, pendant 2 à 4 semaines (candidoses), 4 à 6 semaines (dermatophyties), 2 à 3 semaines (pityriasis versicolor).</w:t>
      </w:r>
    </w:p>
    <w:p>
      <w:pPr>
        <w:pStyle w:val="Compact"/>
        <w:numPr>
          <w:ilvl w:val="1"/>
          <w:numId w:val="1076"/>
        </w:numPr>
      </w:pPr>
      <w:r>
        <w:rPr>
          <w:i/>
          <w:iCs/>
        </w:rPr>
        <w:t xml:space="preserve">Gel moussant 2 %</w:t>
      </w:r>
      <w:r>
        <w:t xml:space="preserve"> </w:t>
      </w:r>
      <w:r>
        <w:t xml:space="preserve">: appliquer sur peau humide, faire mousser, laisser en contact 3 à 5 minutes, rincer abondamment. Pour le visage (dermatite séborrhéique) : 2 fois par semaine pendant 2 à 4 semaines, puis 1 fois par semaine en entretien. Pour le corps (pityriasis versicolor) : 1 application par jour pendant 5 jours.</w:t>
      </w:r>
    </w:p>
    <w:p>
      <w:pPr>
        <w:pStyle w:val="Compact"/>
        <w:numPr>
          <w:ilvl w:val="1"/>
          <w:numId w:val="1076"/>
        </w:numPr>
      </w:pPr>
      <w:r>
        <w:rPr>
          <w:i/>
          <w:iCs/>
        </w:rPr>
        <w:t xml:space="preserve">Shampooing 2 %</w:t>
      </w:r>
      <w:r>
        <w:t xml:space="preserve"> </w:t>
      </w:r>
      <w:r>
        <w:t xml:space="preserve">: traitement d’attaque — 2 applications par semaine pendant 2 à 4 semaines (laisser en contact 3 à 5 minutes avant de rincer). Traitement d’entretien — 1 application tous les 7 à 14 jours en prévention des récidives.</w:t>
      </w:r>
    </w:p>
    <w:p>
      <w:pPr>
        <w:pStyle w:val="Compact"/>
        <w:numPr>
          <w:ilvl w:val="0"/>
          <w:numId w:val="1075"/>
        </w:numPr>
      </w:pPr>
      <w:r>
        <w:rPr>
          <w:b/>
          <w:bCs/>
        </w:rPr>
        <w:t xml:space="preserve">Enfant</w:t>
      </w:r>
      <w:r>
        <w:t xml:space="preserve"> </w:t>
      </w:r>
      <w:r>
        <w:t xml:space="preserve">: crème : à partir de 2 ans, 1 application/jour. Shampooing : à partir de 12 ans (efficacité et tolérance non établies chez le jeune enfant).</w:t>
      </w:r>
    </w:p>
    <w:p>
      <w:pPr>
        <w:pStyle w:val="Compact"/>
        <w:numPr>
          <w:ilvl w:val="0"/>
          <w:numId w:val="1075"/>
        </w:numPr>
      </w:pPr>
      <w:r>
        <w:rPr>
          <w:b/>
          <w:bCs/>
        </w:rPr>
        <w:t xml:space="preserve">Durée</w:t>
      </w:r>
      <w:r>
        <w:t xml:space="preserve"> </w:t>
      </w:r>
      <w:r>
        <w:t xml:space="preserve">: candidose cutanée 2 à 4 semaines ; dermatophytie cutanée 4 à 6 semaines ; pityriasis versicolor 2 à 3 semaines ; dermatite séborrhéique 2 à 4 semaines en traitement d’attaque puis entretien à vie.</w:t>
      </w:r>
    </w:p>
    <w:p>
      <w:pPr>
        <w:pStyle w:val="Compact"/>
        <w:numPr>
          <w:ilvl w:val="0"/>
          <w:numId w:val="1075"/>
        </w:numPr>
      </w:pPr>
      <w:r>
        <w:rPr>
          <w:b/>
          <w:bCs/>
        </w:rPr>
        <w:t xml:space="preserve">Moment de prise</w:t>
      </w:r>
      <w:r>
        <w:t xml:space="preserve"> </w:t>
      </w:r>
      <w:r>
        <w:t xml:space="preserve">: crème matin et/ou soir sur peau propre et sèche. Shampooing/gel moussant pendant la douche ou le bain.</w:t>
      </w:r>
    </w:p>
    <w:p>
      <w:pPr>
        <w:pStyle w:val="FirstParagraph"/>
      </w:pPr>
      <w:r>
        <w:rPr>
          <w:b/>
          <w:bCs/>
        </w:rPr>
        <w:t xml:space="preserve">Arbitrage et Bénéfices des Formes Galéniques :</w:t>
      </w:r>
    </w:p>
    <w:p>
      <w:pPr>
        <w:pStyle w:val="BodyText"/>
      </w:pPr>
      <w:r>
        <w:t xml:space="preserve">L’arbitrage entre les formes galéniques du kétoconazole est emblématique de la réflexion pharmaceutique :</w:t>
      </w:r>
    </w:p>
    <w:p>
      <w:pPr>
        <w:pStyle w:val="Compact"/>
        <w:numPr>
          <w:ilvl w:val="0"/>
          <w:numId w:val="1077"/>
        </w:numPr>
      </w:pPr>
      <w:r>
        <w:t xml:space="preserve">La</w:t>
      </w:r>
      <w:r>
        <w:t xml:space="preserve"> </w:t>
      </w:r>
      <w:r>
        <w:rPr>
          <w:b/>
          <w:bCs/>
        </w:rPr>
        <w:t xml:space="preserve">crème dermique</w:t>
      </w:r>
      <w:r>
        <w:t xml:space="preserve"> </w:t>
      </w:r>
      <w:r>
        <w:t xml:space="preserve">est indiquée pour les mycoses cutanées localisées (intertrigo, herpès circiné). Sa texture grasse convient bien aux plis et aux peaux sèches. Limitation : occlusion modérée, à éviter sur le visage (risque de folliculite).</w:t>
      </w:r>
    </w:p>
    <w:p>
      <w:pPr>
        <w:pStyle w:val="Compact"/>
        <w:numPr>
          <w:ilvl w:val="0"/>
          <w:numId w:val="1077"/>
        </w:numPr>
      </w:pPr>
      <w:r>
        <w:t xml:space="preserve">Le</w:t>
      </w:r>
      <w:r>
        <w:t xml:space="preserve"> </w:t>
      </w:r>
      <w:r>
        <w:rPr>
          <w:b/>
          <w:bCs/>
        </w:rPr>
        <w:t xml:space="preserve">gel moussant</w:t>
      </w:r>
      <w:r>
        <w:t xml:space="preserve"> </w:t>
      </w:r>
      <w:r>
        <w:t xml:space="preserve">est indiqué pour les dermatites séborrhéiques du visage (zones médio-faciales : sourcils, ailes du nez, sillon nasogénien) et pour le pityriasis versicolor étendu du tronc. Sa base lavante permet une application facile et un rinçage rapide, avec un temps de contact court (3 à 5 min) suffisant pour son efficacité grâce à la forte lipophilie du kétoconazole qui s’accumule dans les follicules pilo-sébacés.</w:t>
      </w:r>
    </w:p>
    <w:p>
      <w:pPr>
        <w:pStyle w:val="Compact"/>
        <w:numPr>
          <w:ilvl w:val="0"/>
          <w:numId w:val="1077"/>
        </w:numPr>
      </w:pPr>
      <w:r>
        <w:t xml:space="preserve">Le</w:t>
      </w:r>
      <w:r>
        <w:t xml:space="preserve"> </w:t>
      </w:r>
      <w:r>
        <w:rPr>
          <w:b/>
          <w:bCs/>
        </w:rPr>
        <w:t xml:space="preserve">shampooing</w:t>
      </w:r>
      <w:r>
        <w:t xml:space="preserve"> </w:t>
      </w:r>
      <w:r>
        <w:t xml:space="preserve">est indiqué pour les atteintes du cuir chevelu : pellicules, dermatite séborrhéique capillaire, pityriasis versicolor du cuir chevelu. Le schéma thérapeutique classique associe une phase d’attaque (2/sem pendant 2–4 sem) puis une phase d’entretien (1/sem à 1/15 jours) à vie, car la dermatite séborrhéique est une maladie chronique récidivante.</w:t>
      </w:r>
    </w:p>
    <w:p>
      <w:pPr>
        <w:pStyle w:val="FirstParagraph"/>
      </w:pPr>
      <w:r>
        <w:t xml:space="preserve">La</w:t>
      </w:r>
      <w:r>
        <w:t xml:space="preserve"> </w:t>
      </w:r>
      <w:r>
        <w:rPr>
          <w:b/>
          <w:bCs/>
        </w:rPr>
        <w:t xml:space="preserve">forme orale</w:t>
      </w:r>
      <w:r>
        <w:t xml:space="preserve"> </w:t>
      </w:r>
      <w:r>
        <w:t xml:space="preserve">(Tinuvin, Nizoral cp, Ketoconazol Ratiopharm cp — toutes retirées en Algérie) ne doit plus être délivrée. Son retrait a été décidé par l’EMA en juillet 2013 et par la FDA en juillet 2013 également, après réévaluation du rapport bénéfice/risque défavorable en raison de la disponibilité d’alternatives plus sûres (fluconazole, itraconazole, voriconazole).</w:t>
      </w:r>
    </w:p>
    <w:p>
      <w:pPr>
        <w:pStyle w:val="BodyText"/>
      </w:pPr>
      <w:r>
        <w:rPr>
          <w:b/>
          <w:bCs/>
        </w:rPr>
        <w:t xml:space="preserve">Instructions et Conseils au Patient :</w:t>
      </w:r>
    </w:p>
    <w:p>
      <w:pPr>
        <w:pStyle w:val="Compact"/>
        <w:numPr>
          <w:ilvl w:val="0"/>
          <w:numId w:val="1078"/>
        </w:numPr>
      </w:pPr>
      <w:r>
        <w:rPr>
          <w:b/>
          <w:bCs/>
        </w:rPr>
        <w:t xml:space="preserve">Communication au comptoir</w:t>
      </w:r>
      <w:r>
        <w:t xml:space="preserve"> </w:t>
      </w:r>
      <w:r>
        <w:t xml:space="preserve">:</w:t>
      </w:r>
    </w:p>
    <w:p>
      <w:pPr>
        <w:pStyle w:val="Compact"/>
        <w:numPr>
          <w:ilvl w:val="1"/>
          <w:numId w:val="1079"/>
        </w:numPr>
      </w:pPr>
      <w:r>
        <w:t xml:space="preserve">« Pour la crème : appliquez 1 à 2 fois par jour sur peau propre et sèche, pendant 2 à 4 semaines. Lavez-vous les mains avant et après. »</w:t>
      </w:r>
    </w:p>
    <w:p>
      <w:pPr>
        <w:pStyle w:val="Compact"/>
        <w:numPr>
          <w:ilvl w:val="1"/>
          <w:numId w:val="1079"/>
        </w:numPr>
      </w:pPr>
      <w:r>
        <w:t xml:space="preserve">« Pour le gel moussant ou le shampooing : appliquez sur peau ou cheveux humides, faites mousser, laissez agir 3 à 5 minutes, rincez abondamment. Évitez le contact avec les yeux. »</w:t>
      </w:r>
    </w:p>
    <w:p>
      <w:pPr>
        <w:pStyle w:val="Compact"/>
        <w:numPr>
          <w:ilvl w:val="1"/>
          <w:numId w:val="1079"/>
        </w:numPr>
      </w:pPr>
      <w:r>
        <w:t xml:space="preserve">« Pour le traitement des pellicules ou de la dermatite séborrhéique : utilisez le shampooing 2 fois par semaine pendant 2 à 4 semaines, puis 1 fois par semaine ou tous les 15 jours en entretien à vie pour éviter les récidives. »</w:t>
      </w:r>
    </w:p>
    <w:p>
      <w:pPr>
        <w:pStyle w:val="Compact"/>
        <w:numPr>
          <w:ilvl w:val="0"/>
          <w:numId w:val="1078"/>
        </w:numPr>
      </w:pPr>
      <w:r>
        <w:rPr>
          <w:b/>
          <w:bCs/>
        </w:rPr>
        <w:t xml:space="preserve">Mode d’utilisation pratique</w:t>
      </w:r>
      <w:r>
        <w:t xml:space="preserve"> </w:t>
      </w:r>
      <w:r>
        <w:t xml:space="preserve">:</w:t>
      </w:r>
    </w:p>
    <w:p>
      <w:pPr>
        <w:pStyle w:val="Compact"/>
        <w:numPr>
          <w:ilvl w:val="1"/>
          <w:numId w:val="1080"/>
        </w:numPr>
      </w:pPr>
      <w:r>
        <w:t xml:space="preserve">Pour le pityriasis versicolor (taches brunes/blanches du tronc) : appliquer le gel moussant sur tout le tronc, laisser 5 min, rincer. 1 application/jour pendant 5 jours suffit en général.</w:t>
      </w:r>
    </w:p>
    <w:p>
      <w:pPr>
        <w:pStyle w:val="Compact"/>
        <w:numPr>
          <w:ilvl w:val="1"/>
          <w:numId w:val="1080"/>
        </w:numPr>
      </w:pPr>
      <w:r>
        <w:t xml:space="preserve">Pour la dermatite séborrhéique du visage : application du gel moussant sur les zones atteintes (ailes du nez, sourcils, sillon nasogénien), 2 fois/semaine pendant 4 semaines, puis 1 fois/semaine en entretien.</w:t>
      </w:r>
    </w:p>
    <w:p>
      <w:pPr>
        <w:pStyle w:val="Compact"/>
        <w:numPr>
          <w:ilvl w:val="1"/>
          <w:numId w:val="1080"/>
        </w:numPr>
      </w:pPr>
      <w:r>
        <w:t xml:space="preserve">Pour le cuir chevelu : masser doucement le shampooing, insister sur les zones prurigineuses ou squameuses.</w:t>
      </w:r>
    </w:p>
    <w:p>
      <w:pPr>
        <w:pStyle w:val="FirstParagraph"/>
      </w:pPr>
      <w:r>
        <w:rPr>
          <w:b/>
          <w:bCs/>
        </w:rPr>
        <w:t xml:space="preserve">Notes, Règles d’Or &amp; Pièges au Comptoir :</w:t>
      </w:r>
    </w:p>
    <w:p>
      <w:pPr>
        <w:pStyle w:val="Compact"/>
        <w:numPr>
          <w:ilvl w:val="0"/>
          <w:numId w:val="1081"/>
        </w:numPr>
      </w:pPr>
      <w:r>
        <w:rPr>
          <w:b/>
          <w:bCs/>
        </w:rPr>
        <w:t xml:space="preserve">Piège classique</w:t>
      </w:r>
      <w:r>
        <w:t xml:space="preserve"> </w:t>
      </w:r>
      <w:r>
        <w:t xml:space="preserve">: la</w:t>
      </w:r>
      <w:r>
        <w:t xml:space="preserve"> </w:t>
      </w:r>
      <w:r>
        <w:rPr>
          <w:b/>
          <w:bCs/>
        </w:rPr>
        <w:t xml:space="preserve">forme orale est retirée du marché</w:t>
      </w:r>
      <w:r>
        <w:t xml:space="preserve"> </w:t>
      </w:r>
      <w:r>
        <w:t xml:space="preserve">pour hépatotoxicité. Tout comprimé de kétoconazole (Tinuvin, Nizoral, Ketoconazol Ratiopharm) trouvé en stock doit être</w:t>
      </w:r>
      <w:r>
        <w:t xml:space="preserve"> </w:t>
      </w:r>
      <w:r>
        <w:rPr>
          <w:b/>
          <w:bCs/>
        </w:rPr>
        <w:t xml:space="preserve">retiré de la vente</w:t>
      </w:r>
      <w:r>
        <w:t xml:space="preserve"> </w:t>
      </w:r>
      <w:r>
        <w:t xml:space="preserve">et orienté vers la destruction selon la filière des médicaments non utilisés. Si un patient présente une ordonnance ancienne prescrivant du kétoconazole oral, contacter le prescripteur pour substitution (fluconazole ou itraconazole).</w:t>
      </w:r>
    </w:p>
    <w:p>
      <w:pPr>
        <w:pStyle w:val="Compact"/>
        <w:numPr>
          <w:ilvl w:val="0"/>
          <w:numId w:val="1081"/>
        </w:numPr>
      </w:pPr>
      <w:r>
        <w:rPr>
          <w:b/>
          <w:bCs/>
        </w:rPr>
        <w:t xml:space="preserve">Règle de prise</w:t>
      </w:r>
      <w:r>
        <w:t xml:space="preserve"> </w:t>
      </w:r>
      <w:r>
        <w:t xml:space="preserve">: pour le shampooing, le</w:t>
      </w:r>
      <w:r>
        <w:t xml:space="preserve"> </w:t>
      </w:r>
      <w:r>
        <w:rPr>
          <w:b/>
          <w:bCs/>
        </w:rPr>
        <w:t xml:space="preserve">temps de contact de 3 à 5 minutes</w:t>
      </w:r>
      <w:r>
        <w:t xml:space="preserve"> </w:t>
      </w:r>
      <w:r>
        <w:t xml:space="preserve">est essentiel — rincer immédiatement après application ne permet pas au kétoconazole d’agir (la molécule doit pénétrer dans les follicules pilo-sébacés où se trouvent les</w:t>
      </w:r>
      <w:r>
        <w:t xml:space="preserve"> </w:t>
      </w:r>
      <w:r>
        <w:rPr>
          <w:i/>
          <w:iCs/>
        </w:rPr>
        <w:t xml:space="preserve">Malassezia</w:t>
      </w:r>
      <w:r>
        <w:t xml:space="preserve">).</w:t>
      </w:r>
    </w:p>
    <w:p>
      <w:pPr>
        <w:pStyle w:val="Compact"/>
        <w:numPr>
          <w:ilvl w:val="0"/>
          <w:numId w:val="1081"/>
        </w:numPr>
      </w:pPr>
      <w:r>
        <w:rPr>
          <w:b/>
          <w:bCs/>
        </w:rPr>
        <w:t xml:space="preserve">Préparation et Conservation</w:t>
      </w:r>
      <w:r>
        <w:t xml:space="preserve"> </w:t>
      </w:r>
      <w:r>
        <w:t xml:space="preserve">: tube ou flacon bien fermé, à température &lt; 25 °C. Le shampooing se conserve 12 mois après ouverture. La crème : 6 mois après ouverture.</w:t>
      </w:r>
    </w:p>
    <w:p>
      <w:pPr>
        <w:pStyle w:val="Compact"/>
        <w:numPr>
          <w:ilvl w:val="0"/>
          <w:numId w:val="1081"/>
        </w:numPr>
      </w:pPr>
      <w:r>
        <w:rPr>
          <w:b/>
          <w:bCs/>
        </w:rPr>
        <w:t xml:space="preserve">Piège du surdosage / Substitution</w:t>
      </w:r>
      <w:r>
        <w:t xml:space="preserve"> </w:t>
      </w:r>
      <w:r>
        <w:t xml:space="preserve">: ne pas associer kétoconazole topique à un autre imidazolé topique. Pour les dermatophyties résistantes au kétoconazole topique, envisager la terbinafine (allylamine, fungicide — supériorité clinique documentée pour les mycoses des pieds).</w:t>
      </w:r>
    </w:p>
    <w:p>
      <w:pPr>
        <w:pStyle w:val="Compact"/>
        <w:numPr>
          <w:ilvl w:val="0"/>
          <w:numId w:val="1081"/>
        </w:numPr>
      </w:pPr>
      <w:r>
        <w:rPr>
          <w:b/>
          <w:bCs/>
        </w:rPr>
        <w:t xml:space="preserve">Alerte pharmacovigilance</w:t>
      </w:r>
      <w:r>
        <w:t xml:space="preserve"> </w:t>
      </w:r>
      <w:r>
        <w:t xml:space="preserve">: un patient utilisant le kétoconazole topique de façon très prolongée (&gt; 4 semaines) sur peau lésée étendue peut présenter une absorption systémique. Surveiller en particulier chez le nourrisson (peau fine, rapport surface/poids élevé) et le patient sous anticoagulant oral.</w:t>
      </w:r>
    </w:p>
    <w:p>
      <w:r>
        <w:pict>
          <v:rect style="width:0;height:1.5pt" o:hralign="center" o:hrstd="t" o:hr="t"/>
        </w:pict>
      </w:r>
    </w:p>
    <w:bookmarkEnd w:id="45"/>
    <w:bookmarkStart w:id="46" w:name="dci-éconazole-seule"/>
    <w:p>
      <w:pPr>
        <w:pStyle w:val="Heading3"/>
      </w:pPr>
      <w:r>
        <w:t xml:space="preserve">11.5. DCI : Éconazole (Seule)</w:t>
      </w:r>
    </w:p>
    <w:p>
      <w:pPr>
        <w:pStyle w:val="FirstParagraph"/>
      </w:pPr>
      <w:r>
        <w:rPr>
          <w:b/>
          <w:bCs/>
        </w:rPr>
        <w:t xml:space="preserve">Liste des Catégories :</w:t>
      </w:r>
      <w:r>
        <w:t xml:space="preserve"> </w:t>
      </w:r>
      <w:r>
        <w:t xml:space="preserve">Hors liste (crème) et LISTE I (ovules, solution) ; topique cutané, vaginal.</w:t>
      </w:r>
    </w:p>
    <w:p>
      <w:pPr>
        <w:pStyle w:val="BodyText"/>
      </w:pPr>
      <w:r>
        <w:t xml:space="preserve">L’éconazole (Janssen, 1974) est l’un des imidazolés topiques les plus prescrits en Algérie, disponible sous une grande diversité de formes galéniques : crème dermique, lait dermique (émulsion fluide), solution pour application locale (flacon pulvérisateur), ovules gynécologiques. Cette diversité reflète la polyvalence de la molécule et son bon profil de tolérance. L’éconazole existe également en forme « longue portée » (LP) avec ovule unique à 150 mg, permettant un traitement monodose de la candidose vaginale.</w:t>
      </w:r>
    </w:p>
    <w:p>
      <w:pPr>
        <w:pStyle w:val="BodyText"/>
      </w:pPr>
      <w:r>
        <w:rPr>
          <w:b/>
          <w:bCs/>
        </w:rPr>
        <w:t xml:space="preserve">Médicaments disponibles en Algérie (Marques, Laboratoires, Formes et Dosages) :</w:t>
      </w:r>
    </w:p>
    <w:p>
      <w:pPr>
        <w:pStyle w:val="BodyText"/>
      </w:pPr>
      <w:r>
        <w:rPr>
          <w:i/>
          <w:iCs/>
        </w:rPr>
        <w:t xml:space="preserve">Crème dermique 1 % (0,01) — tube 30 g :</w:t>
      </w:r>
      <w:r>
        <w:t xml:space="preserve"> </w:t>
      </w:r>
      <w:r>
        <w:t xml:space="preserve">-</w:t>
      </w:r>
      <w:r>
        <w:t xml:space="preserve"> </w:t>
      </w:r>
      <w:r>
        <w:rPr>
          <w:b/>
          <w:bCs/>
        </w:rPr>
        <w:t xml:space="preserve">ECONAZOLE BR</w:t>
      </w:r>
      <w:r>
        <w:t xml:space="preserve"> </w:t>
      </w:r>
      <w:r>
        <w:t xml:space="preserve">(SARL BIOREM) —</w:t>
      </w:r>
      <w:r>
        <w:t xml:space="preserve"> </w:t>
      </w:r>
      <w:r>
        <w:rPr>
          <w:b/>
          <w:bCs/>
        </w:rPr>
        <w:t xml:space="preserve">Actif</w:t>
      </w:r>
      <w:r>
        <w:t xml:space="preserve"> </w:t>
      </w:r>
      <w:r>
        <w:t xml:space="preserve">-</w:t>
      </w:r>
      <w:r>
        <w:t xml:space="preserve"> </w:t>
      </w:r>
      <w:r>
        <w:rPr>
          <w:b/>
          <w:bCs/>
        </w:rPr>
        <w:t xml:space="preserve">PEVAZOL 1 %</w:t>
      </w:r>
      <w:r>
        <w:t xml:space="preserve"> </w:t>
      </w:r>
      <w:r>
        <w:t xml:space="preserve">(LABORATOIRES DE DIAGNOSTIC MAGHREBINS-LDM) —</w:t>
      </w:r>
      <w:r>
        <w:t xml:space="preserve"> </w:t>
      </w:r>
      <w:r>
        <w:rPr>
          <w:b/>
          <w:bCs/>
        </w:rPr>
        <w:t xml:space="preserve">Actif</w:t>
      </w:r>
      <w:r>
        <w:t xml:space="preserve"> </w:t>
      </w:r>
      <w:r>
        <w:t xml:space="preserve">-</w:t>
      </w:r>
      <w:r>
        <w:t xml:space="preserve"> </w:t>
      </w:r>
      <w:r>
        <w:rPr>
          <w:b/>
          <w:bCs/>
        </w:rPr>
        <w:t xml:space="preserve">ECONAZ</w:t>
      </w:r>
      <w:r>
        <w:t xml:space="preserve"> </w:t>
      </w:r>
      <w:r>
        <w:t xml:space="preserve">(BIOGALENIC) —</w:t>
      </w:r>
      <w:r>
        <w:t xml:space="preserve"> </w:t>
      </w:r>
      <w:r>
        <w:rPr>
          <w:b/>
          <w:bCs/>
        </w:rPr>
        <w:t xml:space="preserve">Actif</w:t>
      </w:r>
      <w:r>
        <w:t xml:space="preserve"> </w:t>
      </w:r>
      <w:r>
        <w:t xml:space="preserve">-</w:t>
      </w:r>
      <w:r>
        <w:t xml:space="preserve"> </w:t>
      </w:r>
      <w:r>
        <w:rPr>
          <w:b/>
          <w:bCs/>
        </w:rPr>
        <w:t xml:space="preserve">PHANAZOL</w:t>
      </w:r>
      <w:r>
        <w:t xml:space="preserve"> </w:t>
      </w:r>
      <w:r>
        <w:t xml:space="preserve">(GROUPE SAIDAL) —</w:t>
      </w:r>
      <w:r>
        <w:t xml:space="preserve"> </w:t>
      </w:r>
      <w:r>
        <w:rPr>
          <w:b/>
          <w:bCs/>
        </w:rPr>
        <w:t xml:space="preserve">Actif</w:t>
      </w:r>
    </w:p>
    <w:p>
      <w:pPr>
        <w:pStyle w:val="BodyText"/>
      </w:pPr>
      <w:r>
        <w:rPr>
          <w:i/>
          <w:iCs/>
        </w:rPr>
        <w:t xml:space="preserve">Lait dermique 1 % (émulsion fluide pour application locale) — flacon 30 mL :</w:t>
      </w:r>
      <w:r>
        <w:t xml:space="preserve"> </w:t>
      </w:r>
      <w:r>
        <w:t xml:space="preserve">-</w:t>
      </w:r>
      <w:r>
        <w:t xml:space="preserve"> </w:t>
      </w:r>
      <w:r>
        <w:rPr>
          <w:b/>
          <w:bCs/>
        </w:rPr>
        <w:t xml:space="preserve">ECONAZ</w:t>
      </w:r>
      <w:r>
        <w:t xml:space="preserve"> </w:t>
      </w:r>
      <w:r>
        <w:t xml:space="preserve">(BIOGALENIC) —</w:t>
      </w:r>
      <w:r>
        <w:t xml:space="preserve"> </w:t>
      </w:r>
      <w:r>
        <w:rPr>
          <w:b/>
          <w:bCs/>
        </w:rPr>
        <w:t xml:space="preserve">Actif</w:t>
      </w:r>
      <w:r>
        <w:t xml:space="preserve"> </w:t>
      </w:r>
      <w:r>
        <w:t xml:space="preserve">-</w:t>
      </w:r>
      <w:r>
        <w:t xml:space="preserve"> </w:t>
      </w:r>
      <w:r>
        <w:rPr>
          <w:b/>
          <w:bCs/>
        </w:rPr>
        <w:t xml:space="preserve">ECONAZOLE NOVAGENERICS</w:t>
      </w:r>
      <w:r>
        <w:t xml:space="preserve"> </w:t>
      </w:r>
      <w:r>
        <w:t xml:space="preserve">(NOVAPHARM TRADING) —</w:t>
      </w:r>
      <w:r>
        <w:t xml:space="preserve"> </w:t>
      </w:r>
      <w:r>
        <w:rPr>
          <w:b/>
          <w:bCs/>
        </w:rPr>
        <w:t xml:space="preserve">Actif</w:t>
      </w:r>
      <w:r>
        <w:t xml:space="preserve"> </w:t>
      </w:r>
      <w:r>
        <w:t xml:space="preserve">-</w:t>
      </w:r>
      <w:r>
        <w:t xml:space="preserve"> </w:t>
      </w:r>
      <w:r>
        <w:rPr>
          <w:b/>
          <w:bCs/>
        </w:rPr>
        <w:t xml:space="preserve">ECONAZYL</w:t>
      </w:r>
      <w:r>
        <w:t xml:space="preserve"> </w:t>
      </w:r>
      <w:r>
        <w:t xml:space="preserve">(LABORATOIRES PHARMAGHREB) —</w:t>
      </w:r>
      <w:r>
        <w:t xml:space="preserve"> </w:t>
      </w:r>
      <w:r>
        <w:rPr>
          <w:b/>
          <w:bCs/>
        </w:rPr>
        <w:t xml:space="preserve">Actif</w:t>
      </w:r>
    </w:p>
    <w:p>
      <w:pPr>
        <w:pStyle w:val="BodyText"/>
      </w:pPr>
      <w:r>
        <w:rPr>
          <w:i/>
          <w:iCs/>
        </w:rPr>
        <w:t xml:space="preserve">Solution pour application locale 1 % — flacon pulvérisateur 30 g :</w:t>
      </w:r>
      <w:r>
        <w:t xml:space="preserve"> </w:t>
      </w:r>
      <w:r>
        <w:t xml:space="preserve">-</w:t>
      </w:r>
      <w:r>
        <w:t xml:space="preserve"> </w:t>
      </w:r>
      <w:r>
        <w:rPr>
          <w:b/>
          <w:bCs/>
        </w:rPr>
        <w:t xml:space="preserve">ECOVARYL</w:t>
      </w:r>
      <w:r>
        <w:t xml:space="preserve"> </w:t>
      </w:r>
      <w:r>
        <w:t xml:space="preserve">(PHARMIDAL NS) —</w:t>
      </w:r>
      <w:r>
        <w:t xml:space="preserve"> </w:t>
      </w:r>
      <w:r>
        <w:rPr>
          <w:b/>
          <w:bCs/>
        </w:rPr>
        <w:t xml:space="preserve">Actif</w:t>
      </w:r>
      <w:r>
        <w:t xml:space="preserve"> </w:t>
      </w:r>
      <w:r>
        <w:t xml:space="preserve">-</w:t>
      </w:r>
      <w:r>
        <w:t xml:space="preserve"> </w:t>
      </w:r>
      <w:r>
        <w:rPr>
          <w:b/>
          <w:bCs/>
        </w:rPr>
        <w:t xml:space="preserve">ECONAZ</w:t>
      </w:r>
      <w:r>
        <w:t xml:space="preserve"> </w:t>
      </w:r>
      <w:r>
        <w:t xml:space="preserve">(BIOGALENIC) —</w:t>
      </w:r>
      <w:r>
        <w:t xml:space="preserve"> </w:t>
      </w:r>
      <w:r>
        <w:rPr>
          <w:b/>
          <w:bCs/>
        </w:rPr>
        <w:t xml:space="preserve">Actif</w:t>
      </w:r>
      <w:r>
        <w:t xml:space="preserve"> </w:t>
      </w:r>
      <w:r>
        <w:t xml:space="preserve">-</w:t>
      </w:r>
      <w:r>
        <w:t xml:space="preserve"> </w:t>
      </w:r>
      <w:r>
        <w:rPr>
          <w:b/>
          <w:bCs/>
        </w:rPr>
        <w:t xml:space="preserve">ECONAZYL 1 % SOLUTION</w:t>
      </w:r>
      <w:r>
        <w:t xml:space="preserve"> </w:t>
      </w:r>
      <w:r>
        <w:t xml:space="preserve">(LABORATOIRES PHARMAGHREB) —</w:t>
      </w:r>
      <w:r>
        <w:t xml:space="preserve"> </w:t>
      </w:r>
      <w:r>
        <w:rPr>
          <w:b/>
          <w:bCs/>
        </w:rPr>
        <w:t xml:space="preserve">Actif</w:t>
      </w:r>
    </w:p>
    <w:p>
      <w:pPr>
        <w:pStyle w:val="BodyText"/>
      </w:pPr>
      <w:r>
        <w:rPr>
          <w:i/>
          <w:iCs/>
        </w:rPr>
        <w:t xml:space="preserve">Ovules gynécologiques 150 mg — boîte de 3 (traitement 3 jours) :</w:t>
      </w:r>
      <w:r>
        <w:t xml:space="preserve"> </w:t>
      </w:r>
      <w:r>
        <w:t xml:space="preserve">-</w:t>
      </w:r>
      <w:r>
        <w:t xml:space="preserve"> </w:t>
      </w:r>
      <w:r>
        <w:rPr>
          <w:b/>
          <w:bCs/>
        </w:rPr>
        <w:t xml:space="preserve">ECOGYNAN</w:t>
      </w:r>
      <w:r>
        <w:t xml:space="preserve"> </w:t>
      </w:r>
      <w:r>
        <w:t xml:space="preserve">(BIOPHARM) —</w:t>
      </w:r>
      <w:r>
        <w:t xml:space="preserve"> </w:t>
      </w:r>
      <w:r>
        <w:rPr>
          <w:b/>
          <w:bCs/>
        </w:rPr>
        <w:t xml:space="preserve">Actif</w:t>
      </w:r>
    </w:p>
    <w:p>
      <w:pPr>
        <w:pStyle w:val="BodyText"/>
      </w:pPr>
      <w:r>
        <w:rPr>
          <w:i/>
          <w:iCs/>
        </w:rPr>
        <w:t xml:space="preserve">Spécialités Non Renouvelables :</w:t>
      </w:r>
      <w:r>
        <w:t xml:space="preserve"> </w:t>
      </w:r>
      <w:r>
        <w:t xml:space="preserve">-</w:t>
      </w:r>
      <w:r>
        <w:t xml:space="preserve"> </w:t>
      </w:r>
      <w:r>
        <w:rPr>
          <w:b/>
          <w:bCs/>
        </w:rPr>
        <w:t xml:space="preserve">ECONAZYL 1 %</w:t>
      </w:r>
      <w:r>
        <w:t xml:space="preserve"> </w:t>
      </w:r>
      <w:r>
        <w:t xml:space="preserve">(PHARMAGHREB) — Crème dermique 1 %, tube 30 g — Non Renouvelable</w:t>
      </w:r>
      <w:r>
        <w:t xml:space="preserve"> </w:t>
      </w:r>
      <w:r>
        <w:t xml:space="preserve">-</w:t>
      </w:r>
      <w:r>
        <w:t xml:space="preserve"> </w:t>
      </w:r>
      <w:r>
        <w:rPr>
          <w:b/>
          <w:bCs/>
        </w:rPr>
        <w:t xml:space="preserve">KONAZOL</w:t>
      </w:r>
      <w:r>
        <w:t xml:space="preserve"> </w:t>
      </w:r>
      <w:r>
        <w:t xml:space="preserve">(LABORATOIRE PHARMACEUTIQUE ALGERIEN — LPA) — Crème dermique 1 %, tube 30 g — Non Renouvelable</w:t>
      </w:r>
      <w:r>
        <w:t xml:space="preserve"> </w:t>
      </w:r>
      <w:r>
        <w:t xml:space="preserve">-</w:t>
      </w:r>
      <w:r>
        <w:t xml:space="preserve"> </w:t>
      </w:r>
      <w:r>
        <w:rPr>
          <w:b/>
          <w:bCs/>
        </w:rPr>
        <w:t xml:space="preserve">ECOMI</w:t>
      </w:r>
      <w:r>
        <w:t xml:space="preserve"> </w:t>
      </w:r>
      <w:r>
        <w:t xml:space="preserve">(GEYMONAT S.P.A) — Lait dermique 1 %, flacon 30 mL — Non Renouvelable</w:t>
      </w:r>
      <w:r>
        <w:t xml:space="preserve"> </w:t>
      </w:r>
      <w:r>
        <w:t xml:space="preserve">-</w:t>
      </w:r>
      <w:r>
        <w:t xml:space="preserve"> </w:t>
      </w:r>
      <w:r>
        <w:rPr>
          <w:b/>
          <w:bCs/>
        </w:rPr>
        <w:t xml:space="preserve">PEVARYL</w:t>
      </w:r>
      <w:r>
        <w:t xml:space="preserve"> </w:t>
      </w:r>
      <w:r>
        <w:t xml:space="preserve">(JANSSEN CILAG) — Lotion 1 %, flacon 30 g — Non Renouvelable</w:t>
      </w:r>
      <w:r>
        <w:t xml:space="preserve"> </w:t>
      </w:r>
      <w:r>
        <w:t xml:space="preserve">-</w:t>
      </w:r>
      <w:r>
        <w:t xml:space="preserve"> </w:t>
      </w:r>
      <w:r>
        <w:rPr>
          <w:b/>
          <w:bCs/>
        </w:rPr>
        <w:t xml:space="preserve">ECOVAR</w:t>
      </w:r>
      <w:r>
        <w:t xml:space="preserve"> </w:t>
      </w:r>
      <w:r>
        <w:t xml:space="preserve">(SALEM) — Ovules gynécologiques 150 mg, boîte de 3 — Non Renouvelable</w:t>
      </w:r>
      <w:r>
        <w:t xml:space="preserve"> </w:t>
      </w:r>
      <w:r>
        <w:t xml:space="preserve">-</w:t>
      </w:r>
      <w:r>
        <w:t xml:space="preserve"> </w:t>
      </w:r>
      <w:r>
        <w:rPr>
          <w:b/>
          <w:bCs/>
        </w:rPr>
        <w:t xml:space="preserve">GYNOVASOL</w:t>
      </w:r>
      <w:r>
        <w:t xml:space="preserve"> </w:t>
      </w:r>
      <w:r>
        <w:t xml:space="preserve">(4A SANTE INDUSTRIE SARL) — Ovules 150 mg, boîte de 3 — Non Renouvelable</w:t>
      </w:r>
      <w:r>
        <w:t xml:space="preserve"> </w:t>
      </w:r>
      <w:r>
        <w:t xml:space="preserve">-</w:t>
      </w:r>
      <w:r>
        <w:t xml:space="preserve"> </w:t>
      </w:r>
      <w:r>
        <w:rPr>
          <w:b/>
          <w:bCs/>
        </w:rPr>
        <w:t xml:space="preserve">ECOVAR LP</w:t>
      </w:r>
      <w:r>
        <w:t xml:space="preserve"> </w:t>
      </w:r>
      <w:r>
        <w:t xml:space="preserve">(SALEM) — Ovule gynécologique LP 150 mg, boîte de 1 — Non Renouvelable</w:t>
      </w:r>
      <w:r>
        <w:t xml:space="preserve"> </w:t>
      </w:r>
      <w:r>
        <w:t xml:space="preserve">-</w:t>
      </w:r>
      <w:r>
        <w:t xml:space="preserve"> </w:t>
      </w:r>
      <w:r>
        <w:rPr>
          <w:b/>
          <w:bCs/>
        </w:rPr>
        <w:t xml:space="preserve">GYNOVASOL LP</w:t>
      </w:r>
      <w:r>
        <w:t xml:space="preserve"> </w:t>
      </w:r>
      <w:r>
        <w:t xml:space="preserve">(4A SANTE INDUSTRIE SARL) — Ovule LP 150 mg, boîte de 1 — Non Renouvelable</w:t>
      </w:r>
    </w:p>
    <w:p>
      <w:pPr>
        <w:pStyle w:val="BodyText"/>
      </w:pPr>
      <w:r>
        <w:rPr>
          <w:i/>
          <w:iCs/>
        </w:rPr>
        <w:t xml:space="preserve">Spécialités retirées (R) :</w:t>
      </w:r>
      <w:r>
        <w:t xml:space="preserve"> </w:t>
      </w:r>
      <w:r>
        <w:t xml:space="preserve">-</w:t>
      </w:r>
      <w:r>
        <w:t xml:space="preserve"> </w:t>
      </w:r>
      <w:r>
        <w:rPr>
          <w:b/>
          <w:bCs/>
        </w:rPr>
        <w:t xml:space="preserve">ECOMI</w:t>
      </w:r>
      <w:r>
        <w:t xml:space="preserve"> </w:t>
      </w:r>
      <w:r>
        <w:t xml:space="preserve">(GEYMONAT S.P.A) — Crème dermique 1 %, tube 30 g — (R)</w:t>
      </w:r>
      <w:r>
        <w:t xml:space="preserve"> </w:t>
      </w:r>
      <w:r>
        <w:t xml:space="preserve">-</w:t>
      </w:r>
      <w:r>
        <w:t xml:space="preserve"> </w:t>
      </w:r>
      <w:r>
        <w:rPr>
          <w:b/>
          <w:bCs/>
        </w:rPr>
        <w:t xml:space="preserve">MITEKOL</w:t>
      </w:r>
      <w:r>
        <w:t xml:space="preserve"> </w:t>
      </w:r>
      <w:r>
        <w:t xml:space="preserve">(LEK) — Crème dermique 1 %, tube 30 g — (R)</w:t>
      </w:r>
      <w:r>
        <w:t xml:space="preserve"> </w:t>
      </w:r>
      <w:r>
        <w:t xml:space="preserve">-</w:t>
      </w:r>
      <w:r>
        <w:t xml:space="preserve"> </w:t>
      </w:r>
      <w:r>
        <w:rPr>
          <w:b/>
          <w:bCs/>
        </w:rPr>
        <w:t xml:space="preserve">PEVARYL</w:t>
      </w:r>
      <w:r>
        <w:t xml:space="preserve"> </w:t>
      </w:r>
      <w:r>
        <w:t xml:space="preserve">(JANSSEN CILAG) — Crème dermique 1 %, tube 30 g — (R)</w:t>
      </w:r>
      <w:r>
        <w:t xml:space="preserve"> </w:t>
      </w:r>
      <w:r>
        <w:t xml:space="preserve">-</w:t>
      </w:r>
      <w:r>
        <w:t xml:space="preserve"> </w:t>
      </w:r>
      <w:r>
        <w:rPr>
          <w:b/>
          <w:bCs/>
        </w:rPr>
        <w:t xml:space="preserve">FUNGRYL</w:t>
      </w:r>
      <w:r>
        <w:t xml:space="preserve"> </w:t>
      </w:r>
      <w:r>
        <w:t xml:space="preserve">(GLAXO WELLCOME) — Crème dermique 1 %, tube 15 g — (R)</w:t>
      </w:r>
      <w:r>
        <w:t xml:space="preserve"> </w:t>
      </w:r>
      <w:r>
        <w:t xml:space="preserve">-</w:t>
      </w:r>
      <w:r>
        <w:t xml:space="preserve"> </w:t>
      </w:r>
      <w:r>
        <w:rPr>
          <w:b/>
          <w:bCs/>
        </w:rPr>
        <w:t xml:space="preserve">NITRATE D’ECONAZOLE</w:t>
      </w:r>
      <w:r>
        <w:t xml:space="preserve"> </w:t>
      </w:r>
      <w:r>
        <w:t xml:space="preserve">(LAFON RATIOPHARM) — Crème dermique 1 %, tube 30 g — (R)</w:t>
      </w:r>
      <w:r>
        <w:t xml:space="preserve"> </w:t>
      </w:r>
      <w:r>
        <w:t xml:space="preserve">-</w:t>
      </w:r>
      <w:r>
        <w:t xml:space="preserve"> </w:t>
      </w:r>
      <w:r>
        <w:rPr>
          <w:b/>
          <w:bCs/>
        </w:rPr>
        <w:t xml:space="preserve">NITRATE D’ECONAZOLE-RATIOPHARM</w:t>
      </w:r>
      <w:r>
        <w:t xml:space="preserve"> </w:t>
      </w:r>
      <w:r>
        <w:t xml:space="preserve">(LAFON RATIOPHARM) — Lait dermique 1 %, flacon 30 g — (R)</w:t>
      </w:r>
      <w:r>
        <w:t xml:space="preserve"> </w:t>
      </w:r>
      <w:r>
        <w:t xml:space="preserve">-</w:t>
      </w:r>
      <w:r>
        <w:t xml:space="preserve"> </w:t>
      </w:r>
      <w:r>
        <w:rPr>
          <w:b/>
          <w:bCs/>
        </w:rPr>
        <w:t xml:space="preserve">PEVARYL</w:t>
      </w:r>
      <w:r>
        <w:t xml:space="preserve"> </w:t>
      </w:r>
      <w:r>
        <w:t xml:space="preserve">(JANSSEN CILAG) — Lait dermique 1 %, flacon 30 mL — (R)</w:t>
      </w:r>
      <w:r>
        <w:t xml:space="preserve"> </w:t>
      </w:r>
      <w:r>
        <w:t xml:space="preserve">-</w:t>
      </w:r>
      <w:r>
        <w:t xml:space="preserve"> </w:t>
      </w:r>
      <w:r>
        <w:rPr>
          <w:b/>
          <w:bCs/>
        </w:rPr>
        <w:t xml:space="preserve">NITRATE D’ECONAZOLE RATIOPHARM</w:t>
      </w:r>
      <w:r>
        <w:t xml:space="preserve"> </w:t>
      </w:r>
      <w:r>
        <w:t xml:space="preserve">(LAFON RATIOPHARM) — Lotion 1 %, flacon 30 g — (R)</w:t>
      </w:r>
      <w:r>
        <w:t xml:space="preserve"> </w:t>
      </w:r>
      <w:r>
        <w:t xml:space="preserve">-</w:t>
      </w:r>
      <w:r>
        <w:t xml:space="preserve"> </w:t>
      </w:r>
      <w:r>
        <w:rPr>
          <w:b/>
          <w:bCs/>
        </w:rPr>
        <w:t xml:space="preserve">GYNO-CORYL</w:t>
      </w:r>
      <w:r>
        <w:t xml:space="preserve"> </w:t>
      </w:r>
      <w:r>
        <w:t xml:space="preserve">(HAYAT) — Ovules 150 mg, boîte de 3 — (R)</w:t>
      </w:r>
      <w:r>
        <w:t xml:space="preserve"> </w:t>
      </w:r>
      <w:r>
        <w:t xml:space="preserve">-</w:t>
      </w:r>
      <w:r>
        <w:t xml:space="preserve"> </w:t>
      </w:r>
      <w:r>
        <w:rPr>
          <w:b/>
          <w:bCs/>
        </w:rPr>
        <w:t xml:space="preserve">GYNO-PEVARYL</w:t>
      </w:r>
      <w:r>
        <w:t xml:space="preserve"> </w:t>
      </w:r>
      <w:r>
        <w:t xml:space="preserve">(JANSSEN CILAG) — Ovules 150 mg, boîte de 3 — (R)</w:t>
      </w:r>
      <w:r>
        <w:t xml:space="preserve"> </w:t>
      </w:r>
      <w:r>
        <w:t xml:space="preserve">-</w:t>
      </w:r>
      <w:r>
        <w:t xml:space="preserve"> </w:t>
      </w:r>
      <w:r>
        <w:rPr>
          <w:b/>
          <w:bCs/>
        </w:rPr>
        <w:t xml:space="preserve">ECOMI</w:t>
      </w:r>
      <w:r>
        <w:t xml:space="preserve"> </w:t>
      </w:r>
      <w:r>
        <w:t xml:space="preserve">(GEYMONAT S.P.A) — Ovules gynécologiques micronisé 150 mg, boîte de 3 — (R)</w:t>
      </w:r>
      <w:r>
        <w:t xml:space="preserve"> </w:t>
      </w:r>
      <w:r>
        <w:t xml:space="preserve">-</w:t>
      </w:r>
      <w:r>
        <w:t xml:space="preserve"> </w:t>
      </w:r>
      <w:r>
        <w:rPr>
          <w:b/>
          <w:bCs/>
        </w:rPr>
        <w:t xml:space="preserve">GYNORYL</w:t>
      </w:r>
      <w:r>
        <w:t xml:space="preserve"> </w:t>
      </w:r>
      <w:r>
        <w:t xml:space="preserve">(GLAXO WELLCOME) — Ovules 150 mg, boîte de 3 — (R)</w:t>
      </w:r>
      <w:r>
        <w:t xml:space="preserve"> </w:t>
      </w:r>
      <w:r>
        <w:t xml:space="preserve">-</w:t>
      </w:r>
      <w:r>
        <w:t xml:space="preserve"> </w:t>
      </w:r>
      <w:r>
        <w:rPr>
          <w:b/>
          <w:bCs/>
        </w:rPr>
        <w:t xml:space="preserve">MITEKOL</w:t>
      </w:r>
      <w:r>
        <w:t xml:space="preserve"> </w:t>
      </w:r>
      <w:r>
        <w:t xml:space="preserve">(LEK) — Ovules micronisé 150 mg, boîte de 3 — (R)</w:t>
      </w:r>
      <w:r>
        <w:t xml:space="preserve"> </w:t>
      </w:r>
      <w:r>
        <w:t xml:space="preserve">-</w:t>
      </w:r>
      <w:r>
        <w:t xml:space="preserve"> </w:t>
      </w:r>
      <w:r>
        <w:rPr>
          <w:b/>
          <w:bCs/>
        </w:rPr>
        <w:t xml:space="preserve">GYNO-PEVARYL LP</w:t>
      </w:r>
      <w:r>
        <w:t xml:space="preserve"> </w:t>
      </w:r>
      <w:r>
        <w:t xml:space="preserve">(JANSSEN CILAG) — Ovules à libération prolongée 150 mg, boîte de 1 — (R)</w:t>
      </w:r>
    </w:p>
    <w:p>
      <w:pPr>
        <w:pStyle w:val="BodyText"/>
      </w:pPr>
      <w:r>
        <w:rPr>
          <w:b/>
          <w:bCs/>
        </w:rPr>
        <w:t xml:space="preserve">Sous-classe et Mécanisme d’action :</w:t>
      </w:r>
    </w:p>
    <w:p>
      <w:pPr>
        <w:pStyle w:val="Compact"/>
        <w:numPr>
          <w:ilvl w:val="0"/>
          <w:numId w:val="1082"/>
        </w:numPr>
      </w:pPr>
      <w:r>
        <w:rPr>
          <w:b/>
          <w:bCs/>
        </w:rPr>
        <w:t xml:space="preserve">Sous-classe</w:t>
      </w:r>
      <w:r>
        <w:t xml:space="preserve"> </w:t>
      </w:r>
      <w:r>
        <w:t xml:space="preserve">: Imidazolé de première génération ; antifongique topique à large spectre, fungistatique et fungicide concentration-dépendante.</w:t>
      </w:r>
    </w:p>
    <w:p>
      <w:pPr>
        <w:pStyle w:val="Compact"/>
        <w:numPr>
          <w:ilvl w:val="0"/>
          <w:numId w:val="1082"/>
        </w:numPr>
      </w:pPr>
      <w:r>
        <w:rPr>
          <w:b/>
          <w:bCs/>
        </w:rPr>
        <w:t xml:space="preserve">Mécanisme d’action</w:t>
      </w:r>
      <w:r>
        <w:t xml:space="preserve"> </w:t>
      </w:r>
      <w:r>
        <w:t xml:space="preserve">: Inhibition de la lanostérol 14α-déméthylase fongique (CYP51) par coordination de l’atome d’azote du noyau imidazole avec le fer ferreux du groupe hème. Déplétion en ergostérol + accumulation de méthylstérols toxiques → altération de la membrane fongique → inhibition de la croissance → lyse. Spectre large :</w:t>
      </w:r>
      <w:r>
        <w:t xml:space="preserve"> </w:t>
      </w:r>
      <w:r>
        <w:rPr>
          <w:i/>
          <w:iCs/>
        </w:rPr>
        <w:t xml:space="preserve">Candida</w:t>
      </w:r>
      <w:r>
        <w:t xml:space="preserve"> </w:t>
      </w:r>
      <w:r>
        <w:t xml:space="preserve">sp., dermatophytes (</w:t>
      </w:r>
      <w:r>
        <w:rPr>
          <w:i/>
          <w:iCs/>
        </w:rPr>
        <w:t xml:space="preserve">Trichophyton rubrum, T. mentagrophytes, Microsporum canis, Epidermophyton floccosum</w:t>
      </w:r>
      <w:r>
        <w:t xml:space="preserve">),</w:t>
      </w:r>
      <w:r>
        <w:t xml:space="preserve"> </w:t>
      </w:r>
      <w:r>
        <w:rPr>
          <w:i/>
          <w:iCs/>
        </w:rPr>
        <w:t xml:space="preserve">Malassezia furfur</w:t>
      </w:r>
      <w:r>
        <w:t xml:space="preserve"> </w:t>
      </w:r>
      <w:r>
        <w:t xml:space="preserve">(pityriasis versicolor),</w:t>
      </w:r>
      <w:r>
        <w:t xml:space="preserve"> </w:t>
      </w:r>
      <w:r>
        <w:rPr>
          <w:i/>
          <w:iCs/>
        </w:rPr>
        <w:t xml:space="preserve">Aspergillus</w:t>
      </w:r>
      <w:r>
        <w:t xml:space="preserve"> </w:t>
      </w:r>
      <w:r>
        <w:t xml:space="preserve">sp.,</w:t>
      </w:r>
      <w:r>
        <w:t xml:space="preserve"> </w:t>
      </w:r>
      <w:r>
        <w:rPr>
          <w:i/>
          <w:iCs/>
        </w:rPr>
        <w:t xml:space="preserve">Scopulariopsis brevicaulis</w:t>
      </w:r>
      <w:r>
        <w:t xml:space="preserve">,</w:t>
      </w:r>
      <w:r>
        <w:t xml:space="preserve"> </w:t>
      </w:r>
      <w:r>
        <w:rPr>
          <w:i/>
          <w:iCs/>
        </w:rPr>
        <w:t xml:space="preserve">Cryptococcus neoformans</w:t>
      </w:r>
      <w:r>
        <w:t xml:space="preserve"> </w:t>
      </w:r>
      <w:r>
        <w:t xml:space="preserve">(activité modérée), quelques Gram positifs. Action</w:t>
      </w:r>
      <w:r>
        <w:t xml:space="preserve"> </w:t>
      </w:r>
      <w:r>
        <w:rPr>
          <w:b/>
          <w:bCs/>
        </w:rPr>
        <w:t xml:space="preserve">fungicide</w:t>
      </w:r>
      <w:r>
        <w:t xml:space="preserve"> </w:t>
      </w:r>
      <w:r>
        <w:t xml:space="preserve">à concentration élevée sur les dermatophytes.</w:t>
      </w:r>
    </w:p>
    <w:p>
      <w:pPr>
        <w:pStyle w:val="FirstParagraph"/>
      </w:pPr>
      <w:r>
        <w:rPr>
          <w:b/>
          <w:bCs/>
        </w:rPr>
        <w:t xml:space="preserve">Profil Pharmacologique :</w:t>
      </w:r>
    </w:p>
    <w:p>
      <w:pPr>
        <w:pStyle w:val="Compact"/>
        <w:numPr>
          <w:ilvl w:val="0"/>
          <w:numId w:val="1083"/>
        </w:numPr>
      </w:pPr>
      <w:r>
        <w:rPr>
          <w:b/>
          <w:bCs/>
        </w:rPr>
        <w:t xml:space="preserve">Indications</w:t>
      </w:r>
      <w:r>
        <w:t xml:space="preserve"> </w:t>
      </w:r>
      <w:r>
        <w:t xml:space="preserve">:</w:t>
      </w:r>
    </w:p>
    <w:p>
      <w:pPr>
        <w:pStyle w:val="Compact"/>
        <w:numPr>
          <w:ilvl w:val="1"/>
          <w:numId w:val="1084"/>
        </w:numPr>
      </w:pPr>
      <w:r>
        <w:rPr>
          <w:i/>
          <w:iCs/>
        </w:rPr>
        <w:t xml:space="preserve">Crème dermique</w:t>
      </w:r>
      <w:r>
        <w:t xml:space="preserve"> </w:t>
      </w:r>
      <w:r>
        <w:t xml:space="preserve">: candidose cutanéo-muqueuse, dermatophyties (pied d’athlète, herpès circiné, mycose de la peau glabre, intertrigo génito-crural), pityriasis versicolor, intertrigos mycosiques des plis.</w:t>
      </w:r>
    </w:p>
    <w:p>
      <w:pPr>
        <w:pStyle w:val="Compact"/>
        <w:numPr>
          <w:ilvl w:val="1"/>
          <w:numId w:val="1084"/>
        </w:numPr>
      </w:pPr>
      <w:r>
        <w:rPr>
          <w:i/>
          <w:iCs/>
        </w:rPr>
        <w:t xml:space="preserve">Lait dermique</w:t>
      </w:r>
      <w:r>
        <w:t xml:space="preserve"> </w:t>
      </w:r>
      <w:r>
        <w:t xml:space="preserve">: mycoses cutanées étendues, zones pileuses, cuir chevelu (alternative au gel), intertrigos des grands plis, pityriasis versicolor étendu.</w:t>
      </w:r>
    </w:p>
    <w:p>
      <w:pPr>
        <w:pStyle w:val="Compact"/>
        <w:numPr>
          <w:ilvl w:val="1"/>
          <w:numId w:val="1084"/>
        </w:numPr>
      </w:pPr>
      <w:r>
        <w:rPr>
          <w:i/>
          <w:iCs/>
        </w:rPr>
        <w:t xml:space="preserve">Solution pour application locale</w:t>
      </w:r>
      <w:r>
        <w:t xml:space="preserve"> </w:t>
      </w:r>
      <w:r>
        <w:t xml:space="preserve">: mycoses cutanées localisées, espaces interdigitaux, onychomycoses débutantes (en complément d’un vernis), dermatophyties des plis.</w:t>
      </w:r>
    </w:p>
    <w:p>
      <w:pPr>
        <w:pStyle w:val="Compact"/>
        <w:numPr>
          <w:ilvl w:val="1"/>
          <w:numId w:val="1084"/>
        </w:numPr>
      </w:pPr>
      <w:r>
        <w:rPr>
          <w:i/>
          <w:iCs/>
        </w:rPr>
        <w:t xml:space="preserve">Ovules gynécologiques</w:t>
      </w:r>
      <w:r>
        <w:t xml:space="preserve"> </w:t>
      </w:r>
      <w:r>
        <w:t xml:space="preserve">: candidose vaginale (vulvo-vaginite candidosique).</w:t>
      </w:r>
    </w:p>
    <w:p>
      <w:pPr>
        <w:pStyle w:val="Compact"/>
        <w:numPr>
          <w:ilvl w:val="0"/>
          <w:numId w:val="1083"/>
        </w:numPr>
      </w:pPr>
      <w:r>
        <w:rPr>
          <w:b/>
          <w:bCs/>
        </w:rPr>
        <w:t xml:space="preserve">Contre-indications</w:t>
      </w:r>
      <w:r>
        <w:t xml:space="preserve"> </w:t>
      </w:r>
      <w:r>
        <w:t xml:space="preserve">: hypersensibilité à l’éconazole ou aux autres imidazolés. Pour les ovules : percussion du tympan (en cas d’utilisation auriculaire hors AMM), grossesse 1ᵉʳ trimestre (par prudence, préférer nystatine ou clotrimazole).</w:t>
      </w:r>
    </w:p>
    <w:p>
      <w:pPr>
        <w:pStyle w:val="Compact"/>
        <w:numPr>
          <w:ilvl w:val="0"/>
          <w:numId w:val="1083"/>
        </w:numPr>
      </w:pPr>
      <w:r>
        <w:rPr>
          <w:b/>
          <w:bCs/>
        </w:rPr>
        <w:t xml:space="preserve">Effets Indésirables</w:t>
      </w:r>
      <w:r>
        <w:t xml:space="preserve"> </w:t>
      </w:r>
      <w:r>
        <w:t xml:space="preserve">:</w:t>
      </w:r>
    </w:p>
    <w:p>
      <w:pPr>
        <w:pStyle w:val="Compact"/>
        <w:numPr>
          <w:ilvl w:val="1"/>
          <w:numId w:val="1085"/>
        </w:numPr>
      </w:pPr>
      <w:r>
        <w:rPr>
          <w:i/>
          <w:iCs/>
        </w:rPr>
        <w:t xml:space="preserve">Cutané</w:t>
      </w:r>
      <w:r>
        <w:t xml:space="preserve"> </w:t>
      </w:r>
      <w:r>
        <w:t xml:space="preserve">: sensation de brûlure, prurit, érythème, irritation, dermite de contact allergique (rare). Sensation de chaleur ou de picotements transitoires.</w:t>
      </w:r>
    </w:p>
    <w:p>
      <w:pPr>
        <w:pStyle w:val="Compact"/>
        <w:numPr>
          <w:ilvl w:val="1"/>
          <w:numId w:val="1085"/>
        </w:numPr>
      </w:pPr>
      <w:r>
        <w:rPr>
          <w:i/>
          <w:iCs/>
        </w:rPr>
        <w:t xml:space="preserve">Vaginal</w:t>
      </w:r>
      <w:r>
        <w:t xml:space="preserve"> </w:t>
      </w:r>
      <w:r>
        <w:t xml:space="preserve">: sensation de brûlure locale, irritation, leucorrhées accrues transitoirement, démangeaisons. Rarement : réactions allergiques générales (urticaire).</w:t>
      </w:r>
    </w:p>
    <w:p>
      <w:pPr>
        <w:pStyle w:val="Compact"/>
        <w:numPr>
          <w:ilvl w:val="1"/>
          <w:numId w:val="1085"/>
        </w:numPr>
      </w:pPr>
      <w:r>
        <w:rPr>
          <w:i/>
          <w:iCs/>
        </w:rPr>
        <w:t xml:space="preserve">Systémique</w:t>
      </w:r>
      <w:r>
        <w:t xml:space="preserve"> </w:t>
      </w:r>
      <w:r>
        <w:t xml:space="preserve">(en cas d’usage vaginal) : absorption systémique détectable, interactions CYP3A4 théoriques (à surveiller chez la patiente sous anticoagulant oral).</w:t>
      </w:r>
    </w:p>
    <w:p>
      <w:pPr>
        <w:pStyle w:val="FirstParagraph"/>
      </w:pPr>
      <w:r>
        <w:rPr>
          <w:b/>
          <w:bCs/>
        </w:rPr>
        <w:t xml:space="preserve">Prévention et Gestion des Effets Indésirables :</w:t>
      </w:r>
    </w:p>
    <w:p>
      <w:pPr>
        <w:pStyle w:val="Compact"/>
        <w:numPr>
          <w:ilvl w:val="0"/>
          <w:numId w:val="1086"/>
        </w:numPr>
      </w:pPr>
      <w:r>
        <w:rPr>
          <w:b/>
          <w:bCs/>
        </w:rPr>
        <w:t xml:space="preserve">Mesures Préventives</w:t>
      </w:r>
      <w:r>
        <w:t xml:space="preserve"> </w:t>
      </w:r>
      <w:r>
        <w:t xml:space="preserve">:</w:t>
      </w:r>
    </w:p>
    <w:p>
      <w:pPr>
        <w:pStyle w:val="Compact"/>
        <w:numPr>
          <w:ilvl w:val="1"/>
          <w:numId w:val="1087"/>
        </w:numPr>
      </w:pPr>
      <w:r>
        <w:rPr>
          <w:i/>
          <w:iCs/>
        </w:rPr>
        <w:t xml:space="preserve">Crème</w:t>
      </w:r>
      <w:r>
        <w:t xml:space="preserve"> </w:t>
      </w:r>
      <w:r>
        <w:t xml:space="preserve">: appliquer sur peau propre et sèche, en couche fine, 2 fois par jour. Ne pas occlure.</w:t>
      </w:r>
    </w:p>
    <w:p>
      <w:pPr>
        <w:pStyle w:val="Compact"/>
        <w:numPr>
          <w:ilvl w:val="1"/>
          <w:numId w:val="1087"/>
        </w:numPr>
      </w:pPr>
      <w:r>
        <w:rPr>
          <w:i/>
          <w:iCs/>
        </w:rPr>
        <w:t xml:space="preserve">Solution pulvérisateur</w:t>
      </w:r>
      <w:r>
        <w:t xml:space="preserve"> </w:t>
      </w:r>
      <w:r>
        <w:t xml:space="preserve">: utile pour les zones pileuses et les espaces interdigitaux ; éviter le contact avec les yeux et les muqueuses.</w:t>
      </w:r>
    </w:p>
    <w:p>
      <w:pPr>
        <w:pStyle w:val="Compact"/>
        <w:numPr>
          <w:ilvl w:val="1"/>
          <w:numId w:val="1087"/>
        </w:numPr>
      </w:pPr>
      <w:r>
        <w:rPr>
          <w:i/>
          <w:iCs/>
        </w:rPr>
        <w:t xml:space="preserve">Ovules</w:t>
      </w:r>
      <w:r>
        <w:t xml:space="preserve"> </w:t>
      </w:r>
      <w:r>
        <w:t xml:space="preserve">: utiliser au coucher, en position allongée, profondeur vaginale. Préférer la forme LP (dose unique) en cas d’observance difficile.</w:t>
      </w:r>
    </w:p>
    <w:p>
      <w:pPr>
        <w:pStyle w:val="Compact"/>
        <w:numPr>
          <w:ilvl w:val="1"/>
          <w:numId w:val="1087"/>
        </w:numPr>
      </w:pPr>
      <w:r>
        <w:rPr>
          <w:i/>
          <w:iCs/>
        </w:rPr>
        <w:t xml:space="preserve">Anticoagulants oraux</w:t>
      </w:r>
      <w:r>
        <w:t xml:space="preserve"> </w:t>
      </w:r>
      <w:r>
        <w:t xml:space="preserve">: bien que l’absorption vaginale de l’éconazole soit moindre que celle du miconazole, surveiller l’INR si traitement prolongé.</w:t>
      </w:r>
    </w:p>
    <w:p>
      <w:pPr>
        <w:pStyle w:val="Compact"/>
        <w:numPr>
          <w:ilvl w:val="0"/>
          <w:numId w:val="1086"/>
        </w:numPr>
      </w:pPr>
      <w:r>
        <w:rPr>
          <w:b/>
          <w:bCs/>
        </w:rPr>
        <w:t xml:space="preserve">Conduite à Tenir</w:t>
      </w:r>
      <w:r>
        <w:t xml:space="preserve"> </w:t>
      </w:r>
      <w:r>
        <w:t xml:space="preserve">:</w:t>
      </w:r>
    </w:p>
    <w:p>
      <w:pPr>
        <w:pStyle w:val="Compact"/>
        <w:numPr>
          <w:ilvl w:val="1"/>
          <w:numId w:val="1088"/>
        </w:numPr>
      </w:pPr>
      <w:r>
        <w:rPr>
          <w:i/>
          <w:iCs/>
        </w:rPr>
        <w:t xml:space="preserve">Dermatite de contact</w:t>
      </w:r>
      <w:r>
        <w:t xml:space="preserve"> </w:t>
      </w:r>
      <w:r>
        <w:t xml:space="preserve">: arrêt, relais par allylamine (terbinafine) ou un autre azolé.</w:t>
      </w:r>
    </w:p>
    <w:p>
      <w:pPr>
        <w:pStyle w:val="Compact"/>
        <w:numPr>
          <w:ilvl w:val="1"/>
          <w:numId w:val="1088"/>
        </w:numPr>
      </w:pPr>
      <w:r>
        <w:rPr>
          <w:i/>
          <w:iCs/>
        </w:rPr>
        <w:t xml:space="preserve">Récidive de candidose vaginale</w:t>
      </w:r>
      <w:r>
        <w:t xml:space="preserve"> </w:t>
      </w:r>
      <w:r>
        <w:t xml:space="preserve">(&gt; 4 épisodes/an) : avis médical gynécologique, recherche d’un facteur favorisant (diabète, immunodépression, grossesse), traitement prolongé par fluconazole oral (sur prescription).</w:t>
      </w:r>
    </w:p>
    <w:p>
      <w:pPr>
        <w:pStyle w:val="Compact"/>
        <w:numPr>
          <w:ilvl w:val="1"/>
          <w:numId w:val="1088"/>
        </w:numPr>
      </w:pPr>
      <w:r>
        <w:rPr>
          <w:i/>
          <w:iCs/>
        </w:rPr>
        <w:t xml:space="preserve">Absence d’amélioration après 7 jours</w:t>
      </w:r>
      <w:r>
        <w:t xml:space="preserve"> </w:t>
      </w:r>
      <w:r>
        <w:t xml:space="preserve">: réévaluation médicale, prélèvement mycologique.</w:t>
      </w:r>
    </w:p>
    <w:p>
      <w:pPr>
        <w:pStyle w:val="FirstParagraph"/>
      </w:pPr>
      <w:r>
        <w:rPr>
          <w:b/>
          <w:bCs/>
        </w:rPr>
        <w:t xml:space="preserve">Interactions Importantes :</w:t>
      </w:r>
    </w:p>
    <w:p>
      <w:pPr>
        <w:pStyle w:val="Compact"/>
        <w:numPr>
          <w:ilvl w:val="0"/>
          <w:numId w:val="1089"/>
        </w:numPr>
      </w:pPr>
      <w:r>
        <w:rPr>
          <w:b/>
          <w:bCs/>
        </w:rPr>
        <w:t xml:space="preserve">Anticoagulants oraux (warfarine, acénocoumarol)</w:t>
      </w:r>
      <w:r>
        <w:t xml:space="preserve"> </w:t>
      </w:r>
      <w:r>
        <w:t xml:space="preserve">: potentialisation de l’effet anticoagulant par inhibition CYP2C9 (surtout avec la forme vaginale). Surveillance de l’INR, en particulier pendant et 8 jours après le traitement par ovules.</w:t>
      </w:r>
    </w:p>
    <w:p>
      <w:pPr>
        <w:pStyle w:val="Compact"/>
        <w:numPr>
          <w:ilvl w:val="0"/>
          <w:numId w:val="1089"/>
        </w:numPr>
      </w:pPr>
      <w:r>
        <w:rPr>
          <w:b/>
          <w:bCs/>
        </w:rPr>
        <w:t xml:space="preserve">Spermicides (nonoxynol-9)</w:t>
      </w:r>
      <w:r>
        <w:t xml:space="preserve"> </w:t>
      </w:r>
      <w:r>
        <w:t xml:space="preserve">: l’éconazole (comme tous les imidazolés vaginaux) peut</w:t>
      </w:r>
      <w:r>
        <w:t xml:space="preserve"> </w:t>
      </w:r>
      <w:r>
        <w:rPr>
          <w:b/>
          <w:bCs/>
        </w:rPr>
        <w:t xml:space="preserve">inactiver les spermicides</w:t>
      </w:r>
      <w:r>
        <w:t xml:space="preserve"> </w:t>
      </w:r>
      <w:r>
        <w:t xml:space="preserve">et les diaphragmes en latex — recommander une méthode contraceptive alternative pendant le traitement et 5 jours après.</w:t>
      </w:r>
    </w:p>
    <w:p>
      <w:pPr>
        <w:pStyle w:val="Compact"/>
        <w:numPr>
          <w:ilvl w:val="0"/>
          <w:numId w:val="1089"/>
        </w:numPr>
      </w:pPr>
      <w:r>
        <w:rPr>
          <w:b/>
          <w:bCs/>
        </w:rPr>
        <w:t xml:space="preserve">Préservatifs en latex</w:t>
      </w:r>
      <w:r>
        <w:t xml:space="preserve"> </w:t>
      </w:r>
      <w:r>
        <w:t xml:space="preserve">: l’éconazole (comme tous les imidazolés vaginaux en base grasse) peut</w:t>
      </w:r>
      <w:r>
        <w:t xml:space="preserve"> </w:t>
      </w:r>
      <w:r>
        <w:rPr>
          <w:b/>
          <w:bCs/>
        </w:rPr>
        <w:t xml:space="preserve">altérer le latex</w:t>
      </w:r>
      <w:r>
        <w:t xml:space="preserve"> </w:t>
      </w:r>
      <w:r>
        <w:t xml:space="preserve">et diminuer l’efficacité mécanique du préservatif — utiliser une méthode contraceptive alternative pendant le traitement.</w:t>
      </w:r>
    </w:p>
    <w:p>
      <w:pPr>
        <w:pStyle w:val="FirstParagraph"/>
      </w:pPr>
      <w:r>
        <w:rPr>
          <w:b/>
          <w:bCs/>
        </w:rPr>
        <w:t xml:space="preserve">Grossesse et Allaitement :</w:t>
      </w:r>
    </w:p>
    <w:p>
      <w:pPr>
        <w:pStyle w:val="Compact"/>
        <w:numPr>
          <w:ilvl w:val="0"/>
          <w:numId w:val="1090"/>
        </w:numPr>
      </w:pPr>
      <w:r>
        <w:rPr>
          <w:b/>
          <w:bCs/>
        </w:rPr>
        <w:t xml:space="preserve">Grossesse</w:t>
      </w:r>
      <w:r>
        <w:t xml:space="preserve"> </w:t>
      </w:r>
      <w:r>
        <w:t xml:space="preserve">: Selon le CRAT, l’éconazole topique cutané est</w:t>
      </w:r>
      <w:r>
        <w:t xml:space="preserve"> </w:t>
      </w:r>
      <w:r>
        <w:rPr>
          <w:b/>
          <w:bCs/>
        </w:rPr>
        <w:t xml:space="preserve">utilisable chez la femme enceinte</w:t>
      </w:r>
      <w:r>
        <w:t xml:space="preserve"> </w:t>
      </w:r>
      <w:r>
        <w:t xml:space="preserve">à tous les trimestres, l’absorption systémique étant négligeable. Pour la forme vaginale, l’usage est déconseillé au 1ᵉʳ trimestre (préférer nystatine ou clotrimazole à dose unique) et autorisé au 2ᵉ et 3ᵉ trimestre. Éviter les ovules LP au 1ᵉʳ trimestre par mesure de prudence.</w:t>
      </w:r>
    </w:p>
    <w:p>
      <w:pPr>
        <w:pStyle w:val="Compact"/>
        <w:numPr>
          <w:ilvl w:val="0"/>
          <w:numId w:val="1090"/>
        </w:numPr>
      </w:pPr>
      <w:r>
        <w:rPr>
          <w:b/>
          <w:bCs/>
        </w:rPr>
        <w:t xml:space="preserve">Allaitement</w:t>
      </w:r>
      <w:r>
        <w:t xml:space="preserve"> </w:t>
      </w:r>
      <w:r>
        <w:t xml:space="preserve">: Compatible avec l’allaitement pour les formes cutanées. Éviter l’application sur le sein avant la tétée.</w:t>
      </w:r>
    </w:p>
    <w:p>
      <w:pPr>
        <w:pStyle w:val="Compact"/>
        <w:numPr>
          <w:ilvl w:val="0"/>
          <w:numId w:val="1090"/>
        </w:numPr>
      </w:pPr>
      <w:r>
        <w:rPr>
          <w:b/>
          <w:bCs/>
        </w:rPr>
        <w:t xml:space="preserve">Précisions</w:t>
      </w:r>
      <w:r>
        <w:t xml:space="preserve"> </w:t>
      </w:r>
      <w:r>
        <w:t xml:space="preserve">: La candidose vaginale gravidique est extrêmement fréquente (imprégnation œstrogénique, glycosurie) — l’éconazole est un traitement de choix au 2ᵉ et 3ᵉ trimestre.</w:t>
      </w:r>
    </w:p>
    <w:p>
      <w:pPr>
        <w:pStyle w:val="FirstParagraph"/>
      </w:pPr>
      <w:r>
        <w:rPr>
          <w:b/>
          <w:bCs/>
        </w:rPr>
        <w:t xml:space="preserve">Posologie et Mode d’administration (Standard) :</w:t>
      </w:r>
    </w:p>
    <w:p>
      <w:pPr>
        <w:pStyle w:val="Compact"/>
        <w:numPr>
          <w:ilvl w:val="0"/>
          <w:numId w:val="1091"/>
        </w:numPr>
      </w:pPr>
      <w:r>
        <w:rPr>
          <w:b/>
          <w:bCs/>
        </w:rPr>
        <w:t xml:space="preserve">Adulte</w:t>
      </w:r>
      <w:r>
        <w:t xml:space="preserve"> </w:t>
      </w:r>
      <w:r>
        <w:t xml:space="preserve">:</w:t>
      </w:r>
    </w:p>
    <w:p>
      <w:pPr>
        <w:pStyle w:val="Compact"/>
        <w:numPr>
          <w:ilvl w:val="1"/>
          <w:numId w:val="1092"/>
        </w:numPr>
      </w:pPr>
      <w:r>
        <w:rPr>
          <w:i/>
          <w:iCs/>
        </w:rPr>
        <w:t xml:space="preserve">Crème dermique 1 %</w:t>
      </w:r>
      <w:r>
        <w:t xml:space="preserve"> </w:t>
      </w:r>
      <w:r>
        <w:t xml:space="preserve">: 2 applications par jour sur peau propre et sèche, pendant 2 à 4 semaines (candidoses, pityriasis versicolor) ou 4 à 6 semaines (dermatophyties).</w:t>
      </w:r>
    </w:p>
    <w:p>
      <w:pPr>
        <w:pStyle w:val="Compact"/>
        <w:numPr>
          <w:ilvl w:val="1"/>
          <w:numId w:val="1092"/>
        </w:numPr>
      </w:pPr>
      <w:r>
        <w:rPr>
          <w:i/>
          <w:iCs/>
        </w:rPr>
        <w:t xml:space="preserve">Lait dermique 1 %</w:t>
      </w:r>
      <w:r>
        <w:t xml:space="preserve"> </w:t>
      </w:r>
      <w:r>
        <w:t xml:space="preserve">: 2 applications par jour sur peau sèche, en couche fine, sur les zones étendues ou pileuses. Mêmes durées que la crème.</w:t>
      </w:r>
    </w:p>
    <w:p>
      <w:pPr>
        <w:pStyle w:val="Compact"/>
        <w:numPr>
          <w:ilvl w:val="1"/>
          <w:numId w:val="1092"/>
        </w:numPr>
      </w:pPr>
      <w:r>
        <w:rPr>
          <w:i/>
          <w:iCs/>
        </w:rPr>
        <w:t xml:space="preserve">Solution 1 % pulvérisateur</w:t>
      </w:r>
      <w:r>
        <w:t xml:space="preserve"> </w:t>
      </w:r>
      <w:r>
        <w:t xml:space="preserve">: 2 pulvérisations par jour sur la zone atteinte, à 10 cm de la peau, en couvrant toute la lésion. Mêmes durées.</w:t>
      </w:r>
    </w:p>
    <w:p>
      <w:pPr>
        <w:pStyle w:val="Compact"/>
        <w:numPr>
          <w:ilvl w:val="1"/>
          <w:numId w:val="1092"/>
        </w:numPr>
      </w:pPr>
      <w:r>
        <w:rPr>
          <w:i/>
          <w:iCs/>
        </w:rPr>
        <w:t xml:space="preserve">Ovules gynécologiques 150 mg</w:t>
      </w:r>
      <w:r>
        <w:t xml:space="preserve"> </w:t>
      </w:r>
      <w:r>
        <w:t xml:space="preserve">: 1 ovule par jour au coucher pendant 3 jours (forme standard) ou 1 ovule LP 150 mg en dose unique (forme LP).</w:t>
      </w:r>
    </w:p>
    <w:p>
      <w:pPr>
        <w:pStyle w:val="Compact"/>
        <w:numPr>
          <w:ilvl w:val="0"/>
          <w:numId w:val="1091"/>
        </w:numPr>
      </w:pPr>
      <w:r>
        <w:rPr>
          <w:b/>
          <w:bCs/>
        </w:rPr>
        <w:t xml:space="preserve">Enfant</w:t>
      </w:r>
      <w:r>
        <w:t xml:space="preserve"> </w:t>
      </w:r>
      <w:r>
        <w:t xml:space="preserve">: crème : à partir de 1 mois, 1 application/jour. Ovules : à partir de la puberté.</w:t>
      </w:r>
    </w:p>
    <w:p>
      <w:pPr>
        <w:pStyle w:val="Compact"/>
        <w:numPr>
          <w:ilvl w:val="0"/>
          <w:numId w:val="1091"/>
        </w:numPr>
      </w:pPr>
      <w:r>
        <w:rPr>
          <w:b/>
          <w:bCs/>
        </w:rPr>
        <w:t xml:space="preserve">Durée</w:t>
      </w:r>
      <w:r>
        <w:t xml:space="preserve"> </w:t>
      </w:r>
      <w:r>
        <w:t xml:space="preserve">: candidose cutanée 2 à 4 semaines ; dermatophytie cutanée 4 à 6 semaines ; pityriasis versicolor 2 à 3 semaines ; candidose vaginale 3 jours (forme standard) ou dose unique (forme LP).</w:t>
      </w:r>
    </w:p>
    <w:p>
      <w:pPr>
        <w:pStyle w:val="Compact"/>
        <w:numPr>
          <w:ilvl w:val="0"/>
          <w:numId w:val="1091"/>
        </w:numPr>
      </w:pPr>
      <w:r>
        <w:rPr>
          <w:b/>
          <w:bCs/>
        </w:rPr>
        <w:t xml:space="preserve">Moment de prise</w:t>
      </w:r>
      <w:r>
        <w:t xml:space="preserve"> </w:t>
      </w:r>
      <w:r>
        <w:t xml:space="preserve">: crème/lait/solution matin et soir sur peau propre et sèche ; ovule au coucher en position allongée.</w:t>
      </w:r>
    </w:p>
    <w:p>
      <w:pPr>
        <w:pStyle w:val="FirstParagraph"/>
      </w:pPr>
      <w:r>
        <w:rPr>
          <w:b/>
          <w:bCs/>
        </w:rPr>
        <w:t xml:space="preserve">Arbitrage et Bénéfices des Formes Galéniques :</w:t>
      </w:r>
    </w:p>
    <w:p>
      <w:pPr>
        <w:pStyle w:val="BodyText"/>
      </w:pPr>
      <w:r>
        <w:t xml:space="preserve">L’éconazole est l’imidazolé topique qui présente la</w:t>
      </w:r>
      <w:r>
        <w:t xml:space="preserve"> </w:t>
      </w:r>
      <w:r>
        <w:rPr>
          <w:b/>
          <w:bCs/>
        </w:rPr>
        <w:t xml:space="preserve">plus grande diversité galénique</w:t>
      </w:r>
      <w:r>
        <w:t xml:space="preserve"> </w:t>
      </w:r>
      <w:r>
        <w:t xml:space="preserve">en Algérie. Cette diversité permet une</w:t>
      </w:r>
      <w:r>
        <w:t xml:space="preserve"> </w:t>
      </w:r>
      <w:r>
        <w:rPr>
          <w:b/>
          <w:bCs/>
        </w:rPr>
        <w:t xml:space="preserve">adaptation fine</w:t>
      </w:r>
      <w:r>
        <w:t xml:space="preserve"> </w:t>
      </w:r>
      <w:r>
        <w:t xml:space="preserve">à chaque situation clinique :</w:t>
      </w:r>
    </w:p>
    <w:p>
      <w:pPr>
        <w:pStyle w:val="Compact"/>
        <w:numPr>
          <w:ilvl w:val="0"/>
          <w:numId w:val="1093"/>
        </w:numPr>
      </w:pPr>
      <w:r>
        <w:rPr>
          <w:b/>
          <w:bCs/>
        </w:rPr>
        <w:t xml:space="preserve">Crème</w:t>
      </w:r>
      <w:r>
        <w:t xml:space="preserve"> </w:t>
      </w:r>
      <w:r>
        <w:t xml:space="preserve">pour les lésions sèches, croûteuses ou des plis (propriétés hydratantes de la base).</w:t>
      </w:r>
    </w:p>
    <w:p>
      <w:pPr>
        <w:pStyle w:val="Compact"/>
        <w:numPr>
          <w:ilvl w:val="0"/>
          <w:numId w:val="1093"/>
        </w:numPr>
      </w:pPr>
      <w:r>
        <w:rPr>
          <w:b/>
          <w:bCs/>
        </w:rPr>
        <w:t xml:space="preserve">Lait dermique</w:t>
      </w:r>
      <w:r>
        <w:t xml:space="preserve"> </w:t>
      </w:r>
      <w:r>
        <w:t xml:space="preserve">(émulsion fluide) pour les zones étendues, pileuses, ou en complément d’un traitement par crème sur peau lésée (meilleure pénétration, sans effet occlusif).</w:t>
      </w:r>
    </w:p>
    <w:p>
      <w:pPr>
        <w:pStyle w:val="Compact"/>
        <w:numPr>
          <w:ilvl w:val="0"/>
          <w:numId w:val="1093"/>
        </w:numPr>
      </w:pPr>
      <w:r>
        <w:rPr>
          <w:b/>
          <w:bCs/>
        </w:rPr>
        <w:t xml:space="preserve">Solution pulvérisateur</w:t>
      </w:r>
      <w:r>
        <w:t xml:space="preserve"> </w:t>
      </w:r>
      <w:r>
        <w:t xml:space="preserve">pour les espaces interdigitaux (pied d’athlète), les onychomycoses, les zones pileuses, les plis difficilement accessibles. Pratique en saison chaude (séchage rapide, non gras).</w:t>
      </w:r>
    </w:p>
    <w:p>
      <w:pPr>
        <w:pStyle w:val="Compact"/>
        <w:numPr>
          <w:ilvl w:val="0"/>
          <w:numId w:val="1093"/>
        </w:numPr>
      </w:pPr>
      <w:r>
        <w:rPr>
          <w:b/>
          <w:bCs/>
        </w:rPr>
        <w:t xml:space="preserve">Ovule standard 150 mg × 3 jours</w:t>
      </w:r>
      <w:r>
        <w:t xml:space="preserve"> </w:t>
      </w:r>
      <w:r>
        <w:t xml:space="preserve">: schéma classique de la candidose vaginale.</w:t>
      </w:r>
    </w:p>
    <w:p>
      <w:pPr>
        <w:pStyle w:val="Compact"/>
        <w:numPr>
          <w:ilvl w:val="0"/>
          <w:numId w:val="1093"/>
        </w:numPr>
      </w:pPr>
      <w:r>
        <w:rPr>
          <w:b/>
          <w:bCs/>
        </w:rPr>
        <w:t xml:space="preserve">Ovule LP 150 mg × 1 dose</w:t>
      </w:r>
      <w:r>
        <w:t xml:space="preserve"> </w:t>
      </w:r>
      <w:r>
        <w:t xml:space="preserve">: schéma monodose, observance facilitée, libération prolongée de l’éconazole sur 3 à 4 jours.</w:t>
      </w:r>
    </w:p>
    <w:p>
      <w:pPr>
        <w:pStyle w:val="FirstParagraph"/>
      </w:pPr>
      <w:r>
        <w:t xml:space="preserve">L’arbitrage entre ovule standard et ovule LP repose sur l’observance attendue : la forme LP est privilégiée en cas de patiente peu observante ou pour laquelle la simplicité d’usage est essentielle. La forme standard reste utile pour les candidoses vaginales sévères ou récidivantes nécessitant une concentration locale élevée pendant plusieurs jours.</w:t>
      </w:r>
    </w:p>
    <w:p>
      <w:pPr>
        <w:pStyle w:val="BodyText"/>
      </w:pPr>
      <w:r>
        <w:rPr>
          <w:b/>
          <w:bCs/>
        </w:rPr>
        <w:t xml:space="preserve">Instructions et Conseils au Patient :</w:t>
      </w:r>
    </w:p>
    <w:p>
      <w:pPr>
        <w:pStyle w:val="Compact"/>
        <w:numPr>
          <w:ilvl w:val="0"/>
          <w:numId w:val="1094"/>
        </w:numPr>
      </w:pPr>
      <w:r>
        <w:rPr>
          <w:b/>
          <w:bCs/>
        </w:rPr>
        <w:t xml:space="preserve">Communication au comptoir</w:t>
      </w:r>
      <w:r>
        <w:t xml:space="preserve"> </w:t>
      </w:r>
      <w:r>
        <w:t xml:space="preserve">:</w:t>
      </w:r>
    </w:p>
    <w:p>
      <w:pPr>
        <w:pStyle w:val="Compact"/>
        <w:numPr>
          <w:ilvl w:val="1"/>
          <w:numId w:val="1095"/>
        </w:numPr>
      </w:pPr>
      <w:r>
        <w:t xml:space="preserve">« Pour la crème : appliquez 2 fois par jour sur peau propre et sèche, pendant 2 à 4 semaines. Lavez-vous les mains avant et après. »</w:t>
      </w:r>
    </w:p>
    <w:p>
      <w:pPr>
        <w:pStyle w:val="Compact"/>
        <w:numPr>
          <w:ilvl w:val="1"/>
          <w:numId w:val="1095"/>
        </w:numPr>
      </w:pPr>
      <w:r>
        <w:t xml:space="preserve">« Pour la solution pulvérisateur : vaporisez à 10 cm de la peau, 2 fois par jour. Évitez le contact avec les yeux. »</w:t>
      </w:r>
    </w:p>
    <w:p>
      <w:pPr>
        <w:pStyle w:val="Compact"/>
        <w:numPr>
          <w:ilvl w:val="1"/>
          <w:numId w:val="1095"/>
        </w:numPr>
      </w:pPr>
      <w:r>
        <w:t xml:space="preserve">« Pour l’ovule : insérez profondément au coucher, en position allongée, pendant 3 jours (ou dose unique pour la forme LP). Prévoyez une protection hygiénique car l’ovule fond et peut tacher les sous-vêtements. »</w:t>
      </w:r>
    </w:p>
    <w:p>
      <w:pPr>
        <w:pStyle w:val="Compact"/>
        <w:numPr>
          <w:ilvl w:val="1"/>
          <w:numId w:val="1095"/>
        </w:numPr>
      </w:pPr>
      <w:r>
        <w:t xml:space="preserve">« Attention : l’ovule peut endommager les préservatifs en latex et les diaphragmes — utilisez une autre méthode contraceptive pendant le traitement. »</w:t>
      </w:r>
    </w:p>
    <w:p>
      <w:pPr>
        <w:pStyle w:val="Compact"/>
        <w:numPr>
          <w:ilvl w:val="0"/>
          <w:numId w:val="1094"/>
        </w:numPr>
      </w:pPr>
      <w:r>
        <w:rPr>
          <w:b/>
          <w:bCs/>
        </w:rPr>
        <w:t xml:space="preserve">Mode d’utilisation pratique</w:t>
      </w:r>
      <w:r>
        <w:t xml:space="preserve"> </w:t>
      </w:r>
      <w:r>
        <w:t xml:space="preserve">:</w:t>
      </w:r>
    </w:p>
    <w:p>
      <w:pPr>
        <w:pStyle w:val="Compact"/>
        <w:numPr>
          <w:ilvl w:val="1"/>
          <w:numId w:val="1096"/>
        </w:numPr>
      </w:pPr>
      <w:r>
        <w:t xml:space="preserve">Pour les mycoses des pieds : bien sécher entre les orteils (séchoir à air tiède), appliquer la solution pulvérisateur, changer de chaussettes quotidiennement, désinfecter les chaussures avec une poudre antifongique.</w:t>
      </w:r>
    </w:p>
    <w:p>
      <w:pPr>
        <w:pStyle w:val="Compact"/>
        <w:numPr>
          <w:ilvl w:val="1"/>
          <w:numId w:val="1096"/>
        </w:numPr>
      </w:pPr>
      <w:r>
        <w:t xml:space="preserve">Pour les intertrigos des grands plis : bien sécher, appliquer la crème en couche fine, porter des sous-vêtements en coton amples.</w:t>
      </w:r>
    </w:p>
    <w:p>
      <w:pPr>
        <w:pStyle w:val="Compact"/>
        <w:numPr>
          <w:ilvl w:val="1"/>
          <w:numId w:val="1096"/>
        </w:numPr>
      </w:pPr>
      <w:r>
        <w:t xml:space="preserve">Pour la candidose vaginale : traitement du parteur si balanite ou prurit balano-préputial associé (miconazole ou clotrimazole crème 2/jour pendant 7 jours).</w:t>
      </w:r>
    </w:p>
    <w:p>
      <w:pPr>
        <w:pStyle w:val="FirstParagraph"/>
      </w:pPr>
      <w:r>
        <w:rPr>
          <w:b/>
          <w:bCs/>
        </w:rPr>
        <w:t xml:space="preserve">Notes, Règles d’Or &amp; Pièges au Comptoir :</w:t>
      </w:r>
    </w:p>
    <w:p>
      <w:pPr>
        <w:pStyle w:val="Compact"/>
        <w:numPr>
          <w:ilvl w:val="0"/>
          <w:numId w:val="1097"/>
        </w:numPr>
      </w:pPr>
      <w:r>
        <w:rPr>
          <w:b/>
          <w:bCs/>
        </w:rPr>
        <w:t xml:space="preserve">Piège classique</w:t>
      </w:r>
      <w:r>
        <w:t xml:space="preserve"> </w:t>
      </w:r>
      <w:r>
        <w:t xml:space="preserve">: ne pas confondre la</w:t>
      </w:r>
      <w:r>
        <w:t xml:space="preserve"> </w:t>
      </w:r>
      <w:r>
        <w:rPr>
          <w:b/>
          <w:bCs/>
        </w:rPr>
        <w:t xml:space="preserve">forme ovule LP</w:t>
      </w:r>
      <w:r>
        <w:t xml:space="preserve"> </w:t>
      </w:r>
      <w:r>
        <w:t xml:space="preserve">(dose unique, boîte de 1) avec la</w:t>
      </w:r>
      <w:r>
        <w:t xml:space="preserve"> </w:t>
      </w:r>
      <w:r>
        <w:rPr>
          <w:b/>
          <w:bCs/>
        </w:rPr>
        <w:t xml:space="preserve">forme ovule standard</w:t>
      </w:r>
      <w:r>
        <w:t xml:space="preserve"> </w:t>
      </w:r>
      <w:r>
        <w:t xml:space="preserve">(boîte de 3, traitement 3 jours). Le pharmacien doit clairement expliquer la posologie correspondant à la forme délivrée.</w:t>
      </w:r>
    </w:p>
    <w:p>
      <w:pPr>
        <w:pStyle w:val="Compact"/>
        <w:numPr>
          <w:ilvl w:val="0"/>
          <w:numId w:val="1097"/>
        </w:numPr>
      </w:pPr>
      <w:r>
        <w:rPr>
          <w:b/>
          <w:bCs/>
        </w:rPr>
        <w:t xml:space="preserve">Règle de prise</w:t>
      </w:r>
      <w:r>
        <w:t xml:space="preserve"> </w:t>
      </w:r>
      <w:r>
        <w:t xml:space="preserve">: pour la candidose vaginale, il est recommandé de</w:t>
      </w:r>
      <w:r>
        <w:t xml:space="preserve"> </w:t>
      </w:r>
      <w:r>
        <w:rPr>
          <w:b/>
          <w:bCs/>
        </w:rPr>
        <w:t xml:space="preserve">traiter le partenaire</w:t>
      </w:r>
      <w:r>
        <w:t xml:space="preserve"> </w:t>
      </w:r>
      <w:r>
        <w:t xml:space="preserve">si signes cliniques (balanite, prurit), même en l’absence de symptômes en cas de récidive — sinon réinfection croisée.</w:t>
      </w:r>
    </w:p>
    <w:p>
      <w:pPr>
        <w:pStyle w:val="Compact"/>
        <w:numPr>
          <w:ilvl w:val="0"/>
          <w:numId w:val="1097"/>
        </w:numPr>
      </w:pPr>
      <w:r>
        <w:rPr>
          <w:b/>
          <w:bCs/>
        </w:rPr>
        <w:t xml:space="preserve">Préparation et Conservation</w:t>
      </w:r>
      <w:r>
        <w:t xml:space="preserve"> </w:t>
      </w:r>
      <w:r>
        <w:t xml:space="preserve">: tube ou flacon bien fermé, à température &lt; 25 °C. Crème : 6 mois après ouverture. Solution pulvérisateur : 6 mois après ouverture. Ovules : à conserver à température &lt; 25 °C, à l’abri de l’humidité (sinon ramollissement).</w:t>
      </w:r>
    </w:p>
    <w:p>
      <w:pPr>
        <w:pStyle w:val="Compact"/>
        <w:numPr>
          <w:ilvl w:val="0"/>
          <w:numId w:val="1097"/>
        </w:numPr>
      </w:pPr>
      <w:r>
        <w:rPr>
          <w:b/>
          <w:bCs/>
        </w:rPr>
        <w:t xml:space="preserve">Piège du surdosage / Substitution</w:t>
      </w:r>
      <w:r>
        <w:t xml:space="preserve"> </w:t>
      </w:r>
      <w:r>
        <w:t xml:space="preserve">: ne pas associer deux imidazolés topiques. En cas de candidose vaginale résistante à l’éconazole après 7 jours, envisager le fluconazole oral (sur prescription) après prélèvement mycologique.</w:t>
      </w:r>
    </w:p>
    <w:p>
      <w:pPr>
        <w:pStyle w:val="Compact"/>
        <w:numPr>
          <w:ilvl w:val="0"/>
          <w:numId w:val="1097"/>
        </w:numPr>
      </w:pPr>
      <w:r>
        <w:rPr>
          <w:b/>
          <w:bCs/>
        </w:rPr>
        <w:t xml:space="preserve">Alerte</w:t>
      </w:r>
      <w:r>
        <w:t xml:space="preserve"> </w:t>
      </w:r>
      <w:r>
        <w:t xml:space="preserve">: chez la patiente sous anticoagulant oral (warfarine, acénocoumarol, fluindione), l’éconazole vaginal peut majorer l’INR — surveillance renforcée pendant et 8 jours après le traitement par ovules.</w:t>
      </w:r>
    </w:p>
    <w:p>
      <w:r>
        <w:pict>
          <v:rect style="width:0;height:1.5pt" o:hralign="center" o:hrstd="t" o:hr="t"/>
        </w:pict>
      </w:r>
    </w:p>
    <w:bookmarkEnd w:id="46"/>
    <w:bookmarkStart w:id="47" w:name="dci-clotrimazole-seule"/>
    <w:p>
      <w:pPr>
        <w:pStyle w:val="Heading3"/>
      </w:pPr>
      <w:r>
        <w:t xml:space="preserve">11.6. DCI : Clotrimazole (Seule)</w:t>
      </w:r>
    </w:p>
    <w:p>
      <w:pPr>
        <w:pStyle w:val="FirstParagraph"/>
      </w:pPr>
      <w:r>
        <w:rPr>
          <w:b/>
          <w:bCs/>
        </w:rPr>
        <w:t xml:space="preserve">Liste des Catégories :</w:t>
      </w:r>
      <w:r>
        <w:t xml:space="preserve"> </w:t>
      </w:r>
      <w:r>
        <w:t xml:space="preserve">Hors liste ; topique cutané et vaginal.</w:t>
      </w:r>
    </w:p>
    <w:p>
      <w:pPr>
        <w:pStyle w:val="BodyText"/>
      </w:pPr>
      <w:r>
        <w:t xml:space="preserve">Le clotrimazole (Bayer, 1972) est l’un des imidazolés topiques les plus anciens et les plus prescrits mondialement, en raison de son excellent profil de tolérance et de la disponibilité d’une</w:t>
      </w:r>
      <w:r>
        <w:t xml:space="preserve"> </w:t>
      </w:r>
      <w:r>
        <w:rPr>
          <w:b/>
          <w:bCs/>
        </w:rPr>
        <w:t xml:space="preserve">forme ovule à dose unique (500 mg)</w:t>
      </w:r>
      <w:r>
        <w:t xml:space="preserve"> </w:t>
      </w:r>
      <w:r>
        <w:t xml:space="preserve">qui a révolutionné le traitement de la candidose vaginale. En Algérie, les formes actives sont essentiellement la crème dermique 1 % et la crème vaginale 2 %, ainsi que les ovules gynécologiques à 200 mg (3 jours) et 500 mg (dose unique).</w:t>
      </w:r>
    </w:p>
    <w:p>
      <w:pPr>
        <w:pStyle w:val="BodyText"/>
      </w:pPr>
      <w:r>
        <w:rPr>
          <w:b/>
          <w:bCs/>
        </w:rPr>
        <w:t xml:space="preserve">Médicaments disponibles en Algérie (Marques, Laboratoires, Formes et Dosages) :</w:t>
      </w:r>
    </w:p>
    <w:p>
      <w:pPr>
        <w:pStyle w:val="BodyText"/>
      </w:pPr>
      <w:r>
        <w:rPr>
          <w:i/>
          <w:iCs/>
        </w:rPr>
        <w:t xml:space="preserve">Crème dermique 1 % (0,01) — tube 20 à 30 g :</w:t>
      </w:r>
      <w:r>
        <w:t xml:space="preserve"> </w:t>
      </w:r>
      <w:r>
        <w:t xml:space="preserve">-</w:t>
      </w:r>
      <w:r>
        <w:t xml:space="preserve"> </w:t>
      </w:r>
      <w:r>
        <w:rPr>
          <w:b/>
          <w:bCs/>
        </w:rPr>
        <w:t xml:space="preserve">CLOTERMEX</w:t>
      </w:r>
      <w:r>
        <w:t xml:space="preserve"> </w:t>
      </w:r>
      <w:r>
        <w:t xml:space="preserve">(KPMA BIOTIC) — Crème dermique 0,01 (1 %), tube 30 g —</w:t>
      </w:r>
      <w:r>
        <w:t xml:space="preserve"> </w:t>
      </w:r>
      <w:r>
        <w:rPr>
          <w:b/>
          <w:bCs/>
        </w:rPr>
        <w:t xml:space="preserve">Actif</w:t>
      </w:r>
      <w:r>
        <w:t xml:space="preserve"> </w:t>
      </w:r>
      <w:r>
        <w:t xml:space="preserve">-</w:t>
      </w:r>
      <w:r>
        <w:t xml:space="preserve"> </w:t>
      </w:r>
      <w:r>
        <w:rPr>
          <w:b/>
          <w:bCs/>
        </w:rPr>
        <w:t xml:space="preserve">MYCOTEN</w:t>
      </w:r>
      <w:r>
        <w:t xml:space="preserve"> </w:t>
      </w:r>
      <w:r>
        <w:t xml:space="preserve">(BEIT JALA PHARMACEUTICALS COMPANY) — Crème dermique 0,01 (1 %), tube 20 g —</w:t>
      </w:r>
      <w:r>
        <w:t xml:space="preserve"> </w:t>
      </w:r>
      <w:r>
        <w:rPr>
          <w:b/>
          <w:bCs/>
        </w:rPr>
        <w:t xml:space="preserve">Actif</w:t>
      </w:r>
    </w:p>
    <w:p>
      <w:pPr>
        <w:pStyle w:val="BodyText"/>
      </w:pPr>
      <w:r>
        <w:rPr>
          <w:i/>
          <w:iCs/>
        </w:rPr>
        <w:t xml:space="preserve">Crème vaginale 2 % (0,02) — tube 20 g + 3 applicateurs :</w:t>
      </w:r>
      <w:r>
        <w:t xml:space="preserve"> </w:t>
      </w:r>
      <w:r>
        <w:t xml:space="preserve">-</w:t>
      </w:r>
      <w:r>
        <w:t xml:space="preserve"> </w:t>
      </w:r>
      <w:r>
        <w:rPr>
          <w:b/>
          <w:bCs/>
        </w:rPr>
        <w:t xml:space="preserve">MYCOTEN III</w:t>
      </w:r>
      <w:r>
        <w:t xml:space="preserve"> </w:t>
      </w:r>
      <w:r>
        <w:t xml:space="preserve">(BEIT JALA PHARMACEUTICALS COMPANY) — Crème vaginale 0,02 (2 %), tube 20 g + 3 applicateurs —</w:t>
      </w:r>
      <w:r>
        <w:t xml:space="preserve"> </w:t>
      </w:r>
      <w:r>
        <w:rPr>
          <w:b/>
          <w:bCs/>
        </w:rPr>
        <w:t xml:space="preserve">Actif</w:t>
      </w:r>
    </w:p>
    <w:p>
      <w:pPr>
        <w:pStyle w:val="BodyText"/>
      </w:pPr>
      <w:r>
        <w:rPr>
          <w:i/>
          <w:iCs/>
        </w:rPr>
        <w:t xml:space="preserve">Spécialités Non Renouvelables :</w:t>
      </w:r>
      <w:r>
        <w:t xml:space="preserve"> </w:t>
      </w:r>
      <w:r>
        <w:t xml:space="preserve">-</w:t>
      </w:r>
      <w:r>
        <w:t xml:space="preserve"> </w:t>
      </w:r>
      <w:r>
        <w:rPr>
          <w:b/>
          <w:bCs/>
        </w:rPr>
        <w:t xml:space="preserve">CANESTEN</w:t>
      </w:r>
      <w:r>
        <w:t xml:space="preserve"> </w:t>
      </w:r>
      <w:r>
        <w:t xml:space="preserve">(QUIMICA FARMACEUTICA BAYER) — Crème dermique 1 g/100 g (1 %), tube 30 g — Non Renouvelable</w:t>
      </w:r>
      <w:r>
        <w:t xml:space="preserve"> </w:t>
      </w:r>
      <w:r>
        <w:t xml:space="preserve">-</w:t>
      </w:r>
      <w:r>
        <w:t xml:space="preserve"> </w:t>
      </w:r>
      <w:r>
        <w:rPr>
          <w:b/>
          <w:bCs/>
        </w:rPr>
        <w:t xml:space="preserve">CROMIZOLE</w:t>
      </w:r>
      <w:r>
        <w:t xml:space="preserve"> </w:t>
      </w:r>
      <w:r>
        <w:t xml:space="preserve">(CROVIS PHILCOM) — Crème dermique 1 %, tube 30 g — Non Renouvelable</w:t>
      </w:r>
      <w:r>
        <w:t xml:space="preserve"> </w:t>
      </w:r>
      <w:r>
        <w:t xml:space="preserve">-</w:t>
      </w:r>
      <w:r>
        <w:t xml:space="preserve"> </w:t>
      </w:r>
      <w:r>
        <w:rPr>
          <w:b/>
          <w:bCs/>
        </w:rPr>
        <w:t xml:space="preserve">MYCOMAZOLE</w:t>
      </w:r>
      <w:r>
        <w:t xml:space="preserve"> </w:t>
      </w:r>
      <w:r>
        <w:t xml:space="preserve">(4A SANTE INDUSTRIE SARL) — Crème dermique 0,01 (1 %), tube 30 g — Non Renouvelable</w:t>
      </w:r>
      <w:r>
        <w:t xml:space="preserve"> </w:t>
      </w:r>
      <w:r>
        <w:t xml:space="preserve">-</w:t>
      </w:r>
      <w:r>
        <w:t xml:space="preserve"> </w:t>
      </w:r>
      <w:r>
        <w:rPr>
          <w:b/>
          <w:bCs/>
        </w:rPr>
        <w:t xml:space="preserve">MYCOTEN 3</w:t>
      </w:r>
      <w:r>
        <w:t xml:space="preserve"> </w:t>
      </w:r>
      <w:r>
        <w:t xml:space="preserve">(BEIT JALA PHARMACEUTICALS Co) — Comprimés vaginaux 200 mg, boîte de 3 + 3 applicateurs — Non Renouvelable</w:t>
      </w:r>
      <w:r>
        <w:t xml:space="preserve"> </w:t>
      </w:r>
      <w:r>
        <w:t xml:space="preserve">-</w:t>
      </w:r>
      <w:r>
        <w:t xml:space="preserve"> </w:t>
      </w:r>
      <w:r>
        <w:rPr>
          <w:b/>
          <w:bCs/>
        </w:rPr>
        <w:t xml:space="preserve">MYCOTEN 1</w:t>
      </w:r>
      <w:r>
        <w:t xml:space="preserve"> </w:t>
      </w:r>
      <w:r>
        <w:t xml:space="preserve">(BEIT JALA PHARMACEUTICALS Co) — Comprimés vaginaux 500 mg, boîte de 1 + 1 applicateur — Non Renouvelable</w:t>
      </w:r>
    </w:p>
    <w:p>
      <w:pPr>
        <w:pStyle w:val="BodyText"/>
      </w:pPr>
      <w:r>
        <w:rPr>
          <w:i/>
          <w:iCs/>
        </w:rPr>
        <w:t xml:space="preserve">Spécialités retirées (R) :</w:t>
      </w:r>
      <w:r>
        <w:t xml:space="preserve"> </w:t>
      </w:r>
      <w:r>
        <w:t xml:space="preserve">-</w:t>
      </w:r>
      <w:r>
        <w:t xml:space="preserve"> </w:t>
      </w:r>
      <w:r>
        <w:rPr>
          <w:b/>
          <w:bCs/>
        </w:rPr>
        <w:t xml:space="preserve">GROMAZOL</w:t>
      </w:r>
      <w:r>
        <w:t xml:space="preserve"> </w:t>
      </w:r>
      <w:r>
        <w:t xml:space="preserve">(GROSSMANN) — Crème dermique 1 %, tube 20 g — (R)</w:t>
      </w:r>
      <w:r>
        <w:t xml:space="preserve"> </w:t>
      </w:r>
      <w:r>
        <w:t xml:space="preserve">-</w:t>
      </w:r>
      <w:r>
        <w:t xml:space="preserve"> </w:t>
      </w:r>
      <w:r>
        <w:rPr>
          <w:b/>
          <w:bCs/>
        </w:rPr>
        <w:t xml:space="preserve">FUNGICIP</w:t>
      </w:r>
      <w:r>
        <w:t xml:space="preserve"> </w:t>
      </w:r>
      <w:r>
        <w:t xml:space="preserve">(CIPLA LIMITED) — Crème dermique 1 %, tube 20 g — (R)</w:t>
      </w:r>
    </w:p>
    <w:p>
      <w:pPr>
        <w:pStyle w:val="BodyText"/>
      </w:pPr>
      <w:r>
        <w:rPr>
          <w:b/>
          <w:bCs/>
        </w:rPr>
        <w:t xml:space="preserve">Sous-classe et Mécanisme d’action :</w:t>
      </w:r>
    </w:p>
    <w:p>
      <w:pPr>
        <w:pStyle w:val="Compact"/>
        <w:numPr>
          <w:ilvl w:val="0"/>
          <w:numId w:val="1098"/>
        </w:numPr>
      </w:pPr>
      <w:r>
        <w:rPr>
          <w:b/>
          <w:bCs/>
        </w:rPr>
        <w:t xml:space="preserve">Sous-classe</w:t>
      </w:r>
      <w:r>
        <w:t xml:space="preserve"> </w:t>
      </w:r>
      <w:r>
        <w:t xml:space="preserve">: Imidazolé de première génération (diphénylméthyl-imidazole) ; antifongique topique à large spectre.</w:t>
      </w:r>
    </w:p>
    <w:p>
      <w:pPr>
        <w:pStyle w:val="Compact"/>
        <w:numPr>
          <w:ilvl w:val="0"/>
          <w:numId w:val="1098"/>
        </w:numPr>
      </w:pPr>
      <w:r>
        <w:rPr>
          <w:b/>
          <w:bCs/>
        </w:rPr>
        <w:t xml:space="preserve">Mécanisme d’action</w:t>
      </w:r>
      <w:r>
        <w:t xml:space="preserve"> </w:t>
      </w:r>
      <w:r>
        <w:t xml:space="preserve">: Inhibition de la lanostérol 14α-déméthylase (CYP51) par coordination avec le fer ferreux du groupe hème — identique aux autres imidazolés. Le clotrimazole se distingue par une</w:t>
      </w:r>
      <w:r>
        <w:t xml:space="preserve"> </w:t>
      </w:r>
      <w:r>
        <w:rPr>
          <w:b/>
          <w:bCs/>
        </w:rPr>
        <w:t xml:space="preserve">très forte affinité pour les phospholipides membranaires</w:t>
      </w:r>
      <w:r>
        <w:t xml:space="preserve">, ce qui améliore sa pénétration et sa rétention locale. Il présente aussi une activité</w:t>
      </w:r>
      <w:r>
        <w:t xml:space="preserve"> </w:t>
      </w:r>
      <w:r>
        <w:rPr>
          <w:b/>
          <w:bCs/>
        </w:rPr>
        <w:t xml:space="preserve">inhibitrice de la pompe à protons ATPase-dépendante</w:t>
      </w:r>
      <w:r>
        <w:t xml:space="preserve"> </w:t>
      </w:r>
      <w:r>
        <w:t xml:space="preserve">fongique (action additive sur le pH intracellulaire) qui potentialise son effet antifongique. Spectre large :</w:t>
      </w:r>
      <w:r>
        <w:t xml:space="preserve"> </w:t>
      </w:r>
      <w:r>
        <w:rPr>
          <w:i/>
          <w:iCs/>
        </w:rPr>
        <w:t xml:space="preserve">Candida</w:t>
      </w:r>
      <w:r>
        <w:t xml:space="preserve"> </w:t>
      </w:r>
      <w:r>
        <w:t xml:space="preserve">sp. (activité remarquable sur</w:t>
      </w:r>
      <w:r>
        <w:t xml:space="preserve"> </w:t>
      </w:r>
      <w:r>
        <w:rPr>
          <w:i/>
          <w:iCs/>
        </w:rPr>
        <w:t xml:space="preserve">C. albicans</w:t>
      </w:r>
      <w:r>
        <w:t xml:space="preserve">), dermatophytes,</w:t>
      </w:r>
      <w:r>
        <w:t xml:space="preserve"> </w:t>
      </w:r>
      <w:r>
        <w:rPr>
          <w:i/>
          <w:iCs/>
        </w:rPr>
        <w:t xml:space="preserve">Malassezia furfur</w:t>
      </w:r>
      <w:r>
        <w:t xml:space="preserve">,</w:t>
      </w:r>
      <w:r>
        <w:t xml:space="preserve"> </w:t>
      </w:r>
      <w:r>
        <w:rPr>
          <w:i/>
          <w:iCs/>
        </w:rPr>
        <w:t xml:space="preserve">Aspergillus</w:t>
      </w:r>
      <w:r>
        <w:t xml:space="preserve"> </w:t>
      </w:r>
      <w:r>
        <w:t xml:space="preserve">sp.,</w:t>
      </w:r>
      <w:r>
        <w:t xml:space="preserve"> </w:t>
      </w:r>
      <w:r>
        <w:rPr>
          <w:i/>
          <w:iCs/>
        </w:rPr>
        <w:t xml:space="preserve">Trichomonas vaginalis</w:t>
      </w:r>
      <w:r>
        <w:t xml:space="preserve"> </w:t>
      </w:r>
      <w:r>
        <w:t xml:space="preserve">(activité modeste),</w:t>
      </w:r>
      <w:r>
        <w:t xml:space="preserve"> </w:t>
      </w:r>
      <w:r>
        <w:rPr>
          <w:i/>
          <w:iCs/>
        </w:rPr>
        <w:t xml:space="preserve">Cryptococcus neoformans</w:t>
      </w:r>
      <w:r>
        <w:t xml:space="preserve"> </w:t>
      </w:r>
      <w:r>
        <w:t xml:space="preserve">(activité modérée). Action fungistatique et fungicide à concentration élevée.</w:t>
      </w:r>
    </w:p>
    <w:p>
      <w:pPr>
        <w:pStyle w:val="FirstParagraph"/>
      </w:pPr>
      <w:r>
        <w:rPr>
          <w:b/>
          <w:bCs/>
        </w:rPr>
        <w:t xml:space="preserve">Profil Pharmacologique :</w:t>
      </w:r>
    </w:p>
    <w:p>
      <w:pPr>
        <w:pStyle w:val="Compact"/>
        <w:numPr>
          <w:ilvl w:val="0"/>
          <w:numId w:val="1099"/>
        </w:numPr>
      </w:pPr>
      <w:r>
        <w:rPr>
          <w:b/>
          <w:bCs/>
        </w:rPr>
        <w:t xml:space="preserve">Indications</w:t>
      </w:r>
      <w:r>
        <w:t xml:space="preserve"> </w:t>
      </w:r>
      <w:r>
        <w:t xml:space="preserve">:</w:t>
      </w:r>
    </w:p>
    <w:p>
      <w:pPr>
        <w:pStyle w:val="Compact"/>
        <w:numPr>
          <w:ilvl w:val="1"/>
          <w:numId w:val="1100"/>
        </w:numPr>
      </w:pPr>
      <w:r>
        <w:rPr>
          <w:i/>
          <w:iCs/>
        </w:rPr>
        <w:t xml:space="preserve">Crème dermique</w:t>
      </w:r>
      <w:r>
        <w:t xml:space="preserve"> </w:t>
      </w:r>
      <w:r>
        <w:t xml:space="preserve">: candidose cutanéo-muqueuse (intertrigo, perlèche, balanite, vulvite), dermatophyties (pied d’athlète, herpès circiné, intertrigo génital), pityriasis versicolor.</w:t>
      </w:r>
    </w:p>
    <w:p>
      <w:pPr>
        <w:pStyle w:val="Compact"/>
        <w:numPr>
          <w:ilvl w:val="1"/>
          <w:numId w:val="1100"/>
        </w:numPr>
      </w:pPr>
      <w:r>
        <w:rPr>
          <w:i/>
          <w:iCs/>
        </w:rPr>
        <w:t xml:space="preserve">Crème vaginale 2 %</w:t>
      </w:r>
      <w:r>
        <w:t xml:space="preserve"> </w:t>
      </w:r>
      <w:r>
        <w:t xml:space="preserve">: candidose vaginale (vulvo-vaginite candidosique), traitement de 3 jours.</w:t>
      </w:r>
    </w:p>
    <w:p>
      <w:pPr>
        <w:pStyle w:val="Compact"/>
        <w:numPr>
          <w:ilvl w:val="1"/>
          <w:numId w:val="1100"/>
        </w:numPr>
      </w:pPr>
      <w:r>
        <w:rPr>
          <w:i/>
          <w:iCs/>
        </w:rPr>
        <w:t xml:space="preserve">Ovules gynécologiques 200 mg</w:t>
      </w:r>
      <w:r>
        <w:t xml:space="preserve"> </w:t>
      </w:r>
      <w:r>
        <w:t xml:space="preserve">(3 jours) et 500 mg (dose unique) : candidose vaginale.</w:t>
      </w:r>
    </w:p>
    <w:p>
      <w:pPr>
        <w:pStyle w:val="Compact"/>
        <w:numPr>
          <w:ilvl w:val="0"/>
          <w:numId w:val="1099"/>
        </w:numPr>
      </w:pPr>
      <w:r>
        <w:rPr>
          <w:b/>
          <w:bCs/>
        </w:rPr>
        <w:t xml:space="preserve">Contre-indications</w:t>
      </w:r>
      <w:r>
        <w:t xml:space="preserve"> </w:t>
      </w:r>
      <w:r>
        <w:t xml:space="preserve">: hypersensibilité au clotrimazole ou aux autres imidazolés ; 1ᵉʳ trimestre de grossesse pour les formes vaginales (par prudence).</w:t>
      </w:r>
    </w:p>
    <w:p>
      <w:pPr>
        <w:pStyle w:val="Compact"/>
        <w:numPr>
          <w:ilvl w:val="0"/>
          <w:numId w:val="1099"/>
        </w:numPr>
      </w:pPr>
      <w:r>
        <w:rPr>
          <w:b/>
          <w:bCs/>
        </w:rPr>
        <w:t xml:space="preserve">Effets Indésirables</w:t>
      </w:r>
      <w:r>
        <w:t xml:space="preserve"> </w:t>
      </w:r>
      <w:r>
        <w:t xml:space="preserve">:</w:t>
      </w:r>
    </w:p>
    <w:p>
      <w:pPr>
        <w:pStyle w:val="Compact"/>
        <w:numPr>
          <w:ilvl w:val="1"/>
          <w:numId w:val="1101"/>
        </w:numPr>
      </w:pPr>
      <w:r>
        <w:rPr>
          <w:i/>
          <w:iCs/>
        </w:rPr>
        <w:t xml:space="preserve">Cutané</w:t>
      </w:r>
      <w:r>
        <w:t xml:space="preserve"> </w:t>
      </w:r>
      <w:r>
        <w:t xml:space="preserve">: sensation de brûlure, prurit, érythème, irritation locale, dermite de contact allergique (rare, incidence &lt; 1 %).</w:t>
      </w:r>
    </w:p>
    <w:p>
      <w:pPr>
        <w:pStyle w:val="Compact"/>
        <w:numPr>
          <w:ilvl w:val="1"/>
          <w:numId w:val="1101"/>
        </w:numPr>
      </w:pPr>
      <w:r>
        <w:rPr>
          <w:i/>
          <w:iCs/>
        </w:rPr>
        <w:t xml:space="preserve">Vaginal</w:t>
      </w:r>
      <w:r>
        <w:t xml:space="preserve"> </w:t>
      </w:r>
      <w:r>
        <w:t xml:space="preserve">: sensation de brûlure locale, irritation, leucorrhées accrues transitoirement, démangeaisons.</w:t>
      </w:r>
    </w:p>
    <w:p>
      <w:pPr>
        <w:pStyle w:val="Compact"/>
        <w:numPr>
          <w:ilvl w:val="1"/>
          <w:numId w:val="1101"/>
        </w:numPr>
      </w:pPr>
      <w:r>
        <w:rPr>
          <w:i/>
          <w:iCs/>
        </w:rPr>
        <w:t xml:space="preserve">Systémique</w:t>
      </w:r>
      <w:r>
        <w:t xml:space="preserve"> </w:t>
      </w:r>
      <w:r>
        <w:t xml:space="preserve">: absorption vaginale très faible (&lt; 10 %), interactions CYP3A4 théoriques mais rares en pratique.</w:t>
      </w:r>
    </w:p>
    <w:p>
      <w:pPr>
        <w:pStyle w:val="FirstParagraph"/>
      </w:pPr>
      <w:r>
        <w:rPr>
          <w:b/>
          <w:bCs/>
        </w:rPr>
        <w:t xml:space="preserve">Prévention et Gestion des Effets Indésirables :</w:t>
      </w:r>
    </w:p>
    <w:p>
      <w:pPr>
        <w:pStyle w:val="Compact"/>
        <w:numPr>
          <w:ilvl w:val="0"/>
          <w:numId w:val="1102"/>
        </w:numPr>
      </w:pPr>
      <w:r>
        <w:rPr>
          <w:b/>
          <w:bCs/>
        </w:rPr>
        <w:t xml:space="preserve">Mesures Préventives</w:t>
      </w:r>
      <w:r>
        <w:t xml:space="preserve"> </w:t>
      </w:r>
      <w:r>
        <w:t xml:space="preserve">:</w:t>
      </w:r>
    </w:p>
    <w:p>
      <w:pPr>
        <w:pStyle w:val="Compact"/>
        <w:numPr>
          <w:ilvl w:val="1"/>
          <w:numId w:val="1103"/>
        </w:numPr>
      </w:pPr>
      <w:r>
        <w:rPr>
          <w:i/>
          <w:iCs/>
        </w:rPr>
        <w:t xml:space="preserve">Crème</w:t>
      </w:r>
      <w:r>
        <w:t xml:space="preserve"> </w:t>
      </w:r>
      <w:r>
        <w:t xml:space="preserve">: application sur peau propre et sèche, 2 fois par jour, en couche fine.</w:t>
      </w:r>
    </w:p>
    <w:p>
      <w:pPr>
        <w:pStyle w:val="Compact"/>
        <w:numPr>
          <w:ilvl w:val="1"/>
          <w:numId w:val="1103"/>
        </w:numPr>
      </w:pPr>
      <w:r>
        <w:rPr>
          <w:i/>
          <w:iCs/>
        </w:rPr>
        <w:t xml:space="preserve">Ovule</w:t>
      </w:r>
      <w:r>
        <w:t xml:space="preserve"> </w:t>
      </w:r>
      <w:r>
        <w:t xml:space="preserve">: au coucher, en position allongée. Préférer la dose unique (500 mg) pour l’observance.</w:t>
      </w:r>
    </w:p>
    <w:p>
      <w:pPr>
        <w:pStyle w:val="Compact"/>
        <w:numPr>
          <w:ilvl w:val="1"/>
          <w:numId w:val="1103"/>
        </w:numPr>
      </w:pPr>
      <w:r>
        <w:rPr>
          <w:i/>
          <w:iCs/>
        </w:rPr>
        <w:t xml:space="preserve">Anticoagulants oraux</w:t>
      </w:r>
      <w:r>
        <w:t xml:space="preserve"> </w:t>
      </w:r>
      <w:r>
        <w:t xml:space="preserve">: l’absorption du clotrimazole vaginal est plus faible que celle du miconazole, mais la prudence s’impose chez la patiente sous AVK.</w:t>
      </w:r>
    </w:p>
    <w:p>
      <w:pPr>
        <w:pStyle w:val="Compact"/>
        <w:numPr>
          <w:ilvl w:val="0"/>
          <w:numId w:val="1102"/>
        </w:numPr>
      </w:pPr>
      <w:r>
        <w:rPr>
          <w:b/>
          <w:bCs/>
        </w:rPr>
        <w:t xml:space="preserve">Conduite à Tenir</w:t>
      </w:r>
      <w:r>
        <w:t xml:space="preserve"> </w:t>
      </w:r>
      <w:r>
        <w:t xml:space="preserve">:</w:t>
      </w:r>
    </w:p>
    <w:p>
      <w:pPr>
        <w:pStyle w:val="Compact"/>
        <w:numPr>
          <w:ilvl w:val="1"/>
          <w:numId w:val="1104"/>
        </w:numPr>
      </w:pPr>
      <w:r>
        <w:rPr>
          <w:i/>
          <w:iCs/>
        </w:rPr>
        <w:t xml:space="preserve">Dermatite de contact</w:t>
      </w:r>
      <w:r>
        <w:t xml:space="preserve"> </w:t>
      </w:r>
      <w:r>
        <w:t xml:space="preserve">: arrêt, relais par allylamine ou autre azolé.</w:t>
      </w:r>
    </w:p>
    <w:p>
      <w:pPr>
        <w:pStyle w:val="Compact"/>
        <w:numPr>
          <w:ilvl w:val="1"/>
          <w:numId w:val="1104"/>
        </w:numPr>
      </w:pPr>
      <w:r>
        <w:rPr>
          <w:i/>
          <w:iCs/>
        </w:rPr>
        <w:t xml:space="preserve">Récidive de candidose vaginale</w:t>
      </w:r>
      <w:r>
        <w:t xml:space="preserve"> </w:t>
      </w:r>
      <w:r>
        <w:t xml:space="preserve">: avis gynécologique, recherche de facteur favorisant.</w:t>
      </w:r>
    </w:p>
    <w:p>
      <w:pPr>
        <w:pStyle w:val="Compact"/>
        <w:numPr>
          <w:ilvl w:val="1"/>
          <w:numId w:val="1104"/>
        </w:numPr>
      </w:pPr>
      <w:r>
        <w:rPr>
          <w:i/>
          <w:iCs/>
        </w:rPr>
        <w:t xml:space="preserve">Absence d’amélioration à 7 jours</w:t>
      </w:r>
      <w:r>
        <w:t xml:space="preserve"> </w:t>
      </w:r>
      <w:r>
        <w:t xml:space="preserve">: réévaluation, prélèvement mycologique.</w:t>
      </w:r>
    </w:p>
    <w:p>
      <w:pPr>
        <w:pStyle w:val="FirstParagraph"/>
      </w:pPr>
      <w:r>
        <w:rPr>
          <w:b/>
          <w:bCs/>
        </w:rPr>
        <w:t xml:space="preserve">Interactions Importantes :</w:t>
      </w:r>
    </w:p>
    <w:p>
      <w:pPr>
        <w:pStyle w:val="Compact"/>
        <w:numPr>
          <w:ilvl w:val="0"/>
          <w:numId w:val="1105"/>
        </w:numPr>
      </w:pPr>
      <w:r>
        <w:rPr>
          <w:b/>
          <w:bCs/>
        </w:rPr>
        <w:t xml:space="preserve">Anticoagulants oraux (warfarine)</w:t>
      </w:r>
      <w:r>
        <w:t xml:space="preserve"> </w:t>
      </w:r>
      <w:r>
        <w:t xml:space="preserve">: risque théorique de potentialisation par inhibition CYP2C9 — moins marqué qu’avec le miconazole vaginal mais à surveiller.</w:t>
      </w:r>
    </w:p>
    <w:p>
      <w:pPr>
        <w:pStyle w:val="Compact"/>
        <w:numPr>
          <w:ilvl w:val="0"/>
          <w:numId w:val="1105"/>
        </w:numPr>
      </w:pPr>
      <w:r>
        <w:rPr>
          <w:b/>
          <w:bCs/>
        </w:rPr>
        <w:t xml:space="preserve">Spermicides et préservatifs en latex</w:t>
      </w:r>
      <w:r>
        <w:t xml:space="preserve"> </w:t>
      </w:r>
      <w:r>
        <w:t xml:space="preserve">: le clotrimazole en base grasse peut altérer le latex et inactiver les spermicides — méthode contraceptive alternative pendant le traitement.</w:t>
      </w:r>
    </w:p>
    <w:p>
      <w:pPr>
        <w:pStyle w:val="Compact"/>
        <w:numPr>
          <w:ilvl w:val="0"/>
          <w:numId w:val="1105"/>
        </w:numPr>
      </w:pPr>
      <w:r>
        <w:rPr>
          <w:b/>
          <w:bCs/>
        </w:rPr>
        <w:t xml:space="preserve">Tacrolimus, sirolimus</w:t>
      </w:r>
      <w:r>
        <w:t xml:space="preserve"> </w:t>
      </w:r>
      <w:r>
        <w:t xml:space="preserve">: en cas d’usage vaginal prolongé, augmentation possible des taux sanguins par inhibition CYP3A4 intestinale.</w:t>
      </w:r>
    </w:p>
    <w:p>
      <w:pPr>
        <w:pStyle w:val="FirstParagraph"/>
      </w:pPr>
      <w:r>
        <w:rPr>
          <w:b/>
          <w:bCs/>
        </w:rPr>
        <w:t xml:space="preserve">Grossesse et Allaitement :</w:t>
      </w:r>
    </w:p>
    <w:p>
      <w:pPr>
        <w:pStyle w:val="Compact"/>
        <w:numPr>
          <w:ilvl w:val="0"/>
          <w:numId w:val="1106"/>
        </w:numPr>
      </w:pPr>
      <w:r>
        <w:rPr>
          <w:b/>
          <w:bCs/>
        </w:rPr>
        <w:t xml:space="preserve">Grossesse</w:t>
      </w:r>
      <w:r>
        <w:t xml:space="preserve"> </w:t>
      </w:r>
      <w:r>
        <w:t xml:space="preserve">: Selon le CRAT, le clotrimazole topique cutané est</w:t>
      </w:r>
      <w:r>
        <w:t xml:space="preserve"> </w:t>
      </w:r>
      <w:r>
        <w:rPr>
          <w:b/>
          <w:bCs/>
        </w:rPr>
        <w:t xml:space="preserve">utilisable chez la femme enceinte</w:t>
      </w:r>
      <w:r>
        <w:t xml:space="preserve"> </w:t>
      </w:r>
      <w:r>
        <w:t xml:space="preserve">à tous les trimestres. Pour la forme vaginale, déconseillé au 1ᵉʳ trimestre (préférer nystatine) et autorisé au 2ᵉ et 3ᵉ trimestre (traitement de choix de la candidose vaginale gravidique — dose unique 500 mg en une prise préférentielle).</w:t>
      </w:r>
    </w:p>
    <w:p>
      <w:pPr>
        <w:pStyle w:val="Compact"/>
        <w:numPr>
          <w:ilvl w:val="0"/>
          <w:numId w:val="1106"/>
        </w:numPr>
      </w:pPr>
      <w:r>
        <w:rPr>
          <w:b/>
          <w:bCs/>
        </w:rPr>
        <w:t xml:space="preserve">Allaitement</w:t>
      </w:r>
      <w:r>
        <w:t xml:space="preserve"> </w:t>
      </w:r>
      <w:r>
        <w:t xml:space="preserve">: Compatible avec l’allaitement pour les formes cutanées. Éviter l’application sur le sein avant la tétée.</w:t>
      </w:r>
    </w:p>
    <w:p>
      <w:pPr>
        <w:pStyle w:val="Compact"/>
        <w:numPr>
          <w:ilvl w:val="0"/>
          <w:numId w:val="1106"/>
        </w:numPr>
      </w:pPr>
      <w:r>
        <w:rPr>
          <w:b/>
          <w:bCs/>
        </w:rPr>
        <w:t xml:space="preserve">Précisions</w:t>
      </w:r>
      <w:r>
        <w:t xml:space="preserve"> </w:t>
      </w:r>
      <w:r>
        <w:t xml:space="preserve">: Le clotrimazole vaginal est l’antifongique local de référence au 2ᵉ et 3ᵉ trimestre de grossesse en raison de son efficacité en dose unique et de sa tolérance.</w:t>
      </w:r>
    </w:p>
    <w:p>
      <w:pPr>
        <w:pStyle w:val="FirstParagraph"/>
      </w:pPr>
      <w:r>
        <w:rPr>
          <w:b/>
          <w:bCs/>
        </w:rPr>
        <w:t xml:space="preserve">Posologie et Mode d’administration (Standard) :</w:t>
      </w:r>
    </w:p>
    <w:p>
      <w:pPr>
        <w:pStyle w:val="Compact"/>
        <w:numPr>
          <w:ilvl w:val="0"/>
          <w:numId w:val="1107"/>
        </w:numPr>
      </w:pPr>
      <w:r>
        <w:rPr>
          <w:b/>
          <w:bCs/>
        </w:rPr>
        <w:t xml:space="preserve">Adulte</w:t>
      </w:r>
      <w:r>
        <w:t xml:space="preserve"> </w:t>
      </w:r>
      <w:r>
        <w:t xml:space="preserve">:</w:t>
      </w:r>
    </w:p>
    <w:p>
      <w:pPr>
        <w:pStyle w:val="Compact"/>
        <w:numPr>
          <w:ilvl w:val="1"/>
          <w:numId w:val="1108"/>
        </w:numPr>
      </w:pPr>
      <w:r>
        <w:rPr>
          <w:i/>
          <w:iCs/>
        </w:rPr>
        <w:t xml:space="preserve">Crème dermique 1 %</w:t>
      </w:r>
      <w:r>
        <w:t xml:space="preserve"> </w:t>
      </w:r>
      <w:r>
        <w:t xml:space="preserve">: 2 applications par jour sur peau propre et sèche, pendant 2 à 4 semaines (candidoses, pityriasis) ou 4 à 6 semaines (dermatophyties).</w:t>
      </w:r>
    </w:p>
    <w:p>
      <w:pPr>
        <w:pStyle w:val="Compact"/>
        <w:numPr>
          <w:ilvl w:val="1"/>
          <w:numId w:val="1108"/>
        </w:numPr>
      </w:pPr>
      <w:r>
        <w:rPr>
          <w:i/>
          <w:iCs/>
        </w:rPr>
        <w:t xml:space="preserve">Crème vaginale 2 %</w:t>
      </w:r>
      <w:r>
        <w:t xml:space="preserve"> </w:t>
      </w:r>
      <w:r>
        <w:t xml:space="preserve">: 1 application par jour au coucher avec l’applicateur, pendant 3 jours.</w:t>
      </w:r>
    </w:p>
    <w:p>
      <w:pPr>
        <w:pStyle w:val="Compact"/>
        <w:numPr>
          <w:ilvl w:val="1"/>
          <w:numId w:val="1108"/>
        </w:numPr>
      </w:pPr>
      <w:r>
        <w:rPr>
          <w:i/>
          <w:iCs/>
        </w:rPr>
        <w:t xml:space="preserve">Ovule 200 mg</w:t>
      </w:r>
      <w:r>
        <w:t xml:space="preserve"> </w:t>
      </w:r>
      <w:r>
        <w:t xml:space="preserve">: 1 ovule par jour au coucher pendant 3 jours.</w:t>
      </w:r>
    </w:p>
    <w:p>
      <w:pPr>
        <w:pStyle w:val="Compact"/>
        <w:numPr>
          <w:ilvl w:val="1"/>
          <w:numId w:val="1108"/>
        </w:numPr>
      </w:pPr>
      <w:r>
        <w:rPr>
          <w:i/>
          <w:iCs/>
        </w:rPr>
        <w:t xml:space="preserve">Ovule 500 mg</w:t>
      </w:r>
      <w:r>
        <w:t xml:space="preserve"> </w:t>
      </w:r>
      <w:r>
        <w:t xml:space="preserve">: 1 ovule en dose unique au coucher.</w:t>
      </w:r>
    </w:p>
    <w:p>
      <w:pPr>
        <w:pStyle w:val="Compact"/>
        <w:numPr>
          <w:ilvl w:val="0"/>
          <w:numId w:val="1107"/>
        </w:numPr>
      </w:pPr>
      <w:r>
        <w:rPr>
          <w:b/>
          <w:bCs/>
        </w:rPr>
        <w:t xml:space="preserve">Enfant</w:t>
      </w:r>
      <w:r>
        <w:t xml:space="preserve"> </w:t>
      </w:r>
      <w:r>
        <w:t xml:space="preserve">: crème : à partir de 1 mois, 1 application/jour. Ovules : à partir de la puberté.</w:t>
      </w:r>
    </w:p>
    <w:p>
      <w:pPr>
        <w:pStyle w:val="Compact"/>
        <w:numPr>
          <w:ilvl w:val="0"/>
          <w:numId w:val="1107"/>
        </w:numPr>
      </w:pPr>
      <w:r>
        <w:rPr>
          <w:b/>
          <w:bCs/>
        </w:rPr>
        <w:t xml:space="preserve">Durée</w:t>
      </w:r>
      <w:r>
        <w:t xml:space="preserve"> </w:t>
      </w:r>
      <w:r>
        <w:t xml:space="preserve">: candidose cutanée 2 à 4 semaines ; dermatophytie 4 à 6 semaines ; pityriasis versicolor 2 à 3 semaines ; candidose vaginale 1 à 3 jours selon la forme.</w:t>
      </w:r>
    </w:p>
    <w:p>
      <w:pPr>
        <w:pStyle w:val="Compact"/>
        <w:numPr>
          <w:ilvl w:val="0"/>
          <w:numId w:val="1107"/>
        </w:numPr>
      </w:pPr>
      <w:r>
        <w:rPr>
          <w:b/>
          <w:bCs/>
        </w:rPr>
        <w:t xml:space="preserve">Moment de prise</w:t>
      </w:r>
      <w:r>
        <w:t xml:space="preserve"> </w:t>
      </w:r>
      <w:r>
        <w:t xml:space="preserve">: crème matin et soir sur peau propre et sèche ; crème vaginale ou ovule au coucher.</w:t>
      </w:r>
    </w:p>
    <w:p>
      <w:pPr>
        <w:pStyle w:val="FirstParagraph"/>
      </w:pPr>
      <w:r>
        <w:rPr>
          <w:b/>
          <w:bCs/>
        </w:rPr>
        <w:t xml:space="preserve">Arbitrage et Bénéfices des Formes Galéniques :</w:t>
      </w:r>
    </w:p>
    <w:p>
      <w:pPr>
        <w:pStyle w:val="BodyText"/>
      </w:pPr>
      <w:r>
        <w:t xml:space="preserve">Le clotrimazole est l’imidazolé vaginal le plus</w:t>
      </w:r>
      <w:r>
        <w:t xml:space="preserve"> </w:t>
      </w:r>
      <w:r>
        <w:rPr>
          <w:b/>
          <w:bCs/>
        </w:rPr>
        <w:t xml:space="preserve">flexible</w:t>
      </w:r>
      <w:r>
        <w:t xml:space="preserve"> </w:t>
      </w:r>
      <w:r>
        <w:t xml:space="preserve">en termes de schéma posologique : la disponibilité d’une</w:t>
      </w:r>
      <w:r>
        <w:t xml:space="preserve"> </w:t>
      </w:r>
      <w:r>
        <w:rPr>
          <w:b/>
          <w:bCs/>
        </w:rPr>
        <w:t xml:space="preserve">forme dose unique (500 mg)</w:t>
      </w:r>
      <w:r>
        <w:t xml:space="preserve">, d’une</w:t>
      </w:r>
      <w:r>
        <w:t xml:space="preserve"> </w:t>
      </w:r>
      <w:r>
        <w:rPr>
          <w:b/>
          <w:bCs/>
        </w:rPr>
        <w:t xml:space="preserve">forme 3 jours (200 mg)</w:t>
      </w:r>
      <w:r>
        <w:t xml:space="preserve"> </w:t>
      </w:r>
      <w:r>
        <w:t xml:space="preserve">et d’une</w:t>
      </w:r>
      <w:r>
        <w:t xml:space="preserve"> </w:t>
      </w:r>
      <w:r>
        <w:rPr>
          <w:b/>
          <w:bCs/>
        </w:rPr>
        <w:t xml:space="preserve">crème vaginale (2 %, 3 jours)</w:t>
      </w:r>
      <w:r>
        <w:t xml:space="preserve"> </w:t>
      </w:r>
      <w:r>
        <w:t xml:space="preserve">permet d’adapter le traitement à la sévérité et à l’observance de la patiente. La dose unique est particulièrement appréciée pour sa simplicité. La crème vaginale est utile en cas de lésions vulvaires associées (vulvite), car elle peut être appliquée en externe sur la vulve en complément de l’usage intravaginal.</w:t>
      </w:r>
    </w:p>
    <w:p>
      <w:pPr>
        <w:pStyle w:val="BodyText"/>
      </w:pPr>
      <w:r>
        <w:rPr>
          <w:b/>
          <w:bCs/>
        </w:rPr>
        <w:t xml:space="preserve">Instructions et Conseils au Patient :</w:t>
      </w:r>
    </w:p>
    <w:p>
      <w:pPr>
        <w:pStyle w:val="Compact"/>
        <w:numPr>
          <w:ilvl w:val="0"/>
          <w:numId w:val="1109"/>
        </w:numPr>
      </w:pPr>
      <w:r>
        <w:rPr>
          <w:b/>
          <w:bCs/>
        </w:rPr>
        <w:t xml:space="preserve">Communication au comptoir</w:t>
      </w:r>
      <w:r>
        <w:t xml:space="preserve"> </w:t>
      </w:r>
      <w:r>
        <w:t xml:space="preserve">:</w:t>
      </w:r>
    </w:p>
    <w:p>
      <w:pPr>
        <w:pStyle w:val="Compact"/>
        <w:numPr>
          <w:ilvl w:val="1"/>
          <w:numId w:val="1110"/>
        </w:numPr>
      </w:pPr>
      <w:r>
        <w:t xml:space="preserve">« Pour la crème : appliquez 2 fois par jour sur peau propre et sèche, pendant 2 à 4 semaines. »</w:t>
      </w:r>
    </w:p>
    <w:p>
      <w:pPr>
        <w:pStyle w:val="Compact"/>
        <w:numPr>
          <w:ilvl w:val="1"/>
          <w:numId w:val="1110"/>
        </w:numPr>
      </w:pPr>
      <w:r>
        <w:t xml:space="preserve">« Pour l’ovule dose unique : insérez profondément au coucher, en position allongée. Prévoyez une protection hygiénique. »</w:t>
      </w:r>
    </w:p>
    <w:p>
      <w:pPr>
        <w:pStyle w:val="Compact"/>
        <w:numPr>
          <w:ilvl w:val="1"/>
          <w:numId w:val="1110"/>
        </w:numPr>
      </w:pPr>
      <w:r>
        <w:t xml:space="preserve">« Attention : l’ovule peut endommager les préservatifs en latex — utilisez une autre méthode contraceptive pendant le traitement et 5 jours après. »</w:t>
      </w:r>
    </w:p>
    <w:p>
      <w:pPr>
        <w:pStyle w:val="Compact"/>
        <w:numPr>
          <w:ilvl w:val="0"/>
          <w:numId w:val="1109"/>
        </w:numPr>
      </w:pPr>
      <w:r>
        <w:rPr>
          <w:b/>
          <w:bCs/>
        </w:rPr>
        <w:t xml:space="preserve">Mode d’utilisation pratique</w:t>
      </w:r>
      <w:r>
        <w:t xml:space="preserve"> </w:t>
      </w:r>
      <w:r>
        <w:t xml:space="preserve">:</w:t>
      </w:r>
    </w:p>
    <w:p>
      <w:pPr>
        <w:pStyle w:val="Compact"/>
        <w:numPr>
          <w:ilvl w:val="1"/>
          <w:numId w:val="1111"/>
        </w:numPr>
      </w:pPr>
      <w:r>
        <w:t xml:space="preserve">Pour la candidose vaginale récidivante : traitement du partenaire si signes cliniques.</w:t>
      </w:r>
    </w:p>
    <w:p>
      <w:pPr>
        <w:pStyle w:val="Compact"/>
        <w:numPr>
          <w:ilvl w:val="1"/>
          <w:numId w:val="1111"/>
        </w:numPr>
      </w:pPr>
      <w:r>
        <w:t xml:space="preserve">Pour la crème dermique : bien sécher les plis avant application.</w:t>
      </w:r>
    </w:p>
    <w:p>
      <w:pPr>
        <w:pStyle w:val="FirstParagraph"/>
      </w:pPr>
      <w:r>
        <w:rPr>
          <w:b/>
          <w:bCs/>
        </w:rPr>
        <w:t xml:space="preserve">Notes, Règles d’Or &amp; Pièges au Comptoir :</w:t>
      </w:r>
    </w:p>
    <w:p>
      <w:pPr>
        <w:pStyle w:val="Compact"/>
        <w:numPr>
          <w:ilvl w:val="0"/>
          <w:numId w:val="1112"/>
        </w:numPr>
      </w:pPr>
      <w:r>
        <w:rPr>
          <w:b/>
          <w:bCs/>
        </w:rPr>
        <w:t xml:space="preserve">Piège classique</w:t>
      </w:r>
      <w:r>
        <w:t xml:space="preserve"> </w:t>
      </w:r>
      <w:r>
        <w:t xml:space="preserve">: ne pas confondre les différentes formes vaginales (ovule 500 mg dose unique, ovule 200 mg × 3 jours, crème vaginale 2 % × 3 jours). Toujours vérifier la prescription et expliquer la posologie.</w:t>
      </w:r>
    </w:p>
    <w:p>
      <w:pPr>
        <w:pStyle w:val="Compact"/>
        <w:numPr>
          <w:ilvl w:val="0"/>
          <w:numId w:val="1112"/>
        </w:numPr>
      </w:pPr>
      <w:r>
        <w:rPr>
          <w:b/>
          <w:bCs/>
        </w:rPr>
        <w:t xml:space="preserve">Règle de prise</w:t>
      </w:r>
      <w:r>
        <w:t xml:space="preserve"> </w:t>
      </w:r>
      <w:r>
        <w:t xml:space="preserve">: le traitement vaginal doit toujours se faire au coucher pour limiter l’écoulement et maximiser le temps de contact.</w:t>
      </w:r>
    </w:p>
    <w:p>
      <w:pPr>
        <w:pStyle w:val="Compact"/>
        <w:numPr>
          <w:ilvl w:val="0"/>
          <w:numId w:val="1112"/>
        </w:numPr>
      </w:pPr>
      <w:r>
        <w:rPr>
          <w:b/>
          <w:bCs/>
        </w:rPr>
        <w:t xml:space="preserve">Préparation et Conservation</w:t>
      </w:r>
      <w:r>
        <w:t xml:space="preserve"> </w:t>
      </w:r>
      <w:r>
        <w:t xml:space="preserve">: tube ou boîte fermés, à température &lt; 25 °C. Ovules : à conserver à l’abri de l’humidité.</w:t>
      </w:r>
    </w:p>
    <w:p>
      <w:pPr>
        <w:pStyle w:val="Compact"/>
        <w:numPr>
          <w:ilvl w:val="0"/>
          <w:numId w:val="1112"/>
        </w:numPr>
      </w:pPr>
      <w:r>
        <w:rPr>
          <w:b/>
          <w:bCs/>
        </w:rPr>
        <w:t xml:space="preserve">Piège du surdosage / Substitution</w:t>
      </w:r>
      <w:r>
        <w:t xml:space="preserve"> </w:t>
      </w:r>
      <w:r>
        <w:t xml:space="preserve">: ne pas associer deux imidazolés vaginaux.</w:t>
      </w:r>
    </w:p>
    <w:p>
      <w:pPr>
        <w:pStyle w:val="Compact"/>
        <w:numPr>
          <w:ilvl w:val="0"/>
          <w:numId w:val="1112"/>
        </w:numPr>
      </w:pPr>
      <w:r>
        <w:rPr>
          <w:b/>
          <w:bCs/>
        </w:rPr>
        <w:t xml:space="preserve">Alerte</w:t>
      </w:r>
      <w:r>
        <w:t xml:space="preserve"> </w:t>
      </w:r>
      <w:r>
        <w:t xml:space="preserve">: chez la patiente sous anticoagulant oral, surveillance de l’INR pendant le traitement par clotrimazole vaginal.</w:t>
      </w:r>
    </w:p>
    <w:p>
      <w:r>
        <w:pict>
          <v:rect style="width:0;height:1.5pt" o:hralign="center" o:hrstd="t" o:hr="t"/>
        </w:pict>
      </w:r>
    </w:p>
    <w:bookmarkEnd w:id="47"/>
    <w:bookmarkStart w:id="48" w:name="dci-fenticonazole-seule"/>
    <w:p>
      <w:pPr>
        <w:pStyle w:val="Heading3"/>
      </w:pPr>
      <w:r>
        <w:t xml:space="preserve">11.7. DCI : Fenticonazole (Seule)</w:t>
      </w:r>
    </w:p>
    <w:p>
      <w:pPr>
        <w:pStyle w:val="FirstParagraph"/>
      </w:pPr>
      <w:r>
        <w:rPr>
          <w:b/>
          <w:bCs/>
        </w:rPr>
        <w:t xml:space="preserve">Liste des Catégories :</w:t>
      </w:r>
      <w:r>
        <w:t xml:space="preserve"> </w:t>
      </w:r>
      <w:r>
        <w:t xml:space="preserve">Hors liste ; topique vaginal.</w:t>
      </w:r>
    </w:p>
    <w:p>
      <w:pPr>
        <w:pStyle w:val="BodyText"/>
      </w:pPr>
      <w:r>
        <w:t xml:space="preserve">Le fenticonazole est un imidazolé topique de seconde génération, utilisé principalement sous forme d’</w:t>
      </w:r>
      <w:r>
        <w:rPr>
          <w:b/>
          <w:bCs/>
        </w:rPr>
        <w:t xml:space="preserve">ovule gynécologique à 600 mg en dose unique</w:t>
      </w:r>
      <w:r>
        <w:t xml:space="preserve"> </w:t>
      </w:r>
      <w:r>
        <w:t xml:space="preserve">pour le traitement de la candidose vaginale. Sa structure chimique (phénythio-méthyl-imidazole) lui confère une bonne affinité pour les phospholipides vaginales et une activité prolongée. En Algérie, seule la forme ovule 600 mg est actuellement commercialisée.</w:t>
      </w:r>
    </w:p>
    <w:p>
      <w:pPr>
        <w:pStyle w:val="BodyText"/>
      </w:pPr>
      <w:r>
        <w:rPr>
          <w:b/>
          <w:bCs/>
        </w:rPr>
        <w:t xml:space="preserve">Médicaments disponibles en Algérie (Marques, Laboratoires, Formes et Dosages) :</w:t>
      </w:r>
    </w:p>
    <w:p>
      <w:pPr>
        <w:pStyle w:val="Compact"/>
        <w:numPr>
          <w:ilvl w:val="0"/>
          <w:numId w:val="1113"/>
        </w:numPr>
      </w:pPr>
      <w:r>
        <w:rPr>
          <w:b/>
          <w:bCs/>
        </w:rPr>
        <w:t xml:space="preserve">FENOMIX</w:t>
      </w:r>
      <w:r>
        <w:t xml:space="preserve"> </w:t>
      </w:r>
      <w:r>
        <w:t xml:space="preserve">(LABORATOIRES SALEM) — Nitrate de fenticonazole, Ovule gynécologique 600 mg, boîte de 1 —</w:t>
      </w:r>
      <w:r>
        <w:t xml:space="preserve"> </w:t>
      </w:r>
      <w:r>
        <w:rPr>
          <w:b/>
          <w:bCs/>
        </w:rPr>
        <w:t xml:space="preserve">Actif</w:t>
      </w:r>
    </w:p>
    <w:p>
      <w:pPr>
        <w:pStyle w:val="FirstParagraph"/>
      </w:pPr>
      <w:r>
        <w:rPr>
          <w:b/>
          <w:bCs/>
        </w:rPr>
        <w:t xml:space="preserve">Sous-classe et Mécanisme d’action :</w:t>
      </w:r>
    </w:p>
    <w:p>
      <w:pPr>
        <w:pStyle w:val="Compact"/>
        <w:numPr>
          <w:ilvl w:val="0"/>
          <w:numId w:val="1114"/>
        </w:numPr>
      </w:pPr>
      <w:r>
        <w:rPr>
          <w:b/>
          <w:bCs/>
        </w:rPr>
        <w:t xml:space="preserve">Sous-classe</w:t>
      </w:r>
      <w:r>
        <w:t xml:space="preserve"> </w:t>
      </w:r>
      <w:r>
        <w:t xml:space="preserve">: Imidazolé de seconde génération (phénythio-méthyl-imidazole) ; antifongique vaginal à large spectre.</w:t>
      </w:r>
    </w:p>
    <w:p>
      <w:pPr>
        <w:pStyle w:val="Compact"/>
        <w:numPr>
          <w:ilvl w:val="0"/>
          <w:numId w:val="1114"/>
        </w:numPr>
      </w:pPr>
      <w:r>
        <w:rPr>
          <w:b/>
          <w:bCs/>
        </w:rPr>
        <w:t xml:space="preserve">Mécanisme d’action</w:t>
      </w:r>
      <w:r>
        <w:t xml:space="preserve"> </w:t>
      </w:r>
      <w:r>
        <w:t xml:space="preserve">: Inhibition de la lanostérol 14α-déméthylase fongique (CYP51) par coordination avec le fer ferreux du groupe hème, identique aux autres imidazolés. Le fenticonazole présente en outre une activité</w:t>
      </w:r>
      <w:r>
        <w:t xml:space="preserve"> </w:t>
      </w:r>
      <w:r>
        <w:rPr>
          <w:b/>
          <w:bCs/>
        </w:rPr>
        <w:t xml:space="preserve">antibactérienne modeste</w:t>
      </w:r>
      <w:r>
        <w:t xml:space="preserve"> </w:t>
      </w:r>
      <w:r>
        <w:t xml:space="preserve">sur les Gram positifs et une activité</w:t>
      </w:r>
      <w:r>
        <w:t xml:space="preserve"> </w:t>
      </w:r>
      <w:r>
        <w:rPr>
          <w:b/>
          <w:bCs/>
        </w:rPr>
        <w:t xml:space="preserve">antiprotozoaire</w:t>
      </w:r>
      <w:r>
        <w:t xml:space="preserve"> </w:t>
      </w:r>
      <w:r>
        <w:t xml:space="preserve">contre</w:t>
      </w:r>
      <w:r>
        <w:t xml:space="preserve"> </w:t>
      </w:r>
      <w:r>
        <w:rPr>
          <w:i/>
          <w:iCs/>
        </w:rPr>
        <w:t xml:space="preserve">Trichomonas vaginalis</w:t>
      </w:r>
      <w:r>
        <w:t xml:space="preserve">, ce qui en fait un traitement intéressant des vaginites mixtes (candidosiques + trichomonasiques). Spectre :</w:t>
      </w:r>
      <w:r>
        <w:t xml:space="preserve"> </w:t>
      </w:r>
      <w:r>
        <w:rPr>
          <w:i/>
          <w:iCs/>
        </w:rPr>
        <w:t xml:space="preserve">Candida</w:t>
      </w:r>
      <w:r>
        <w:t xml:space="preserve"> </w:t>
      </w:r>
      <w:r>
        <w:t xml:space="preserve">sp. (y compris certaines souches résistantes au fluconazole),</w:t>
      </w:r>
      <w:r>
        <w:t xml:space="preserve"> </w:t>
      </w:r>
      <w:r>
        <w:rPr>
          <w:i/>
          <w:iCs/>
        </w:rPr>
        <w:t xml:space="preserve">Trichomonas vaginalis</w:t>
      </w:r>
      <w:r>
        <w:t xml:space="preserve">,</w:t>
      </w:r>
      <w:r>
        <w:t xml:space="preserve"> </w:t>
      </w:r>
      <w:r>
        <w:rPr>
          <w:i/>
          <w:iCs/>
        </w:rPr>
        <w:t xml:space="preserve">Gardnerella vaginalis</w:t>
      </w:r>
      <w:r>
        <w:t xml:space="preserve"> </w:t>
      </w:r>
      <w:r>
        <w:t xml:space="preserve">(activité modérée), dermatophytes (en cas d’usage cutané, non disponible en Algérie). Action fungistatique et fungicide.</w:t>
      </w:r>
    </w:p>
    <w:p>
      <w:pPr>
        <w:pStyle w:val="FirstParagraph"/>
      </w:pPr>
      <w:r>
        <w:rPr>
          <w:b/>
          <w:bCs/>
        </w:rPr>
        <w:t xml:space="preserve">Profil Pharmacologique :</w:t>
      </w:r>
    </w:p>
    <w:p>
      <w:pPr>
        <w:pStyle w:val="Compact"/>
        <w:numPr>
          <w:ilvl w:val="0"/>
          <w:numId w:val="1115"/>
        </w:numPr>
      </w:pPr>
      <w:r>
        <w:rPr>
          <w:b/>
          <w:bCs/>
        </w:rPr>
        <w:t xml:space="preserve">Indications</w:t>
      </w:r>
      <w:r>
        <w:t xml:space="preserve"> </w:t>
      </w:r>
      <w:r>
        <w:t xml:space="preserve">: candidose vaginale (vulvo-vaginite candidosique), vaginites mixtes à</w:t>
      </w:r>
      <w:r>
        <w:t xml:space="preserve"> </w:t>
      </w:r>
      <w:r>
        <w:rPr>
          <w:i/>
          <w:iCs/>
        </w:rPr>
        <w:t xml:space="preserve">Candida</w:t>
      </w:r>
      <w:r>
        <w:t xml:space="preserve"> </w:t>
      </w:r>
      <w:r>
        <w:t xml:space="preserve">et</w:t>
      </w:r>
      <w:r>
        <w:t xml:space="preserve"> </w:t>
      </w:r>
      <w:r>
        <w:rPr>
          <w:i/>
          <w:iCs/>
        </w:rPr>
        <w:t xml:space="preserve">Trichomonas</w:t>
      </w:r>
      <w:r>
        <w:t xml:space="preserve">.</w:t>
      </w:r>
    </w:p>
    <w:p>
      <w:pPr>
        <w:pStyle w:val="Compact"/>
        <w:numPr>
          <w:ilvl w:val="0"/>
          <w:numId w:val="1115"/>
        </w:numPr>
      </w:pPr>
      <w:r>
        <w:rPr>
          <w:b/>
          <w:bCs/>
        </w:rPr>
        <w:t xml:space="preserve">Contre-indications</w:t>
      </w:r>
      <w:r>
        <w:t xml:space="preserve"> </w:t>
      </w:r>
      <w:r>
        <w:t xml:space="preserve">: hypersensibilité au fenticonazole ou aux autres imidazolés ; 1ᵉʳ trimestre de grossesse.</w:t>
      </w:r>
    </w:p>
    <w:p>
      <w:pPr>
        <w:pStyle w:val="Compact"/>
        <w:numPr>
          <w:ilvl w:val="0"/>
          <w:numId w:val="1115"/>
        </w:numPr>
      </w:pPr>
      <w:r>
        <w:rPr>
          <w:b/>
          <w:bCs/>
        </w:rPr>
        <w:t xml:space="preserve">Effets Indésirables</w:t>
      </w:r>
      <w:r>
        <w:t xml:space="preserve"> </w:t>
      </w:r>
      <w:r>
        <w:t xml:space="preserve">:</w:t>
      </w:r>
    </w:p>
    <w:p>
      <w:pPr>
        <w:pStyle w:val="Compact"/>
        <w:numPr>
          <w:ilvl w:val="1"/>
          <w:numId w:val="1116"/>
        </w:numPr>
      </w:pPr>
      <w:r>
        <w:rPr>
          <w:i/>
          <w:iCs/>
        </w:rPr>
        <w:t xml:space="preserve">Vaginal</w:t>
      </w:r>
      <w:r>
        <w:t xml:space="preserve"> </w:t>
      </w:r>
      <w:r>
        <w:t xml:space="preserve">: sensation de brûlure locale, irritation, démangeaisons, leucorrhées accrues transitoirement.</w:t>
      </w:r>
    </w:p>
    <w:p>
      <w:pPr>
        <w:pStyle w:val="Compact"/>
        <w:numPr>
          <w:ilvl w:val="1"/>
          <w:numId w:val="1116"/>
        </w:numPr>
      </w:pPr>
      <w:r>
        <w:rPr>
          <w:i/>
          <w:iCs/>
        </w:rPr>
        <w:t xml:space="preserve">Systémique</w:t>
      </w:r>
      <w:r>
        <w:t xml:space="preserve"> </w:t>
      </w:r>
      <w:r>
        <w:t xml:space="preserve">: absorption vaginale très faible, interactions CYP3A4 théoriques.</w:t>
      </w:r>
    </w:p>
    <w:p>
      <w:pPr>
        <w:pStyle w:val="FirstParagraph"/>
      </w:pPr>
      <w:r>
        <w:rPr>
          <w:b/>
          <w:bCs/>
        </w:rPr>
        <w:t xml:space="preserve">Prévention et Gestion des Effets Indésirables :</w:t>
      </w:r>
    </w:p>
    <w:p>
      <w:pPr>
        <w:pStyle w:val="Compact"/>
        <w:numPr>
          <w:ilvl w:val="0"/>
          <w:numId w:val="1117"/>
        </w:numPr>
      </w:pPr>
      <w:r>
        <w:rPr>
          <w:b/>
          <w:bCs/>
        </w:rPr>
        <w:t xml:space="preserve">Mesures Préventives</w:t>
      </w:r>
      <w:r>
        <w:t xml:space="preserve"> </w:t>
      </w:r>
      <w:r>
        <w:t xml:space="preserve">: utiliser au coucher, en position allongée, profondeur vaginale. Préférer la dose unique (600 mg) pour l’observance.</w:t>
      </w:r>
    </w:p>
    <w:p>
      <w:pPr>
        <w:pStyle w:val="Compact"/>
        <w:numPr>
          <w:ilvl w:val="0"/>
          <w:numId w:val="1117"/>
        </w:numPr>
      </w:pPr>
      <w:r>
        <w:rPr>
          <w:b/>
          <w:bCs/>
        </w:rPr>
        <w:t xml:space="preserve">Conduite à Tenir</w:t>
      </w:r>
      <w:r>
        <w:t xml:space="preserve"> </w:t>
      </w:r>
      <w:r>
        <w:t xml:space="preserve">:</w:t>
      </w:r>
    </w:p>
    <w:p>
      <w:pPr>
        <w:pStyle w:val="Compact"/>
        <w:numPr>
          <w:ilvl w:val="1"/>
          <w:numId w:val="1118"/>
        </w:numPr>
      </w:pPr>
      <w:r>
        <w:rPr>
          <w:i/>
          <w:iCs/>
        </w:rPr>
        <w:t xml:space="preserve">Irritation locale importante</w:t>
      </w:r>
      <w:r>
        <w:t xml:space="preserve"> </w:t>
      </w:r>
      <w:r>
        <w:t xml:space="preserve">: arrêt, relais par clotrimazole ou nystatine.</w:t>
      </w:r>
    </w:p>
    <w:p>
      <w:pPr>
        <w:pStyle w:val="Compact"/>
        <w:numPr>
          <w:ilvl w:val="1"/>
          <w:numId w:val="1118"/>
        </w:numPr>
      </w:pPr>
      <w:r>
        <w:rPr>
          <w:i/>
          <w:iCs/>
        </w:rPr>
        <w:t xml:space="preserve">Récidive</w:t>
      </w:r>
      <w:r>
        <w:t xml:space="preserve"> </w:t>
      </w:r>
      <w:r>
        <w:t xml:space="preserve">: avis gynécologique, prélèvement mycologique et parasitologique.</w:t>
      </w:r>
    </w:p>
    <w:p>
      <w:pPr>
        <w:pStyle w:val="FirstParagraph"/>
      </w:pPr>
      <w:r>
        <w:rPr>
          <w:b/>
          <w:bCs/>
        </w:rPr>
        <w:t xml:space="preserve">Interactions Importantes :</w:t>
      </w:r>
    </w:p>
    <w:p>
      <w:pPr>
        <w:pStyle w:val="Compact"/>
        <w:numPr>
          <w:ilvl w:val="0"/>
          <w:numId w:val="1119"/>
        </w:numPr>
      </w:pPr>
      <w:r>
        <w:rPr>
          <w:b/>
          <w:bCs/>
        </w:rPr>
        <w:t xml:space="preserve">Anticoagulants oraux (warfarine)</w:t>
      </w:r>
      <w:r>
        <w:t xml:space="preserve"> </w:t>
      </w:r>
      <w:r>
        <w:t xml:space="preserve">: risque théorique de potentialisation par inhibition CYP2C9 — surveillance de l’INR.</w:t>
      </w:r>
    </w:p>
    <w:p>
      <w:pPr>
        <w:pStyle w:val="Compact"/>
        <w:numPr>
          <w:ilvl w:val="0"/>
          <w:numId w:val="1119"/>
        </w:numPr>
      </w:pPr>
      <w:r>
        <w:rPr>
          <w:b/>
          <w:bCs/>
        </w:rPr>
        <w:t xml:space="preserve">Spermicides et préservatifs en latex</w:t>
      </w:r>
      <w:r>
        <w:t xml:space="preserve"> </w:t>
      </w:r>
      <w:r>
        <w:t xml:space="preserve">: le fenticonazole en base grasse peut altérer le latex — méthode contraceptive alternative pendant le traitement.</w:t>
      </w:r>
    </w:p>
    <w:p>
      <w:pPr>
        <w:pStyle w:val="FirstParagraph"/>
      </w:pPr>
      <w:r>
        <w:rPr>
          <w:b/>
          <w:bCs/>
        </w:rPr>
        <w:t xml:space="preserve">Grossesse et Allaitement :</w:t>
      </w:r>
    </w:p>
    <w:p>
      <w:pPr>
        <w:pStyle w:val="Compact"/>
        <w:numPr>
          <w:ilvl w:val="0"/>
          <w:numId w:val="1120"/>
        </w:numPr>
      </w:pPr>
      <w:r>
        <w:rPr>
          <w:b/>
          <w:bCs/>
        </w:rPr>
        <w:t xml:space="preserve">Grossesse</w:t>
      </w:r>
      <w:r>
        <w:t xml:space="preserve"> </w:t>
      </w:r>
      <w:r>
        <w:t xml:space="preserve">: Selon le CRAT, le fenticonazole vaginal est déconseillé au 1ᵉʳ trimestre (préférer nystatine ou clotrimazole à dose unique) et autorisé au 2ᵉ et 3ᵉ trimestre. Aucun effet tératogène documenté à ce jour.</w:t>
      </w:r>
    </w:p>
    <w:p>
      <w:pPr>
        <w:pStyle w:val="Compact"/>
        <w:numPr>
          <w:ilvl w:val="0"/>
          <w:numId w:val="1120"/>
        </w:numPr>
      </w:pPr>
      <w:r>
        <w:rPr>
          <w:b/>
          <w:bCs/>
        </w:rPr>
        <w:t xml:space="preserve">Allaitement</w:t>
      </w:r>
      <w:r>
        <w:t xml:space="preserve"> </w:t>
      </w:r>
      <w:r>
        <w:t xml:space="preserve">: Compatible avec l’allaitement en dose unique.</w:t>
      </w:r>
    </w:p>
    <w:p>
      <w:pPr>
        <w:pStyle w:val="Compact"/>
        <w:numPr>
          <w:ilvl w:val="0"/>
          <w:numId w:val="1120"/>
        </w:numPr>
      </w:pPr>
      <w:r>
        <w:rPr>
          <w:b/>
          <w:bCs/>
        </w:rPr>
        <w:t xml:space="preserve">Précisions</w:t>
      </w:r>
      <w:r>
        <w:t xml:space="preserve"> </w:t>
      </w:r>
      <w:r>
        <w:t xml:space="preserve">: Le fenticonazole est une alternative intéressante au clotrimazole en cas de candidose vaginale résistante ou de vaginite mixte à</w:t>
      </w:r>
      <w:r>
        <w:t xml:space="preserve"> </w:t>
      </w:r>
      <w:r>
        <w:rPr>
          <w:i/>
          <w:iCs/>
        </w:rPr>
        <w:t xml:space="preserve">Trichomonas</w:t>
      </w:r>
      <w:r>
        <w:t xml:space="preserve">.</w:t>
      </w:r>
    </w:p>
    <w:p>
      <w:pPr>
        <w:pStyle w:val="FirstParagraph"/>
      </w:pPr>
      <w:r>
        <w:rPr>
          <w:b/>
          <w:bCs/>
        </w:rPr>
        <w:t xml:space="preserve">Posologie et Mode d’administration (Standard) :</w:t>
      </w:r>
    </w:p>
    <w:p>
      <w:pPr>
        <w:pStyle w:val="Compact"/>
        <w:numPr>
          <w:ilvl w:val="0"/>
          <w:numId w:val="1121"/>
        </w:numPr>
      </w:pPr>
      <w:r>
        <w:rPr>
          <w:b/>
          <w:bCs/>
        </w:rPr>
        <w:t xml:space="preserve">Adulte</w:t>
      </w:r>
      <w:r>
        <w:t xml:space="preserve"> </w:t>
      </w:r>
      <w:r>
        <w:t xml:space="preserve">: Ovule gynécologique 600 mg, 1 ovule en dose unique au coucher, en position allongée, profondeur vaginale.</w:t>
      </w:r>
    </w:p>
    <w:p>
      <w:pPr>
        <w:pStyle w:val="Compact"/>
        <w:numPr>
          <w:ilvl w:val="0"/>
          <w:numId w:val="1121"/>
        </w:numPr>
      </w:pPr>
      <w:r>
        <w:rPr>
          <w:b/>
          <w:bCs/>
        </w:rPr>
        <w:t xml:space="preserve">Enfant</w:t>
      </w:r>
      <w:r>
        <w:t xml:space="preserve"> </w:t>
      </w:r>
      <w:r>
        <w:t xml:space="preserve">: à partir de la puberté.</w:t>
      </w:r>
    </w:p>
    <w:p>
      <w:pPr>
        <w:pStyle w:val="Compact"/>
        <w:numPr>
          <w:ilvl w:val="0"/>
          <w:numId w:val="1121"/>
        </w:numPr>
      </w:pPr>
      <w:r>
        <w:rPr>
          <w:b/>
          <w:bCs/>
        </w:rPr>
        <w:t xml:space="preserve">Durée</w:t>
      </w:r>
      <w:r>
        <w:t xml:space="preserve"> </w:t>
      </w:r>
      <w:r>
        <w:t xml:space="preserve">: dose unique. En cas de récidive ou de candidose sévère, un deuxième ovule à 72 heures peut être envisagé sur avis médical.</w:t>
      </w:r>
    </w:p>
    <w:p>
      <w:pPr>
        <w:pStyle w:val="Compact"/>
        <w:numPr>
          <w:ilvl w:val="0"/>
          <w:numId w:val="1121"/>
        </w:numPr>
      </w:pPr>
      <w:r>
        <w:rPr>
          <w:b/>
          <w:bCs/>
        </w:rPr>
        <w:t xml:space="preserve">Moment de prise</w:t>
      </w:r>
      <w:r>
        <w:t xml:space="preserve"> </w:t>
      </w:r>
      <w:r>
        <w:t xml:space="preserve">: au coucher.</w:t>
      </w:r>
    </w:p>
    <w:p>
      <w:pPr>
        <w:pStyle w:val="FirstParagraph"/>
      </w:pPr>
      <w:r>
        <w:rPr>
          <w:b/>
          <w:bCs/>
        </w:rPr>
        <w:t xml:space="preserve">Arbitrage et Bénéfices des Formes Galéniques :</w:t>
      </w:r>
    </w:p>
    <w:p>
      <w:pPr>
        <w:pStyle w:val="BodyText"/>
      </w:pPr>
      <w:r>
        <w:t xml:space="preserve">La forme unique disponible en Algérie — ovule 600 mg en dose unique — est bien adaptée à la candidose vaginale simple de la femme adulte non enceinte. L’avantage principal du fenticonazole est sa</w:t>
      </w:r>
      <w:r>
        <w:t xml:space="preserve"> </w:t>
      </w:r>
      <w:r>
        <w:rPr>
          <w:b/>
          <w:bCs/>
        </w:rPr>
        <w:t xml:space="preserve">double action antifongique et antiprotozoaire</w:t>
      </w:r>
      <w:r>
        <w:t xml:space="preserve">, utile en cas de vaginite mixte à</w:t>
      </w:r>
      <w:r>
        <w:t xml:space="preserve"> </w:t>
      </w:r>
      <w:r>
        <w:rPr>
          <w:i/>
          <w:iCs/>
        </w:rPr>
        <w:t xml:space="preserve">Candida</w:t>
      </w:r>
      <w:r>
        <w:t xml:space="preserve"> </w:t>
      </w:r>
      <w:r>
        <w:t xml:space="preserve">+</w:t>
      </w:r>
      <w:r>
        <w:t xml:space="preserve"> </w:t>
      </w:r>
      <w:r>
        <w:rPr>
          <w:i/>
          <w:iCs/>
        </w:rPr>
        <w:t xml:space="preserve">Trichomonas</w:t>
      </w:r>
      <w:r>
        <w:t xml:space="preserve"> </w:t>
      </w:r>
      <w:r>
        <w:t xml:space="preserve">(situation clinique fréquente en pratique gynécologique courante). Sa disponibilité limitée à une seule marque et un seul dosage en fait une option de seconde intention après le clotrimazole ou l’éconazole en cas de candidose vaginale simple.</w:t>
      </w:r>
    </w:p>
    <w:p>
      <w:pPr>
        <w:pStyle w:val="BodyText"/>
      </w:pPr>
      <w:r>
        <w:rPr>
          <w:b/>
          <w:bCs/>
        </w:rPr>
        <w:t xml:space="preserve">Instructions et Conseils au Patient :</w:t>
      </w:r>
    </w:p>
    <w:p>
      <w:pPr>
        <w:pStyle w:val="Compact"/>
        <w:numPr>
          <w:ilvl w:val="0"/>
          <w:numId w:val="1122"/>
        </w:numPr>
      </w:pPr>
      <w:r>
        <w:rPr>
          <w:b/>
          <w:bCs/>
        </w:rPr>
        <w:t xml:space="preserve">Communication au comptoir</w:t>
      </w:r>
      <w:r>
        <w:t xml:space="preserve"> </w:t>
      </w:r>
      <w:r>
        <w:t xml:space="preserve">:</w:t>
      </w:r>
    </w:p>
    <w:p>
      <w:pPr>
        <w:pStyle w:val="Compact"/>
        <w:numPr>
          <w:ilvl w:val="1"/>
          <w:numId w:val="1123"/>
        </w:numPr>
      </w:pPr>
      <w:r>
        <w:t xml:space="preserve">« Insérez profondément l’ovule au coucher, en position allongée. Prévoyez une protection hygiénique. »</w:t>
      </w:r>
    </w:p>
    <w:p>
      <w:pPr>
        <w:pStyle w:val="Compact"/>
        <w:numPr>
          <w:ilvl w:val="1"/>
          <w:numId w:val="1123"/>
        </w:numPr>
      </w:pPr>
      <w:r>
        <w:t xml:space="preserve">« Si les symptômes persistent au-delà de 7 jours, consultez votre médecin. »</w:t>
      </w:r>
    </w:p>
    <w:p>
      <w:pPr>
        <w:pStyle w:val="Compact"/>
        <w:numPr>
          <w:ilvl w:val="1"/>
          <w:numId w:val="1123"/>
        </w:numPr>
      </w:pPr>
      <w:r>
        <w:t xml:space="preserve">« Attention : l’ovule peut endommager les préservatifs en latex — utilisez une autre méthode contraceptive pendant le traitement. »</w:t>
      </w:r>
    </w:p>
    <w:p>
      <w:pPr>
        <w:pStyle w:val="Compact"/>
        <w:numPr>
          <w:ilvl w:val="0"/>
          <w:numId w:val="1122"/>
        </w:numPr>
      </w:pPr>
      <w:r>
        <w:rPr>
          <w:b/>
          <w:bCs/>
        </w:rPr>
        <w:t xml:space="preserve">Mode d’utilisation pratique</w:t>
      </w:r>
      <w:r>
        <w:t xml:space="preserve"> </w:t>
      </w:r>
      <w:r>
        <w:t xml:space="preserve">: traitement du partenaire si signes cliniques.</w:t>
      </w:r>
    </w:p>
    <w:p>
      <w:pPr>
        <w:pStyle w:val="FirstParagraph"/>
      </w:pPr>
      <w:r>
        <w:rPr>
          <w:b/>
          <w:bCs/>
        </w:rPr>
        <w:t xml:space="preserve">Notes, Règles d’Or &amp; Pièges au Comptoir :</w:t>
      </w:r>
    </w:p>
    <w:p>
      <w:pPr>
        <w:pStyle w:val="Compact"/>
        <w:numPr>
          <w:ilvl w:val="0"/>
          <w:numId w:val="1124"/>
        </w:numPr>
      </w:pPr>
      <w:r>
        <w:rPr>
          <w:b/>
          <w:bCs/>
        </w:rPr>
        <w:t xml:space="preserve">Piège classique</w:t>
      </w:r>
      <w:r>
        <w:t xml:space="preserve"> </w:t>
      </w:r>
      <w:r>
        <w:t xml:space="preserve">: le fenticonazole ne traite pas les dermatophytes cutanées — il est strictement vaginal.</w:t>
      </w:r>
    </w:p>
    <w:p>
      <w:pPr>
        <w:pStyle w:val="Compact"/>
        <w:numPr>
          <w:ilvl w:val="0"/>
          <w:numId w:val="1124"/>
        </w:numPr>
      </w:pPr>
      <w:r>
        <w:rPr>
          <w:b/>
          <w:bCs/>
        </w:rPr>
        <w:t xml:space="preserve">Règle de prise</w:t>
      </w:r>
      <w:r>
        <w:t xml:space="preserve"> </w:t>
      </w:r>
      <w:r>
        <w:t xml:space="preserve">: au coucher pour maximiser le temps de contact.</w:t>
      </w:r>
    </w:p>
    <w:p>
      <w:pPr>
        <w:pStyle w:val="Compact"/>
        <w:numPr>
          <w:ilvl w:val="0"/>
          <w:numId w:val="1124"/>
        </w:numPr>
      </w:pPr>
      <w:r>
        <w:rPr>
          <w:b/>
          <w:bCs/>
        </w:rPr>
        <w:t xml:space="preserve">Préparation et Conservation</w:t>
      </w:r>
      <w:r>
        <w:t xml:space="preserve"> </w:t>
      </w:r>
      <w:r>
        <w:t xml:space="preserve">: boîte fermée, à température &lt; 25 °C, à l’abri de l’humidité.</w:t>
      </w:r>
    </w:p>
    <w:p>
      <w:pPr>
        <w:pStyle w:val="Compact"/>
        <w:numPr>
          <w:ilvl w:val="0"/>
          <w:numId w:val="1124"/>
        </w:numPr>
      </w:pPr>
      <w:r>
        <w:rPr>
          <w:b/>
          <w:bCs/>
        </w:rPr>
        <w:t xml:space="preserve">Piège du surdosage / Substitution</w:t>
      </w:r>
      <w:r>
        <w:t xml:space="preserve"> </w:t>
      </w:r>
      <w:r>
        <w:t xml:space="preserve">: ne pas associer deux imidazolés vaginaux. En cas d’échec du fenticonazole, avis médical pour prélèvement et traitement oral par fluconazole.</w:t>
      </w:r>
    </w:p>
    <w:p>
      <w:pPr>
        <w:pStyle w:val="Compact"/>
        <w:numPr>
          <w:ilvl w:val="0"/>
          <w:numId w:val="1124"/>
        </w:numPr>
      </w:pPr>
      <w:r>
        <w:rPr>
          <w:b/>
          <w:bCs/>
        </w:rPr>
        <w:t xml:space="preserve">Alerte</w:t>
      </w:r>
      <w:r>
        <w:t xml:space="preserve"> </w:t>
      </w:r>
      <w:r>
        <w:t xml:space="preserve">: chez la patiente sous anticoagulant oral, surveillance de l’INR.</w:t>
      </w:r>
    </w:p>
    <w:p>
      <w:r>
        <w:pict>
          <v:rect style="width:0;height:1.5pt" o:hralign="center" o:hrstd="t" o:hr="t"/>
        </w:pict>
      </w:r>
    </w:p>
    <w:bookmarkEnd w:id="48"/>
    <w:bookmarkStart w:id="49" w:name="dci-sertaconazole-seule"/>
    <w:p>
      <w:pPr>
        <w:pStyle w:val="Heading3"/>
      </w:pPr>
      <w:r>
        <w:t xml:space="preserve">11.8. DCI : Sertaconazole (Seule)</w:t>
      </w:r>
    </w:p>
    <w:p>
      <w:pPr>
        <w:pStyle w:val="FirstParagraph"/>
      </w:pPr>
      <w:r>
        <w:rPr>
          <w:b/>
          <w:bCs/>
        </w:rPr>
        <w:t xml:space="preserve">Liste des Catégories :</w:t>
      </w:r>
      <w:r>
        <w:t xml:space="preserve"> </w:t>
      </w:r>
      <w:r>
        <w:t xml:space="preserve">Hors liste ; topique cutané et vaginal.</w:t>
      </w:r>
    </w:p>
    <w:p>
      <w:pPr>
        <w:pStyle w:val="BodyText"/>
      </w:pPr>
      <w:r>
        <w:t xml:space="preserve">Le sertaconazole (Ferrer, 1985) est un imidazolé de seconde génération caractérisé par la présence d’un</w:t>
      </w:r>
      <w:r>
        <w:t xml:space="preserve"> </w:t>
      </w:r>
      <w:r>
        <w:rPr>
          <w:b/>
          <w:bCs/>
        </w:rPr>
        <w:t xml:space="preserve">groupe benzothiophène</w:t>
      </w:r>
      <w:r>
        <w:t xml:space="preserve"> </w:t>
      </w:r>
      <w:r>
        <w:t xml:space="preserve">dans sa structure, qui lui confère des propriétés pharmacologiques originales : affinité augmentée pour l’ergostérol, activité anti-inflammatoire propre (inhibition de la 5-lipoxygénase) et spectre élargi incluant certains</w:t>
      </w:r>
      <w:r>
        <w:t xml:space="preserve"> </w:t>
      </w:r>
      <w:r>
        <w:rPr>
          <w:i/>
          <w:iCs/>
        </w:rPr>
        <w:t xml:space="preserve">Malassezia</w:t>
      </w:r>
      <w:r>
        <w:t xml:space="preserve"> </w:t>
      </w:r>
      <w:r>
        <w:t xml:space="preserve">et</w:t>
      </w:r>
      <w:r>
        <w:t xml:space="preserve"> </w:t>
      </w:r>
      <w:r>
        <w:rPr>
          <w:i/>
          <w:iCs/>
        </w:rPr>
        <w:t xml:space="preserve">Scopulariopsis</w:t>
      </w:r>
      <w:r>
        <w:t xml:space="preserve">. Il est disponible en Algérie sous forme de crème dermique 2 % et d’ovules gynécologiques 300 mg (dose unique).</w:t>
      </w:r>
    </w:p>
    <w:p>
      <w:pPr>
        <w:pStyle w:val="BodyText"/>
      </w:pPr>
      <w:r>
        <w:rPr>
          <w:b/>
          <w:bCs/>
        </w:rPr>
        <w:t xml:space="preserve">Médicaments disponibles en Algérie (Marques, Laboratoires, Formes et Dosages) :</w:t>
      </w:r>
    </w:p>
    <w:p>
      <w:pPr>
        <w:pStyle w:val="BodyText"/>
      </w:pPr>
      <w:r>
        <w:rPr>
          <w:i/>
          <w:iCs/>
        </w:rPr>
        <w:t xml:space="preserve">Crème 2 % (0,02) — tube 15 à 20 g :</w:t>
      </w:r>
      <w:r>
        <w:t xml:space="preserve"> </w:t>
      </w:r>
      <w:r>
        <w:t xml:space="preserve">-</w:t>
      </w:r>
      <w:r>
        <w:t xml:space="preserve"> </w:t>
      </w:r>
      <w:r>
        <w:rPr>
          <w:b/>
          <w:bCs/>
        </w:rPr>
        <w:t xml:space="preserve">DERMOCONAZOLE</w:t>
      </w:r>
      <w:r>
        <w:t xml:space="preserve"> </w:t>
      </w:r>
      <w:r>
        <w:t xml:space="preserve">(NOVAPHARM TRADING) — Crème 2 %, tube 20 g —</w:t>
      </w:r>
      <w:r>
        <w:t xml:space="preserve"> </w:t>
      </w:r>
      <w:r>
        <w:rPr>
          <w:b/>
          <w:bCs/>
        </w:rPr>
        <w:t xml:space="preserve">Actif</w:t>
      </w:r>
      <w:r>
        <w:t xml:space="preserve"> </w:t>
      </w:r>
      <w:r>
        <w:t xml:space="preserve">-</w:t>
      </w:r>
      <w:r>
        <w:t xml:space="preserve"> </w:t>
      </w:r>
      <w:r>
        <w:rPr>
          <w:b/>
          <w:bCs/>
        </w:rPr>
        <w:t xml:space="preserve">DERMONYX</w:t>
      </w:r>
      <w:r>
        <w:t xml:space="preserve"> </w:t>
      </w:r>
      <w:r>
        <w:t xml:space="preserve">(ONYX INDUSTRIE PHARMACEUTIQUE) — Crème 2 %, tube 15 g —</w:t>
      </w:r>
      <w:r>
        <w:t xml:space="preserve"> </w:t>
      </w:r>
      <w:r>
        <w:rPr>
          <w:b/>
          <w:bCs/>
        </w:rPr>
        <w:t xml:space="preserve">Actif</w:t>
      </w:r>
      <w:r>
        <w:t xml:space="preserve"> </w:t>
      </w:r>
      <w:r>
        <w:t xml:space="preserve">-</w:t>
      </w:r>
      <w:r>
        <w:t xml:space="preserve"> </w:t>
      </w:r>
      <w:r>
        <w:rPr>
          <w:b/>
          <w:bCs/>
        </w:rPr>
        <w:t xml:space="preserve">DERMOX</w:t>
      </w:r>
      <w:r>
        <w:t xml:space="preserve"> </w:t>
      </w:r>
      <w:r>
        <w:t xml:space="preserve">(NEOMEDIC) — Crème dermique 2 %, tube 20 g —</w:t>
      </w:r>
      <w:r>
        <w:t xml:space="preserve"> </w:t>
      </w:r>
      <w:r>
        <w:rPr>
          <w:b/>
          <w:bCs/>
        </w:rPr>
        <w:t xml:space="preserve">Actif</w:t>
      </w:r>
      <w:r>
        <w:t xml:space="preserve"> </w:t>
      </w:r>
      <w:r>
        <w:t xml:space="preserve">-</w:t>
      </w:r>
      <w:r>
        <w:t xml:space="preserve"> </w:t>
      </w:r>
      <w:r>
        <w:rPr>
          <w:b/>
          <w:bCs/>
        </w:rPr>
        <w:t xml:space="preserve">GYNODERMOFIX</w:t>
      </w:r>
      <w:r>
        <w:t xml:space="preserve"> </w:t>
      </w:r>
      <w:r>
        <w:t xml:space="preserve">(BIOPHARM) — Crème 2 %, tube 20 g —</w:t>
      </w:r>
      <w:r>
        <w:t xml:space="preserve"> </w:t>
      </w:r>
      <w:r>
        <w:rPr>
          <w:b/>
          <w:bCs/>
        </w:rPr>
        <w:t xml:space="preserve">Actif</w:t>
      </w:r>
      <w:r>
        <w:t xml:space="preserve"> </w:t>
      </w:r>
      <w:r>
        <w:t xml:space="preserve">-</w:t>
      </w:r>
      <w:r>
        <w:t xml:space="preserve"> </w:t>
      </w:r>
      <w:r>
        <w:rPr>
          <w:b/>
          <w:bCs/>
        </w:rPr>
        <w:t xml:space="preserve">OVUZOLE</w:t>
      </w:r>
      <w:r>
        <w:t xml:space="preserve"> </w:t>
      </w:r>
      <w:r>
        <w:t xml:space="preserve">(EL KENDI INDUSTRIE DU MEDICAMENT) — Crème 2 %, tube 20 g —</w:t>
      </w:r>
      <w:r>
        <w:t xml:space="preserve"> </w:t>
      </w:r>
      <w:r>
        <w:rPr>
          <w:b/>
          <w:bCs/>
        </w:rPr>
        <w:t xml:space="preserve">Actif</w:t>
      </w:r>
      <w:r>
        <w:t xml:space="preserve"> </w:t>
      </w:r>
      <w:r>
        <w:t xml:space="preserve">-</w:t>
      </w:r>
      <w:r>
        <w:t xml:space="preserve"> </w:t>
      </w:r>
      <w:r>
        <w:rPr>
          <w:b/>
          <w:bCs/>
        </w:rPr>
        <w:t xml:space="preserve">SERTAFIX</w:t>
      </w:r>
      <w:r>
        <w:t xml:space="preserve"> </w:t>
      </w:r>
      <w:r>
        <w:t xml:space="preserve">(SARL BIOREM) — Crème 2 %, tube 20 g —</w:t>
      </w:r>
      <w:r>
        <w:t xml:space="preserve"> </w:t>
      </w:r>
      <w:r>
        <w:rPr>
          <w:b/>
          <w:bCs/>
        </w:rPr>
        <w:t xml:space="preserve">Actif</w:t>
      </w:r>
      <w:r>
        <w:t xml:space="preserve"> </w:t>
      </w:r>
      <w:r>
        <w:t xml:space="preserve">-</w:t>
      </w:r>
      <w:r>
        <w:t xml:space="preserve"> </w:t>
      </w:r>
      <w:r>
        <w:rPr>
          <w:b/>
          <w:bCs/>
        </w:rPr>
        <w:t xml:space="preserve">SERTAZOLE</w:t>
      </w:r>
      <w:r>
        <w:t xml:space="preserve"> </w:t>
      </w:r>
      <w:r>
        <w:t xml:space="preserve">(4A SANTE INDUSTRIE) — Crème 2 %, tube 20 g —</w:t>
      </w:r>
      <w:r>
        <w:t xml:space="preserve"> </w:t>
      </w:r>
      <w:r>
        <w:rPr>
          <w:b/>
          <w:bCs/>
        </w:rPr>
        <w:t xml:space="preserve">Actif</w:t>
      </w:r>
      <w:r>
        <w:t xml:space="preserve"> </w:t>
      </w:r>
      <w:r>
        <w:t xml:space="preserve">-</w:t>
      </w:r>
      <w:r>
        <w:t xml:space="preserve"> </w:t>
      </w:r>
      <w:r>
        <w:rPr>
          <w:b/>
          <w:bCs/>
        </w:rPr>
        <w:t xml:space="preserve">DERMAZOLE</w:t>
      </w:r>
      <w:r>
        <w:t xml:space="preserve"> </w:t>
      </w:r>
      <w:r>
        <w:t xml:space="preserve">(LABORATOIRES PHARMAGHREB) — Crème dermique 2 %, tube 20 g —</w:t>
      </w:r>
      <w:r>
        <w:t xml:space="preserve"> </w:t>
      </w:r>
      <w:r>
        <w:rPr>
          <w:b/>
          <w:bCs/>
        </w:rPr>
        <w:t xml:space="preserve">Actif</w:t>
      </w:r>
    </w:p>
    <w:p>
      <w:pPr>
        <w:pStyle w:val="BodyText"/>
      </w:pPr>
      <w:r>
        <w:rPr>
          <w:i/>
          <w:iCs/>
        </w:rPr>
        <w:t xml:space="preserve">Ovules gynécologiques 300 mg — boîte de 1 (dose unique) :</w:t>
      </w:r>
      <w:r>
        <w:t xml:space="preserve"> </w:t>
      </w:r>
      <w:r>
        <w:t xml:space="preserve">-</w:t>
      </w:r>
      <w:r>
        <w:t xml:space="preserve"> </w:t>
      </w:r>
      <w:r>
        <w:rPr>
          <w:b/>
          <w:bCs/>
        </w:rPr>
        <w:t xml:space="preserve">GYNODERMOFIX</w:t>
      </w:r>
      <w:r>
        <w:t xml:space="preserve"> </w:t>
      </w:r>
      <w:r>
        <w:t xml:space="preserve">(BIOPHARM) — Ovule 300 mg, boîte de 1 —</w:t>
      </w:r>
      <w:r>
        <w:t xml:space="preserve"> </w:t>
      </w:r>
      <w:r>
        <w:rPr>
          <w:b/>
          <w:bCs/>
        </w:rPr>
        <w:t xml:space="preserve">Actif</w:t>
      </w:r>
      <w:r>
        <w:t xml:space="preserve"> </w:t>
      </w:r>
      <w:r>
        <w:t xml:space="preserve">-</w:t>
      </w:r>
      <w:r>
        <w:t xml:space="preserve"> </w:t>
      </w:r>
      <w:r>
        <w:rPr>
          <w:b/>
          <w:bCs/>
        </w:rPr>
        <w:t xml:space="preserve">GYNOMIX</w:t>
      </w:r>
      <w:r>
        <w:t xml:space="preserve"> </w:t>
      </w:r>
      <w:r>
        <w:t xml:space="preserve">(LABORATOIRES SALEM) — Ovule 300 mg, boîte de 1 —</w:t>
      </w:r>
      <w:r>
        <w:t xml:space="preserve"> </w:t>
      </w:r>
      <w:r>
        <w:rPr>
          <w:b/>
          <w:bCs/>
        </w:rPr>
        <w:t xml:space="preserve">Actif</w:t>
      </w:r>
      <w:r>
        <w:t xml:space="preserve"> </w:t>
      </w:r>
      <w:r>
        <w:t xml:space="preserve">-</w:t>
      </w:r>
      <w:r>
        <w:t xml:space="preserve"> </w:t>
      </w:r>
      <w:r>
        <w:rPr>
          <w:b/>
          <w:bCs/>
        </w:rPr>
        <w:t xml:space="preserve">SERTAZOLE</w:t>
      </w:r>
      <w:r>
        <w:t xml:space="preserve"> </w:t>
      </w:r>
      <w:r>
        <w:t xml:space="preserve">(4A SANTE INDUSTRIE) — Ovule 300 mg, boîte de 1 —</w:t>
      </w:r>
      <w:r>
        <w:t xml:space="preserve"> </w:t>
      </w:r>
      <w:r>
        <w:rPr>
          <w:b/>
          <w:bCs/>
        </w:rPr>
        <w:t xml:space="preserve">Actif</w:t>
      </w:r>
    </w:p>
    <w:p>
      <w:pPr>
        <w:pStyle w:val="BodyText"/>
      </w:pPr>
      <w:r>
        <w:rPr>
          <w:i/>
          <w:iCs/>
        </w:rPr>
        <w:t xml:space="preserve">Spécialités Non Renouvelables :</w:t>
      </w:r>
      <w:r>
        <w:t xml:space="preserve"> </w:t>
      </w:r>
      <w:r>
        <w:t xml:space="preserve">-</w:t>
      </w:r>
      <w:r>
        <w:t xml:space="preserve"> </w:t>
      </w:r>
      <w:r>
        <w:rPr>
          <w:b/>
          <w:bCs/>
        </w:rPr>
        <w:t xml:space="preserve">DERMOFIX</w:t>
      </w:r>
      <w:r>
        <w:t xml:space="preserve"> </w:t>
      </w:r>
      <w:r>
        <w:t xml:space="preserve">(FERRER INTERNATIONAL) — Crème 2 %, tube 20 g — Non Renouvelable</w:t>
      </w:r>
      <w:r>
        <w:t xml:space="preserve"> </w:t>
      </w:r>
      <w:r>
        <w:t xml:space="preserve">-</w:t>
      </w:r>
      <w:r>
        <w:t xml:space="preserve"> </w:t>
      </w:r>
      <w:r>
        <w:rPr>
          <w:b/>
          <w:bCs/>
        </w:rPr>
        <w:t xml:space="preserve">DERMOFIX</w:t>
      </w:r>
      <w:r>
        <w:t xml:space="preserve"> </w:t>
      </w:r>
      <w:r>
        <w:t xml:space="preserve">(FERRER INTERNATIONAL) — Gel 2 %, tube 100 g — Non Renouvelable</w:t>
      </w:r>
    </w:p>
    <w:p>
      <w:pPr>
        <w:pStyle w:val="BodyText"/>
      </w:pPr>
      <w:r>
        <w:rPr>
          <w:b/>
          <w:bCs/>
        </w:rPr>
        <w:t xml:space="preserve">Sous-classe et Mécanisme d’action :</w:t>
      </w:r>
    </w:p>
    <w:p>
      <w:pPr>
        <w:pStyle w:val="Compact"/>
        <w:numPr>
          <w:ilvl w:val="0"/>
          <w:numId w:val="1125"/>
        </w:numPr>
      </w:pPr>
      <w:r>
        <w:rPr>
          <w:b/>
          <w:bCs/>
        </w:rPr>
        <w:t xml:space="preserve">Sous-classe</w:t>
      </w:r>
      <w:r>
        <w:t xml:space="preserve"> </w:t>
      </w:r>
      <w:r>
        <w:t xml:space="preserve">: Imidazolé de seconde génération (benzothiophényl-méthyl-imidazole) ; antifongique topique à large spectre avec activité anti-inflammatoire propre.</w:t>
      </w:r>
    </w:p>
    <w:p>
      <w:pPr>
        <w:pStyle w:val="Compact"/>
        <w:numPr>
          <w:ilvl w:val="0"/>
          <w:numId w:val="1125"/>
        </w:numPr>
      </w:pPr>
      <w:r>
        <w:rPr>
          <w:b/>
          <w:bCs/>
        </w:rPr>
        <w:t xml:space="preserve">Mécanisme d’action</w:t>
      </w:r>
      <w:r>
        <w:t xml:space="preserve"> </w:t>
      </w:r>
      <w:r>
        <w:t xml:space="preserve">: Inhibition de la lanostérol 14α-déméthylase fongique (CYP51) par coordination avec le fer ferreux du groupe hème — identique aux autres imidazolés. Le sertaconazole se distingue par deux particularités : (i) le</w:t>
      </w:r>
      <w:r>
        <w:t xml:space="preserve"> </w:t>
      </w:r>
      <w:r>
        <w:rPr>
          <w:b/>
          <w:bCs/>
        </w:rPr>
        <w:t xml:space="preserve">groupe benzothiophène</w:t>
      </w:r>
      <w:r>
        <w:t xml:space="preserve"> </w:t>
      </w:r>
      <w:r>
        <w:t xml:space="preserve">se lie également directement à l’ergostérol membranaire (action polyène-like additive), augmentant l’affinité et la rétention locale de la molécule ; (ii) il inhibe la</w:t>
      </w:r>
      <w:r>
        <w:t xml:space="preserve"> </w:t>
      </w:r>
      <w:r>
        <w:rPr>
          <w:b/>
          <w:bCs/>
        </w:rPr>
        <w:t xml:space="preserve">5-lipoxygénase</w:t>
      </w:r>
      <w:r>
        <w:t xml:space="preserve">, ce qui réduit la synthèse des leucotriènes et explique son activité anti-inflammatoire et antiprurigineuse propre, utile dans les dermatophyties inflammatoires. Spectre :</w:t>
      </w:r>
      <w:r>
        <w:t xml:space="preserve"> </w:t>
      </w:r>
      <w:r>
        <w:rPr>
          <w:i/>
          <w:iCs/>
        </w:rPr>
        <w:t xml:space="preserve">Candida</w:t>
      </w:r>
      <w:r>
        <w:t xml:space="preserve"> </w:t>
      </w:r>
      <w:r>
        <w:t xml:space="preserve">sp., dermatophytes (</w:t>
      </w:r>
      <w:r>
        <w:rPr>
          <w:i/>
          <w:iCs/>
        </w:rPr>
        <w:t xml:space="preserve">Trichophyton, Microsporum, Epidermophyton</w:t>
      </w:r>
      <w:r>
        <w:t xml:space="preserve">),</w:t>
      </w:r>
      <w:r>
        <w:t xml:space="preserve"> </w:t>
      </w:r>
      <w:r>
        <w:rPr>
          <w:i/>
          <w:iCs/>
        </w:rPr>
        <w:t xml:space="preserve">Malassezia furfur</w:t>
      </w:r>
      <w:r>
        <w:t xml:space="preserve">,</w:t>
      </w:r>
      <w:r>
        <w:t xml:space="preserve"> </w:t>
      </w:r>
      <w:r>
        <w:rPr>
          <w:i/>
          <w:iCs/>
        </w:rPr>
        <w:t xml:space="preserve">Scopulariopsis brevicaulis</w:t>
      </w:r>
      <w:r>
        <w:t xml:space="preserve">,</w:t>
      </w:r>
      <w:r>
        <w:t xml:space="preserve"> </w:t>
      </w:r>
      <w:r>
        <w:rPr>
          <w:i/>
          <w:iCs/>
        </w:rPr>
        <w:t xml:space="preserve">Aspergillus</w:t>
      </w:r>
      <w:r>
        <w:t xml:space="preserve"> </w:t>
      </w:r>
      <w:r>
        <w:t xml:space="preserve">sp. Action fungicide à concentration élevée.</w:t>
      </w:r>
    </w:p>
    <w:p>
      <w:pPr>
        <w:pStyle w:val="FirstParagraph"/>
      </w:pPr>
      <w:r>
        <w:rPr>
          <w:b/>
          <w:bCs/>
        </w:rPr>
        <w:t xml:space="preserve">Profil Pharmacologique :</w:t>
      </w:r>
    </w:p>
    <w:p>
      <w:pPr>
        <w:pStyle w:val="Compact"/>
        <w:numPr>
          <w:ilvl w:val="0"/>
          <w:numId w:val="1126"/>
        </w:numPr>
      </w:pPr>
      <w:r>
        <w:rPr>
          <w:b/>
          <w:bCs/>
        </w:rPr>
        <w:t xml:space="preserve">Indications</w:t>
      </w:r>
      <w:r>
        <w:t xml:space="preserve"> </w:t>
      </w:r>
      <w:r>
        <w:t xml:space="preserve">:</w:t>
      </w:r>
    </w:p>
    <w:p>
      <w:pPr>
        <w:pStyle w:val="Compact"/>
        <w:numPr>
          <w:ilvl w:val="1"/>
          <w:numId w:val="1127"/>
        </w:numPr>
      </w:pPr>
      <w:r>
        <w:rPr>
          <w:i/>
          <w:iCs/>
        </w:rPr>
        <w:t xml:space="preserve">Crème dermique</w:t>
      </w:r>
      <w:r>
        <w:t xml:space="preserve"> </w:t>
      </w:r>
      <w:r>
        <w:t xml:space="preserve">: candidoses cutanéo-muqueuses, dermatophyties (pied d’athlète, herpès circiné, intertrigo génital), pityriasis versicolor, dermatophyties inflammatoires (grâce à l’effet anti-inflammatoire propre).</w:t>
      </w:r>
    </w:p>
    <w:p>
      <w:pPr>
        <w:pStyle w:val="Compact"/>
        <w:numPr>
          <w:ilvl w:val="1"/>
          <w:numId w:val="1127"/>
        </w:numPr>
      </w:pPr>
      <w:r>
        <w:rPr>
          <w:i/>
          <w:iCs/>
        </w:rPr>
        <w:t xml:space="preserve">Ovules gynécologiques 300 mg</w:t>
      </w:r>
      <w:r>
        <w:t xml:space="preserve"> </w:t>
      </w:r>
      <w:r>
        <w:t xml:space="preserve">: candidose vaginale (dose unique).</w:t>
      </w:r>
    </w:p>
    <w:p>
      <w:pPr>
        <w:pStyle w:val="Compact"/>
        <w:numPr>
          <w:ilvl w:val="0"/>
          <w:numId w:val="1126"/>
        </w:numPr>
      </w:pPr>
      <w:r>
        <w:rPr>
          <w:b/>
          <w:bCs/>
        </w:rPr>
        <w:t xml:space="preserve">Contre-indications</w:t>
      </w:r>
      <w:r>
        <w:t xml:space="preserve"> </w:t>
      </w:r>
      <w:r>
        <w:t xml:space="preserve">: hypersensibilité au sertaconazole ou aux autres imidazolés ; 1ᵉʳ trimestre de grossesse pour les ovules.</w:t>
      </w:r>
    </w:p>
    <w:p>
      <w:pPr>
        <w:pStyle w:val="Compact"/>
        <w:numPr>
          <w:ilvl w:val="0"/>
          <w:numId w:val="1126"/>
        </w:numPr>
      </w:pPr>
      <w:r>
        <w:rPr>
          <w:b/>
          <w:bCs/>
        </w:rPr>
        <w:t xml:space="preserve">Effets Indésirables</w:t>
      </w:r>
      <w:r>
        <w:t xml:space="preserve"> </w:t>
      </w:r>
      <w:r>
        <w:t xml:space="preserve">:</w:t>
      </w:r>
    </w:p>
    <w:p>
      <w:pPr>
        <w:pStyle w:val="Compact"/>
        <w:numPr>
          <w:ilvl w:val="1"/>
          <w:numId w:val="1128"/>
        </w:numPr>
      </w:pPr>
      <w:r>
        <w:rPr>
          <w:i/>
          <w:iCs/>
        </w:rPr>
        <w:t xml:space="preserve">Cutané</w:t>
      </w:r>
      <w:r>
        <w:t xml:space="preserve"> </w:t>
      </w:r>
      <w:r>
        <w:t xml:space="preserve">: sensation de brûlure transitoire, prurit, érythème, irritation locale, dermite de contact allergique (rare). Généralement bien toléré grâce à l’effet anti-inflammatoire propre.</w:t>
      </w:r>
    </w:p>
    <w:p>
      <w:pPr>
        <w:pStyle w:val="Compact"/>
        <w:numPr>
          <w:ilvl w:val="1"/>
          <w:numId w:val="1128"/>
        </w:numPr>
      </w:pPr>
      <w:r>
        <w:rPr>
          <w:i/>
          <w:iCs/>
        </w:rPr>
        <w:t xml:space="preserve">Vaginal</w:t>
      </w:r>
      <w:r>
        <w:t xml:space="preserve"> </w:t>
      </w:r>
      <w:r>
        <w:t xml:space="preserve">: sensation de brûlure locale, irritation.</w:t>
      </w:r>
    </w:p>
    <w:p>
      <w:pPr>
        <w:pStyle w:val="Compact"/>
        <w:numPr>
          <w:ilvl w:val="1"/>
          <w:numId w:val="1128"/>
        </w:numPr>
      </w:pPr>
      <w:r>
        <w:rPr>
          <w:i/>
          <w:iCs/>
        </w:rPr>
        <w:t xml:space="preserve">Systémique</w:t>
      </w:r>
      <w:r>
        <w:t xml:space="preserve"> </w:t>
      </w:r>
      <w:r>
        <w:t xml:space="preserve">: absorption très faible.</w:t>
      </w:r>
    </w:p>
    <w:p>
      <w:pPr>
        <w:pStyle w:val="FirstParagraph"/>
      </w:pPr>
      <w:r>
        <w:rPr>
          <w:b/>
          <w:bCs/>
        </w:rPr>
        <w:t xml:space="preserve">Prévention et Gestion des Effets Indésirables :</w:t>
      </w:r>
    </w:p>
    <w:p>
      <w:pPr>
        <w:pStyle w:val="Compact"/>
        <w:numPr>
          <w:ilvl w:val="0"/>
          <w:numId w:val="1129"/>
        </w:numPr>
      </w:pPr>
      <w:r>
        <w:rPr>
          <w:b/>
          <w:bCs/>
        </w:rPr>
        <w:t xml:space="preserve">Mesures Préventives</w:t>
      </w:r>
      <w:r>
        <w:t xml:space="preserve"> </w:t>
      </w:r>
      <w:r>
        <w:t xml:space="preserve">: application sur peau propre et sèche, 2 fois par jour. Ovule au coucher.</w:t>
      </w:r>
    </w:p>
    <w:p>
      <w:pPr>
        <w:pStyle w:val="Compact"/>
        <w:numPr>
          <w:ilvl w:val="0"/>
          <w:numId w:val="1129"/>
        </w:numPr>
      </w:pPr>
      <w:r>
        <w:rPr>
          <w:b/>
          <w:bCs/>
        </w:rPr>
        <w:t xml:space="preserve">Conduite à Tenir</w:t>
      </w:r>
      <w:r>
        <w:t xml:space="preserve"> </w:t>
      </w:r>
      <w:r>
        <w:t xml:space="preserve">:</w:t>
      </w:r>
    </w:p>
    <w:p>
      <w:pPr>
        <w:pStyle w:val="Compact"/>
        <w:numPr>
          <w:ilvl w:val="1"/>
          <w:numId w:val="1130"/>
        </w:numPr>
      </w:pPr>
      <w:r>
        <w:rPr>
          <w:i/>
          <w:iCs/>
        </w:rPr>
        <w:t xml:space="preserve">Dermatite de contact</w:t>
      </w:r>
      <w:r>
        <w:t xml:space="preserve"> </w:t>
      </w:r>
      <w:r>
        <w:t xml:space="preserve">: arrêt, relais par allylamine ou autre azolé.</w:t>
      </w:r>
    </w:p>
    <w:p>
      <w:pPr>
        <w:pStyle w:val="Compact"/>
        <w:numPr>
          <w:ilvl w:val="1"/>
          <w:numId w:val="1130"/>
        </w:numPr>
      </w:pPr>
      <w:r>
        <w:rPr>
          <w:i/>
          <w:iCs/>
        </w:rPr>
        <w:t xml:space="preserve">Récidive de candidose vaginale</w:t>
      </w:r>
      <w:r>
        <w:t xml:space="preserve"> </w:t>
      </w:r>
      <w:r>
        <w:t xml:space="preserve">: avis gynécologique.</w:t>
      </w:r>
    </w:p>
    <w:p>
      <w:pPr>
        <w:pStyle w:val="FirstParagraph"/>
      </w:pPr>
      <w:r>
        <w:rPr>
          <w:b/>
          <w:bCs/>
        </w:rPr>
        <w:t xml:space="preserve">Interactions Importantes :</w:t>
      </w:r>
    </w:p>
    <w:p>
      <w:pPr>
        <w:pStyle w:val="Compact"/>
        <w:numPr>
          <w:ilvl w:val="0"/>
          <w:numId w:val="1131"/>
        </w:numPr>
      </w:pPr>
      <w:r>
        <w:rPr>
          <w:b/>
          <w:bCs/>
        </w:rPr>
        <w:t xml:space="preserve">Anticoagulants oraux</w:t>
      </w:r>
      <w:r>
        <w:t xml:space="preserve"> </w:t>
      </w:r>
      <w:r>
        <w:t xml:space="preserve">: risque théorique de potentialisation par inhibition CYP2C9, à surveiller.</w:t>
      </w:r>
    </w:p>
    <w:p>
      <w:pPr>
        <w:pStyle w:val="Compact"/>
        <w:numPr>
          <w:ilvl w:val="0"/>
          <w:numId w:val="1131"/>
        </w:numPr>
      </w:pPr>
      <w:r>
        <w:rPr>
          <w:b/>
          <w:bCs/>
        </w:rPr>
        <w:t xml:space="preserve">Spermicides et préservatifs en latex</w:t>
      </w:r>
      <w:r>
        <w:t xml:space="preserve"> </w:t>
      </w:r>
      <w:r>
        <w:t xml:space="preserve">: le sertaconazole en base grasse peut altérer le latex.</w:t>
      </w:r>
    </w:p>
    <w:p>
      <w:pPr>
        <w:pStyle w:val="FirstParagraph"/>
      </w:pPr>
      <w:r>
        <w:rPr>
          <w:b/>
          <w:bCs/>
        </w:rPr>
        <w:t xml:space="preserve">Grossesse et Allaitement :</w:t>
      </w:r>
    </w:p>
    <w:p>
      <w:pPr>
        <w:pStyle w:val="Compact"/>
        <w:numPr>
          <w:ilvl w:val="0"/>
          <w:numId w:val="1132"/>
        </w:numPr>
      </w:pPr>
      <w:r>
        <w:rPr>
          <w:b/>
          <w:bCs/>
        </w:rPr>
        <w:t xml:space="preserve">Grossesse</w:t>
      </w:r>
      <w:r>
        <w:t xml:space="preserve"> </w:t>
      </w:r>
      <w:r>
        <w:t xml:space="preserve">: Selon le CRAT, le sertaconazole topique cutané est</w:t>
      </w:r>
      <w:r>
        <w:t xml:space="preserve"> </w:t>
      </w:r>
      <w:r>
        <w:rPr>
          <w:b/>
          <w:bCs/>
        </w:rPr>
        <w:t xml:space="preserve">utilisable chez la femme enceinte</w:t>
      </w:r>
      <w:r>
        <w:t xml:space="preserve"> </w:t>
      </w:r>
      <w:r>
        <w:t xml:space="preserve">à tous les trimestres. Pour la forme vaginale, déconseillé au 1ᵉʳ trimestre et autorisé au 2ᵉ et 3ᵉ trimestre.</w:t>
      </w:r>
    </w:p>
    <w:p>
      <w:pPr>
        <w:pStyle w:val="Compact"/>
        <w:numPr>
          <w:ilvl w:val="0"/>
          <w:numId w:val="1132"/>
        </w:numPr>
      </w:pPr>
      <w:r>
        <w:rPr>
          <w:b/>
          <w:bCs/>
        </w:rPr>
        <w:t xml:space="preserve">Allaitement</w:t>
      </w:r>
      <w:r>
        <w:t xml:space="preserve"> </w:t>
      </w:r>
      <w:r>
        <w:t xml:space="preserve">: Compatible avec l’allaitement pour les formes cutanées. Éviter l’application sur le sein avant la tétée.</w:t>
      </w:r>
    </w:p>
    <w:p>
      <w:pPr>
        <w:pStyle w:val="Compact"/>
        <w:numPr>
          <w:ilvl w:val="0"/>
          <w:numId w:val="1132"/>
        </w:numPr>
      </w:pPr>
      <w:r>
        <w:rPr>
          <w:b/>
          <w:bCs/>
        </w:rPr>
        <w:t xml:space="preserve">Précisions</w:t>
      </w:r>
      <w:r>
        <w:t xml:space="preserve"> </w:t>
      </w:r>
      <w:r>
        <w:t xml:space="preserve">: L’effet anti-inflammatoire propre du sertaconazole en fait une option intéressante pour les dermatophyties très inflammatoires de la femme enceinte (alternative aux associations fixes avec corticoïde).</w:t>
      </w:r>
    </w:p>
    <w:p>
      <w:pPr>
        <w:pStyle w:val="FirstParagraph"/>
      </w:pPr>
      <w:r>
        <w:rPr>
          <w:b/>
          <w:bCs/>
        </w:rPr>
        <w:t xml:space="preserve">Posologie et Mode d’administration (Standard) :</w:t>
      </w:r>
    </w:p>
    <w:p>
      <w:pPr>
        <w:pStyle w:val="Compact"/>
        <w:numPr>
          <w:ilvl w:val="0"/>
          <w:numId w:val="1133"/>
        </w:numPr>
      </w:pPr>
      <w:r>
        <w:rPr>
          <w:b/>
          <w:bCs/>
        </w:rPr>
        <w:t xml:space="preserve">Adulte</w:t>
      </w:r>
      <w:r>
        <w:t xml:space="preserve"> </w:t>
      </w:r>
      <w:r>
        <w:t xml:space="preserve">:</w:t>
      </w:r>
    </w:p>
    <w:p>
      <w:pPr>
        <w:pStyle w:val="Compact"/>
        <w:numPr>
          <w:ilvl w:val="1"/>
          <w:numId w:val="1134"/>
        </w:numPr>
      </w:pPr>
      <w:r>
        <w:rPr>
          <w:i/>
          <w:iCs/>
        </w:rPr>
        <w:t xml:space="preserve">Crème dermique 2 %</w:t>
      </w:r>
      <w:r>
        <w:t xml:space="preserve"> </w:t>
      </w:r>
      <w:r>
        <w:t xml:space="preserve">: 2 applications par jour sur peau propre et sèche, pendant 2 à 4 semaines (candidoses, pityriasis) ou 4 à 6 semaines (dermatophyties).</w:t>
      </w:r>
    </w:p>
    <w:p>
      <w:pPr>
        <w:pStyle w:val="Compact"/>
        <w:numPr>
          <w:ilvl w:val="1"/>
          <w:numId w:val="1134"/>
        </w:numPr>
      </w:pPr>
      <w:r>
        <w:rPr>
          <w:i/>
          <w:iCs/>
        </w:rPr>
        <w:t xml:space="preserve">Ovule 300 mg</w:t>
      </w:r>
      <w:r>
        <w:t xml:space="preserve"> </w:t>
      </w:r>
      <w:r>
        <w:t xml:space="preserve">: 1 ovule en dose unique au coucher, en position allongée.</w:t>
      </w:r>
    </w:p>
    <w:p>
      <w:pPr>
        <w:pStyle w:val="Compact"/>
        <w:numPr>
          <w:ilvl w:val="0"/>
          <w:numId w:val="1133"/>
        </w:numPr>
      </w:pPr>
      <w:r>
        <w:rPr>
          <w:b/>
          <w:bCs/>
        </w:rPr>
        <w:t xml:space="preserve">Enfant</w:t>
      </w:r>
      <w:r>
        <w:t xml:space="preserve"> </w:t>
      </w:r>
      <w:r>
        <w:t xml:space="preserve">: crème : à partir de 1 mois, 1 application/jour.</w:t>
      </w:r>
    </w:p>
    <w:p>
      <w:pPr>
        <w:pStyle w:val="Compact"/>
        <w:numPr>
          <w:ilvl w:val="0"/>
          <w:numId w:val="1133"/>
        </w:numPr>
      </w:pPr>
      <w:r>
        <w:rPr>
          <w:b/>
          <w:bCs/>
        </w:rPr>
        <w:t xml:space="preserve">Durée</w:t>
      </w:r>
      <w:r>
        <w:t xml:space="preserve"> </w:t>
      </w:r>
      <w:r>
        <w:t xml:space="preserve">: candidose cutanée 2 à 4 semaines ; dermatophytie 4 à 6 semaines ; pityriasis versicolor 2 à 3 semaines ; candidose vaginale dose unique.</w:t>
      </w:r>
    </w:p>
    <w:p>
      <w:pPr>
        <w:pStyle w:val="Compact"/>
        <w:numPr>
          <w:ilvl w:val="0"/>
          <w:numId w:val="1133"/>
        </w:numPr>
      </w:pPr>
      <w:r>
        <w:rPr>
          <w:b/>
          <w:bCs/>
        </w:rPr>
        <w:t xml:space="preserve">Moment de prise</w:t>
      </w:r>
      <w:r>
        <w:t xml:space="preserve"> </w:t>
      </w:r>
      <w:r>
        <w:t xml:space="preserve">: crème matin et soir sur peau propre et sèche ; ovule au coucher.</w:t>
      </w:r>
    </w:p>
    <w:p>
      <w:pPr>
        <w:pStyle w:val="FirstParagraph"/>
      </w:pPr>
      <w:r>
        <w:rPr>
          <w:b/>
          <w:bCs/>
        </w:rPr>
        <w:t xml:space="preserve">Arbitrage et Bénéfices des Formes Galéniques :</w:t>
      </w:r>
    </w:p>
    <w:p>
      <w:pPr>
        <w:pStyle w:val="BodyText"/>
      </w:pPr>
      <w:r>
        <w:t xml:space="preserve">Le sertaconazole occupe une place originale dans l’arsenal thérapeutique : son</w:t>
      </w:r>
      <w:r>
        <w:t xml:space="preserve"> </w:t>
      </w:r>
      <w:r>
        <w:rPr>
          <w:b/>
          <w:bCs/>
        </w:rPr>
        <w:t xml:space="preserve">effet anti-inflammatoire propre</w:t>
      </w:r>
      <w:r>
        <w:t xml:space="preserve"> </w:t>
      </w:r>
      <w:r>
        <w:t xml:space="preserve">(lié à l’inhibition de la 5-lipoxygénase) en fait une alternative de choix aux associations fixes imidazolé + corticoïde (nystatine + triamcinolone + néomycine) dans les dermatophyties inflammatoires. Il évite l’exposition à un corticoïde et à un aminoside, tout en offrant une couverture antifongique large et un effet antiprurigineux. Sa disponibilité en Algérie sous</w:t>
      </w:r>
      <w:r>
        <w:t xml:space="preserve"> </w:t>
      </w:r>
      <w:r>
        <w:rPr>
          <w:b/>
          <w:bCs/>
        </w:rPr>
        <w:t xml:space="preserve">8 marques actives</w:t>
      </w:r>
      <w:r>
        <w:t xml:space="preserve"> </w:t>
      </w:r>
      <w:r>
        <w:t xml:space="preserve">en crème et</w:t>
      </w:r>
      <w:r>
        <w:t xml:space="preserve"> </w:t>
      </w:r>
      <w:r>
        <w:rPr>
          <w:b/>
          <w:bCs/>
        </w:rPr>
        <w:t xml:space="preserve">3 marques actives</w:t>
      </w:r>
      <w:r>
        <w:t xml:space="preserve"> </w:t>
      </w:r>
      <w:r>
        <w:t xml:space="preserve">en ovule témoigne de son adoption large.</w:t>
      </w:r>
    </w:p>
    <w:p>
      <w:pPr>
        <w:pStyle w:val="BodyText"/>
      </w:pPr>
      <w:r>
        <w:rPr>
          <w:b/>
          <w:bCs/>
        </w:rPr>
        <w:t xml:space="preserve">Instructions et Conseils au Patient :</w:t>
      </w:r>
    </w:p>
    <w:p>
      <w:pPr>
        <w:pStyle w:val="Compact"/>
        <w:numPr>
          <w:ilvl w:val="0"/>
          <w:numId w:val="1135"/>
        </w:numPr>
      </w:pPr>
      <w:r>
        <w:rPr>
          <w:b/>
          <w:bCs/>
        </w:rPr>
        <w:t xml:space="preserve">Communication au comptoir</w:t>
      </w:r>
      <w:r>
        <w:t xml:space="preserve"> </w:t>
      </w:r>
      <w:r>
        <w:t xml:space="preserve">:</w:t>
      </w:r>
    </w:p>
    <w:p>
      <w:pPr>
        <w:pStyle w:val="Compact"/>
        <w:numPr>
          <w:ilvl w:val="1"/>
          <w:numId w:val="1136"/>
        </w:numPr>
      </w:pPr>
      <w:r>
        <w:t xml:space="preserve">« Pour la crème : appliquez 2 fois par jour sur peau propre et sèche, pendant 2 à 4 semaines. »</w:t>
      </w:r>
    </w:p>
    <w:p>
      <w:pPr>
        <w:pStyle w:val="Compact"/>
        <w:numPr>
          <w:ilvl w:val="1"/>
          <w:numId w:val="1136"/>
        </w:numPr>
      </w:pPr>
      <w:r>
        <w:t xml:space="preserve">« Pour l’ovule : insérez profondément au coucher, en dose unique. »</w:t>
      </w:r>
    </w:p>
    <w:p>
      <w:pPr>
        <w:pStyle w:val="Compact"/>
        <w:numPr>
          <w:ilvl w:val="1"/>
          <w:numId w:val="1136"/>
        </w:numPr>
      </w:pPr>
      <w:r>
        <w:t xml:space="preserve">« Le sertaconazole a un effet anti-inflammatoire propre — utile si la lésion est très rouge et démange. »</w:t>
      </w:r>
    </w:p>
    <w:p>
      <w:pPr>
        <w:pStyle w:val="Compact"/>
        <w:numPr>
          <w:ilvl w:val="0"/>
          <w:numId w:val="1135"/>
        </w:numPr>
      </w:pPr>
      <w:r>
        <w:rPr>
          <w:b/>
          <w:bCs/>
        </w:rPr>
        <w:t xml:space="preserve">Mode d’utilisation pratique</w:t>
      </w:r>
      <w:r>
        <w:t xml:space="preserve"> </w:t>
      </w:r>
      <w:r>
        <w:t xml:space="preserve">:</w:t>
      </w:r>
    </w:p>
    <w:p>
      <w:pPr>
        <w:pStyle w:val="Compact"/>
        <w:numPr>
          <w:ilvl w:val="1"/>
          <w:numId w:val="1137"/>
        </w:numPr>
      </w:pPr>
      <w:r>
        <w:t xml:space="preserve">Pour les dermatophyties inflammatoires : ne pas associer à un corticoïde topique (le sertaconazole suffit).</w:t>
      </w:r>
    </w:p>
    <w:p>
      <w:pPr>
        <w:pStyle w:val="Compact"/>
        <w:numPr>
          <w:ilvl w:val="1"/>
          <w:numId w:val="1137"/>
        </w:numPr>
      </w:pPr>
      <w:r>
        <w:t xml:space="preserve">Bien sécher les plis avant application.</w:t>
      </w:r>
    </w:p>
    <w:p>
      <w:pPr>
        <w:pStyle w:val="FirstParagraph"/>
      </w:pPr>
      <w:r>
        <w:rPr>
          <w:b/>
          <w:bCs/>
        </w:rPr>
        <w:t xml:space="preserve">Notes, Règles d’Or &amp; Pièges au Comptoir :</w:t>
      </w:r>
    </w:p>
    <w:p>
      <w:pPr>
        <w:pStyle w:val="Compact"/>
        <w:numPr>
          <w:ilvl w:val="0"/>
          <w:numId w:val="1138"/>
        </w:numPr>
      </w:pPr>
      <w:r>
        <w:rPr>
          <w:b/>
          <w:bCs/>
        </w:rPr>
        <w:t xml:space="preserve">Piège classique</w:t>
      </w:r>
      <w:r>
        <w:t xml:space="preserve"> </w:t>
      </w:r>
      <w:r>
        <w:t xml:space="preserve">: le sertaconazole peut être utilisé en alternative aux associations fixes avec corticoïde dans les mycoses inflammatoires — il ne faut pas nécessairement rajouter un dermocorticoïde.</w:t>
      </w:r>
    </w:p>
    <w:p>
      <w:pPr>
        <w:pStyle w:val="Compact"/>
        <w:numPr>
          <w:ilvl w:val="0"/>
          <w:numId w:val="1138"/>
        </w:numPr>
      </w:pPr>
      <w:r>
        <w:rPr>
          <w:b/>
          <w:bCs/>
        </w:rPr>
        <w:t xml:space="preserve">Règle de prise</w:t>
      </w:r>
      <w:r>
        <w:t xml:space="preserve"> </w:t>
      </w:r>
      <w:r>
        <w:t xml:space="preserve">: crème 2 fois par jour sur peau sèche ; ovule au coucher.</w:t>
      </w:r>
    </w:p>
    <w:p>
      <w:pPr>
        <w:pStyle w:val="Compact"/>
        <w:numPr>
          <w:ilvl w:val="0"/>
          <w:numId w:val="1138"/>
        </w:numPr>
      </w:pPr>
      <w:r>
        <w:rPr>
          <w:b/>
          <w:bCs/>
        </w:rPr>
        <w:t xml:space="preserve">Préparation et Conservation</w:t>
      </w:r>
      <w:r>
        <w:t xml:space="preserve"> </w:t>
      </w:r>
      <w:r>
        <w:t xml:space="preserve">: tube ou boîte fermés, à température &lt; 25 °C.</w:t>
      </w:r>
    </w:p>
    <w:p>
      <w:pPr>
        <w:pStyle w:val="Compact"/>
        <w:numPr>
          <w:ilvl w:val="0"/>
          <w:numId w:val="1138"/>
        </w:numPr>
      </w:pPr>
      <w:r>
        <w:rPr>
          <w:b/>
          <w:bCs/>
        </w:rPr>
        <w:t xml:space="preserve">Piège du surdosage / Substitution</w:t>
      </w:r>
      <w:r>
        <w:t xml:space="preserve"> </w:t>
      </w:r>
      <w:r>
        <w:t xml:space="preserve">: ne pas associer deux imidazolés topiques.</w:t>
      </w:r>
    </w:p>
    <w:p>
      <w:pPr>
        <w:pStyle w:val="Compact"/>
        <w:numPr>
          <w:ilvl w:val="0"/>
          <w:numId w:val="1138"/>
        </w:numPr>
      </w:pPr>
      <w:r>
        <w:rPr>
          <w:b/>
          <w:bCs/>
        </w:rPr>
        <w:t xml:space="preserve">Alerte</w:t>
      </w:r>
      <w:r>
        <w:t xml:space="preserve"> </w:t>
      </w:r>
      <w:r>
        <w:t xml:space="preserve">: chez la patiente sous anticoagulant oral, surveillance de l’INR pour l’ovule.</w:t>
      </w:r>
    </w:p>
    <w:p>
      <w:r>
        <w:pict>
          <v:rect style="width:0;height:1.5pt" o:hralign="center" o:hrstd="t" o:hr="t"/>
        </w:pict>
      </w:r>
    </w:p>
    <w:bookmarkEnd w:id="49"/>
    <w:bookmarkStart w:id="50" w:name="dci-butoconazole-seule"/>
    <w:p>
      <w:pPr>
        <w:pStyle w:val="Heading3"/>
      </w:pPr>
      <w:r>
        <w:t xml:space="preserve">11.9. DCI : Butoconazole (Seule)</w:t>
      </w:r>
    </w:p>
    <w:p>
      <w:pPr>
        <w:pStyle w:val="FirstParagraph"/>
      </w:pPr>
      <w:r>
        <w:rPr>
          <w:b/>
          <w:bCs/>
        </w:rPr>
        <w:t xml:space="preserve">Liste des Catégories :</w:t>
      </w:r>
      <w:r>
        <w:t xml:space="preserve"> </w:t>
      </w:r>
      <w:r>
        <w:t xml:space="preserve">LISTE I ; topique vaginal.</w:t>
      </w:r>
    </w:p>
    <w:p>
      <w:pPr>
        <w:pStyle w:val="BodyText"/>
      </w:pPr>
      <w:r>
        <w:t xml:space="preserve">Le butoconazole est un imidazolé de seconde génération à usage strictement vaginal, disponible historiquement en Algérie sous la marque Gynomyc (Russel) en ovule 100 mg (boîte de 3). Cette spécialité est actuellement</w:t>
      </w:r>
      <w:r>
        <w:t xml:space="preserve"> </w:t>
      </w:r>
      <w:r>
        <w:rPr>
          <w:b/>
          <w:bCs/>
        </w:rPr>
        <w:t xml:space="preserve">retirée du marché algérien</w:t>
      </w:r>
      <w:r>
        <w:t xml:space="preserve"> </w:t>
      </w:r>
      <w:r>
        <w:t xml:space="preserve">(nomenclature Avril 2026) mais peut encore être trouvée dans certaines pharmacies à stocks résiduels. Le pharmacien doit être informé de son retrait et orienter la patiente vers un alternatif disponible (clotrimazole, éconazole, fenticonazole, sertaconazole).</w:t>
      </w:r>
    </w:p>
    <w:p>
      <w:pPr>
        <w:pStyle w:val="BodyText"/>
      </w:pPr>
      <w:r>
        <w:rPr>
          <w:b/>
          <w:bCs/>
        </w:rPr>
        <w:t xml:space="preserve">Médicaments disponibles en Algérie (Marques, Laboratoires, Formes et Dosages) :</w:t>
      </w:r>
    </w:p>
    <w:p>
      <w:pPr>
        <w:pStyle w:val="Compact"/>
        <w:numPr>
          <w:ilvl w:val="0"/>
          <w:numId w:val="1139"/>
        </w:numPr>
      </w:pPr>
      <w:r>
        <w:rPr>
          <w:b/>
          <w:bCs/>
        </w:rPr>
        <w:t xml:space="preserve">GYNOMYK</w:t>
      </w:r>
      <w:r>
        <w:t xml:space="preserve"> </w:t>
      </w:r>
      <w:r>
        <w:t xml:space="preserve">(ROUSSEL) — Butoconazole (nitrate), Ovule 100 mg, boîte de 3 —</w:t>
      </w:r>
      <w:r>
        <w:t xml:space="preserve"> </w:t>
      </w:r>
      <w:r>
        <w:rPr>
          <w:b/>
          <w:bCs/>
        </w:rPr>
        <w:t xml:space="preserve">Retiré (R)</w:t>
      </w:r>
    </w:p>
    <w:p>
      <w:pPr>
        <w:pStyle w:val="FirstParagraph"/>
      </w:pPr>
      <w:r>
        <w:rPr>
          <w:b/>
          <w:bCs/>
        </w:rPr>
        <w:t xml:space="preserve">Sous-classe et Mécanisme d’action :</w:t>
      </w:r>
    </w:p>
    <w:p>
      <w:pPr>
        <w:pStyle w:val="Compact"/>
        <w:numPr>
          <w:ilvl w:val="0"/>
          <w:numId w:val="1140"/>
        </w:numPr>
      </w:pPr>
      <w:r>
        <w:rPr>
          <w:b/>
          <w:bCs/>
        </w:rPr>
        <w:t xml:space="preserve">Sous-classe</w:t>
      </w:r>
      <w:r>
        <w:t xml:space="preserve"> </w:t>
      </w:r>
      <w:r>
        <w:t xml:space="preserve">: Imidazolé de seconde génération ; antifongique vaginal à large spectre.</w:t>
      </w:r>
    </w:p>
    <w:p>
      <w:pPr>
        <w:pStyle w:val="Compact"/>
        <w:numPr>
          <w:ilvl w:val="0"/>
          <w:numId w:val="1140"/>
        </w:numPr>
      </w:pPr>
      <w:r>
        <w:rPr>
          <w:b/>
          <w:bCs/>
        </w:rPr>
        <w:t xml:space="preserve">Mécanisme d’action</w:t>
      </w:r>
      <w:r>
        <w:t xml:space="preserve"> </w:t>
      </w:r>
      <w:r>
        <w:t xml:space="preserve">: Inhibition de la lanostérol 14α-déméthylase fongique (CYP51) par coordination avec le fer ferreux du groupe hème — identique aux autres imidazolés. Spectre :</w:t>
      </w:r>
      <w:r>
        <w:t xml:space="preserve"> </w:t>
      </w:r>
      <w:r>
        <w:rPr>
          <w:i/>
          <w:iCs/>
        </w:rPr>
        <w:t xml:space="preserve">Candida</w:t>
      </w:r>
      <w:r>
        <w:t xml:space="preserve"> </w:t>
      </w:r>
      <w:r>
        <w:t xml:space="preserve">sp. (activité remarquable sur</w:t>
      </w:r>
      <w:r>
        <w:t xml:space="preserve"> </w:t>
      </w:r>
      <w:r>
        <w:rPr>
          <w:i/>
          <w:iCs/>
        </w:rPr>
        <w:t xml:space="preserve">C. albicans</w:t>
      </w:r>
      <w:r>
        <w:t xml:space="preserve">), activité modeste sur</w:t>
      </w:r>
      <w:r>
        <w:t xml:space="preserve"> </w:t>
      </w:r>
      <w:r>
        <w:rPr>
          <w:i/>
          <w:iCs/>
        </w:rPr>
        <w:t xml:space="preserve">Trichomonas vaginalis</w:t>
      </w:r>
      <w:r>
        <w:t xml:space="preserve"> </w:t>
      </w:r>
      <w:r>
        <w:t xml:space="preserve">et</w:t>
      </w:r>
      <w:r>
        <w:t xml:space="preserve"> </w:t>
      </w:r>
      <w:r>
        <w:rPr>
          <w:i/>
          <w:iCs/>
        </w:rPr>
        <w:t xml:space="preserve">Gardnerella vaginalis</w:t>
      </w:r>
      <w:r>
        <w:t xml:space="preserve">. Action fungistatique.</w:t>
      </w:r>
    </w:p>
    <w:p>
      <w:pPr>
        <w:pStyle w:val="FirstParagraph"/>
      </w:pPr>
      <w:r>
        <w:rPr>
          <w:b/>
          <w:bCs/>
        </w:rPr>
        <w:t xml:space="preserve">Profil Pharmacologique :</w:t>
      </w:r>
    </w:p>
    <w:p>
      <w:pPr>
        <w:pStyle w:val="Compact"/>
        <w:numPr>
          <w:ilvl w:val="0"/>
          <w:numId w:val="1141"/>
        </w:numPr>
      </w:pPr>
      <w:r>
        <w:rPr>
          <w:b/>
          <w:bCs/>
        </w:rPr>
        <w:t xml:space="preserve">Indications</w:t>
      </w:r>
      <w:r>
        <w:t xml:space="preserve"> </w:t>
      </w:r>
      <w:r>
        <w:t xml:space="preserve">: candidose vaginale (vulvo-vaginite candidosique).</w:t>
      </w:r>
    </w:p>
    <w:p>
      <w:pPr>
        <w:pStyle w:val="Compact"/>
        <w:numPr>
          <w:ilvl w:val="0"/>
          <w:numId w:val="1141"/>
        </w:numPr>
      </w:pPr>
      <w:r>
        <w:rPr>
          <w:b/>
          <w:bCs/>
        </w:rPr>
        <w:t xml:space="preserve">Contre-indications</w:t>
      </w:r>
      <w:r>
        <w:t xml:space="preserve"> </w:t>
      </w:r>
      <w:r>
        <w:t xml:space="preserve">: hypersensibilité ; 1ᵉʳ trimestre de grossesse.</w:t>
      </w:r>
    </w:p>
    <w:p>
      <w:pPr>
        <w:pStyle w:val="Compact"/>
        <w:numPr>
          <w:ilvl w:val="0"/>
          <w:numId w:val="1141"/>
        </w:numPr>
      </w:pPr>
      <w:r>
        <w:rPr>
          <w:b/>
          <w:bCs/>
        </w:rPr>
        <w:t xml:space="preserve">Effets Indésirables</w:t>
      </w:r>
      <w:r>
        <w:t xml:space="preserve"> </w:t>
      </w:r>
      <w:r>
        <w:t xml:space="preserve">: sensation de brûlure locale, irritation, leucorrhées accrues transitoirement, dermite de contact allergique rare.</w:t>
      </w:r>
    </w:p>
    <w:p>
      <w:pPr>
        <w:pStyle w:val="FirstParagraph"/>
      </w:pPr>
      <w:r>
        <w:rPr>
          <w:b/>
          <w:bCs/>
        </w:rPr>
        <w:t xml:space="preserve">Prévention et Gestion des Effets Indésirables :</w:t>
      </w:r>
    </w:p>
    <w:p>
      <w:pPr>
        <w:pStyle w:val="Compact"/>
        <w:numPr>
          <w:ilvl w:val="0"/>
          <w:numId w:val="1142"/>
        </w:numPr>
      </w:pPr>
      <w:r>
        <w:rPr>
          <w:b/>
          <w:bCs/>
        </w:rPr>
        <w:t xml:space="preserve">Mesures Préventives</w:t>
      </w:r>
      <w:r>
        <w:t xml:space="preserve"> </w:t>
      </w:r>
      <w:r>
        <w:t xml:space="preserve">: ovule au coucher, en position allongée.</w:t>
      </w:r>
    </w:p>
    <w:p>
      <w:pPr>
        <w:pStyle w:val="Compact"/>
        <w:numPr>
          <w:ilvl w:val="0"/>
          <w:numId w:val="1142"/>
        </w:numPr>
      </w:pPr>
      <w:r>
        <w:rPr>
          <w:b/>
          <w:bCs/>
        </w:rPr>
        <w:t xml:space="preserve">Conduite à Tenir</w:t>
      </w:r>
      <w:r>
        <w:t xml:space="preserve"> </w:t>
      </w:r>
      <w:r>
        <w:t xml:space="preserve">: en cas d’irritation importante, arrêt et relais par un autre imidazolé vaginal disponible.</w:t>
      </w:r>
    </w:p>
    <w:p>
      <w:pPr>
        <w:pStyle w:val="FirstParagraph"/>
      </w:pPr>
      <w:r>
        <w:rPr>
          <w:b/>
          <w:bCs/>
        </w:rPr>
        <w:t xml:space="preserve">Interactions Importantes :</w:t>
      </w:r>
    </w:p>
    <w:p>
      <w:pPr>
        <w:pStyle w:val="Compact"/>
        <w:numPr>
          <w:ilvl w:val="0"/>
          <w:numId w:val="1143"/>
        </w:numPr>
      </w:pPr>
      <w:r>
        <w:rPr>
          <w:b/>
          <w:bCs/>
        </w:rPr>
        <w:t xml:space="preserve">Anticoagulants oraux</w:t>
      </w:r>
      <w:r>
        <w:t xml:space="preserve"> </w:t>
      </w:r>
      <w:r>
        <w:t xml:space="preserve">: risque théorique de potentialisation par inhibition CYP2C9.</w:t>
      </w:r>
    </w:p>
    <w:p>
      <w:pPr>
        <w:pStyle w:val="Compact"/>
        <w:numPr>
          <w:ilvl w:val="0"/>
          <w:numId w:val="1143"/>
        </w:numPr>
      </w:pPr>
      <w:r>
        <w:rPr>
          <w:b/>
          <w:bCs/>
        </w:rPr>
        <w:t xml:space="preserve">Spermicides et préservatifs en latex</w:t>
      </w:r>
      <w:r>
        <w:t xml:space="preserve"> </w:t>
      </w:r>
      <w:r>
        <w:t xml:space="preserve">: le butoconazole en base grasse peut altérer le latex.</w:t>
      </w:r>
    </w:p>
    <w:p>
      <w:pPr>
        <w:pStyle w:val="FirstParagraph"/>
      </w:pPr>
      <w:r>
        <w:rPr>
          <w:b/>
          <w:bCs/>
        </w:rPr>
        <w:t xml:space="preserve">Grossesse et Allaitement :</w:t>
      </w:r>
    </w:p>
    <w:p>
      <w:pPr>
        <w:pStyle w:val="Compact"/>
        <w:numPr>
          <w:ilvl w:val="0"/>
          <w:numId w:val="1144"/>
        </w:numPr>
      </w:pPr>
      <w:r>
        <w:rPr>
          <w:b/>
          <w:bCs/>
        </w:rPr>
        <w:t xml:space="preserve">Grossesse</w:t>
      </w:r>
      <w:r>
        <w:t xml:space="preserve"> </w:t>
      </w:r>
      <w:r>
        <w:t xml:space="preserve">: déconseillé au 1ᵉʳ trimestre, autorisé au 2ᵉ et 3ᵉ trimestre.</w:t>
      </w:r>
    </w:p>
    <w:p>
      <w:pPr>
        <w:pStyle w:val="Compact"/>
        <w:numPr>
          <w:ilvl w:val="0"/>
          <w:numId w:val="1144"/>
        </w:numPr>
      </w:pPr>
      <w:r>
        <w:rPr>
          <w:b/>
          <w:bCs/>
        </w:rPr>
        <w:t xml:space="preserve">Allaitement</w:t>
      </w:r>
      <w:r>
        <w:t xml:space="preserve"> </w:t>
      </w:r>
      <w:r>
        <w:t xml:space="preserve">: compatible en dose unique.</w:t>
      </w:r>
    </w:p>
    <w:p>
      <w:pPr>
        <w:pStyle w:val="FirstParagraph"/>
      </w:pPr>
      <w:r>
        <w:rPr>
          <w:b/>
          <w:bCs/>
        </w:rPr>
        <w:t xml:space="preserve">Posologie et Mode d’administration (Standard) :</w:t>
      </w:r>
    </w:p>
    <w:p>
      <w:pPr>
        <w:pStyle w:val="Compact"/>
        <w:numPr>
          <w:ilvl w:val="0"/>
          <w:numId w:val="1145"/>
        </w:numPr>
      </w:pPr>
      <w:r>
        <w:rPr>
          <w:b/>
          <w:bCs/>
        </w:rPr>
        <w:t xml:space="preserve">Adulte</w:t>
      </w:r>
      <w:r>
        <w:t xml:space="preserve"> </w:t>
      </w:r>
      <w:r>
        <w:t xml:space="preserve">: Ovule 100 mg, 1 ovule par jour au coucher pendant 3 jours.</w:t>
      </w:r>
    </w:p>
    <w:p>
      <w:pPr>
        <w:pStyle w:val="Compact"/>
        <w:numPr>
          <w:ilvl w:val="0"/>
          <w:numId w:val="1145"/>
        </w:numPr>
      </w:pPr>
      <w:r>
        <w:rPr>
          <w:b/>
          <w:bCs/>
        </w:rPr>
        <w:t xml:space="preserve">Enfant</w:t>
      </w:r>
      <w:r>
        <w:t xml:space="preserve"> </w:t>
      </w:r>
      <w:r>
        <w:t xml:space="preserve">: à partir de la puberté.</w:t>
      </w:r>
    </w:p>
    <w:p>
      <w:pPr>
        <w:pStyle w:val="Compact"/>
        <w:numPr>
          <w:ilvl w:val="0"/>
          <w:numId w:val="1145"/>
        </w:numPr>
      </w:pPr>
      <w:r>
        <w:rPr>
          <w:b/>
          <w:bCs/>
        </w:rPr>
        <w:t xml:space="preserve">Durée</w:t>
      </w:r>
      <w:r>
        <w:t xml:space="preserve"> </w:t>
      </w:r>
      <w:r>
        <w:t xml:space="preserve">: 3 jours.</w:t>
      </w:r>
    </w:p>
    <w:p>
      <w:pPr>
        <w:pStyle w:val="Compact"/>
        <w:numPr>
          <w:ilvl w:val="0"/>
          <w:numId w:val="1145"/>
        </w:numPr>
      </w:pPr>
      <w:r>
        <w:rPr>
          <w:b/>
          <w:bCs/>
        </w:rPr>
        <w:t xml:space="preserve">Moment de prise</w:t>
      </w:r>
      <w:r>
        <w:t xml:space="preserve"> </w:t>
      </w:r>
      <w:r>
        <w:t xml:space="preserve">: au coucher.</w:t>
      </w:r>
    </w:p>
    <w:p>
      <w:pPr>
        <w:pStyle w:val="FirstParagraph"/>
      </w:pPr>
      <w:r>
        <w:rPr>
          <w:b/>
          <w:bCs/>
        </w:rPr>
        <w:t xml:space="preserve">Arbitrage et Bénéfices des Formes Galéniques :</w:t>
      </w:r>
    </w:p>
    <w:p>
      <w:pPr>
        <w:pStyle w:val="BodyText"/>
      </w:pPr>
      <w:r>
        <w:t xml:space="preserve">Le butoconazole n’a pas d’avantage particulier par rapport au clotrimazole (dose unique 500 mg) ou au fenticonazole (dose unique 600 mg) ou au sertaconazole (dose unique 300 mg). Son retrait du marché algérien est sans incidence clinique majeure, les alternatives disponibles étant au moins aussi efficaces et mieux approvisionnées.</w:t>
      </w:r>
    </w:p>
    <w:p>
      <w:pPr>
        <w:pStyle w:val="BodyText"/>
      </w:pPr>
      <w:r>
        <w:rPr>
          <w:b/>
          <w:bCs/>
        </w:rPr>
        <w:t xml:space="preserve">Instructions et Conseils au Patient :</w:t>
      </w:r>
    </w:p>
    <w:p>
      <w:pPr>
        <w:pStyle w:val="Compact"/>
        <w:numPr>
          <w:ilvl w:val="0"/>
          <w:numId w:val="1146"/>
        </w:numPr>
      </w:pPr>
      <w:r>
        <w:rPr>
          <w:b/>
          <w:bCs/>
        </w:rPr>
        <w:t xml:space="preserve">Communication au comptoir</w:t>
      </w:r>
      <w:r>
        <w:t xml:space="preserve"> </w:t>
      </w:r>
      <w:r>
        <w:t xml:space="preserve">: « Le butoconazole (Gynomyc) n’est plus commercialisé en Algérie. Je peux vous proposer en alternative un traitement équivalent par clotrimazole, éconazole, fenticonazole ou sertaconazole. »</w:t>
      </w:r>
    </w:p>
    <w:p>
      <w:pPr>
        <w:pStyle w:val="Compact"/>
        <w:numPr>
          <w:ilvl w:val="0"/>
          <w:numId w:val="1146"/>
        </w:numPr>
      </w:pPr>
      <w:r>
        <w:rPr>
          <w:b/>
          <w:bCs/>
        </w:rPr>
        <w:t xml:space="preserve">Mode d’utilisation pratique</w:t>
      </w:r>
      <w:r>
        <w:t xml:space="preserve"> </w:t>
      </w:r>
      <w:r>
        <w:t xml:space="preserve">: orientation vers une alternative disponible.</w:t>
      </w:r>
    </w:p>
    <w:p>
      <w:pPr>
        <w:pStyle w:val="FirstParagraph"/>
      </w:pPr>
      <w:r>
        <w:rPr>
          <w:b/>
          <w:bCs/>
        </w:rPr>
        <w:t xml:space="preserve">Notes, Règles d’Or &amp; Pièges au Comptoir :</w:t>
      </w:r>
    </w:p>
    <w:p>
      <w:pPr>
        <w:pStyle w:val="Compact"/>
        <w:numPr>
          <w:ilvl w:val="0"/>
          <w:numId w:val="1147"/>
        </w:numPr>
      </w:pPr>
      <w:r>
        <w:rPr>
          <w:b/>
          <w:bCs/>
        </w:rPr>
        <w:t xml:space="preserve">Piège classique</w:t>
      </w:r>
      <w:r>
        <w:t xml:space="preserve"> </w:t>
      </w:r>
      <w:r>
        <w:t xml:space="preserve">: le butoconazole étant retiré du marché, le pharmacien ne doit plus le délivrer même si trouvé en stock résiduel — orienter vers une alternative disponible.</w:t>
      </w:r>
    </w:p>
    <w:p>
      <w:pPr>
        <w:pStyle w:val="Compact"/>
        <w:numPr>
          <w:ilvl w:val="0"/>
          <w:numId w:val="1147"/>
        </w:numPr>
      </w:pPr>
      <w:r>
        <w:rPr>
          <w:b/>
          <w:bCs/>
        </w:rPr>
        <w:t xml:space="preserve">Règle de prise</w:t>
      </w:r>
      <w:r>
        <w:t xml:space="preserve"> </w:t>
      </w:r>
      <w:r>
        <w:t xml:space="preserve">: traitement vaginal au coucher.</w:t>
      </w:r>
    </w:p>
    <w:p>
      <w:pPr>
        <w:pStyle w:val="Compact"/>
        <w:numPr>
          <w:ilvl w:val="0"/>
          <w:numId w:val="1147"/>
        </w:numPr>
      </w:pPr>
      <w:r>
        <w:rPr>
          <w:b/>
          <w:bCs/>
        </w:rPr>
        <w:t xml:space="preserve">Préparation et Conservation</w:t>
      </w:r>
      <w:r>
        <w:t xml:space="preserve"> </w:t>
      </w:r>
      <w:r>
        <w:t xml:space="preserve">: N/A (produit retiré).</w:t>
      </w:r>
    </w:p>
    <w:p>
      <w:pPr>
        <w:pStyle w:val="Compact"/>
        <w:numPr>
          <w:ilvl w:val="0"/>
          <w:numId w:val="1147"/>
        </w:numPr>
      </w:pPr>
      <w:r>
        <w:rPr>
          <w:b/>
          <w:bCs/>
        </w:rPr>
        <w:t xml:space="preserve">Piège du surdosage / Substitution</w:t>
      </w:r>
      <w:r>
        <w:t xml:space="preserve"> </w:t>
      </w:r>
      <w:r>
        <w:t xml:space="preserve">: substituer par clotrimazole 500 mg en dose unique (l’alternative la plus simple et la moins coûteuse).</w:t>
      </w:r>
    </w:p>
    <w:p>
      <w:pPr>
        <w:pStyle w:val="Compact"/>
        <w:numPr>
          <w:ilvl w:val="0"/>
          <w:numId w:val="1147"/>
        </w:numPr>
      </w:pPr>
      <w:r>
        <w:rPr>
          <w:b/>
          <w:bCs/>
        </w:rPr>
        <w:t xml:space="preserve">Alerte</w:t>
      </w:r>
      <w:r>
        <w:t xml:space="preserve"> </w:t>
      </w:r>
      <w:r>
        <w:t xml:space="preserve">: informer la patiente que le produit est retiré du marché et lui proposer un rendez-vous chez le médecin si prescription ancienne.</w:t>
      </w:r>
    </w:p>
    <w:p>
      <w:r>
        <w:pict>
          <v:rect style="width:0;height:1.5pt" o:hralign="center" o:hrstd="t" o:hr="t"/>
        </w:pict>
      </w:r>
    </w:p>
    <w:bookmarkEnd w:id="50"/>
    <w:bookmarkStart w:id="51" w:name="dci-oxiconazole-seule"/>
    <w:p>
      <w:pPr>
        <w:pStyle w:val="Heading3"/>
      </w:pPr>
      <w:r>
        <w:t xml:space="preserve">11.10. DCI : Oxiconazole (Seule)</w:t>
      </w:r>
    </w:p>
    <w:p>
      <w:pPr>
        <w:pStyle w:val="FirstParagraph"/>
      </w:pPr>
      <w:r>
        <w:rPr>
          <w:b/>
          <w:bCs/>
        </w:rPr>
        <w:t xml:space="preserve">Liste des Catégories :</w:t>
      </w:r>
      <w:r>
        <w:t xml:space="preserve"> </w:t>
      </w:r>
      <w:r>
        <w:t xml:space="preserve">LISTE I ; topique cutané.</w:t>
      </w:r>
    </w:p>
    <w:p>
      <w:pPr>
        <w:pStyle w:val="BodyText"/>
      </w:pPr>
      <w:r>
        <w:t xml:space="preserve">L’oxiconazole est un imidazolé topique de seconde génération, utilisé pour les mycoses cutanées superficielles. Sa structure chimique (chlorophényl-benzyl-imidazole) lui confère un spectre large incluant</w:t>
      </w:r>
      <w:r>
        <w:t xml:space="preserve"> </w:t>
      </w:r>
      <w:r>
        <w:rPr>
          <w:i/>
          <w:iCs/>
        </w:rPr>
        <w:t xml:space="preserve">Candida</w:t>
      </w:r>
      <w:r>
        <w:t xml:space="preserve">, dermatophytes et</w:t>
      </w:r>
      <w:r>
        <w:t xml:space="preserve"> </w:t>
      </w:r>
      <w:r>
        <w:rPr>
          <w:i/>
          <w:iCs/>
        </w:rPr>
        <w:t xml:space="preserve">Malassezia</w:t>
      </w:r>
      <w:r>
        <w:t xml:space="preserve">. En Algérie, l’oxiconazole était historiquement disponible sous la marque FONX (Yamanouchi Pharma) en crème 1 % et poudre pour application locale 1 %. Les deux formes sont actuellement</w:t>
      </w:r>
      <w:r>
        <w:t xml:space="preserve"> </w:t>
      </w:r>
      <w:r>
        <w:rPr>
          <w:b/>
          <w:bCs/>
        </w:rPr>
        <w:t xml:space="preserve">retirées du marché algérien</w:t>
      </w:r>
      <w:r>
        <w:t xml:space="preserve"> </w:t>
      </w:r>
      <w:r>
        <w:t xml:space="preserve">(nomenclature Avril 2026).</w:t>
      </w:r>
    </w:p>
    <w:p>
      <w:pPr>
        <w:pStyle w:val="BodyText"/>
      </w:pPr>
      <w:r>
        <w:rPr>
          <w:b/>
          <w:bCs/>
        </w:rPr>
        <w:t xml:space="preserve">Médicaments disponibles en Algérie (Marques, Laboratoires, Formes et Dosages) :</w:t>
      </w:r>
    </w:p>
    <w:p>
      <w:pPr>
        <w:pStyle w:val="Compact"/>
        <w:numPr>
          <w:ilvl w:val="0"/>
          <w:numId w:val="1148"/>
        </w:numPr>
      </w:pPr>
      <w:r>
        <w:rPr>
          <w:b/>
          <w:bCs/>
        </w:rPr>
        <w:t xml:space="preserve">FONX</w:t>
      </w:r>
      <w:r>
        <w:t xml:space="preserve"> </w:t>
      </w:r>
      <w:r>
        <w:t xml:space="preserve">(YAMANOUCHI PHARMA) — Oxiconazole, Crème 1 % (0,01), tube 15 g —</w:t>
      </w:r>
      <w:r>
        <w:t xml:space="preserve"> </w:t>
      </w:r>
      <w:r>
        <w:rPr>
          <w:b/>
          <w:bCs/>
        </w:rPr>
        <w:t xml:space="preserve">Retiré (R)</w:t>
      </w:r>
    </w:p>
    <w:p>
      <w:pPr>
        <w:pStyle w:val="Compact"/>
        <w:numPr>
          <w:ilvl w:val="0"/>
          <w:numId w:val="1148"/>
        </w:numPr>
      </w:pPr>
      <w:r>
        <w:rPr>
          <w:b/>
          <w:bCs/>
        </w:rPr>
        <w:t xml:space="preserve">FONX</w:t>
      </w:r>
      <w:r>
        <w:t xml:space="preserve"> </w:t>
      </w:r>
      <w:r>
        <w:t xml:space="preserve">(YAMANOUCHI PHARMA) — Oxiconazole, Poudre pour application locale 1 % (0,01), flacon 15 g —</w:t>
      </w:r>
      <w:r>
        <w:t xml:space="preserve"> </w:t>
      </w:r>
      <w:r>
        <w:rPr>
          <w:b/>
          <w:bCs/>
        </w:rPr>
        <w:t xml:space="preserve">Retiré (R)</w:t>
      </w:r>
    </w:p>
    <w:p>
      <w:pPr>
        <w:pStyle w:val="FirstParagraph"/>
      </w:pPr>
      <w:r>
        <w:rPr>
          <w:b/>
          <w:bCs/>
        </w:rPr>
        <w:t xml:space="preserve">Sous-classe et Mécanisme d’action :</w:t>
      </w:r>
    </w:p>
    <w:p>
      <w:pPr>
        <w:pStyle w:val="Compact"/>
        <w:numPr>
          <w:ilvl w:val="0"/>
          <w:numId w:val="1149"/>
        </w:numPr>
      </w:pPr>
      <w:r>
        <w:rPr>
          <w:b/>
          <w:bCs/>
        </w:rPr>
        <w:t xml:space="preserve">Sous-classe</w:t>
      </w:r>
      <w:r>
        <w:t xml:space="preserve"> </w:t>
      </w:r>
      <w:r>
        <w:t xml:space="preserve">: Imidazolé de seconde génération ; antifongique topique à large spectre.</w:t>
      </w:r>
    </w:p>
    <w:p>
      <w:pPr>
        <w:pStyle w:val="Compact"/>
        <w:numPr>
          <w:ilvl w:val="0"/>
          <w:numId w:val="1149"/>
        </w:numPr>
      </w:pPr>
      <w:r>
        <w:rPr>
          <w:b/>
          <w:bCs/>
        </w:rPr>
        <w:t xml:space="preserve">Mécanisme d’action</w:t>
      </w:r>
      <w:r>
        <w:t xml:space="preserve"> </w:t>
      </w:r>
      <w:r>
        <w:t xml:space="preserve">: Inhibition de la lanostérol 14α-déméthylase fongique (CYP51) par coordination avec le fer ferreux du groupe hème — identique aux autres imidazolés. Spectre :</w:t>
      </w:r>
      <w:r>
        <w:t xml:space="preserve"> </w:t>
      </w:r>
      <w:r>
        <w:rPr>
          <w:i/>
          <w:iCs/>
        </w:rPr>
        <w:t xml:space="preserve">Candida</w:t>
      </w:r>
      <w:r>
        <w:t xml:space="preserve"> </w:t>
      </w:r>
      <w:r>
        <w:t xml:space="preserve">sp., dermatophytes (</w:t>
      </w:r>
      <w:r>
        <w:rPr>
          <w:i/>
          <w:iCs/>
        </w:rPr>
        <w:t xml:space="preserve">Trichophyton, Microsporum, Epidermophyton</w:t>
      </w:r>
      <w:r>
        <w:t xml:space="preserve">),</w:t>
      </w:r>
      <w:r>
        <w:t xml:space="preserve"> </w:t>
      </w:r>
      <w:r>
        <w:rPr>
          <w:i/>
          <w:iCs/>
        </w:rPr>
        <w:t xml:space="preserve">Malassezia furfur</w:t>
      </w:r>
      <w:r>
        <w:t xml:space="preserve">. Action fungistatique et fungicide à concentration élevée.</w:t>
      </w:r>
    </w:p>
    <w:p>
      <w:pPr>
        <w:pStyle w:val="FirstParagraph"/>
      </w:pPr>
      <w:r>
        <w:rPr>
          <w:b/>
          <w:bCs/>
        </w:rPr>
        <w:t xml:space="preserve">Profil Pharmacologique :</w:t>
      </w:r>
    </w:p>
    <w:p>
      <w:pPr>
        <w:pStyle w:val="Compact"/>
        <w:numPr>
          <w:ilvl w:val="0"/>
          <w:numId w:val="1150"/>
        </w:numPr>
      </w:pPr>
      <w:r>
        <w:rPr>
          <w:b/>
          <w:bCs/>
        </w:rPr>
        <w:t xml:space="preserve">Indications</w:t>
      </w:r>
      <w:r>
        <w:t xml:space="preserve"> </w:t>
      </w:r>
      <w:r>
        <w:t xml:space="preserve">: candidoses cutanées, dermatophyties (pied d’athlète, herpès circiné, intertrigo génital), pityriasis versicolor.</w:t>
      </w:r>
    </w:p>
    <w:p>
      <w:pPr>
        <w:pStyle w:val="Compact"/>
        <w:numPr>
          <w:ilvl w:val="0"/>
          <w:numId w:val="1150"/>
        </w:numPr>
      </w:pPr>
      <w:r>
        <w:rPr>
          <w:b/>
          <w:bCs/>
        </w:rPr>
        <w:t xml:space="preserve">Contre-indications</w:t>
      </w:r>
      <w:r>
        <w:t xml:space="preserve"> </w:t>
      </w:r>
      <w:r>
        <w:t xml:space="preserve">: hypersensibilité à l’oxiconazole.</w:t>
      </w:r>
    </w:p>
    <w:p>
      <w:pPr>
        <w:pStyle w:val="Compact"/>
        <w:numPr>
          <w:ilvl w:val="0"/>
          <w:numId w:val="1150"/>
        </w:numPr>
      </w:pPr>
      <w:r>
        <w:rPr>
          <w:b/>
          <w:bCs/>
        </w:rPr>
        <w:t xml:space="preserve">Effets Indésirables</w:t>
      </w:r>
      <w:r>
        <w:t xml:space="preserve"> </w:t>
      </w:r>
      <w:r>
        <w:t xml:space="preserve">: sensation de brûlure, prurit, érythème, irritation locale, dermite de contact allergique rare.</w:t>
      </w:r>
    </w:p>
    <w:p>
      <w:pPr>
        <w:pStyle w:val="FirstParagraph"/>
      </w:pPr>
      <w:r>
        <w:rPr>
          <w:b/>
          <w:bCs/>
        </w:rPr>
        <w:t xml:space="preserve">Prévention et Gestion des Effets Indésirables :</w:t>
      </w:r>
    </w:p>
    <w:p>
      <w:pPr>
        <w:pStyle w:val="Compact"/>
        <w:numPr>
          <w:ilvl w:val="0"/>
          <w:numId w:val="1151"/>
        </w:numPr>
      </w:pPr>
      <w:r>
        <w:rPr>
          <w:b/>
          <w:bCs/>
        </w:rPr>
        <w:t xml:space="preserve">Mesures Préventives</w:t>
      </w:r>
      <w:r>
        <w:t xml:space="preserve"> </w:t>
      </w:r>
      <w:r>
        <w:t xml:space="preserve">: application sur peau propre et sèche.</w:t>
      </w:r>
    </w:p>
    <w:p>
      <w:pPr>
        <w:pStyle w:val="Compact"/>
        <w:numPr>
          <w:ilvl w:val="0"/>
          <w:numId w:val="1151"/>
        </w:numPr>
      </w:pPr>
      <w:r>
        <w:rPr>
          <w:b/>
          <w:bCs/>
        </w:rPr>
        <w:t xml:space="preserve">Conduite à Tenir</w:t>
      </w:r>
      <w:r>
        <w:t xml:space="preserve"> </w:t>
      </w:r>
      <w:r>
        <w:t xml:space="preserve">: en cas d’irritation, arrêt et relais par un autre imidazolé disponible (kétoconazole, éconazole, clotrimazole).</w:t>
      </w:r>
    </w:p>
    <w:p>
      <w:pPr>
        <w:pStyle w:val="FirstParagraph"/>
      </w:pPr>
      <w:r>
        <w:rPr>
          <w:b/>
          <w:bCs/>
        </w:rPr>
        <w:t xml:space="preserve">Interactions Importantes :</w:t>
      </w:r>
    </w:p>
    <w:p>
      <w:pPr>
        <w:pStyle w:val="Compact"/>
        <w:numPr>
          <w:ilvl w:val="0"/>
          <w:numId w:val="1152"/>
        </w:numPr>
      </w:pPr>
      <w:r>
        <w:t xml:space="preserve">Aucune interaction systémique notable (absorption cutanée négligeable).</w:t>
      </w:r>
    </w:p>
    <w:p>
      <w:pPr>
        <w:pStyle w:val="FirstParagraph"/>
      </w:pPr>
      <w:r>
        <w:rPr>
          <w:b/>
          <w:bCs/>
        </w:rPr>
        <w:t xml:space="preserve">Grossesse et Allaitement :</w:t>
      </w:r>
    </w:p>
    <w:p>
      <w:pPr>
        <w:pStyle w:val="Compact"/>
        <w:numPr>
          <w:ilvl w:val="0"/>
          <w:numId w:val="1153"/>
        </w:numPr>
      </w:pPr>
      <w:r>
        <w:rPr>
          <w:b/>
          <w:bCs/>
        </w:rPr>
        <w:t xml:space="preserve">Grossesse</w:t>
      </w:r>
      <w:r>
        <w:t xml:space="preserve"> </w:t>
      </w:r>
      <w:r>
        <w:t xml:space="preserve">: utilisation possible chez la femme enceinte (données limitées mais absence d’effet tératogène signalé).</w:t>
      </w:r>
    </w:p>
    <w:p>
      <w:pPr>
        <w:pStyle w:val="Compact"/>
        <w:numPr>
          <w:ilvl w:val="0"/>
          <w:numId w:val="1153"/>
        </w:numPr>
      </w:pPr>
      <w:r>
        <w:rPr>
          <w:b/>
          <w:bCs/>
        </w:rPr>
        <w:t xml:space="preserve">Allaitement</w:t>
      </w:r>
      <w:r>
        <w:t xml:space="preserve"> </w:t>
      </w:r>
      <w:r>
        <w:t xml:space="preserve">: compatible (éviter le sein avant la tétée).</w:t>
      </w:r>
    </w:p>
    <w:p>
      <w:pPr>
        <w:pStyle w:val="FirstParagraph"/>
      </w:pPr>
      <w:r>
        <w:rPr>
          <w:b/>
          <w:bCs/>
        </w:rPr>
        <w:t xml:space="preserve">Posologie et Mode d’administration (Standard) :</w:t>
      </w:r>
    </w:p>
    <w:p>
      <w:pPr>
        <w:pStyle w:val="Compact"/>
        <w:numPr>
          <w:ilvl w:val="0"/>
          <w:numId w:val="1154"/>
        </w:numPr>
      </w:pPr>
      <w:r>
        <w:rPr>
          <w:b/>
          <w:bCs/>
        </w:rPr>
        <w:t xml:space="preserve">Adulte</w:t>
      </w:r>
      <w:r>
        <w:t xml:space="preserve"> </w:t>
      </w:r>
      <w:r>
        <w:t xml:space="preserve">: 1 application par jour (crème ou poudre) sur peau propre et sèche, pendant 2 à 4 semaines.</w:t>
      </w:r>
    </w:p>
    <w:p>
      <w:pPr>
        <w:pStyle w:val="Compact"/>
        <w:numPr>
          <w:ilvl w:val="0"/>
          <w:numId w:val="1154"/>
        </w:numPr>
      </w:pPr>
      <w:r>
        <w:rPr>
          <w:b/>
          <w:bCs/>
        </w:rPr>
        <w:t xml:space="preserve">Enfant</w:t>
      </w:r>
      <w:r>
        <w:t xml:space="preserve"> </w:t>
      </w:r>
      <w:r>
        <w:t xml:space="preserve">: à partir de 1 mois.</w:t>
      </w:r>
    </w:p>
    <w:p>
      <w:pPr>
        <w:pStyle w:val="Compact"/>
        <w:numPr>
          <w:ilvl w:val="0"/>
          <w:numId w:val="1154"/>
        </w:numPr>
      </w:pPr>
      <w:r>
        <w:rPr>
          <w:b/>
          <w:bCs/>
        </w:rPr>
        <w:t xml:space="preserve">Durée</w:t>
      </w:r>
      <w:r>
        <w:t xml:space="preserve"> </w:t>
      </w:r>
      <w:r>
        <w:t xml:space="preserve">: candidose 2 à 4 semaines ; dermatophytie 4 à 6 semaines.</w:t>
      </w:r>
    </w:p>
    <w:p>
      <w:pPr>
        <w:pStyle w:val="Compact"/>
        <w:numPr>
          <w:ilvl w:val="0"/>
          <w:numId w:val="1154"/>
        </w:numPr>
      </w:pPr>
      <w:r>
        <w:rPr>
          <w:b/>
          <w:bCs/>
        </w:rPr>
        <w:t xml:space="preserve">Moment de prise</w:t>
      </w:r>
      <w:r>
        <w:t xml:space="preserve"> </w:t>
      </w:r>
      <w:r>
        <w:t xml:space="preserve">: le soir sur peau propre et sèche.</w:t>
      </w:r>
    </w:p>
    <w:p>
      <w:pPr>
        <w:pStyle w:val="FirstParagraph"/>
      </w:pPr>
      <w:r>
        <w:rPr>
          <w:b/>
          <w:bCs/>
        </w:rPr>
        <w:t xml:space="preserve">Arbitrage et Bénéfices des Formes Galéniques :</w:t>
      </w:r>
    </w:p>
    <w:p>
      <w:pPr>
        <w:pStyle w:val="BodyText"/>
      </w:pPr>
      <w:r>
        <w:t xml:space="preserve">L’oxiconazole n’a pas d’avantage particulier par rapport aux autres imidazolés topiques disponibles en Algérie (kétoconazole, éconazole, clotrimazole, sertaconazole). Son retrait du marché algérien est sans incidence clinique majeure. La poudre pour application locale était historiquement utile pour les espaces interdigitaux et les chaussures (poudrage antifongique), mais cette forme n’est plus disponible — à défaut, utiliser la solution pulvérisateur d’éconazole 1 % ou la terbinafine poudre.</w:t>
      </w:r>
    </w:p>
    <w:p>
      <w:pPr>
        <w:pStyle w:val="BodyText"/>
      </w:pPr>
      <w:r>
        <w:rPr>
          <w:b/>
          <w:bCs/>
        </w:rPr>
        <w:t xml:space="preserve">Instructions et Conseils au Patient :</w:t>
      </w:r>
    </w:p>
    <w:p>
      <w:pPr>
        <w:pStyle w:val="Compact"/>
        <w:numPr>
          <w:ilvl w:val="0"/>
          <w:numId w:val="1155"/>
        </w:numPr>
      </w:pPr>
      <w:r>
        <w:rPr>
          <w:b/>
          <w:bCs/>
        </w:rPr>
        <w:t xml:space="preserve">Communication au comptoir</w:t>
      </w:r>
      <w:r>
        <w:t xml:space="preserve"> </w:t>
      </w:r>
      <w:r>
        <w:t xml:space="preserve">: « L’oxiconazole (Fonx) n’est plus commercialisé en Algérie. Je peux vous proposer en alternative un traitement équivalent par kétoconazole crème, éconazole crème ou solution, clotrimazole crème ou sertaconazole crème. »</w:t>
      </w:r>
    </w:p>
    <w:p>
      <w:pPr>
        <w:pStyle w:val="Compact"/>
        <w:numPr>
          <w:ilvl w:val="0"/>
          <w:numId w:val="1155"/>
        </w:numPr>
      </w:pPr>
      <w:r>
        <w:rPr>
          <w:b/>
          <w:bCs/>
        </w:rPr>
        <w:t xml:space="preserve">Mode d’utilisation pratique</w:t>
      </w:r>
      <w:r>
        <w:t xml:space="preserve"> </w:t>
      </w:r>
      <w:r>
        <w:t xml:space="preserve">: orientation vers une alternative disponible.</w:t>
      </w:r>
    </w:p>
    <w:p>
      <w:pPr>
        <w:pStyle w:val="FirstParagraph"/>
      </w:pPr>
      <w:r>
        <w:rPr>
          <w:b/>
          <w:bCs/>
        </w:rPr>
        <w:t xml:space="preserve">Notes, Règles d’Or &amp; Pièges au Comptoir :</w:t>
      </w:r>
    </w:p>
    <w:p>
      <w:pPr>
        <w:pStyle w:val="Compact"/>
        <w:numPr>
          <w:ilvl w:val="0"/>
          <w:numId w:val="1156"/>
        </w:numPr>
      </w:pPr>
      <w:r>
        <w:rPr>
          <w:b/>
          <w:bCs/>
        </w:rPr>
        <w:t xml:space="preserve">Piège classique</w:t>
      </w:r>
      <w:r>
        <w:t xml:space="preserve"> </w:t>
      </w:r>
      <w:r>
        <w:t xml:space="preserve">: l’oxiconazole étant retiré du marché, le pharmacien ne doit plus le délivrer même si trouvé en stock résiduel — orienter vers une alternative disponible.</w:t>
      </w:r>
    </w:p>
    <w:p>
      <w:pPr>
        <w:pStyle w:val="Compact"/>
        <w:numPr>
          <w:ilvl w:val="0"/>
          <w:numId w:val="1156"/>
        </w:numPr>
      </w:pPr>
      <w:r>
        <w:rPr>
          <w:b/>
          <w:bCs/>
        </w:rPr>
        <w:t xml:space="preserve">Règle de prise</w:t>
      </w:r>
      <w:r>
        <w:t xml:space="preserve"> </w:t>
      </w:r>
      <w:r>
        <w:t xml:space="preserve">: traitement cutané 1 à 2 fois par jour sur peau sèche.</w:t>
      </w:r>
    </w:p>
    <w:p>
      <w:pPr>
        <w:pStyle w:val="Compact"/>
        <w:numPr>
          <w:ilvl w:val="0"/>
          <w:numId w:val="1156"/>
        </w:numPr>
      </w:pPr>
      <w:r>
        <w:rPr>
          <w:b/>
          <w:bCs/>
        </w:rPr>
        <w:t xml:space="preserve">Préparation et Conservation</w:t>
      </w:r>
      <w:r>
        <w:t xml:space="preserve"> </w:t>
      </w:r>
      <w:r>
        <w:t xml:space="preserve">: N/A (produit retiré).</w:t>
      </w:r>
    </w:p>
    <w:p>
      <w:pPr>
        <w:pStyle w:val="Compact"/>
        <w:numPr>
          <w:ilvl w:val="0"/>
          <w:numId w:val="1156"/>
        </w:numPr>
      </w:pPr>
      <w:r>
        <w:rPr>
          <w:b/>
          <w:bCs/>
        </w:rPr>
        <w:t xml:space="preserve">Piège du surdosage / Substitution</w:t>
      </w:r>
      <w:r>
        <w:t xml:space="preserve"> </w:t>
      </w:r>
      <w:r>
        <w:t xml:space="preserve">: substituer par éconazole crème 1 % (alternative la plus proche en termes de spectre et de galénique).</w:t>
      </w:r>
    </w:p>
    <w:p>
      <w:pPr>
        <w:pStyle w:val="Compact"/>
        <w:numPr>
          <w:ilvl w:val="0"/>
          <w:numId w:val="1156"/>
        </w:numPr>
      </w:pPr>
      <w:r>
        <w:rPr>
          <w:b/>
          <w:bCs/>
        </w:rPr>
        <w:t xml:space="preserve">Alerte</w:t>
      </w:r>
      <w:r>
        <w:t xml:space="preserve"> </w:t>
      </w:r>
      <w:r>
        <w:t xml:space="preserve">: informer le patient du retrait et proposer un rendez-vous chez le médecin si prescription ancienne.</w:t>
      </w:r>
    </w:p>
    <w:p>
      <w:r>
        <w:pict>
          <v:rect style="width:0;height:1.5pt" o:hralign="center" o:hrstd="t" o:hr="t"/>
        </w:pict>
      </w:r>
    </w:p>
    <w:bookmarkEnd w:id="51"/>
    <w:bookmarkEnd w:id="52"/>
    <w:bookmarkStart w:id="53" w:name="tableau-comparatif-synthétique"/>
    <w:p>
      <w:pPr>
        <w:pStyle w:val="Heading2"/>
      </w:pPr>
      <w:r>
        <w:t xml:space="preserve">4. Tableau comparatif synthétique</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DCI</w:t>
            </w:r>
          </w:p>
        </w:tc>
        <w:tc>
          <w:tcPr/>
          <w:p>
            <w:pPr>
              <w:pStyle w:val="Compact"/>
              <w:jc w:val="left"/>
            </w:pPr>
            <w:r>
              <w:t xml:space="preserve">Sous-classe</w:t>
            </w:r>
          </w:p>
        </w:tc>
        <w:tc>
          <w:tcPr/>
          <w:p>
            <w:pPr>
              <w:pStyle w:val="Compact"/>
              <w:jc w:val="left"/>
            </w:pPr>
            <w:r>
              <w:t xml:space="preserve">Spectre principal</w:t>
            </w:r>
          </w:p>
        </w:tc>
        <w:tc>
          <w:tcPr/>
          <w:p>
            <w:pPr>
              <w:pStyle w:val="Compact"/>
              <w:jc w:val="left"/>
            </w:pPr>
            <w:r>
              <w:t xml:space="preserve">Cible moléculaire</w:t>
            </w:r>
          </w:p>
        </w:tc>
        <w:tc>
          <w:tcPr/>
          <w:p>
            <w:pPr>
              <w:pStyle w:val="Compact"/>
              <w:jc w:val="left"/>
            </w:pPr>
            <w:r>
              <w:t xml:space="preserve">Formes disponibles en Algérie</w:t>
            </w:r>
          </w:p>
        </w:tc>
        <w:tc>
          <w:tcPr/>
          <w:p>
            <w:pPr>
              <w:pStyle w:val="Compact"/>
              <w:jc w:val="left"/>
            </w:pPr>
            <w:r>
              <w:t xml:space="preserve">Posologie adulte standard</w:t>
            </w:r>
          </w:p>
        </w:tc>
        <w:tc>
          <w:tcPr/>
          <w:p>
            <w:pPr>
              <w:pStyle w:val="Compact"/>
              <w:jc w:val="left"/>
            </w:pPr>
            <w:r>
              <w:t xml:space="preserve">EI majeur</w:t>
            </w:r>
          </w:p>
        </w:tc>
        <w:tc>
          <w:tcPr/>
          <w:p>
            <w:pPr>
              <w:pStyle w:val="Compact"/>
              <w:jc w:val="left"/>
            </w:pPr>
            <w:r>
              <w:t xml:space="preserve">Grossesse</w:t>
            </w:r>
          </w:p>
        </w:tc>
      </w:tr>
      <w:tr>
        <w:tc>
          <w:tcPr/>
          <w:p>
            <w:pPr>
              <w:pStyle w:val="Compact"/>
              <w:jc w:val="left"/>
            </w:pPr>
            <w:r>
              <w:rPr>
                <w:b/>
                <w:bCs/>
              </w:rPr>
              <w:t xml:space="preserve">Amphotéricine B</w:t>
            </w:r>
          </w:p>
        </w:tc>
        <w:tc>
          <w:tcPr/>
          <w:p>
            <w:pPr>
              <w:pStyle w:val="Compact"/>
              <w:jc w:val="left"/>
            </w:pPr>
            <w:r>
              <w:t xml:space="preserve">Polyène heptaénique</w:t>
            </w:r>
          </w:p>
        </w:tc>
        <w:tc>
          <w:tcPr/>
          <w:p>
            <w:pPr>
              <w:pStyle w:val="Compact"/>
              <w:jc w:val="left"/>
            </w:pPr>
            <w:r>
              <w:t xml:space="preserve">Levures, moisissures, dimorphiques,</w:t>
            </w:r>
            <w:r>
              <w:t xml:space="preserve"> </w:t>
            </w:r>
            <w:r>
              <w:rPr>
                <w:i/>
                <w:iCs/>
              </w:rPr>
              <w:t xml:space="preserve">Leishmania</w:t>
            </w:r>
          </w:p>
        </w:tc>
        <w:tc>
          <w:tcPr/>
          <w:p>
            <w:pPr>
              <w:pStyle w:val="Compact"/>
              <w:jc w:val="left"/>
            </w:pPr>
            <w:r>
              <w:t xml:space="preserve">Ergostérol membranaire (pore transmembranaire)</w:t>
            </w:r>
          </w:p>
        </w:tc>
        <w:tc>
          <w:tcPr/>
          <w:p>
            <w:pPr>
              <w:pStyle w:val="Compact"/>
              <w:jc w:val="left"/>
            </w:pPr>
            <w:r>
              <w:t xml:space="preserve">Poudre IV 50 mg (Fungizone, Amphotret, Amphonex) ; Suspension buvable 10 % (Fungizone, Mytricine)</w:t>
            </w:r>
          </w:p>
        </w:tc>
        <w:tc>
          <w:tcPr/>
          <w:p>
            <w:pPr>
              <w:pStyle w:val="Compact"/>
              <w:jc w:val="left"/>
            </w:pPr>
            <w:r>
              <w:t xml:space="preserve">IV : 0,5–1 mg/kg/j ; Buvable : 1–4 mL × 4/j</w:t>
            </w:r>
          </w:p>
        </w:tc>
        <w:tc>
          <w:tcPr/>
          <w:p>
            <w:pPr>
              <w:pStyle w:val="Compact"/>
              <w:jc w:val="left"/>
            </w:pPr>
            <w:r>
              <w:t xml:space="preserve">Syndrome de perfusion, néphrotoxicité, hypokaliémie, anémie</w:t>
            </w:r>
          </w:p>
        </w:tc>
        <w:tc>
          <w:tcPr/>
          <w:p>
            <w:pPr>
              <w:pStyle w:val="Compact"/>
              <w:jc w:val="left"/>
            </w:pPr>
            <w:r>
              <w:t xml:space="preserve">Antifongique de choix (CRAT)</w:t>
            </w:r>
          </w:p>
        </w:tc>
      </w:tr>
      <w:tr>
        <w:tc>
          <w:tcPr/>
          <w:p>
            <w:pPr>
              <w:pStyle w:val="Compact"/>
              <w:jc w:val="left"/>
            </w:pPr>
            <w:r>
              <w:rPr>
                <w:b/>
                <w:bCs/>
              </w:rPr>
              <w:t xml:space="preserve">Nystatine</w:t>
            </w:r>
          </w:p>
        </w:tc>
        <w:tc>
          <w:tcPr/>
          <w:p>
            <w:pPr>
              <w:pStyle w:val="Compact"/>
              <w:jc w:val="left"/>
            </w:pPr>
            <w:r>
              <w:t xml:space="preserve">Polyène tétraénique</w:t>
            </w:r>
          </w:p>
        </w:tc>
        <w:tc>
          <w:tcPr/>
          <w:p>
            <w:pPr>
              <w:pStyle w:val="Compact"/>
              <w:jc w:val="left"/>
            </w:pPr>
            <w:r>
              <w:rPr>
                <w:i/>
                <w:iCs/>
              </w:rPr>
              <w:t xml:space="preserve">Candida</w:t>
            </w:r>
            <w:r>
              <w:t xml:space="preserve"> </w:t>
            </w:r>
            <w:r>
              <w:t xml:space="preserve">uniquement</w:t>
            </w:r>
          </w:p>
        </w:tc>
        <w:tc>
          <w:tcPr/>
          <w:p>
            <w:pPr>
              <w:pStyle w:val="Compact"/>
              <w:jc w:val="left"/>
            </w:pPr>
            <w:r>
              <w:t xml:space="preserve">Ergostérol membranaire (pore)</w:t>
            </w:r>
          </w:p>
        </w:tc>
        <w:tc>
          <w:tcPr/>
          <w:p>
            <w:pPr>
              <w:pStyle w:val="Compact"/>
              <w:jc w:val="left"/>
            </w:pPr>
            <w:r>
              <w:t xml:space="preserve">Pommade 100 000 UI/g ; Ovules 100 000 UI ; Comprimés 500 000 UI ; Susp. buv. 100 000 UI/mL ; Association fixe (Nystatine + Triamcinolone + Néomycine)</w:t>
            </w:r>
          </w:p>
        </w:tc>
        <w:tc>
          <w:tcPr/>
          <w:p>
            <w:pPr>
              <w:pStyle w:val="Compact"/>
              <w:jc w:val="left"/>
            </w:pPr>
            <w:r>
              <w:t xml:space="preserve">Cutané : 2 app/j × 2–4 sem ; Vaginal : 1 ovule/j × 14 j ; Buvable : 1 mL × 4–8/j</w:t>
            </w:r>
          </w:p>
        </w:tc>
        <w:tc>
          <w:tcPr/>
          <w:p>
            <w:pPr>
              <w:pStyle w:val="Compact"/>
              <w:jc w:val="left"/>
            </w:pPr>
            <w:r>
              <w:t xml:space="preserve">Irritation locale, sensibilisation à la néomycine (forme associée)</w:t>
            </w:r>
          </w:p>
        </w:tc>
        <w:tc>
          <w:tcPr/>
          <w:p>
            <w:pPr>
              <w:pStyle w:val="Compact"/>
              <w:jc w:val="left"/>
            </w:pPr>
            <w:r>
              <w:t xml:space="preserve">Antifongique topique de choix (CRAT)</w:t>
            </w:r>
          </w:p>
        </w:tc>
      </w:tr>
      <w:tr>
        <w:tc>
          <w:tcPr/>
          <w:p>
            <w:pPr>
              <w:pStyle w:val="Compact"/>
              <w:jc w:val="left"/>
            </w:pPr>
            <w:r>
              <w:rPr>
                <w:b/>
                <w:bCs/>
              </w:rPr>
              <w:t xml:space="preserve">Miconazole</w:t>
            </w:r>
          </w:p>
        </w:tc>
        <w:tc>
          <w:tcPr/>
          <w:p>
            <w:pPr>
              <w:pStyle w:val="Compact"/>
              <w:jc w:val="left"/>
            </w:pPr>
            <w:r>
              <w:t xml:space="preserve">Imidazolé 1ʳᵉ génération</w:t>
            </w:r>
          </w:p>
        </w:tc>
        <w:tc>
          <w:tcPr/>
          <w:p>
            <w:pPr>
              <w:pStyle w:val="Compact"/>
              <w:jc w:val="left"/>
            </w:pPr>
            <w:r>
              <w:rPr>
                <w:i/>
                <w:iCs/>
              </w:rPr>
              <w:t xml:space="preserve">Candida</w:t>
            </w:r>
            <w:r>
              <w:t xml:space="preserve">, dermatophytes,</w:t>
            </w:r>
            <w:r>
              <w:t xml:space="preserve"> </w:t>
            </w:r>
            <w:r>
              <w:rPr>
                <w:i/>
                <w:iCs/>
              </w:rPr>
              <w:t xml:space="preserve">Malassezia</w:t>
            </w:r>
            <w:r>
              <w:t xml:space="preserve">,</w:t>
            </w:r>
            <w:r>
              <w:t xml:space="preserve"> </w:t>
            </w:r>
            <w:r>
              <w:rPr>
                <w:i/>
                <w:iCs/>
              </w:rPr>
              <w:t xml:space="preserve">Trichomonas</w:t>
            </w:r>
          </w:p>
        </w:tc>
        <w:tc>
          <w:tcPr/>
          <w:p>
            <w:pPr>
              <w:pStyle w:val="Compact"/>
              <w:jc w:val="left"/>
            </w:pPr>
            <w:r>
              <w:t xml:space="preserve">CYP51 (lanostérol 14α-déméthylase)</w:t>
            </w:r>
          </w:p>
        </w:tc>
        <w:tc>
          <w:tcPr/>
          <w:p>
            <w:pPr>
              <w:pStyle w:val="Compact"/>
              <w:jc w:val="left"/>
            </w:pPr>
            <w:r>
              <w:t xml:space="preserve">Gel buccal 2 % (5 marques actives) ; Crème/gel dermique (non renouvelables)</w:t>
            </w:r>
          </w:p>
        </w:tc>
        <w:tc>
          <w:tcPr/>
          <w:p>
            <w:pPr>
              <w:pStyle w:val="Compact"/>
              <w:jc w:val="left"/>
            </w:pPr>
            <w:r>
              <w:t xml:space="preserve">Gel buccal : 1–2 cm × 4/j × 7 j ; Crème : 2 app/j × 2–4 sem</w:t>
            </w:r>
          </w:p>
        </w:tc>
        <w:tc>
          <w:tcPr/>
          <w:p>
            <w:pPr>
              <w:pStyle w:val="Compact"/>
              <w:jc w:val="left"/>
            </w:pPr>
            <w:r>
              <w:t xml:space="preserve">Sensation de brûlure, dysgueusie ;</w:t>
            </w:r>
            <w:r>
              <w:t xml:space="preserve"> </w:t>
            </w:r>
            <w:r>
              <w:rPr>
                <w:b/>
                <w:bCs/>
              </w:rPr>
              <w:t xml:space="preserve">interaction AVK</w:t>
            </w:r>
          </w:p>
        </w:tc>
        <w:tc>
          <w:tcPr/>
          <w:p>
            <w:pPr>
              <w:pStyle w:val="Compact"/>
              <w:jc w:val="left"/>
            </w:pPr>
            <w:r>
              <w:t xml:space="preserve">Topique OK ; vaginal déconseillé T1</w:t>
            </w:r>
          </w:p>
        </w:tc>
      </w:tr>
      <w:tr>
        <w:tc>
          <w:tcPr/>
          <w:p>
            <w:pPr>
              <w:pStyle w:val="Compact"/>
              <w:jc w:val="left"/>
            </w:pPr>
            <w:r>
              <w:rPr>
                <w:b/>
                <w:bCs/>
              </w:rPr>
              <w:t xml:space="preserve">Kétoconazole</w:t>
            </w:r>
          </w:p>
        </w:tc>
        <w:tc>
          <w:tcPr/>
          <w:p>
            <w:pPr>
              <w:pStyle w:val="Compact"/>
              <w:jc w:val="left"/>
            </w:pPr>
            <w:r>
              <w:t xml:space="preserve">Imidazolé 1ʳᵉ génération</w:t>
            </w:r>
          </w:p>
        </w:tc>
        <w:tc>
          <w:tcPr/>
          <w:p>
            <w:pPr>
              <w:pStyle w:val="Compact"/>
              <w:jc w:val="left"/>
            </w:pPr>
            <w:r>
              <w:rPr>
                <w:i/>
                <w:iCs/>
              </w:rPr>
              <w:t xml:space="preserve">Candida</w:t>
            </w:r>
            <w:r>
              <w:t xml:space="preserve">, dermatophytes,</w:t>
            </w:r>
            <w:r>
              <w:t xml:space="preserve"> </w:t>
            </w:r>
            <w:r>
              <w:rPr>
                <w:i/>
                <w:iCs/>
              </w:rPr>
              <w:t xml:space="preserve">Malassezia</w:t>
            </w:r>
          </w:p>
        </w:tc>
        <w:tc>
          <w:tcPr/>
          <w:p>
            <w:pPr>
              <w:pStyle w:val="Compact"/>
              <w:jc w:val="left"/>
            </w:pPr>
            <w:r>
              <w:t xml:space="preserve">CYP51 (puissant inhibit. CYP3A4 humain)</w:t>
            </w:r>
          </w:p>
        </w:tc>
        <w:tc>
          <w:tcPr/>
          <w:p>
            <w:pPr>
              <w:pStyle w:val="Compact"/>
              <w:jc w:val="left"/>
            </w:pPr>
            <w:r>
              <w:t xml:space="preserve">Crème 2 % (7 marques) ; Gel moussant 2 % ; Shampooing 2 % (Dandrex, Vavo, Novagenerics)</w:t>
            </w:r>
          </w:p>
        </w:tc>
        <w:tc>
          <w:tcPr/>
          <w:p>
            <w:pPr>
              <w:pStyle w:val="Compact"/>
              <w:jc w:val="left"/>
            </w:pPr>
            <w:r>
              <w:t xml:space="preserve">Crème : 1–2 app/j × 2–6 sem ; Shampooing : 2/sem × 2–4 sem puis 1/sem</w:t>
            </w:r>
          </w:p>
        </w:tc>
        <w:tc>
          <w:tcPr/>
          <w:p>
            <w:pPr>
              <w:pStyle w:val="Compact"/>
              <w:jc w:val="left"/>
            </w:pPr>
            <w:r>
              <w:t xml:space="preserve">Irritation locale ;</w:t>
            </w:r>
            <w:r>
              <w:t xml:space="preserve"> </w:t>
            </w:r>
            <w:r>
              <w:rPr>
                <w:b/>
                <w:bCs/>
              </w:rPr>
              <w:t xml:space="preserve">forme orale retirée pour hépatotoxicité</w:t>
            </w:r>
          </w:p>
        </w:tc>
        <w:tc>
          <w:tcPr/>
          <w:p>
            <w:pPr>
              <w:pStyle w:val="Compact"/>
              <w:jc w:val="left"/>
            </w:pPr>
            <w:r>
              <w:t xml:space="preserve">Topique OK ; oral CI</w:t>
            </w:r>
          </w:p>
        </w:tc>
      </w:tr>
      <w:tr>
        <w:tc>
          <w:tcPr/>
          <w:p>
            <w:pPr>
              <w:pStyle w:val="Compact"/>
              <w:jc w:val="left"/>
            </w:pPr>
            <w:r>
              <w:rPr>
                <w:b/>
                <w:bCs/>
              </w:rPr>
              <w:t xml:space="preserve">Éconazole</w:t>
            </w:r>
          </w:p>
        </w:tc>
        <w:tc>
          <w:tcPr/>
          <w:p>
            <w:pPr>
              <w:pStyle w:val="Compact"/>
              <w:jc w:val="left"/>
            </w:pPr>
            <w:r>
              <w:t xml:space="preserve">Imidazolé 1ʳᵉ génération</w:t>
            </w:r>
          </w:p>
        </w:tc>
        <w:tc>
          <w:tcPr/>
          <w:p>
            <w:pPr>
              <w:pStyle w:val="Compact"/>
              <w:jc w:val="left"/>
            </w:pPr>
            <w:r>
              <w:rPr>
                <w:i/>
                <w:iCs/>
              </w:rPr>
              <w:t xml:space="preserve">Candida</w:t>
            </w:r>
            <w:r>
              <w:t xml:space="preserve">, dermatophytes,</w:t>
            </w:r>
            <w:r>
              <w:t xml:space="preserve"> </w:t>
            </w:r>
            <w:r>
              <w:rPr>
                <w:i/>
                <w:iCs/>
              </w:rPr>
              <w:t xml:space="preserve">Malassezia</w:t>
            </w:r>
          </w:p>
        </w:tc>
        <w:tc>
          <w:tcPr/>
          <w:p>
            <w:pPr>
              <w:pStyle w:val="Compact"/>
              <w:jc w:val="left"/>
            </w:pPr>
            <w:r>
              <w:t xml:space="preserve">CYP51</w:t>
            </w:r>
          </w:p>
        </w:tc>
        <w:tc>
          <w:tcPr/>
          <w:p>
            <w:pPr>
              <w:pStyle w:val="Compact"/>
              <w:jc w:val="left"/>
            </w:pPr>
            <w:r>
              <w:t xml:space="preserve">Crème 1 % (4 marques) ; Lait dermique 1 % (3 marques) ; Solution 1 % (3 marques) ; Ovules 150 mg (1 marque)</w:t>
            </w:r>
          </w:p>
        </w:tc>
        <w:tc>
          <w:tcPr/>
          <w:p>
            <w:pPr>
              <w:pStyle w:val="Compact"/>
              <w:jc w:val="left"/>
            </w:pPr>
            <w:r>
              <w:t xml:space="preserve">Cutané : 2 app/j × 2–6 sem ; Vaginal : 1 ovule/j × 3 j ou dose unique LP</w:t>
            </w:r>
          </w:p>
        </w:tc>
        <w:tc>
          <w:tcPr/>
          <w:p>
            <w:pPr>
              <w:pStyle w:val="Compact"/>
              <w:jc w:val="left"/>
            </w:pPr>
            <w:r>
              <w:t xml:space="preserve">Sensation de brûlure ; interaction AVK (ovule)</w:t>
            </w:r>
          </w:p>
        </w:tc>
        <w:tc>
          <w:tcPr/>
          <w:p>
            <w:pPr>
              <w:pStyle w:val="Compact"/>
              <w:jc w:val="left"/>
            </w:pPr>
            <w:r>
              <w:t xml:space="preserve">Topique OK ; vaginal déconseillé T1</w:t>
            </w:r>
          </w:p>
        </w:tc>
      </w:tr>
      <w:tr>
        <w:tc>
          <w:tcPr/>
          <w:p>
            <w:pPr>
              <w:pStyle w:val="Compact"/>
              <w:jc w:val="left"/>
            </w:pPr>
            <w:r>
              <w:rPr>
                <w:b/>
                <w:bCs/>
              </w:rPr>
              <w:t xml:space="preserve">Clotrimazole</w:t>
            </w:r>
          </w:p>
        </w:tc>
        <w:tc>
          <w:tcPr/>
          <w:p>
            <w:pPr>
              <w:pStyle w:val="Compact"/>
              <w:jc w:val="left"/>
            </w:pPr>
            <w:r>
              <w:t xml:space="preserve">Imidazolé 1ʳᵉ génération</w:t>
            </w:r>
          </w:p>
        </w:tc>
        <w:tc>
          <w:tcPr/>
          <w:p>
            <w:pPr>
              <w:pStyle w:val="Compact"/>
              <w:jc w:val="left"/>
            </w:pPr>
            <w:r>
              <w:rPr>
                <w:i/>
                <w:iCs/>
              </w:rPr>
              <w:t xml:space="preserve">Candida</w:t>
            </w:r>
            <w:r>
              <w:t xml:space="preserve">, dermatophytes,</w:t>
            </w:r>
            <w:r>
              <w:t xml:space="preserve"> </w:t>
            </w:r>
            <w:r>
              <w:rPr>
                <w:i/>
                <w:iCs/>
              </w:rPr>
              <w:t xml:space="preserve">Malassezia</w:t>
            </w:r>
          </w:p>
        </w:tc>
        <w:tc>
          <w:tcPr/>
          <w:p>
            <w:pPr>
              <w:pStyle w:val="Compact"/>
              <w:jc w:val="left"/>
            </w:pPr>
            <w:r>
              <w:t xml:space="preserve">CYP51 + inhibition ATPase fongique</w:t>
            </w:r>
          </w:p>
        </w:tc>
        <w:tc>
          <w:tcPr/>
          <w:p>
            <w:pPr>
              <w:pStyle w:val="Compact"/>
              <w:jc w:val="left"/>
            </w:pPr>
            <w:r>
              <w:t xml:space="preserve">Crème 1 % (2 marques) ; Crème vaginale 2 % × 3 j ; Ovules 200 mg × 3 j ou 500 mg dose unique (non renouvelables)</w:t>
            </w:r>
          </w:p>
        </w:tc>
        <w:tc>
          <w:tcPr/>
          <w:p>
            <w:pPr>
              <w:pStyle w:val="Compact"/>
              <w:jc w:val="left"/>
            </w:pPr>
            <w:r>
              <w:t xml:space="preserve">Cutané : 2 app/j × 2–6 sem ; Vaginal : 1 ovule 500 mg dose unique</w:t>
            </w:r>
          </w:p>
        </w:tc>
        <w:tc>
          <w:tcPr/>
          <w:p>
            <w:pPr>
              <w:pStyle w:val="Compact"/>
              <w:jc w:val="left"/>
            </w:pPr>
            <w:r>
              <w:t xml:space="preserve">Sensation de brûlure ; interaction AVK (ovule, moindre que miconazole)</w:t>
            </w:r>
          </w:p>
        </w:tc>
        <w:tc>
          <w:tcPr/>
          <w:p>
            <w:pPr>
              <w:pStyle w:val="Compact"/>
              <w:jc w:val="left"/>
            </w:pPr>
            <w:r>
              <w:t xml:space="preserve">Topique OK ; vaginal OK T2-T3 (dose unique)</w:t>
            </w:r>
          </w:p>
        </w:tc>
      </w:tr>
      <w:tr>
        <w:tc>
          <w:tcPr/>
          <w:p>
            <w:pPr>
              <w:pStyle w:val="Compact"/>
              <w:jc w:val="left"/>
            </w:pPr>
            <w:r>
              <w:rPr>
                <w:b/>
                <w:bCs/>
              </w:rPr>
              <w:t xml:space="preserve">Fenticonazole</w:t>
            </w:r>
          </w:p>
        </w:tc>
        <w:tc>
          <w:tcPr/>
          <w:p>
            <w:pPr>
              <w:pStyle w:val="Compact"/>
              <w:jc w:val="left"/>
            </w:pPr>
            <w:r>
              <w:t xml:space="preserve">Imidazolé 2ᵉ génération</w:t>
            </w:r>
          </w:p>
        </w:tc>
        <w:tc>
          <w:tcPr/>
          <w:p>
            <w:pPr>
              <w:pStyle w:val="Compact"/>
              <w:jc w:val="left"/>
            </w:pPr>
            <w:r>
              <w:rPr>
                <w:i/>
                <w:iCs/>
              </w:rPr>
              <w:t xml:space="preserve">Candida</w:t>
            </w:r>
            <w:r>
              <w:t xml:space="preserve">,</w:t>
            </w:r>
            <w:r>
              <w:t xml:space="preserve"> </w:t>
            </w:r>
            <w:r>
              <w:rPr>
                <w:i/>
                <w:iCs/>
              </w:rPr>
              <w:t xml:space="preserve">Trichomonas</w:t>
            </w:r>
            <w:r>
              <w:t xml:space="preserve">,</w:t>
            </w:r>
            <w:r>
              <w:t xml:space="preserve"> </w:t>
            </w:r>
            <w:r>
              <w:rPr>
                <w:i/>
                <w:iCs/>
              </w:rPr>
              <w:t xml:space="preserve">Gardnerella</w:t>
            </w:r>
          </w:p>
        </w:tc>
        <w:tc>
          <w:tcPr/>
          <w:p>
            <w:pPr>
              <w:pStyle w:val="Compact"/>
              <w:jc w:val="left"/>
            </w:pPr>
            <w:r>
              <w:t xml:space="preserve">CYP51</w:t>
            </w:r>
          </w:p>
        </w:tc>
        <w:tc>
          <w:tcPr/>
          <w:p>
            <w:pPr>
              <w:pStyle w:val="Compact"/>
              <w:jc w:val="left"/>
            </w:pPr>
            <w:r>
              <w:t xml:space="preserve">Ovule 600 mg dose unique (1 marque : Fenomix)</w:t>
            </w:r>
          </w:p>
        </w:tc>
        <w:tc>
          <w:tcPr/>
          <w:p>
            <w:pPr>
              <w:pStyle w:val="Compact"/>
              <w:jc w:val="left"/>
            </w:pPr>
            <w:r>
              <w:t xml:space="preserve">1 ovule dose unique au coucher</w:t>
            </w:r>
          </w:p>
        </w:tc>
        <w:tc>
          <w:tcPr/>
          <w:p>
            <w:pPr>
              <w:pStyle w:val="Compact"/>
              <w:jc w:val="left"/>
            </w:pPr>
            <w:r>
              <w:t xml:space="preserve">Sensation de brûlure ; interaction AVK</w:t>
            </w:r>
          </w:p>
        </w:tc>
        <w:tc>
          <w:tcPr/>
          <w:p>
            <w:pPr>
              <w:pStyle w:val="Compact"/>
              <w:jc w:val="left"/>
            </w:pPr>
            <w:r>
              <w:t xml:space="preserve">Vaginal déconseillé T1, OK T2-T3</w:t>
            </w:r>
          </w:p>
        </w:tc>
      </w:tr>
      <w:tr>
        <w:tc>
          <w:tcPr/>
          <w:p>
            <w:pPr>
              <w:pStyle w:val="Compact"/>
              <w:jc w:val="left"/>
            </w:pPr>
            <w:r>
              <w:rPr>
                <w:b/>
                <w:bCs/>
              </w:rPr>
              <w:t xml:space="preserve">Sertaconazole</w:t>
            </w:r>
          </w:p>
        </w:tc>
        <w:tc>
          <w:tcPr/>
          <w:p>
            <w:pPr>
              <w:pStyle w:val="Compact"/>
              <w:jc w:val="left"/>
            </w:pPr>
            <w:r>
              <w:t xml:space="preserve">Imidazolé 2ᵉ génération (benzothiophène)</w:t>
            </w:r>
          </w:p>
        </w:tc>
        <w:tc>
          <w:tcPr/>
          <w:p>
            <w:pPr>
              <w:pStyle w:val="Compact"/>
              <w:jc w:val="left"/>
            </w:pPr>
            <w:r>
              <w:rPr>
                <w:i/>
                <w:iCs/>
              </w:rPr>
              <w:t xml:space="preserve">Candida</w:t>
            </w:r>
            <w:r>
              <w:t xml:space="preserve">, dermatophytes,</w:t>
            </w:r>
            <w:r>
              <w:t xml:space="preserve"> </w:t>
            </w:r>
            <w:r>
              <w:rPr>
                <w:i/>
                <w:iCs/>
              </w:rPr>
              <w:t xml:space="preserve">Malassezia</w:t>
            </w:r>
          </w:p>
        </w:tc>
        <w:tc>
          <w:tcPr/>
          <w:p>
            <w:pPr>
              <w:pStyle w:val="Compact"/>
              <w:jc w:val="left"/>
            </w:pPr>
            <w:r>
              <w:t xml:space="preserve">CYP51 + liaison directe ergostérol + inhibition 5-LOX</w:t>
            </w:r>
          </w:p>
        </w:tc>
        <w:tc>
          <w:tcPr/>
          <w:p>
            <w:pPr>
              <w:pStyle w:val="Compact"/>
              <w:jc w:val="left"/>
            </w:pPr>
            <w:r>
              <w:t xml:space="preserve">Crème 2 % (8 marques) ; Ovules 300 mg dose unique (3 marques)</w:t>
            </w:r>
          </w:p>
        </w:tc>
        <w:tc>
          <w:tcPr/>
          <w:p>
            <w:pPr>
              <w:pStyle w:val="Compact"/>
              <w:jc w:val="left"/>
            </w:pPr>
            <w:r>
              <w:t xml:space="preserve">Cutané : 2 app/j × 2–6 sem ; Vaginal : 1 ovule dose unique</w:t>
            </w:r>
          </w:p>
        </w:tc>
        <w:tc>
          <w:tcPr/>
          <w:p>
            <w:pPr>
              <w:pStyle w:val="Compact"/>
              <w:jc w:val="left"/>
            </w:pPr>
            <w:r>
              <w:t xml:space="preserve">Sensation de brûlure (souvent moindre, effet anti-inflammatoire propre)</w:t>
            </w:r>
          </w:p>
        </w:tc>
        <w:tc>
          <w:tcPr/>
          <w:p>
            <w:pPr>
              <w:pStyle w:val="Compact"/>
              <w:jc w:val="left"/>
            </w:pPr>
            <w:r>
              <w:t xml:space="preserve">Topique OK ; vaginal déconseillé T1</w:t>
            </w:r>
          </w:p>
        </w:tc>
      </w:tr>
      <w:tr>
        <w:tc>
          <w:tcPr/>
          <w:p>
            <w:pPr>
              <w:pStyle w:val="Compact"/>
              <w:jc w:val="left"/>
            </w:pPr>
            <w:r>
              <w:rPr>
                <w:b/>
                <w:bCs/>
              </w:rPr>
              <w:t xml:space="preserve">Butoconazole</w:t>
            </w:r>
          </w:p>
        </w:tc>
        <w:tc>
          <w:tcPr/>
          <w:p>
            <w:pPr>
              <w:pStyle w:val="Compact"/>
              <w:jc w:val="left"/>
            </w:pPr>
            <w:r>
              <w:t xml:space="preserve">Imidazolé 2ᵉ génération</w:t>
            </w:r>
          </w:p>
        </w:tc>
        <w:tc>
          <w:tcPr/>
          <w:p>
            <w:pPr>
              <w:pStyle w:val="Compact"/>
              <w:jc w:val="left"/>
            </w:pPr>
            <w:r>
              <w:rPr>
                <w:i/>
                <w:iCs/>
              </w:rPr>
              <w:t xml:space="preserve">Candida</w:t>
            </w:r>
            <w:r>
              <w:t xml:space="preserve">,</w:t>
            </w:r>
            <w:r>
              <w:t xml:space="preserve"> </w:t>
            </w:r>
            <w:r>
              <w:rPr>
                <w:i/>
                <w:iCs/>
              </w:rPr>
              <w:t xml:space="preserve">Trichomonas</w:t>
            </w:r>
          </w:p>
        </w:tc>
        <w:tc>
          <w:tcPr/>
          <w:p>
            <w:pPr>
              <w:pStyle w:val="Compact"/>
              <w:jc w:val="left"/>
            </w:pPr>
            <w:r>
              <w:t xml:space="preserve">CYP51</w:t>
            </w:r>
          </w:p>
        </w:tc>
        <w:tc>
          <w:tcPr/>
          <w:p>
            <w:pPr>
              <w:pStyle w:val="Compact"/>
              <w:jc w:val="left"/>
            </w:pPr>
            <w:r>
              <w:t xml:space="preserve">Ovule 100 mg × 3 j —</w:t>
            </w:r>
            <w:r>
              <w:t xml:space="preserve"> </w:t>
            </w:r>
            <w:r>
              <w:rPr>
                <w:b/>
                <w:bCs/>
              </w:rPr>
              <w:t xml:space="preserve">Retiré (R)</w:t>
            </w:r>
          </w:p>
        </w:tc>
        <w:tc>
          <w:tcPr/>
          <w:p>
            <w:pPr>
              <w:pStyle w:val="Compact"/>
              <w:jc w:val="left"/>
            </w:pPr>
            <w:r>
              <w:t xml:space="preserve">1 ovule/j × 3 j</w:t>
            </w:r>
          </w:p>
        </w:tc>
        <w:tc>
          <w:tcPr/>
          <w:p>
            <w:pPr>
              <w:pStyle w:val="Compact"/>
              <w:jc w:val="left"/>
            </w:pPr>
            <w:r>
              <w:t xml:space="preserve">Irritation locale</w:t>
            </w:r>
          </w:p>
        </w:tc>
        <w:tc>
          <w:tcPr/>
          <w:p>
            <w:pPr>
              <w:pStyle w:val="Compact"/>
              <w:jc w:val="left"/>
            </w:pPr>
            <w:r>
              <w:t xml:space="preserve">Vaginal déconseillé T1</w:t>
            </w:r>
          </w:p>
        </w:tc>
      </w:tr>
      <w:tr>
        <w:tc>
          <w:tcPr/>
          <w:p>
            <w:pPr>
              <w:pStyle w:val="Compact"/>
              <w:jc w:val="left"/>
            </w:pPr>
            <w:r>
              <w:rPr>
                <w:b/>
                <w:bCs/>
              </w:rPr>
              <w:t xml:space="preserve">Oxiconazole</w:t>
            </w:r>
          </w:p>
        </w:tc>
        <w:tc>
          <w:tcPr/>
          <w:p>
            <w:pPr>
              <w:pStyle w:val="Compact"/>
              <w:jc w:val="left"/>
            </w:pPr>
            <w:r>
              <w:t xml:space="preserve">Imidazolé 2ᵉ génération</w:t>
            </w:r>
          </w:p>
        </w:tc>
        <w:tc>
          <w:tcPr/>
          <w:p>
            <w:pPr>
              <w:pStyle w:val="Compact"/>
              <w:jc w:val="left"/>
            </w:pPr>
            <w:r>
              <w:rPr>
                <w:i/>
                <w:iCs/>
              </w:rPr>
              <w:t xml:space="preserve">Candida</w:t>
            </w:r>
            <w:r>
              <w:t xml:space="preserve">, dermatophytes,</w:t>
            </w:r>
            <w:r>
              <w:t xml:space="preserve"> </w:t>
            </w:r>
            <w:r>
              <w:rPr>
                <w:i/>
                <w:iCs/>
              </w:rPr>
              <w:t xml:space="preserve">Malassezia</w:t>
            </w:r>
          </w:p>
        </w:tc>
        <w:tc>
          <w:tcPr/>
          <w:p>
            <w:pPr>
              <w:pStyle w:val="Compact"/>
              <w:jc w:val="left"/>
            </w:pPr>
            <w:r>
              <w:t xml:space="preserve">CYP51</w:t>
            </w:r>
          </w:p>
        </w:tc>
        <w:tc>
          <w:tcPr/>
          <w:p>
            <w:pPr>
              <w:pStyle w:val="Compact"/>
              <w:jc w:val="left"/>
            </w:pPr>
            <w:r>
              <w:t xml:space="preserve">Crème 1 % et Poudre 1 % —</w:t>
            </w:r>
            <w:r>
              <w:t xml:space="preserve"> </w:t>
            </w:r>
            <w:r>
              <w:rPr>
                <w:b/>
                <w:bCs/>
              </w:rPr>
              <w:t xml:space="preserve">Retirées (R)</w:t>
            </w:r>
          </w:p>
        </w:tc>
        <w:tc>
          <w:tcPr/>
          <w:p>
            <w:pPr>
              <w:pStyle w:val="Compact"/>
              <w:jc w:val="left"/>
            </w:pPr>
            <w:r>
              <w:t xml:space="preserve">1 app/j × 2–6 sem</w:t>
            </w:r>
          </w:p>
        </w:tc>
        <w:tc>
          <w:tcPr/>
          <w:p>
            <w:pPr>
              <w:pStyle w:val="Compact"/>
              <w:jc w:val="left"/>
            </w:pPr>
            <w:r>
              <w:t xml:space="preserve">Irritation locale</w:t>
            </w:r>
          </w:p>
        </w:tc>
        <w:tc>
          <w:tcPr/>
          <w:p>
            <w:pPr>
              <w:pStyle w:val="Compact"/>
              <w:jc w:val="left"/>
            </w:pPr>
            <w:r>
              <w:t xml:space="preserve">Topique OK (données limitées)</w:t>
            </w:r>
          </w:p>
        </w:tc>
      </w:tr>
    </w:tbl>
    <w:p>
      <w:r>
        <w:pict>
          <v:rect style="width:0;height:1.5pt" o:hralign="center" o:hrstd="t" o:hr="t"/>
        </w:pict>
      </w:r>
    </w:p>
    <w:bookmarkEnd w:id="53"/>
    <w:bookmarkStart w:id="66" w:name="messages-clés-et-synthèse-pédagogique"/>
    <w:p>
      <w:pPr>
        <w:pStyle w:val="Heading2"/>
      </w:pPr>
      <w:r>
        <w:t xml:space="preserve">5. Messages clés et synthèse pédagogique</w:t>
      </w:r>
    </w:p>
    <w:p>
      <w:pPr>
        <w:pStyle w:val="FirstParagraph"/>
      </w:pPr>
      <w:r>
        <w:t xml:space="preserve">Cette section regroupe les</w:t>
      </w:r>
      <w:r>
        <w:t xml:space="preserve"> </w:t>
      </w:r>
      <w:r>
        <w:rPr>
          <w:b/>
          <w:bCs/>
        </w:rPr>
        <w:t xml:space="preserve">enseignements essentiels</w:t>
      </w:r>
      <w:r>
        <w:t xml:space="preserve"> </w:t>
      </w:r>
      <w:r>
        <w:t xml:space="preserve">que l’étudiant en pharmacie et le pharmacien d’officine algérien doivent retenir des fiches précédentes. Ces points sont conçus comme une grille de décision pratique pour la dispensation et le conseil au comptoir.</w:t>
      </w:r>
    </w:p>
    <w:bookmarkStart w:id="54" w:name="X7a5755a0514618dbf653a3902581f1a572485d4"/>
    <w:p>
      <w:pPr>
        <w:pStyle w:val="Heading3"/>
      </w:pPr>
      <w:r>
        <w:t xml:space="preserve">Message 1 — L’ergostérol, cible centrale des antifongiques</w:t>
      </w:r>
    </w:p>
    <w:p>
      <w:pPr>
        <w:pStyle w:val="FirstParagraph"/>
      </w:pPr>
      <w:r>
        <w:t xml:space="preserve">Les deux sous-classes traitées dans ce chapitre convergent vers la même cible : l’</w:t>
      </w:r>
      <w:r>
        <w:rPr>
          <w:b/>
          <w:bCs/>
        </w:rPr>
        <w:t xml:space="preserve">ergostérol</w:t>
      </w:r>
      <w:r>
        <w:t xml:space="preserve"> </w:t>
      </w:r>
      <w:r>
        <w:t xml:space="preserve">membranaire fongique. Les</w:t>
      </w:r>
      <w:r>
        <w:t xml:space="preserve"> </w:t>
      </w:r>
      <w:r>
        <w:rPr>
          <w:b/>
          <w:bCs/>
        </w:rPr>
        <w:t xml:space="preserve">polyènes</w:t>
      </w:r>
      <w:r>
        <w:t xml:space="preserve"> </w:t>
      </w:r>
      <w:r>
        <w:t xml:space="preserve">(amphotéricine B, nystatine) s’y lient directement et forment un pore qui détruit la cellule (action</w:t>
      </w:r>
      <w:r>
        <w:t xml:space="preserve"> </w:t>
      </w:r>
      <w:r>
        <w:rPr>
          <w:b/>
          <w:bCs/>
        </w:rPr>
        <w:t xml:space="preserve">fungicide</w:t>
      </w:r>
      <w:r>
        <w:t xml:space="preserve">). Les</w:t>
      </w:r>
      <w:r>
        <w:t xml:space="preserve"> </w:t>
      </w:r>
      <w:r>
        <w:rPr>
          <w:b/>
          <w:bCs/>
        </w:rPr>
        <w:t xml:space="preserve">imidazolés topiques</w:t>
      </w:r>
      <w:r>
        <w:t xml:space="preserve"> </w:t>
      </w:r>
      <w:r>
        <w:t xml:space="preserve">bloquent sa biosynthèse via l’inhibition de la</w:t>
      </w:r>
      <w:r>
        <w:t xml:space="preserve"> </w:t>
      </w:r>
      <w:r>
        <w:rPr>
          <w:b/>
          <w:bCs/>
        </w:rPr>
        <w:t xml:space="preserve">CYP51</w:t>
      </w:r>
      <w:r>
        <w:t xml:space="preserve"> </w:t>
      </w:r>
      <w:r>
        <w:t xml:space="preserve">(lanostérol 14α-déméthylase), entraînant une carence en ergostérol et une accumulation de stérols toxiques (action</w:t>
      </w:r>
      <w:r>
        <w:t xml:space="preserve"> </w:t>
      </w:r>
      <w:r>
        <w:rPr>
          <w:b/>
          <w:bCs/>
        </w:rPr>
        <w:t xml:space="preserve">fungistatique</w:t>
      </w:r>
      <w:r>
        <w:t xml:space="preserve"> </w:t>
      </w:r>
      <w:r>
        <w:t xml:space="preserve">principalement, parfois fungicide concentration-dépendante). Cette double stratégie explique la complémentarité des classes : les polyènes restent la référence systémique (amphotéricine B IV) et digestive (nystatine buvable), tandis que les imidazolés dominent le champ topique cutanéo-muqueux et vaginal.</w:t>
      </w:r>
    </w:p>
    <w:bookmarkEnd w:id="54"/>
    <w:bookmarkStart w:id="55" w:name="X0e8e71620fb244aa9267701ea8e90fcccb03a11"/>
    <w:p>
      <w:pPr>
        <w:pStyle w:val="Heading3"/>
      </w:pPr>
      <w:r>
        <w:t xml:space="preserve">Message 2 — L’amphotéricine B, un médicament hospitalier à manipuler avec rigueur</w:t>
      </w:r>
    </w:p>
    <w:p>
      <w:pPr>
        <w:pStyle w:val="FirstParagraph"/>
      </w:pPr>
      <w:r>
        <w:t xml:space="preserve">L’amphotéricine B IV est un antifongique à large spectre dont l’usage reste strictement hospitalier. Le pharmacien d’officine peut cependant dispenser la suspension buvable (Fungizone 10 %, Mytricine) pour le muguet du nourrisson ou la candidose digestive. Les points critiques à retenir :</w:t>
      </w:r>
      <w:r>
        <w:t xml:space="preserve"> </w:t>
      </w:r>
      <w:r>
        <w:rPr>
          <w:b/>
          <w:bCs/>
        </w:rPr>
        <w:t xml:space="preserve">(i)</w:t>
      </w:r>
      <w:r>
        <w:t xml:space="preserve"> </w:t>
      </w:r>
      <w:r>
        <w:t xml:space="preserve">la poudre lyophilisée pour perfusion IV doit être</w:t>
      </w:r>
      <w:r>
        <w:t xml:space="preserve"> </w:t>
      </w:r>
      <w:r>
        <w:rPr>
          <w:b/>
          <w:bCs/>
        </w:rPr>
        <w:t xml:space="preserve">reconstituée avec de l’eau PPI puis diluée dans du G5% — jamais de NaCl (précipitation)</w:t>
      </w:r>
      <w:r>
        <w:t xml:space="preserve"> </w:t>
      </w:r>
      <w:r>
        <w:t xml:space="preserve">;</w:t>
      </w:r>
      <w:r>
        <w:t xml:space="preserve"> </w:t>
      </w:r>
      <w:r>
        <w:rPr>
          <w:b/>
          <w:bCs/>
        </w:rPr>
        <w:t xml:space="preserve">(ii)</w:t>
      </w:r>
      <w:r>
        <w:t xml:space="preserve"> </w:t>
      </w:r>
      <w:r>
        <w:t xml:space="preserve">la perfusion se fait sur</w:t>
      </w:r>
      <w:r>
        <w:t xml:space="preserve"> </w:t>
      </w:r>
      <w:r>
        <w:rPr>
          <w:b/>
          <w:bCs/>
        </w:rPr>
        <w:t xml:space="preserve">voie veineuse centrale</w:t>
      </w:r>
      <w:r>
        <w:t xml:space="preserve">, à l’abri de la lumière, sur 2–4 heures ;</w:t>
      </w:r>
      <w:r>
        <w:t xml:space="preserve"> </w:t>
      </w:r>
      <w:r>
        <w:rPr>
          <w:b/>
          <w:bCs/>
        </w:rPr>
        <w:t xml:space="preserve">(iii)</w:t>
      </w:r>
      <w:r>
        <w:t xml:space="preserve"> </w:t>
      </w:r>
      <w:r>
        <w:t xml:space="preserve">la prémédication paracétamol + antihistaminique ± hydrocortisone est systématique ;</w:t>
      </w:r>
      <w:r>
        <w:t xml:space="preserve"> </w:t>
      </w:r>
      <w:r>
        <w:rPr>
          <w:b/>
          <w:bCs/>
        </w:rPr>
        <w:t xml:space="preserve">(iv)</w:t>
      </w:r>
      <w:r>
        <w:t xml:space="preserve"> </w:t>
      </w:r>
      <w:r>
        <w:t xml:space="preserve">la surveillance ionogramme (K⁺, Mg²⁺) et créatinine est quotidienne au début ;</w:t>
      </w:r>
      <w:r>
        <w:t xml:space="preserve"> </w:t>
      </w:r>
      <w:r>
        <w:rPr>
          <w:b/>
          <w:bCs/>
        </w:rPr>
        <w:t xml:space="preserve">(v)</w:t>
      </w:r>
      <w:r>
        <w:t xml:space="preserve"> </w:t>
      </w:r>
      <w:r>
        <w:t xml:space="preserve">les</w:t>
      </w:r>
      <w:r>
        <w:t xml:space="preserve"> </w:t>
      </w:r>
      <w:r>
        <w:rPr>
          <w:b/>
          <w:bCs/>
        </w:rPr>
        <w:t xml:space="preserve">formes lipidiques</w:t>
      </w:r>
      <w:r>
        <w:t xml:space="preserve"> </w:t>
      </w:r>
      <w:r>
        <w:t xml:space="preserve">(Ambisome, Abelcet) ne sont pas disponibles en Algérie — à l’importation ATMP en cas de nécessité.</w:t>
      </w:r>
    </w:p>
    <w:bookmarkEnd w:id="55"/>
    <w:bookmarkStart w:id="56" w:name="X276c2a76d2d96a4e2337a5c5c55f5f4a79297c9"/>
    <w:p>
      <w:pPr>
        <w:pStyle w:val="Heading3"/>
      </w:pPr>
      <w:r>
        <w:t xml:space="preserve">Message 3 — La nystatine, le topique antifongique de l’enfant et de la grossesse</w:t>
      </w:r>
    </w:p>
    <w:p>
      <w:pPr>
        <w:pStyle w:val="FirstParagraph"/>
      </w:pPr>
      <w:r>
        <w:t xml:space="preserve">La nystatine est l’antifongique topique de référence chez le</w:t>
      </w:r>
      <w:r>
        <w:t xml:space="preserve"> </w:t>
      </w:r>
      <w:r>
        <w:rPr>
          <w:b/>
          <w:bCs/>
        </w:rPr>
        <w:t xml:space="preserve">nourrisson</w:t>
      </w:r>
      <w:r>
        <w:t xml:space="preserve"> </w:t>
      </w:r>
      <w:r>
        <w:t xml:space="preserve">(muguet buccal : 1 mL après chaque tétée pendant 10–14 jours) et chez la</w:t>
      </w:r>
      <w:r>
        <w:t xml:space="preserve"> </w:t>
      </w:r>
      <w:r>
        <w:rPr>
          <w:b/>
          <w:bCs/>
        </w:rPr>
        <w:t xml:space="preserve">femme enceinte</w:t>
      </w:r>
      <w:r>
        <w:t xml:space="preserve"> </w:t>
      </w:r>
      <w:r>
        <w:t xml:space="preserve">(candidose vaginale à tous les trimestres). Sa sécurité d’emploi repose sur une absorption digestive et cutanée quasi nulle et sur l’absence d’effet tératogène. La nystatine seule est inactive sur les dermatophytes — ne pas la proposer pour un pied d’athlète ou une teigne (orienter vers imidazolé topique ou allylamine).</w:t>
      </w:r>
    </w:p>
    <w:bookmarkEnd w:id="56"/>
    <w:bookmarkStart w:id="57" w:name="message-4-le-piège-du-kétoconazole-oral"/>
    <w:p>
      <w:pPr>
        <w:pStyle w:val="Heading3"/>
      </w:pPr>
      <w:r>
        <w:t xml:space="preserve">Message 4 — Le piège du kétoconazole oral</w:t>
      </w:r>
    </w:p>
    <w:p>
      <w:pPr>
        <w:pStyle w:val="FirstParagraph"/>
      </w:pPr>
      <w:r>
        <w:t xml:space="preserve">La forme orale du kétoconazole (Tinuvin, Nizoral comprimés, Ketoconazol Ratiopharm) est</w:t>
      </w:r>
      <w:r>
        <w:t xml:space="preserve"> </w:t>
      </w:r>
      <w:r>
        <w:rPr>
          <w:b/>
          <w:bCs/>
        </w:rPr>
        <w:t xml:space="preserve">retirée du marché mondial</w:t>
      </w:r>
      <w:r>
        <w:t xml:space="preserve"> </w:t>
      </w:r>
      <w:r>
        <w:t xml:space="preserve">depuis 2013 (EMA) et 2014 (FDA) pour</w:t>
      </w:r>
      <w:r>
        <w:t xml:space="preserve"> </w:t>
      </w:r>
      <w:r>
        <w:rPr>
          <w:b/>
          <w:bCs/>
        </w:rPr>
        <w:t xml:space="preserve">hépatotoxicité</w:t>
      </w:r>
      <w:r>
        <w:t xml:space="preserve"> </w:t>
      </w:r>
      <w:r>
        <w:t xml:space="preserve">(hépatites cytolytiques pouvant évoluer vers l’insuffisance hépatique fulminante). Toutes les spécialités algériennes de kétoconazole oral sont marquées (R) ou Non Renouvelables. Le pharmacien d’officine doit</w:t>
      </w:r>
      <w:r>
        <w:t xml:space="preserve"> </w:t>
      </w:r>
      <w:r>
        <w:rPr>
          <w:b/>
          <w:bCs/>
        </w:rPr>
        <w:t xml:space="preserve">retirer de la vente</w:t>
      </w:r>
      <w:r>
        <w:t xml:space="preserve"> </w:t>
      </w:r>
      <w:r>
        <w:t xml:space="preserve">tout comprimé trouvé en stock résiduel,</w:t>
      </w:r>
      <w:r>
        <w:t xml:space="preserve"> </w:t>
      </w:r>
      <w:r>
        <w:rPr>
          <w:b/>
          <w:bCs/>
        </w:rPr>
        <w:t xml:space="preserve">refuser la dispensation</w:t>
      </w:r>
      <w:r>
        <w:t xml:space="preserve"> </w:t>
      </w:r>
      <w:r>
        <w:t xml:space="preserve">d’une ordonnance ancienne prescrivant du kétoconazole oral, et</w:t>
      </w:r>
      <w:r>
        <w:t xml:space="preserve"> </w:t>
      </w:r>
      <w:r>
        <w:rPr>
          <w:b/>
          <w:bCs/>
        </w:rPr>
        <w:t xml:space="preserve">contacter le prescripteur</w:t>
      </w:r>
      <w:r>
        <w:t xml:space="preserve"> </w:t>
      </w:r>
      <w:r>
        <w:t xml:space="preserve">pour substitution (fluconazole ou itraconazole oral).</w:t>
      </w:r>
    </w:p>
    <w:bookmarkEnd w:id="57"/>
    <w:bookmarkStart w:id="58" w:name="X59c3f83b107fb55eed813ca6a0daec03b1fc654"/>
    <w:p>
      <w:pPr>
        <w:pStyle w:val="Heading3"/>
      </w:pPr>
      <w:r>
        <w:t xml:space="preserve">Message 5 — L’interaction miconazole–anticoagulants oraux</w:t>
      </w:r>
    </w:p>
    <w:p>
      <w:pPr>
        <w:pStyle w:val="FirstParagraph"/>
      </w:pPr>
      <w:r>
        <w:t xml:space="preserve">L’interaction entre le miconazole (gel buccal avalé, crème vaginale) et les anticoagulants oraux (warfarine, acénocoumarol) est</w:t>
      </w:r>
      <w:r>
        <w:t xml:space="preserve"> </w:t>
      </w:r>
      <w:r>
        <w:rPr>
          <w:b/>
          <w:bCs/>
        </w:rPr>
        <w:t xml:space="preserve">médicalement majeure</w:t>
      </w:r>
      <w:r>
        <w:t xml:space="preserve"> </w:t>
      </w:r>
      <w:r>
        <w:t xml:space="preserve">et documentée. Le mécanisme est l’inhibition du CYP2C9 hépatique par le miconazole absorbé, qui majore l’INR et expose au risque hémorragique (saignement gastro-intestinal, cérébral, épistaxis). Le pharmacien doit</w:t>
      </w:r>
      <w:r>
        <w:t xml:space="preserve"> </w:t>
      </w:r>
      <w:r>
        <w:rPr>
          <w:b/>
          <w:bCs/>
        </w:rPr>
        <w:t xml:space="preserve">systématiquement interroger</w:t>
      </w:r>
      <w:r>
        <w:t xml:space="preserve"> </w:t>
      </w:r>
      <w:r>
        <w:t xml:space="preserve">le patient avant de délivrer un ovule ou un gel buccal de miconazole, et l’orienter vers son médecin si prise d’un anticoagulant oral. La surveillance de l’INR doit être renforcée pendant le traitement et 8 jours après l’arrêt. Cette interaction vaut aussi, à un degré moindre, pour l’éconazole, le clotrimazole, le fenticonazole et le sertaconazole vaginaux.</w:t>
      </w:r>
    </w:p>
    <w:bookmarkEnd w:id="58"/>
    <w:bookmarkStart w:id="59" w:name="X2495b011b9d0aa8d0372b892d2a26be1484e733"/>
    <w:p>
      <w:pPr>
        <w:pStyle w:val="Heading3"/>
      </w:pPr>
      <w:r>
        <w:t xml:space="preserve">Message 6 — Le miconazole et le nourrisson : prudence</w:t>
      </w:r>
    </w:p>
    <w:p>
      <w:pPr>
        <w:pStyle w:val="FirstParagraph"/>
      </w:pPr>
      <w:r>
        <w:t xml:space="preserve">Le gel buccal de miconazole (Daktazol, Daktazyl, Dektagel, Miconazole Novagenerics, Ulcego) est contre-indiqué chez le nourrisson de moins de 6 mois en automédication, en raison du risque de</w:t>
      </w:r>
      <w:r>
        <w:t xml:space="preserve"> </w:t>
      </w:r>
      <w:r>
        <w:rPr>
          <w:b/>
          <w:bCs/>
        </w:rPr>
        <w:t xml:space="preserve">fausse-route</w:t>
      </w:r>
      <w:r>
        <w:t xml:space="preserve"> </w:t>
      </w:r>
      <w:r>
        <w:t xml:space="preserve">et de</w:t>
      </w:r>
      <w:r>
        <w:t xml:space="preserve"> </w:t>
      </w:r>
      <w:r>
        <w:rPr>
          <w:b/>
          <w:bCs/>
        </w:rPr>
        <w:t xml:space="preserve">cyanose par spasme laryngé</w:t>
      </w:r>
      <w:r>
        <w:t xml:space="preserve"> </w:t>
      </w:r>
      <w:r>
        <w:t xml:space="preserve">(le gel peut obstruer les voies aériennes supérieures du nourrisson). Pour le muguet néonatal, préférer la</w:t>
      </w:r>
      <w:r>
        <w:t xml:space="preserve"> </w:t>
      </w:r>
      <w:r>
        <w:rPr>
          <w:b/>
          <w:bCs/>
        </w:rPr>
        <w:t xml:space="preserve">nystatine suspension buvable</w:t>
      </w:r>
      <w:r>
        <w:t xml:space="preserve"> </w:t>
      </w:r>
      <w:r>
        <w:t xml:space="preserve">(Mycotine, Nystar). Au-delà de 6 mois, le miconazole gel buccal peut être utilisé avec prudence, en application localisée avec le doigt ou une compresse.</w:t>
      </w:r>
    </w:p>
    <w:bookmarkEnd w:id="59"/>
    <w:bookmarkStart w:id="60" w:name="Xe765be308f1762cf038122062109822da0fa464"/>
    <w:p>
      <w:pPr>
        <w:pStyle w:val="Heading3"/>
      </w:pPr>
      <w:r>
        <w:t xml:space="preserve">Message 7 — La candidose vaginale gravidique : choix du topique</w:t>
      </w:r>
    </w:p>
    <w:p>
      <w:pPr>
        <w:pStyle w:val="FirstParagraph"/>
      </w:pPr>
      <w:r>
        <w:t xml:space="preserve">La candidose vaginale est très fréquente pendant la grossesse (imprégnation œstrogénique, glycosurie gravidique). Le traitement de choix au 2ᵉ et 3ᵉ trimestre est le</w:t>
      </w:r>
      <w:r>
        <w:t xml:space="preserve"> </w:t>
      </w:r>
      <w:r>
        <w:rPr>
          <w:b/>
          <w:bCs/>
        </w:rPr>
        <w:t xml:space="preserve">clotrimazole 500 mg en ovule dose unique</w:t>
      </w:r>
      <w:r>
        <w:t xml:space="preserve"> </w:t>
      </w:r>
      <w:r>
        <w:t xml:space="preserve">(efficacité, tolérance, simplicité). Au 1ᵉʳ trimestre, préférer la</w:t>
      </w:r>
      <w:r>
        <w:t xml:space="preserve"> </w:t>
      </w:r>
      <w:r>
        <w:rPr>
          <w:b/>
          <w:bCs/>
        </w:rPr>
        <w:t xml:space="preserve">nystatine</w:t>
      </w:r>
      <w:r>
        <w:t xml:space="preserve"> </w:t>
      </w:r>
      <w:r>
        <w:t xml:space="preserve">(14 jours) ou le</w:t>
      </w:r>
      <w:r>
        <w:t xml:space="preserve"> </w:t>
      </w:r>
      <w:r>
        <w:rPr>
          <w:b/>
          <w:bCs/>
        </w:rPr>
        <w:t xml:space="preserve">clotrimazole</w:t>
      </w:r>
      <w:r>
        <w:t xml:space="preserve"> </w:t>
      </w:r>
      <w:r>
        <w:t xml:space="preserve">à dose réduite. Éviter le miconazole vaginal au 1ᵉʳ trimestre. Le fluconazole oral est contre-indiqué au 1ᵉʳ trimestre ( tératogénicité documentée — rétrécissement aortique, craniosténose, syndrome de Noonan-like) et à éviter pendant toute la grossesse.</w:t>
      </w:r>
    </w:p>
    <w:bookmarkEnd w:id="60"/>
    <w:bookmarkStart w:id="61" w:name="Xb0908076f7fd0fcf18fcf9644d97efce633ed67"/>
    <w:p>
      <w:pPr>
        <w:pStyle w:val="Heading3"/>
      </w:pPr>
      <w:r>
        <w:t xml:space="preserve">Message 8 — L’effet anti-inflammatoire propre du sertaconazole</w:t>
      </w:r>
    </w:p>
    <w:p>
      <w:pPr>
        <w:pStyle w:val="FirstParagraph"/>
      </w:pPr>
      <w:r>
        <w:t xml:space="preserve">Le sertaconazole se distingue des autres imidazolés par une activité</w:t>
      </w:r>
      <w:r>
        <w:t xml:space="preserve"> </w:t>
      </w:r>
      <w:r>
        <w:rPr>
          <w:b/>
          <w:bCs/>
        </w:rPr>
        <w:t xml:space="preserve">anti-inflammatoire propre</w:t>
      </w:r>
      <w:r>
        <w:t xml:space="preserve"> </w:t>
      </w:r>
      <w:r>
        <w:t xml:space="preserve">(inhibition de la 5-lipoxygénase, d’où réduction des leucotriènes) qui le rend particulièrement utile dans les</w:t>
      </w:r>
      <w:r>
        <w:t xml:space="preserve"> </w:t>
      </w:r>
      <w:r>
        <w:rPr>
          <w:b/>
          <w:bCs/>
        </w:rPr>
        <w:t xml:space="preserve">dermatophyties inflammatoires</w:t>
      </w:r>
      <w:r>
        <w:t xml:space="preserve"> </w:t>
      </w:r>
      <w:r>
        <w:t xml:space="preserve">(herpès circiné très rouge, intertrigo très inflammatoire). Il permet d’éviter le recours aux associations fixes avec corticoïde (nystatine + triamcinolone + néomycine), et donc d’éviter l’exposition à un aminoside (néomycine — sensibilisant cutané puissant). C’est une option de choix chez la femme enceinte présentant une mycose cutanée inflammatoire (alternative sûre aux associations fixes avec corticoïde).</w:t>
      </w:r>
    </w:p>
    <w:bookmarkEnd w:id="61"/>
    <w:bookmarkStart w:id="62" w:name="Xe5eb6507bb1a4d95e7cee9377f9d917617c8624"/>
    <w:p>
      <w:pPr>
        <w:pStyle w:val="Heading3"/>
      </w:pPr>
      <w:r>
        <w:t xml:space="preserve">Message 9 — Les associations fixes : utiles mais à durée limitée</w:t>
      </w:r>
    </w:p>
    <w:p>
      <w:pPr>
        <w:pStyle w:val="FirstParagraph"/>
      </w:pPr>
      <w:r>
        <w:t xml:space="preserve">L’association fixe</w:t>
      </w:r>
      <w:r>
        <w:t xml:space="preserve"> </w:t>
      </w:r>
      <w:r>
        <w:rPr>
          <w:b/>
          <w:bCs/>
        </w:rPr>
        <w:t xml:space="preserve">nystatine + triamcinolone + néomycine</w:t>
      </w:r>
      <w:r>
        <w:t xml:space="preserve"> </w:t>
      </w:r>
      <w:r>
        <w:t xml:space="preserve">(Micotyde, Mycocide, Mycocine, Mycomex) est un pilier de la dermatologie de ville algérienne pour les dermatoses mixtes (eczéma surinfecté, otite externe, intertrigo surinfecté). Cependant, la présence d’un</w:t>
      </w:r>
      <w:r>
        <w:t xml:space="preserve"> </w:t>
      </w:r>
      <w:r>
        <w:rPr>
          <w:b/>
          <w:bCs/>
        </w:rPr>
        <w:t xml:space="preserve">corticoïde fluoré de puissance modérée à forte</w:t>
      </w:r>
      <w:r>
        <w:t xml:space="preserve"> </w:t>
      </w:r>
      <w:r>
        <w:t xml:space="preserve">(triamcinolone) et d’un</w:t>
      </w:r>
      <w:r>
        <w:t xml:space="preserve"> </w:t>
      </w:r>
      <w:r>
        <w:rPr>
          <w:b/>
          <w:bCs/>
        </w:rPr>
        <w:t xml:space="preserve">aminoside sensibilisant</w:t>
      </w:r>
      <w:r>
        <w:t xml:space="preserve"> </w:t>
      </w:r>
      <w:r>
        <w:t xml:space="preserve">(néomycine) impose des règles strictes :</w:t>
      </w:r>
      <w:r>
        <w:t xml:space="preserve"> </w:t>
      </w:r>
      <w:r>
        <w:rPr>
          <w:b/>
          <w:bCs/>
        </w:rPr>
        <w:t xml:space="preserve">(i)</w:t>
      </w:r>
      <w:r>
        <w:t xml:space="preserve"> </w:t>
      </w:r>
      <w:r>
        <w:t xml:space="preserve">durée limitée à 7–14 jours sur peau lésée et 4 semaines sur peau saine ;</w:t>
      </w:r>
      <w:r>
        <w:t xml:space="preserve"> </w:t>
      </w:r>
      <w:r>
        <w:rPr>
          <w:b/>
          <w:bCs/>
        </w:rPr>
        <w:t xml:space="preserve">(ii)</w:t>
      </w:r>
      <w:r>
        <w:t xml:space="preserve"> </w:t>
      </w:r>
      <w:r>
        <w:t xml:space="preserve">éviter l’application sous pansement occlusif ;</w:t>
      </w:r>
      <w:r>
        <w:t xml:space="preserve"> </w:t>
      </w:r>
      <w:r>
        <w:rPr>
          <w:b/>
          <w:bCs/>
        </w:rPr>
        <w:t xml:space="preserve">(iii)</w:t>
      </w:r>
      <w:r>
        <w:t xml:space="preserve"> </w:t>
      </w:r>
      <w:r>
        <w:t xml:space="preserve">ne pas appliquer sur le visage du nourrisson, sur les lésions virales (herpès, varicelle, zona), sur le conduit auditif en cas de tympan perforé ;</w:t>
      </w:r>
      <w:r>
        <w:t xml:space="preserve"> </w:t>
      </w:r>
      <w:r>
        <w:rPr>
          <w:b/>
          <w:bCs/>
        </w:rPr>
        <w:t xml:space="preserve">(iv)</w:t>
      </w:r>
      <w:r>
        <w:t xml:space="preserve"> </w:t>
      </w:r>
      <w:r>
        <w:t xml:space="preserve">surveiller l’apparition d’une dermite de contact (sensibilisation à la néomycine) ;</w:t>
      </w:r>
      <w:r>
        <w:t xml:space="preserve"> </w:t>
      </w:r>
      <w:r>
        <w:rPr>
          <w:b/>
          <w:bCs/>
        </w:rPr>
        <w:t xml:space="preserve">(v)</w:t>
      </w:r>
      <w:r>
        <w:t xml:space="preserve"> </w:t>
      </w:r>
      <w:r>
        <w:t xml:space="preserve">noter l’allergie à la néomycine dans le dossier pharmaceutique (risque d’allergie croisée avec les aminosides injectables ultérieurs).</w:t>
      </w:r>
    </w:p>
    <w:bookmarkEnd w:id="62"/>
    <w:bookmarkStart w:id="63" w:name="X6e53a1f58640146f24fb20ee757d4c7df521ea3"/>
    <w:p>
      <w:pPr>
        <w:pStyle w:val="Heading3"/>
      </w:pPr>
      <w:r>
        <w:t xml:space="preserve">Message 10 — L’observance est la clé du succès thérapeutique</w:t>
      </w:r>
    </w:p>
    <w:p>
      <w:pPr>
        <w:pStyle w:val="FirstParagraph"/>
      </w:pPr>
      <w:r>
        <w:t xml:space="preserve">Le succès du traitement antifongique topique dépend de</w:t>
      </w:r>
      <w:r>
        <w:t xml:space="preserve"> </w:t>
      </w:r>
      <w:r>
        <w:rPr>
          <w:b/>
          <w:bCs/>
        </w:rPr>
        <w:t xml:space="preserve">trois facteurs</w:t>
      </w:r>
      <w:r>
        <w:t xml:space="preserve"> </w:t>
      </w:r>
      <w:r>
        <w:t xml:space="preserve">:</w:t>
      </w:r>
      <w:r>
        <w:t xml:space="preserve"> </w:t>
      </w:r>
      <w:r>
        <w:rPr>
          <w:b/>
          <w:bCs/>
        </w:rPr>
        <w:t xml:space="preserve">(i)</w:t>
      </w:r>
      <w:r>
        <w:t xml:space="preserve"> </w:t>
      </w:r>
      <w:r>
        <w:t xml:space="preserve">la</w:t>
      </w:r>
      <w:r>
        <w:t xml:space="preserve"> </w:t>
      </w:r>
      <w:r>
        <w:rPr>
          <w:b/>
          <w:bCs/>
        </w:rPr>
        <w:t xml:space="preserve">durée</w:t>
      </w:r>
      <w:r>
        <w:t xml:space="preserve"> </w:t>
      </w:r>
      <w:r>
        <w:t xml:space="preserve">(2–4 semaines pour les candidoses cutanées, 4–6 semaines pour les dermatophyties, 6–12 mois pour les onychomycoses — à poursuivre 48 h après disparition des symptômes) ;</w:t>
      </w:r>
      <w:r>
        <w:t xml:space="preserve"> </w:t>
      </w:r>
      <w:r>
        <w:rPr>
          <w:b/>
          <w:bCs/>
        </w:rPr>
        <w:t xml:space="preserve">(ii)</w:t>
      </w:r>
      <w:r>
        <w:t xml:space="preserve"> </w:t>
      </w:r>
      <w:r>
        <w:t xml:space="preserve">le</w:t>
      </w:r>
      <w:r>
        <w:t xml:space="preserve"> </w:t>
      </w:r>
      <w:r>
        <w:rPr>
          <w:b/>
          <w:bCs/>
        </w:rPr>
        <w:t xml:space="preserve">mode d’application</w:t>
      </w:r>
      <w:r>
        <w:t xml:space="preserve"> </w:t>
      </w:r>
      <w:r>
        <w:t xml:space="preserve">(peau propre et sèche, couche fine, lavage des mains avant et après, espacement des applications par 15 min si plusieurs topiques) ;</w:t>
      </w:r>
      <w:r>
        <w:t xml:space="preserve"> </w:t>
      </w:r>
      <w:r>
        <w:rPr>
          <w:b/>
          <w:bCs/>
        </w:rPr>
        <w:t xml:space="preserve">(iii)</w:t>
      </w:r>
      <w:r>
        <w:t xml:space="preserve"> </w:t>
      </w:r>
      <w:r>
        <w:t xml:space="preserve">l’</w:t>
      </w:r>
      <w:r>
        <w:rPr>
          <w:b/>
          <w:bCs/>
        </w:rPr>
        <w:t xml:space="preserve">hygiène associée</w:t>
      </w:r>
      <w:r>
        <w:t xml:space="preserve"> </w:t>
      </w:r>
      <w:r>
        <w:t xml:space="preserve">(port de sous-vêtements en coton, changement quotidien des chaussettes, séchage soigneux des plis, désinfection des chaussures, traitement du partenaire en cas de candidose vaginale récidivante). Le pharmacien d’officine a un rôle pédagogique essentiel dans l’explication de ces règles au comptoir.</w:t>
      </w:r>
    </w:p>
    <w:bookmarkEnd w:id="63"/>
    <w:bookmarkStart w:id="64" w:name="X7b4912852d08ce08591a4fb5985cb96cdcfafe5"/>
    <w:p>
      <w:pPr>
        <w:pStyle w:val="Heading3"/>
      </w:pPr>
      <w:r>
        <w:t xml:space="preserve">Message 11 — Reconnaître les situations nécessitant un avis médical</w:t>
      </w:r>
    </w:p>
    <w:p>
      <w:pPr>
        <w:pStyle w:val="FirstParagraph"/>
      </w:pPr>
      <w:r>
        <w:t xml:space="preserve">Devant une mycose cutanéo-muqueuse, le pharmacien doit orienter vers le médecin dans les situations suivantes :</w:t>
      </w:r>
      <w:r>
        <w:t xml:space="preserve"> </w:t>
      </w:r>
      <w:r>
        <w:rPr>
          <w:b/>
          <w:bCs/>
        </w:rPr>
        <w:t xml:space="preserve">(i)</w:t>
      </w:r>
      <w:r>
        <w:t xml:space="preserve"> </w:t>
      </w:r>
      <w:r>
        <w:t xml:space="preserve">mycose étendue, multiple ou récidivante (&gt; 4 épisodes/an) ;</w:t>
      </w:r>
      <w:r>
        <w:t xml:space="preserve"> </w:t>
      </w:r>
      <w:r>
        <w:rPr>
          <w:b/>
          <w:bCs/>
        </w:rPr>
        <w:t xml:space="preserve">(ii)</w:t>
      </w:r>
      <w:r>
        <w:t xml:space="preserve"> </w:t>
      </w:r>
      <w:r>
        <w:t xml:space="preserve">mycose chez le patient immunodéprimé (VIH, chimiothérapie, greffe, corticothérapie prolongée) ou diabétique déséquilibré ;</w:t>
      </w:r>
      <w:r>
        <w:t xml:space="preserve"> </w:t>
      </w:r>
      <w:r>
        <w:rPr>
          <w:b/>
          <w:bCs/>
        </w:rPr>
        <w:t xml:space="preserve">(iii)</w:t>
      </w:r>
      <w:r>
        <w:t xml:space="preserve"> </w:t>
      </w:r>
      <w:r>
        <w:t xml:space="preserve">mycose chez la femme enceinte au 1ᵉʳ trimestre ;</w:t>
      </w:r>
      <w:r>
        <w:t xml:space="preserve"> </w:t>
      </w:r>
      <w:r>
        <w:rPr>
          <w:b/>
          <w:bCs/>
        </w:rPr>
        <w:t xml:space="preserve">(iv)</w:t>
      </w:r>
      <w:r>
        <w:t xml:space="preserve"> </w:t>
      </w:r>
      <w:r>
        <w:t xml:space="preserve">mycose de l’enfant de moins de 2 ans ;</w:t>
      </w:r>
      <w:r>
        <w:t xml:space="preserve"> </w:t>
      </w:r>
      <w:r>
        <w:rPr>
          <w:b/>
          <w:bCs/>
        </w:rPr>
        <w:t xml:space="preserve">(v)</w:t>
      </w:r>
      <w:r>
        <w:t xml:space="preserve"> </w:t>
      </w:r>
      <w:r>
        <w:t xml:space="preserve">suspicion de dermatophytie profonde (kerion, sycosis, mycose des ongles) ;</w:t>
      </w:r>
      <w:r>
        <w:t xml:space="preserve"> </w:t>
      </w:r>
      <w:r>
        <w:rPr>
          <w:b/>
          <w:bCs/>
        </w:rPr>
        <w:t xml:space="preserve">(vi)</w:t>
      </w:r>
      <w:r>
        <w:t xml:space="preserve"> </w:t>
      </w:r>
      <w:r>
        <w:t xml:space="preserve">absence d’amélioration après 7 jours de traitement bien conduit ;</w:t>
      </w:r>
      <w:r>
        <w:t xml:space="preserve"> </w:t>
      </w:r>
      <w:r>
        <w:rPr>
          <w:b/>
          <w:bCs/>
        </w:rPr>
        <w:t xml:space="preserve">(vii)</w:t>
      </w:r>
      <w:r>
        <w:t xml:space="preserve"> </w:t>
      </w:r>
      <w:r>
        <w:t xml:space="preserve">aggravation sous traitement (érythème, extension, surinfection bactérienne) ;</w:t>
      </w:r>
      <w:r>
        <w:t xml:space="preserve"> </w:t>
      </w:r>
      <w:r>
        <w:rPr>
          <w:b/>
          <w:bCs/>
        </w:rPr>
        <w:t xml:space="preserve">(viii)</w:t>
      </w:r>
      <w:r>
        <w:t xml:space="preserve"> </w:t>
      </w:r>
      <w:r>
        <w:t xml:space="preserve">mycose de l’enfant avec alopécie (suspicion de teigne — traitement oral systémique nécessaire, jamais topique seul).</w:t>
      </w:r>
    </w:p>
    <w:bookmarkEnd w:id="64"/>
    <w:bookmarkStart w:id="65" w:name="Xe97df65ba7d0d5af95ac9532561d519985923a5"/>
    <w:p>
      <w:pPr>
        <w:pStyle w:val="Heading3"/>
      </w:pPr>
      <w:r>
        <w:t xml:space="preserve">Message 12 — Les formes retirées : savoir orienter</w:t>
      </w:r>
    </w:p>
    <w:p>
      <w:pPr>
        <w:pStyle w:val="FirstParagraph"/>
      </w:pPr>
      <w:r>
        <w:t xml:space="preserve">Deux imidazolés topiques sont retirés du marché algérien (nomenclature Avril 2026) : le</w:t>
      </w:r>
      <w:r>
        <w:t xml:space="preserve"> </w:t>
      </w:r>
      <w:r>
        <w:rPr>
          <w:b/>
          <w:bCs/>
        </w:rPr>
        <w:t xml:space="preserve">butoconazole</w:t>
      </w:r>
      <w:r>
        <w:t xml:space="preserve"> </w:t>
      </w:r>
      <w:r>
        <w:t xml:space="preserve">(Gynomyc) et l’</w:t>
      </w:r>
      <w:r>
        <w:rPr>
          <w:b/>
          <w:bCs/>
        </w:rPr>
        <w:t xml:space="preserve">oxiconazole</w:t>
      </w:r>
      <w:r>
        <w:t xml:space="preserve"> </w:t>
      </w:r>
      <w:r>
        <w:t xml:space="preserve">(Fonx). Le pharmacien ne doit plus les délivrer même si trouvés en stock résiduel. Les alternatives disponibles sont : pour le butoconazole vaginal, le</w:t>
      </w:r>
      <w:r>
        <w:t xml:space="preserve"> </w:t>
      </w:r>
      <w:r>
        <w:rPr>
          <w:b/>
          <w:bCs/>
        </w:rPr>
        <w:t xml:space="preserve">clotrimazole 500 mg en dose unique</w:t>
      </w:r>
      <w:r>
        <w:t xml:space="preserve"> </w:t>
      </w:r>
      <w:r>
        <w:t xml:space="preserve">ou le</w:t>
      </w:r>
      <w:r>
        <w:t xml:space="preserve"> </w:t>
      </w:r>
      <w:r>
        <w:rPr>
          <w:b/>
          <w:bCs/>
        </w:rPr>
        <w:t xml:space="preserve">fenticonazole 600 mg en dose unique</w:t>
      </w:r>
      <w:r>
        <w:t xml:space="preserve"> </w:t>
      </w:r>
      <w:r>
        <w:t xml:space="preserve">; pour l’oxiconazole cutané, l’</w:t>
      </w:r>
      <w:r>
        <w:rPr>
          <w:b/>
          <w:bCs/>
        </w:rPr>
        <w:t xml:space="preserve">éconazole crème 1 %</w:t>
      </w:r>
      <w:r>
        <w:t xml:space="preserve"> </w:t>
      </w:r>
      <w:r>
        <w:t xml:space="preserve">ou le</w:t>
      </w:r>
      <w:r>
        <w:t xml:space="preserve"> </w:t>
      </w:r>
      <w:r>
        <w:rPr>
          <w:b/>
          <w:bCs/>
        </w:rPr>
        <w:t xml:space="preserve">kétoconazole crème 2 %</w:t>
      </w:r>
      <w:r>
        <w:t xml:space="preserve">. Informer le patient du retrait et proposer une consultation médicale si prescription ancienne.</w:t>
      </w:r>
    </w:p>
    <w:p>
      <w:r>
        <w:pict>
          <v:rect style="width:0;height:1.5pt" o:hralign="center" o:hrstd="t" o:hr="t"/>
        </w:pict>
      </w:r>
    </w:p>
    <w:p>
      <w:pPr>
        <w:pStyle w:val="BlockText"/>
      </w:pPr>
      <w:r>
        <w:rPr>
          <w:b/>
          <w:bCs/>
        </w:rPr>
        <w:t xml:space="preserve">Fin du chapitre 11 — Antifongiques : Polyènes &amp; Azoles topiques (imidazoles).</w:t>
      </w:r>
      <w:r>
        <w:t xml:space="preserve"> </w:t>
      </w:r>
      <w:r>
        <w:t xml:space="preserve">Le chapitre suivant (12) traitera des</w:t>
      </w:r>
      <w:r>
        <w:t xml:space="preserve"> </w:t>
      </w:r>
      <w:r>
        <w:rPr>
          <w:b/>
          <w:bCs/>
        </w:rPr>
        <w:t xml:space="preserve">triazolés systémiques</w:t>
      </w:r>
      <w:r>
        <w:t xml:space="preserve"> </w:t>
      </w:r>
      <w:r>
        <w:t xml:space="preserve">(fluconazole, itraconazole, voriconazole, posaconazole, isavuconazole), des</w:t>
      </w:r>
      <w:r>
        <w:t xml:space="preserve"> </w:t>
      </w:r>
      <w:r>
        <w:rPr>
          <w:b/>
          <w:bCs/>
        </w:rPr>
        <w:t xml:space="preserve">allylamines</w:t>
      </w:r>
      <w:r>
        <w:t xml:space="preserve"> </w:t>
      </w:r>
      <w:r>
        <w:t xml:space="preserve">(terbinafine, naftifine), des</w:t>
      </w:r>
      <w:r>
        <w:t xml:space="preserve"> </w:t>
      </w:r>
      <w:r>
        <w:rPr>
          <w:b/>
          <w:bCs/>
        </w:rPr>
        <w:t xml:space="preserve">morpholines</w:t>
      </w:r>
      <w:r>
        <w:t xml:space="preserve"> </w:t>
      </w:r>
      <w:r>
        <w:t xml:space="preserve">(amorolfine), des</w:t>
      </w:r>
      <w:r>
        <w:t xml:space="preserve"> </w:t>
      </w:r>
      <w:r>
        <w:rPr>
          <w:b/>
          <w:bCs/>
        </w:rPr>
        <w:t xml:space="preserve">échinocandines</w:t>
      </w:r>
      <w:r>
        <w:t xml:space="preserve"> </w:t>
      </w:r>
      <w:r>
        <w:t xml:space="preserve">(caspofungine, micafungine, anidulafungine), de la</w:t>
      </w:r>
      <w:r>
        <w:t xml:space="preserve"> </w:t>
      </w:r>
      <w:r>
        <w:rPr>
          <w:b/>
          <w:bCs/>
        </w:rPr>
        <w:t xml:space="preserve">flucytosine</w:t>
      </w:r>
      <w:r>
        <w:t xml:space="preserve"> </w:t>
      </w:r>
      <w:r>
        <w:t xml:space="preserve">et des</w:t>
      </w:r>
      <w:r>
        <w:t xml:space="preserve"> </w:t>
      </w:r>
      <w:r>
        <w:rPr>
          <w:b/>
          <w:bCs/>
        </w:rPr>
        <w:t xml:space="preserve">antifongiques divers</w:t>
      </w:r>
      <w:r>
        <w:t xml:space="preserve"> </w:t>
      </w:r>
      <w:r>
        <w:t xml:space="preserve">(griséofulvine).</w:t>
      </w:r>
    </w:p>
    <w:p>
      <w:r>
        <w:pict>
          <v:rect style="width:0;height:1.5pt" o:hralign="center" o:hrstd="t" o:hr="t"/>
        </w:pict>
      </w:r>
    </w:p>
    <w:p>
      <w:r>
        <w:pict>
          <v:rect style="width:0;height:1.5pt" o:hralign="center" o:hrstd="t" o:hr="t"/>
        </w:pict>
      </w:r>
    </w:p>
    <w:bookmarkEnd w:id="65"/>
    <w:bookmarkEnd w:id="66"/>
    <w:bookmarkEnd w:id="67"/>
    <w:bookmarkStart w:id="93" w:name="X6c73e545131e2f18fa57a1088c1509d5c59dbda"/>
    <w:p>
      <w:pPr>
        <w:pStyle w:val="Heading1"/>
      </w:pPr>
      <w:r>
        <w:t xml:space="preserve">Section 12 — Antifongiques Systémiques et Cutanés : Triazoles, Allylamines, Morpholines, Echinocandines et Divers</w:t>
      </w:r>
    </w:p>
    <w:bookmarkStart w:id="68" w:name="introduction-générale-de-la-section"/>
    <w:p>
      <w:pPr>
        <w:pStyle w:val="Heading2"/>
      </w:pPr>
      <w:r>
        <w:t xml:space="preserve">12.1 Introduction Générale de la Section</w:t>
      </w:r>
    </w:p>
    <w:p>
      <w:pPr>
        <w:pStyle w:val="FirstParagraph"/>
      </w:pPr>
      <w:r>
        <w:t xml:space="preserve">La présente section traite onze DCIs antifongiques regroupées en cinq sous-classes pharmacologiques distinctes : les triazolés systémiques (fluconazole, itraconazole, voriconazole, isavuconazole), les allylamines (terbinafine, naftifine), les morpholines (amorolfine), les echinocandines (caspofungine, anidulafungine) et les antifongiques divers (griséofulvine, ciclopirox). L’ensemble couvre le spectre complet de la prise en charge des mycoses, depuis les candidoses muqueuses bénignes jusqu’aux aspergilloses invasives de l’immunodéprimé, en passant par les dermatophyties cutanéo-unguéales extrêmement fréquentes en pratique magistrale algérienne.</w:t>
      </w:r>
    </w:p>
    <w:p>
      <w:pPr>
        <w:pStyle w:val="BodyText"/>
      </w:pPr>
      <w:r>
        <w:t xml:space="preserve">Sur le plan épidémiologique, l’Algérie — comme l’ensemble du Maghreb — se caractérise par une prévalence élevée des dermatophyties (pied d’athlète, intertrigos inguinaux, teignes, onychomycoses) favorisées par la chaleur, l’humidité, le port de chaussures occlusives et la fréquentation de hammams et piscines. Les mycoses systémiques (candidémies, aspergillose pulmonaire invasive, mucormycose, cryptococcose) concernent essentiellement les patients hospitalisés en réanimation, en onco-hématologie (hémopathies, greffe de moelle) ou suivis pour infection par le VIH, parfois rapportées dans le contexte de la COVID-19 (aspergillose pulmonaire associée à la COVID — CAPA). L’émergence de souches résistantes (Candida auris, Aspergillus fumigatus avec mutations CYP51A TR34/L98H) justifie l’existence de molécules de seconde ligne comme le voriconazole, l’isavuconazole et les echinocandines.</w:t>
      </w:r>
    </w:p>
    <w:p>
      <w:pPr>
        <w:pStyle w:val="BodyText"/>
      </w:pPr>
      <w:r>
        <w:t xml:space="preserve">Sur le plan moléculaire, les antifongiques diffèrent fondamentalement des antibiotiques antibactériens par la difficulté à identifier des cibles sélectives : les champignons sont eucaryotes, proches de l’hôte humain. Trois grandes stratégies ont néanmoins émergé : (i) cibler la</w:t>
      </w:r>
      <w:r>
        <w:t xml:space="preserve"> </w:t>
      </w:r>
      <w:r>
        <w:rPr>
          <w:b/>
          <w:bCs/>
        </w:rPr>
        <w:t xml:space="preserve">paroi fongique</w:t>
      </w:r>
      <w:r>
        <w:t xml:space="preserve"> </w:t>
      </w:r>
      <w:r>
        <w:t xml:space="preserve">(β-1,3-glucane — echinocandines ; chitine — polyènes en partie), structure absente chez l’homme ; (ii) cibler la</w:t>
      </w:r>
      <w:r>
        <w:t xml:space="preserve"> </w:t>
      </w:r>
      <w:r>
        <w:rPr>
          <w:b/>
          <w:bCs/>
        </w:rPr>
        <w:t xml:space="preserve">membrane cellulaire fongique</w:t>
      </w:r>
      <w:r>
        <w:t xml:space="preserve"> </w:t>
      </w:r>
      <w:r>
        <w:t xml:space="preserve">en perturbant l’ergostérol, stérol spécifique des champignons (alors que l’homme possède du cholestérol) — triazolés (inhibition CYP51), allylamines (inhibition squalène époxidase), morpholines (inhibition Δ14-réductase) ; (iii) cibler la</w:t>
      </w:r>
      <w:r>
        <w:t xml:space="preserve"> </w:t>
      </w:r>
      <w:r>
        <w:rPr>
          <w:b/>
          <w:bCs/>
        </w:rPr>
        <w:t xml:space="preserve">mitose</w:t>
      </w:r>
      <w:r>
        <w:t xml:space="preserve"> </w:t>
      </w:r>
      <w:r>
        <w:t xml:space="preserve">(griséofulvine) ou les</w:t>
      </w:r>
      <w:r>
        <w:t xml:space="preserve"> </w:t>
      </w:r>
      <w:r>
        <w:rPr>
          <w:b/>
          <w:bCs/>
        </w:rPr>
        <w:t xml:space="preserve">enzymes métallo-dépendantes</w:t>
      </w:r>
      <w:r>
        <w:t xml:space="preserve"> </w:t>
      </w:r>
      <w:r>
        <w:t xml:space="preserve">(ciclopirox). Cette section détaille chaque DCI selon la structure pédagogique standardisée utilisée dans l’ensemble de l’ouvrage, en intégrant les particularités de disponibilité algérienne, les pièges d’usage au comptoir et les sources scientifiques de référence (VIDAL, ANSM, Thériaque, CRAT, UpToDate, Micromedex, ESGAP, ECMM, IDSA).</w:t>
      </w:r>
    </w:p>
    <w:p>
      <w:r>
        <w:pict>
          <v:rect style="width:0;height:1.5pt" o:hralign="center" o:hrstd="t" o:hr="t"/>
        </w:pict>
      </w:r>
    </w:p>
    <w:bookmarkEnd w:id="68"/>
    <w:bookmarkStart w:id="74" w:name="X6648832bfd0fb9f987267c719c7f028283e216d"/>
    <w:p>
      <w:pPr>
        <w:pStyle w:val="Heading2"/>
      </w:pPr>
      <w:r>
        <w:t xml:space="preserve">12.2 Sous-classe : Antifongiques Azolés — Triazolés Systémiques</w:t>
      </w:r>
    </w:p>
    <w:bookmarkStart w:id="69" w:name="introduction-de-la-sous-classe"/>
    <w:p>
      <w:pPr>
        <w:pStyle w:val="Heading3"/>
      </w:pPr>
      <w:r>
        <w:t xml:space="preserve">12.2.1 Introduction de la sous-classe</w:t>
      </w:r>
    </w:p>
    <w:p>
      <w:pPr>
        <w:pStyle w:val="FirstParagraph"/>
      </w:pPr>
      <w:r>
        <w:t xml:space="preserve">Les azolés antifongiques constituent la plus large famille d’antifongiques utilisés en clinique. Ils se subdivisent en</w:t>
      </w:r>
      <w:r>
        <w:t xml:space="preserve"> </w:t>
      </w:r>
      <w:r>
        <w:rPr>
          <w:b/>
          <w:bCs/>
        </w:rPr>
        <w:t xml:space="preserve">imidazolés</w:t>
      </w:r>
      <w:r>
        <w:t xml:space="preserve"> </w:t>
      </w:r>
      <w:r>
        <w:t xml:space="preserve">(kétoconazole historique, miconazole, éconazole, fenticonazole, omconazole, tioconazole — essentiellement topiques, traités dans la section dédiée aux antifongiques topiques) et en</w:t>
      </w:r>
      <w:r>
        <w:t xml:space="preserve"> </w:t>
      </w:r>
      <w:r>
        <w:rPr>
          <w:b/>
          <w:bCs/>
        </w:rPr>
        <w:t xml:space="preserve">triazolés</w:t>
      </w:r>
      <w:r>
        <w:t xml:space="preserve"> </w:t>
      </w:r>
      <w:r>
        <w:t xml:space="preserve">(fluconazole, itraconazole, voriconazole, isavuconazole, posaconazole — non disponible en Algérie à ce jour). Les triazolés, grâce à leur cycle triazolique supplémentaire, présentent une meilleure affinité pour la cible fongique CYP51, une moindre affinité pour les CYP450 humains (même si elle reste significative) et une meilleure biodisponibilité orale.</w:t>
      </w:r>
    </w:p>
    <w:p>
      <w:pPr>
        <w:pStyle w:val="BodyText"/>
      </w:pPr>
      <w:r>
        <w:rPr>
          <w:b/>
          <w:bCs/>
        </w:rPr>
        <w:t xml:space="preserve">Cible moléculaire commune</w:t>
      </w:r>
      <w:r>
        <w:t xml:space="preserve"> </w:t>
      </w:r>
      <w:r>
        <w:t xml:space="preserve">: la</w:t>
      </w:r>
      <w:r>
        <w:t xml:space="preserve"> </w:t>
      </w:r>
      <w:r>
        <w:rPr>
          <w:b/>
          <w:bCs/>
        </w:rPr>
        <w:t xml:space="preserve">lanostérol 14α-déméthylase (CYP51A1)</w:t>
      </w:r>
      <w:r>
        <w:t xml:space="preserve">, enzyme du cytochrome P450 fongique localisée dans le réticulum endoplasmique. Cette enzyme catalyse la 14α-déméthylation du lanostérol, étape clé de la biosynthèse de l’</w:t>
      </w:r>
      <w:r>
        <w:rPr>
          <w:b/>
          <w:bCs/>
        </w:rPr>
        <w:t xml:space="preserve">ergostérol</w:t>
      </w:r>
      <w:r>
        <w:t xml:space="preserve"> </w:t>
      </w:r>
      <w:r>
        <w:t xml:space="preserve">— stérol membranaire spécifique des champignons, équivalent fonctionnel du cholestérol humain. Le mécanisme moléculaire précis implique : (1) liaison coordination du nitrogène N-4 du triazole à l’atome de fer ferreux (Fe²⁺) de l’hème du CYP51 ; (2) inhibition compétitive du lanostérol ; (3) accumulation de précurseurs méthylés toxiques (14α-méthylstérols) ; (4) déplétion en ergostérol ; (5) altération de la fluidité et de l’intégrité membranaire, perturbation des enzymes membranaires (ATPases, enzymes de la paroi) ; (6) effet</w:t>
      </w:r>
      <w:r>
        <w:t xml:space="preserve"> </w:t>
      </w:r>
      <w:r>
        <w:rPr>
          <w:b/>
          <w:bCs/>
        </w:rPr>
        <w:t xml:space="preserve">fungistatique</w:t>
      </w:r>
      <w:r>
        <w:t xml:space="preserve"> </w:t>
      </w:r>
      <w:r>
        <w:t xml:space="preserve">(arrêt de la croissance sans lyse cellulaire) pour la plupart des triazolés, avec une tendance fungicide pour le voriconazole vis-à-vis de certaines souches d’Aspergillus.</w:t>
      </w:r>
    </w:p>
    <w:p>
      <w:pPr>
        <w:pStyle w:val="BodyText"/>
      </w:pPr>
      <w:r>
        <w:rPr>
          <w:b/>
          <w:bCs/>
        </w:rPr>
        <w:t xml:space="preserve">Résistance</w:t>
      </w:r>
      <w:r>
        <w:t xml:space="preserve"> </w:t>
      </w:r>
      <w:r>
        <w:t xml:space="preserve">: elle repose principalement sur (i) des mutations du gène</w:t>
      </w:r>
      <w:r>
        <w:t xml:space="preserve"> </w:t>
      </w:r>
      <w:r>
        <w:rPr>
          <w:b/>
          <w:bCs/>
        </w:rPr>
        <w:t xml:space="preserve">CYP51A</w:t>
      </w:r>
      <w:r>
        <w:t xml:space="preserve"> </w:t>
      </w:r>
      <w:r>
        <w:t xml:space="preserve">(substitutions d’acides aminés au niveau de la poche de fixation — G54, L98, M220, G448) modifiant l’affinité du triazole pour son site catalytique, souvent associées à une surexpression consécutive à des mutations dans le promoteur (élément TR34, TR46) ; (ii) la surexpression d’efflux-pumps (CDR1, CDR2, MDR1 chez Candida) ; (iii) l’alteration de l’ergostérol par d’autres voies enzymatiques. Les mutations TR34/L98H et TR46/Y121F/T289A d’Aspergillus fumigatus, responsables d’une résistance environnementale aux triazolés (liée à l’usage agricole massif de triazolés comme fongicides végétaux — tébuconazole, bromuconazole, etc.), émergent en Europe et sont rapportées sporadiquement au Maghreb.</w:t>
      </w:r>
    </w:p>
    <w:p>
      <w:pPr>
        <w:pStyle w:val="BodyText"/>
      </w:pPr>
      <w:r>
        <w:rPr>
          <w:b/>
          <w:bCs/>
        </w:rPr>
        <w:t xml:space="preserve">Pharmacocinétique d’ensemble</w:t>
      </w:r>
      <w:r>
        <w:t xml:space="preserve"> </w:t>
      </w:r>
      <w:r>
        <w:t xml:space="preserve">: la plupart des triazolés sont bien absorbés par voie orale (biodisponibilité &gt; 70 % pour fluconazole, voriconazole, isavuconazole ; plus variable pour itraconazole capsule ~ 55 %, solution buvable ~ 55 % mais pH-dépendant). Ils sont métabolisés par les CYP450 hépatiques (CYP2C9, CYP2C19, CYP3A4) et sont eux-mêmes</w:t>
      </w:r>
      <w:r>
        <w:t xml:space="preserve"> </w:t>
      </w:r>
      <w:r>
        <w:rPr>
          <w:b/>
          <w:bCs/>
        </w:rPr>
        <w:t xml:space="preserve">inhibiteurs puissants</w:t>
      </w:r>
      <w:r>
        <w:t xml:space="preserve"> </w:t>
      </w:r>
      <w:r>
        <w:t xml:space="preserve">de ces mêmes isoformes, source d’interactions médicamenteuses nombreuses et graves (AVK, statines, antiarythmiques, immunosuppresseurs, ARV, méthadone, etc.). L’élimination est mixte (hépatique pour itraconazole, voriconazole, isavuconazole ; rénale pour le fluconazole et son métabolite actif inactif). La demi-vie longue permet des administrations uniques quotidiennes voire monodoses (fluconazole 150 mg dans candidose vaginale).</w:t>
      </w:r>
    </w:p>
    <w:p>
      <w:pPr>
        <w:pStyle w:val="BodyText"/>
      </w:pPr>
      <w:r>
        <w:rPr>
          <w:b/>
          <w:bCs/>
        </w:rPr>
        <w:t xml:space="preserve">Spectre d’activité</w:t>
      </w:r>
      <w:r>
        <w:t xml:space="preserve"> </w:t>
      </w:r>
      <w:r>
        <w:t xml:space="preserve">: Candida spp. (attention C. krusei intrinsèquement résistant au fluconazole, C. glabrata souvent dose-dépendant), Cryptococcus neoformans, dermatophytes (Microsporum, Trichophyton, Epidermophyton), Aspergillus (sauf fluconazole sans activité), agents des mycoses endémiques (Histoplasma, Coccidioides, Blastomyces, Paracoccidioides, Sporothrix, Penicillium marneffei). Les mucormycètes (Mucor, Rhizopus, Absidia) sont</w:t>
      </w:r>
      <w:r>
        <w:t xml:space="preserve"> </w:t>
      </w:r>
      <w:r>
        <w:rPr>
          <w:b/>
          <w:bCs/>
        </w:rPr>
        <w:t xml:space="preserve">intrinsèquement résistants</w:t>
      </w:r>
      <w:r>
        <w:t xml:space="preserve"> </w:t>
      </w:r>
      <w:r>
        <w:t xml:space="preserve">à tous les triazolés à l’exception de l’isavuconazole (et du posaconazole absent en Algérie).</w:t>
      </w:r>
    </w:p>
    <w:p>
      <w:pPr>
        <w:pStyle w:val="BodyText"/>
      </w:pPr>
      <w:r>
        <w:rPr>
          <w:b/>
          <w:bCs/>
        </w:rPr>
        <w:t xml:space="preserve">Effets indésirables communs</w:t>
      </w:r>
      <w:r>
        <w:t xml:space="preserve"> </w:t>
      </w:r>
      <w:r>
        <w:t xml:space="preserve">: troubles digestifs (nausées, vomissements, diarrhée), hépatotoxicité (cytolyse, cholestase, hépatite fulminante rare), allongement de l’espace QT ( torsades de pointes — surveillance ECG), réactions cutanées (rash, SJS/TEN exceptionnel), céphalées. Le voriconazole se distingue par ses troubles visuels fréquents et phototoxicité majeure. L’itraconazole a été associé à des cas d’insuffisance cardiaque congestive (RCP, ANSM). Le fluconazole à haute dose prolongée peut induire une alopécie réversible. L’isavuconazole, paradoxalement, raccourcit l’intervalle QT.</w:t>
      </w:r>
    </w:p>
    <w:p>
      <w:r>
        <w:pict>
          <v:rect style="width:0;height:1.5pt" o:hralign="center" o:hrstd="t" o:hr="t"/>
        </w:pict>
      </w:r>
    </w:p>
    <w:bookmarkEnd w:id="69"/>
    <w:bookmarkStart w:id="70" w:name="dci-fluconazole-seule"/>
    <w:p>
      <w:pPr>
        <w:pStyle w:val="Heading3"/>
      </w:pPr>
      <w:r>
        <w:t xml:space="preserve">12.2.2 DCI : Fluconazole (Seule)</w:t>
      </w:r>
    </w:p>
    <w:p>
      <w:pPr>
        <w:pStyle w:val="FirstParagraph"/>
      </w:pPr>
      <w:r>
        <w:rPr>
          <w:b/>
          <w:bCs/>
        </w:rPr>
        <w:t xml:space="preserve">Liste des Catégories :</w:t>
      </w:r>
      <w:r>
        <w:t xml:space="preserve"> </w:t>
      </w:r>
      <w:r>
        <w:t xml:space="preserve">Liste I (toutes formes systémiques) ; prescription hospitalière initiale pour formes IV et certaines indications. Médecine hospitalo-universitaire pour formes injectables.</w:t>
      </w:r>
    </w:p>
    <w:p>
      <w:pPr>
        <w:pStyle w:val="BodyText"/>
      </w:pPr>
      <w:r>
        <w:t xml:space="preserve">Le fluconazole est le triazolé de première génération le plus prescrit au monde. Il se distingue par une pharmacocinétique exceptionnelle :</w:t>
      </w:r>
      <w:r>
        <w:t xml:space="preserve"> </w:t>
      </w:r>
      <w:r>
        <w:rPr>
          <w:b/>
          <w:bCs/>
        </w:rPr>
        <w:t xml:space="preserve">biodisponibilité orale de 90 %</w:t>
      </w:r>
      <w:r>
        <w:t xml:space="preserve">, identique aux formes IV, faible liaison aux protéines plasmatiques (12 %),</w:t>
      </w:r>
      <w:r>
        <w:t xml:space="preserve"> </w:t>
      </w:r>
      <w:r>
        <w:rPr>
          <w:b/>
          <w:bCs/>
        </w:rPr>
        <w:t xml:space="preserve">diffusion ubiquitaire</w:t>
      </w:r>
      <w:r>
        <w:t xml:space="preserve"> </w:t>
      </w:r>
      <w:r>
        <w:t xml:space="preserve">incluant le LCR (70 à 90 % des concentrations sériques — référence pour le traitement des méningites à Cryptococcus), faible métabolisme hépatique (11 %), élimination rénale prédominante (80 % sous forme inchangée),</w:t>
      </w:r>
      <w:r>
        <w:t xml:space="preserve"> </w:t>
      </w:r>
      <w:r>
        <w:rPr>
          <w:b/>
          <w:bCs/>
        </w:rPr>
        <w:t xml:space="preserve">demi-vie d’élimination longue</w:t>
      </w:r>
      <w:r>
        <w:t xml:space="preserve"> </w:t>
      </w:r>
      <w:r>
        <w:t xml:space="preserve">(~ 30 heures) autorisant une seule prise quotidienne. Il n’est pas métaboliseur dépendant du CYP2C19 (contrairement au voriconazole), ce qui simplifie son usage clinique.</w:t>
      </w:r>
    </w:p>
    <w:p>
      <w:pPr>
        <w:pStyle w:val="BodyText"/>
      </w:pPr>
      <w:r>
        <w:rPr>
          <w:b/>
          <w:bCs/>
        </w:rPr>
        <w:t xml:space="preserve">Médicaments disponibles en Algérie (Marques, Laboratoires, Formes et Dosages) :</w:t>
      </w:r>
    </w:p>
    <w:p>
      <w:pPr>
        <w:pStyle w:val="BodyText"/>
      </w:pPr>
      <w:r>
        <w:rPr>
          <w:i/>
          <w:iCs/>
        </w:rPr>
        <w:t xml:space="preserve">Formes orales (gélules 50 mg et 150 mg) — STATUT ACTIF :</w:t>
      </w:r>
      <w:r>
        <w:t xml:space="preserve"> </w:t>
      </w:r>
      <w:r>
        <w:t xml:space="preserve">-</w:t>
      </w:r>
      <w:r>
        <w:t xml:space="preserve"> </w:t>
      </w:r>
      <w:r>
        <w:rPr>
          <w:b/>
          <w:bCs/>
        </w:rPr>
        <w:t xml:space="preserve">AMIKOZ 50</w:t>
      </w:r>
      <w:r>
        <w:t xml:space="preserve"> </w:t>
      </w:r>
      <w:r>
        <w:t xml:space="preserve">(LABORATOIRES MERINAL) — Gélule 50 mg, B/03 et B/07 — Statut : Actif</w:t>
      </w:r>
      <w:r>
        <w:t xml:space="preserve"> </w:t>
      </w:r>
      <w:r>
        <w:t xml:space="preserve">-</w:t>
      </w:r>
      <w:r>
        <w:t xml:space="preserve"> </w:t>
      </w:r>
      <w:r>
        <w:rPr>
          <w:b/>
          <w:bCs/>
        </w:rPr>
        <w:t xml:space="preserve">AMIKOZ 150</w:t>
      </w:r>
      <w:r>
        <w:t xml:space="preserve"> </w:t>
      </w:r>
      <w:r>
        <w:t xml:space="preserve">(LABORATOIRES MERINAL) — Gélule 150 mg, B/01 et B/04 — Statut : Actif</w:t>
      </w:r>
      <w:r>
        <w:t xml:space="preserve"> </w:t>
      </w:r>
      <w:r>
        <w:t xml:space="preserve">-</w:t>
      </w:r>
      <w:r>
        <w:t xml:space="preserve"> </w:t>
      </w:r>
      <w:r>
        <w:rPr>
          <w:b/>
          <w:bCs/>
        </w:rPr>
        <w:t xml:space="preserve">CANDIFLU</w:t>
      </w:r>
      <w:r>
        <w:t xml:space="preserve"> </w:t>
      </w:r>
      <w:r>
        <w:t xml:space="preserve">(SARL GROUPE SANTE) — Gélule 50 mg, B/10 — Statut : Actif</w:t>
      </w:r>
      <w:r>
        <w:t xml:space="preserve"> </w:t>
      </w:r>
      <w:r>
        <w:t xml:space="preserve">-</w:t>
      </w:r>
      <w:r>
        <w:t xml:space="preserve"> </w:t>
      </w:r>
      <w:r>
        <w:rPr>
          <w:b/>
          <w:bCs/>
        </w:rPr>
        <w:t xml:space="preserve">DIFLUCARE</w:t>
      </w:r>
      <w:r>
        <w:t xml:space="preserve"> </w:t>
      </w:r>
      <w:r>
        <w:t xml:space="preserve">(BIOCARE) — Gélule 50 mg B/03 + Gélule 150 mg B/01 — Statut : Actif</w:t>
      </w:r>
      <w:r>
        <w:t xml:space="preserve"> </w:t>
      </w:r>
      <w:r>
        <w:t xml:space="preserve">-</w:t>
      </w:r>
      <w:r>
        <w:t xml:space="preserve"> </w:t>
      </w:r>
      <w:r>
        <w:rPr>
          <w:b/>
          <w:bCs/>
        </w:rPr>
        <w:t xml:space="preserve">DIFLU-GE</w:t>
      </w:r>
      <w:r>
        <w:t xml:space="preserve"> </w:t>
      </w:r>
      <w:r>
        <w:t xml:space="preserve">(CPCM) — Gélule 50 mg, B/03 — Statut : Actif</w:t>
      </w:r>
      <w:r>
        <w:t xml:space="preserve"> </w:t>
      </w:r>
      <w:r>
        <w:t xml:space="preserve">-</w:t>
      </w:r>
      <w:r>
        <w:t xml:space="preserve"> </w:t>
      </w:r>
      <w:r>
        <w:rPr>
          <w:b/>
          <w:bCs/>
        </w:rPr>
        <w:t xml:space="preserve">FLUCAZOL</w:t>
      </w:r>
      <w:r>
        <w:t xml:space="preserve"> </w:t>
      </w:r>
      <w:r>
        <w:t xml:space="preserve">(PHARMIDAL NS) — Gélule 50 mg, B/07 — Statut : Actif</w:t>
      </w:r>
      <w:r>
        <w:t xml:space="preserve"> </w:t>
      </w:r>
      <w:r>
        <w:t xml:space="preserve">-</w:t>
      </w:r>
      <w:r>
        <w:t xml:space="preserve"> </w:t>
      </w:r>
      <w:r>
        <w:rPr>
          <w:b/>
          <w:bCs/>
        </w:rPr>
        <w:t xml:space="preserve">FLUCONALE</w:t>
      </w:r>
      <w:r>
        <w:t xml:space="preserve"> </w:t>
      </w:r>
      <w:r>
        <w:t xml:space="preserve">(NEOMEDIC) — Gélule 50 mg B/03 et B/07 + Gélule 150 mg B/01 — Statut : Actif</w:t>
      </w:r>
      <w:r>
        <w:t xml:space="preserve"> </w:t>
      </w:r>
      <w:r>
        <w:t xml:space="preserve">-</w:t>
      </w:r>
      <w:r>
        <w:t xml:space="preserve"> </w:t>
      </w:r>
      <w:r>
        <w:rPr>
          <w:b/>
          <w:bCs/>
        </w:rPr>
        <w:t xml:space="preserve">FLUCONAZOLE IVAL</w:t>
      </w:r>
      <w:r>
        <w:t xml:space="preserve"> </w:t>
      </w:r>
      <w:r>
        <w:t xml:space="preserve">(PHARMA IVAL SPA) — Gélule 50 mg B/03 + Gélule 150 mg B/01 — Statut : Actif</w:t>
      </w:r>
      <w:r>
        <w:t xml:space="preserve"> </w:t>
      </w:r>
      <w:r>
        <w:t xml:space="preserve">-</w:t>
      </w:r>
      <w:r>
        <w:t xml:space="preserve"> </w:t>
      </w:r>
      <w:r>
        <w:rPr>
          <w:b/>
          <w:bCs/>
        </w:rPr>
        <w:t xml:space="preserve">FLUCONAZOLE PHYSIOPHARM</w:t>
      </w:r>
      <w:r>
        <w:t xml:space="preserve"> </w:t>
      </w:r>
      <w:r>
        <w:t xml:space="preserve">(PHYSIOPHARM LABORATOIRES) — Gélule 50 mg B/03 + Gélule 150 mg B/01 — Statut : Actif</w:t>
      </w:r>
      <w:r>
        <w:t xml:space="preserve"> </w:t>
      </w:r>
      <w:r>
        <w:t xml:space="preserve">-</w:t>
      </w:r>
      <w:r>
        <w:t xml:space="preserve"> </w:t>
      </w:r>
      <w:r>
        <w:rPr>
          <w:b/>
          <w:bCs/>
        </w:rPr>
        <w:t xml:space="preserve">FLUGIC</w:t>
      </w:r>
      <w:r>
        <w:t xml:space="preserve"> </w:t>
      </w:r>
      <w:r>
        <w:t xml:space="preserve">(BIOHDER GROUP) — Gélule 50 mg, B/30 — Statut : Actif</w:t>
      </w:r>
      <w:r>
        <w:t xml:space="preserve"> </w:t>
      </w:r>
      <w:r>
        <w:t xml:space="preserve">-</w:t>
      </w:r>
      <w:r>
        <w:t xml:space="preserve"> </w:t>
      </w:r>
      <w:r>
        <w:rPr>
          <w:b/>
          <w:bCs/>
        </w:rPr>
        <w:t xml:space="preserve">FLUKAS</w:t>
      </w:r>
      <w:r>
        <w:t xml:space="preserve"> </w:t>
      </w:r>
      <w:r>
        <w:t xml:space="preserve">(INPHA-MEDIS) — Gélule 50 mg B/10 + Gélule 150 mg B/01 et B/04 — Statut : Actif</w:t>
      </w:r>
      <w:r>
        <w:t xml:space="preserve"> </w:t>
      </w:r>
      <w:r>
        <w:t xml:space="preserve">-</w:t>
      </w:r>
      <w:r>
        <w:t xml:space="preserve"> </w:t>
      </w:r>
      <w:r>
        <w:rPr>
          <w:b/>
          <w:bCs/>
        </w:rPr>
        <w:t xml:space="preserve">LOMAZEL</w:t>
      </w:r>
      <w:r>
        <w:t xml:space="preserve"> </w:t>
      </w:r>
      <w:r>
        <w:t xml:space="preserve">(EL KENDI INDUSTRIE DU MEDICAMENT) — Gélule 50 mg B/03 + Gélule 150 mg B/01 — Statut : Actif</w:t>
      </w:r>
      <w:r>
        <w:t xml:space="preserve"> </w:t>
      </w:r>
      <w:r>
        <w:t xml:space="preserve">-</w:t>
      </w:r>
      <w:r>
        <w:t xml:space="preserve"> </w:t>
      </w:r>
      <w:r>
        <w:rPr>
          <w:b/>
          <w:bCs/>
        </w:rPr>
        <w:t xml:space="preserve">MYCOZAN</w:t>
      </w:r>
      <w:r>
        <w:t xml:space="preserve"> </w:t>
      </w:r>
      <w:r>
        <w:t xml:space="preserve">(LABORATOIRES BEKER) — Gélule 50 mg B/03 et B/30 + Gélule 150 mg B/01 — Statut : Actif</w:t>
      </w:r>
      <w:r>
        <w:t xml:space="preserve"> </w:t>
      </w:r>
      <w:r>
        <w:t xml:space="preserve">-</w:t>
      </w:r>
      <w:r>
        <w:t xml:space="preserve"> </w:t>
      </w:r>
      <w:r>
        <w:rPr>
          <w:b/>
          <w:bCs/>
        </w:rPr>
        <w:t xml:space="preserve">MYKODAN 50</w:t>
      </w:r>
      <w:r>
        <w:t xml:space="preserve"> </w:t>
      </w:r>
      <w:r>
        <w:t xml:space="preserve">(TASSILI ARAB PHARMACEUTICAL CO) — Gélule 50 mg, B/03 et B/07 — Statut : Actif</w:t>
      </w:r>
      <w:r>
        <w:t xml:space="preserve"> </w:t>
      </w:r>
      <w:r>
        <w:t xml:space="preserve">-</w:t>
      </w:r>
      <w:r>
        <w:t xml:space="preserve"> </w:t>
      </w:r>
      <w:r>
        <w:rPr>
          <w:b/>
          <w:bCs/>
        </w:rPr>
        <w:t xml:space="preserve">SUPREMASE</w:t>
      </w:r>
      <w:r>
        <w:t xml:space="preserve"> </w:t>
      </w:r>
      <w:r>
        <w:t xml:space="preserve">(LABORATOIRES DE DIAGNOSTIC MAGHREBINS-LDM) — Gélule 50 mg, B/03 — Statut : Actif</w:t>
      </w:r>
      <w:r>
        <w:t xml:space="preserve"> </w:t>
      </w:r>
      <w:r>
        <w:t xml:space="preserve">-</w:t>
      </w:r>
      <w:r>
        <w:t xml:space="preserve"> </w:t>
      </w:r>
      <w:r>
        <w:rPr>
          <w:b/>
          <w:bCs/>
        </w:rPr>
        <w:t xml:space="preserve">SUPREMASE 150MG</w:t>
      </w:r>
      <w:r>
        <w:t xml:space="preserve"> </w:t>
      </w:r>
      <w:r>
        <w:t xml:space="preserve">(LABORATOIRES DE DIAGNOSTIC MAGHREBINS-LDM) — Gélule 150 mg, B/01 — Statut : Actif</w:t>
      </w:r>
      <w:r>
        <w:t xml:space="preserve"> </w:t>
      </w:r>
      <w:r>
        <w:t xml:space="preserve">-</w:t>
      </w:r>
      <w:r>
        <w:t xml:space="preserve"> </w:t>
      </w:r>
      <w:r>
        <w:rPr>
          <w:b/>
          <w:bCs/>
        </w:rPr>
        <w:t xml:space="preserve">VEFLAT</w:t>
      </w:r>
      <w:r>
        <w:t xml:space="preserve"> </w:t>
      </w:r>
      <w:r>
        <w:t xml:space="preserve">(BIOGALENIC) — Gélule 50 mg B/03 + Gélule 150 mg B/01 — Statut : Actif</w:t>
      </w:r>
      <w:r>
        <w:t xml:space="preserve"> </w:t>
      </w:r>
      <w:r>
        <w:t xml:space="preserve">-</w:t>
      </w:r>
      <w:r>
        <w:t xml:space="preserve"> </w:t>
      </w:r>
      <w:r>
        <w:rPr>
          <w:b/>
          <w:bCs/>
        </w:rPr>
        <w:t xml:space="preserve">FLUCONAZOLE HUP</w:t>
      </w:r>
      <w:r>
        <w:t xml:space="preserve"> </w:t>
      </w:r>
      <w:r>
        <w:t xml:space="preserve">(HUPP PHARMA) — Gélule 150 mg, B/01 — Statut : Actif</w:t>
      </w:r>
    </w:p>
    <w:p>
      <w:pPr>
        <w:pStyle w:val="BodyText"/>
      </w:pPr>
      <w:r>
        <w:rPr>
          <w:i/>
          <w:iCs/>
        </w:rPr>
        <w:t xml:space="preserve">Formes injectables IV — STATUT ACTIF :</w:t>
      </w:r>
      <w:r>
        <w:t xml:space="preserve"> </w:t>
      </w:r>
      <w:r>
        <w:t xml:space="preserve">-</w:t>
      </w:r>
      <w:r>
        <w:t xml:space="preserve"> </w:t>
      </w:r>
      <w:r>
        <w:rPr>
          <w:b/>
          <w:bCs/>
        </w:rPr>
        <w:t xml:space="preserve">FLUCAND</w:t>
      </w:r>
      <w:r>
        <w:t xml:space="preserve"> </w:t>
      </w:r>
      <w:r>
        <w:t xml:space="preserve">(HIKMA PHARMA ALGERIA) — Solution pour perfusion IV 200 mg/100 mL, flacon de 100 mL — Statut : Actif</w:t>
      </w:r>
      <w:r>
        <w:t xml:space="preserve"> </w:t>
      </w:r>
      <w:r>
        <w:t xml:space="preserve">-</w:t>
      </w:r>
      <w:r>
        <w:t xml:space="preserve"> </w:t>
      </w:r>
      <w:r>
        <w:rPr>
          <w:b/>
          <w:bCs/>
        </w:rPr>
        <w:t xml:space="preserve">FLUMIKOZ</w:t>
      </w:r>
      <w:r>
        <w:t xml:space="preserve"> </w:t>
      </w:r>
      <w:r>
        <w:t xml:space="preserve">(LES LABORATOIRES FRATER RAZES) — Solution pour perfusion IV 200 mg/100 mL, flacon de 100 mL — Statut : Actif</w:t>
      </w:r>
    </w:p>
    <w:p>
      <w:pPr>
        <w:pStyle w:val="BodyText"/>
      </w:pPr>
      <w:r>
        <w:rPr>
          <w:i/>
          <w:iCs/>
        </w:rPr>
        <w:t xml:space="preserve">Statut NON RENOUVELABLE :</w:t>
      </w:r>
      <w:r>
        <w:t xml:space="preserve"> </w:t>
      </w:r>
      <w:r>
        <w:t xml:space="preserve">-</w:t>
      </w:r>
      <w:r>
        <w:t xml:space="preserve"> </w:t>
      </w:r>
      <w:r>
        <w:rPr>
          <w:b/>
          <w:bCs/>
        </w:rPr>
        <w:t xml:space="preserve">TRIFLUCAN</w:t>
      </w:r>
      <w:r>
        <w:t xml:space="preserve"> </w:t>
      </w:r>
      <w:r>
        <w:t xml:space="preserve">(PFIZER) — Solution injectable IV 2 mg/mL, flacon de 50 mL — Statut : Non Renouvelable</w:t>
      </w:r>
      <w:r>
        <w:t xml:space="preserve"> </w:t>
      </w:r>
      <w:r>
        <w:t xml:space="preserve">-</w:t>
      </w:r>
      <w:r>
        <w:t xml:space="preserve"> </w:t>
      </w:r>
      <w:r>
        <w:rPr>
          <w:b/>
          <w:bCs/>
        </w:rPr>
        <w:t xml:space="preserve">VIRCET</w:t>
      </w:r>
      <w:r>
        <w:t xml:space="preserve"> </w:t>
      </w:r>
      <w:r>
        <w:t xml:space="preserve">(PHARMALLIANCE) — Gélules 50/100/150/200 mg — Statut : Non Renouvelable</w:t>
      </w:r>
      <w:r>
        <w:t xml:space="preserve"> </w:t>
      </w:r>
      <w:r>
        <w:t xml:space="preserve">-</w:t>
      </w:r>
      <w:r>
        <w:t xml:space="preserve"> </w:t>
      </w:r>
      <w:r>
        <w:rPr>
          <w:b/>
          <w:bCs/>
        </w:rPr>
        <w:t xml:space="preserve">FLUCAND</w:t>
      </w:r>
      <w:r>
        <w:t xml:space="preserve"> </w:t>
      </w:r>
      <w:r>
        <w:t xml:space="preserve">(HIKMA PHARMACEUTICALS) — Gélules 50 mg et 150 mg — Statut : Non Renouvelable</w:t>
      </w:r>
      <w:r>
        <w:t xml:space="preserve"> </w:t>
      </w:r>
      <w:r>
        <w:t xml:space="preserve">-</w:t>
      </w:r>
      <w:r>
        <w:t xml:space="preserve"> </w:t>
      </w:r>
      <w:r>
        <w:rPr>
          <w:b/>
          <w:bCs/>
        </w:rPr>
        <w:t xml:space="preserve">FLUCONAZOLE SANDOZ</w:t>
      </w:r>
      <w:r>
        <w:t xml:space="preserve"> </w:t>
      </w:r>
      <w:r>
        <w:t xml:space="preserve">(SANDOZ SPA) — Gélule 50 mg, B/10 — Statut : Non Renouvelable</w:t>
      </w:r>
      <w:r>
        <w:t xml:space="preserve"> </w:t>
      </w:r>
      <w:r>
        <w:t xml:space="preserve">-</w:t>
      </w:r>
      <w:r>
        <w:t xml:space="preserve"> </w:t>
      </w:r>
      <w:r>
        <w:rPr>
          <w:b/>
          <w:bCs/>
        </w:rPr>
        <w:t xml:space="preserve">MYCOFLUCON</w:t>
      </w:r>
      <w:r>
        <w:t xml:space="preserve"> </w:t>
      </w:r>
      <w:r>
        <w:t xml:space="preserve">(GROUPE SAIDAL) — Gélules 50 mg et 150 mg — Statut : Non Renouvelable</w:t>
      </w:r>
    </w:p>
    <w:p>
      <w:pPr>
        <w:pStyle w:val="BodyText"/>
      </w:pPr>
      <w:r>
        <w:rPr>
          <w:i/>
          <w:iCs/>
        </w:rPr>
        <w:t xml:space="preserve">Statut RETIRÉ (R) — ne plus délivrer :</w:t>
      </w:r>
      <w:r>
        <w:t xml:space="preserve"> </w:t>
      </w:r>
      <w:r>
        <w:t xml:space="preserve">-</w:t>
      </w:r>
      <w:r>
        <w:t xml:space="preserve"> </w:t>
      </w:r>
      <w:r>
        <w:rPr>
          <w:b/>
          <w:bCs/>
        </w:rPr>
        <w:t xml:space="preserve">TRIFLUCAN</w:t>
      </w:r>
      <w:r>
        <w:t xml:space="preserve"> </w:t>
      </w:r>
      <w:r>
        <w:t xml:space="preserve">(PFIZER) — Gélules 100 mg B/60 et 200 mg B/30 (R)</w:t>
      </w:r>
      <w:r>
        <w:t xml:space="preserve"> </w:t>
      </w:r>
      <w:r>
        <w:t xml:space="preserve">-</w:t>
      </w:r>
      <w:r>
        <w:t xml:space="preserve"> </w:t>
      </w:r>
      <w:r>
        <w:rPr>
          <w:b/>
          <w:bCs/>
        </w:rPr>
        <w:t xml:space="preserve">FLUCONAZOLE</w:t>
      </w:r>
      <w:r>
        <w:t xml:space="preserve"> </w:t>
      </w:r>
      <w:r>
        <w:t xml:space="preserve">(POLFARMEX) — Comprimé 100 mg B/07 (R)</w:t>
      </w:r>
      <w:r>
        <w:t xml:space="preserve"> </w:t>
      </w:r>
      <w:r>
        <w:t xml:space="preserve">-</w:t>
      </w:r>
      <w:r>
        <w:t xml:space="preserve"> </w:t>
      </w:r>
      <w:r>
        <w:rPr>
          <w:b/>
          <w:bCs/>
        </w:rPr>
        <w:t xml:space="preserve">FLUCOZOL</w:t>
      </w:r>
      <w:r>
        <w:t xml:space="preserve"> </w:t>
      </w:r>
      <w:r>
        <w:t xml:space="preserve">(PETRA PHARM) — Gélule 50 mg B/03 (R)</w:t>
      </w:r>
      <w:r>
        <w:t xml:space="preserve"> </w:t>
      </w:r>
      <w:r>
        <w:t xml:space="preserve">-</w:t>
      </w:r>
      <w:r>
        <w:t xml:space="preserve"> </w:t>
      </w:r>
      <w:r>
        <w:rPr>
          <w:b/>
          <w:bCs/>
        </w:rPr>
        <w:t xml:space="preserve">FLUDOZ</w:t>
      </w:r>
      <w:r>
        <w:t xml:space="preserve"> </w:t>
      </w:r>
      <w:r>
        <w:t xml:space="preserve">(BIOVITAL) — Gélule 50 mg B/03 (R)</w:t>
      </w:r>
      <w:r>
        <w:t xml:space="preserve"> </w:t>
      </w:r>
      <w:r>
        <w:t xml:space="preserve">-</w:t>
      </w:r>
      <w:r>
        <w:t xml:space="preserve"> </w:t>
      </w:r>
      <w:r>
        <w:rPr>
          <w:b/>
          <w:bCs/>
        </w:rPr>
        <w:t xml:space="preserve">FLUCOHEAL 50</w:t>
      </w:r>
      <w:r>
        <w:t xml:space="preserve"> </w:t>
      </w:r>
      <w:r>
        <w:t xml:space="preserve">(DAR AL DAWA) — Gélule 50 mg B/30 (R)</w:t>
      </w:r>
      <w:r>
        <w:t xml:space="preserve"> </w:t>
      </w:r>
      <w:r>
        <w:t xml:space="preserve">-</w:t>
      </w:r>
      <w:r>
        <w:t xml:space="preserve"> </w:t>
      </w:r>
      <w:r>
        <w:rPr>
          <w:b/>
          <w:bCs/>
        </w:rPr>
        <w:t xml:space="preserve">FLUCOHEAL 150</w:t>
      </w:r>
      <w:r>
        <w:t xml:space="preserve"> </w:t>
      </w:r>
      <w:r>
        <w:t xml:space="preserve">(DAR AL DAWA) — Gélule 150 mg B/01 (R)</w:t>
      </w:r>
      <w:r>
        <w:t xml:space="preserve"> </w:t>
      </w:r>
      <w:r>
        <w:t xml:space="preserve">-</w:t>
      </w:r>
      <w:r>
        <w:t xml:space="preserve"> </w:t>
      </w:r>
      <w:r>
        <w:rPr>
          <w:b/>
          <w:bCs/>
        </w:rPr>
        <w:t xml:space="preserve">ZYFLUC</w:t>
      </w:r>
      <w:r>
        <w:t xml:space="preserve"> </w:t>
      </w:r>
      <w:r>
        <w:t xml:space="preserve">(CADILA HEALTH CARE) — Gélules 50 mg et 150 mg (R)</w:t>
      </w:r>
      <w:r>
        <w:t xml:space="preserve"> </w:t>
      </w:r>
      <w:r>
        <w:t xml:space="preserve">-</w:t>
      </w:r>
      <w:r>
        <w:t xml:space="preserve"> </w:t>
      </w:r>
      <w:r>
        <w:rPr>
          <w:b/>
          <w:bCs/>
        </w:rPr>
        <w:t xml:space="preserve">MYCAN</w:t>
      </w:r>
      <w:r>
        <w:t xml:space="preserve"> </w:t>
      </w:r>
      <w:r>
        <w:t xml:space="preserve">(ALGERIE PHARM) — Gélules 50 mg et 150 mg (R)</w:t>
      </w:r>
      <w:r>
        <w:t xml:space="preserve"> </w:t>
      </w:r>
      <w:r>
        <w:t xml:space="preserve">-</w:t>
      </w:r>
      <w:r>
        <w:t xml:space="preserve"> </w:t>
      </w:r>
      <w:r>
        <w:rPr>
          <w:b/>
          <w:bCs/>
        </w:rPr>
        <w:t xml:space="preserve">CANDIVAST</w:t>
      </w:r>
      <w:r>
        <w:t xml:space="preserve"> </w:t>
      </w:r>
      <w:r>
        <w:t xml:space="preserve">(ADVENCED PHARMACEUTICALS INDUSTRIES) — Gélule 50 mg B/07 (R)</w:t>
      </w:r>
      <w:r>
        <w:t xml:space="preserve"> </w:t>
      </w:r>
      <w:r>
        <w:t xml:space="preserve">-</w:t>
      </w:r>
      <w:r>
        <w:t xml:space="preserve"> </w:t>
      </w:r>
      <w:r>
        <w:rPr>
          <w:b/>
          <w:bCs/>
        </w:rPr>
        <w:t xml:space="preserve">FUNZOL 50</w:t>
      </w:r>
      <w:r>
        <w:t xml:space="preserve"> </w:t>
      </w:r>
      <w:r>
        <w:t xml:space="preserve">(JPM) — Gélule 50 mg B/03 (R)</w:t>
      </w:r>
      <w:r>
        <w:t xml:space="preserve"> </w:t>
      </w:r>
      <w:r>
        <w:t xml:space="preserve">-</w:t>
      </w:r>
      <w:r>
        <w:t xml:space="preserve"> </w:t>
      </w:r>
      <w:r>
        <w:rPr>
          <w:b/>
          <w:bCs/>
        </w:rPr>
        <w:t xml:space="preserve">FUNZOL 150</w:t>
      </w:r>
      <w:r>
        <w:t xml:space="preserve"> </w:t>
      </w:r>
      <w:r>
        <w:t xml:space="preserve">(JPM) — Gélule 150 mg B/01 (R)</w:t>
      </w:r>
      <w:r>
        <w:t xml:space="preserve"> </w:t>
      </w:r>
      <w:r>
        <w:t xml:space="preserve">-</w:t>
      </w:r>
      <w:r>
        <w:t xml:space="preserve"> </w:t>
      </w:r>
      <w:r>
        <w:rPr>
          <w:b/>
          <w:bCs/>
        </w:rPr>
        <w:t xml:space="preserve">FLUCONAZOLE PFIZER</w:t>
      </w:r>
      <w:r>
        <w:t xml:space="preserve"> </w:t>
      </w:r>
      <w:r>
        <w:t xml:space="preserve">(PFIZER PHARM ALGERIE) — Gélule 50 mg B/03 (R)</w:t>
      </w:r>
    </w:p>
    <w:p>
      <w:pPr>
        <w:pStyle w:val="BodyText"/>
      </w:pPr>
      <w:r>
        <w:rPr>
          <w:b/>
          <w:bCs/>
        </w:rPr>
        <w:t xml:space="preserve">Sous-classe et Mécanisme d’action :</w:t>
      </w:r>
      <w:r>
        <w:t xml:space="preserve"> </w:t>
      </w:r>
      <w:r>
        <w:t xml:space="preserve">- Sous-classe : Antifongique azolé de la famille des triazolés systémiques de première génération (bistriazole), molécule de référence pour les candidoses muqueuses et cryptococcoses.</w:t>
      </w:r>
      <w:r>
        <w:t xml:space="preserve"> </w:t>
      </w:r>
      <w:r>
        <w:t xml:space="preserve">- Mécanisme d’action : inhibition sélective et réversible de la lanostérol 14α-déméthylase fongique (CYP51A1, encoded par le gène ERG11) par coordination du N-4 du triazole avec l’atome de fer de l’hème du cytochrome P450 fongique. Cette inhibition bloque la conversion du lanostérol en ergostérol (via la 14α-déméthylation suivie des étapes Δ14-Δ15). La conséquence est double : (1) déplétion en ergostérol membranaire, altérant la fluidité, la perméabilité et la fonction des enzymes membranaires (ATPases, chitine synthase) ; (2) accumulation de 14α-méthylstérols toxiques (obtusifolone, 14α-méthyl-ergosta-8,24-dién-3β-ol) qui perturbent l’architecture lipidique de la membrane. Le résultat est un effet</w:t>
      </w:r>
      <w:r>
        <w:t xml:space="preserve"> </w:t>
      </w:r>
      <w:r>
        <w:rPr>
          <w:b/>
          <w:bCs/>
        </w:rPr>
        <w:t xml:space="preserve">fungistatique</w:t>
      </w:r>
      <w:r>
        <w:t xml:space="preserve"> </w:t>
      </w:r>
      <w:r>
        <w:t xml:space="preserve">(blocage de la croissance et de la réplication) ; exceptionnellement fungicide sur Cryptococcus. Affinité pour le CYP51 fongique ~ 10 000x supérieure à celle pour les CYP450 humains, mais l’inhibition résiduelle de CYP2C9 et CYP2C19 (et dans une moindre mesure CYP3A4) explique les interactions médicamenteuses.</w:t>
      </w:r>
    </w:p>
    <w:p>
      <w:pPr>
        <w:pStyle w:val="BodyText"/>
      </w:pPr>
      <w:r>
        <w:rPr>
          <w:b/>
          <w:bCs/>
        </w:rPr>
        <w:t xml:space="preserve">Profil Pharmacologique :</w:t>
      </w:r>
      <w:r>
        <w:t xml:space="preserve"> </w:t>
      </w:r>
      <w:r>
        <w:t xml:space="preserve">- Indications : (i) candidoses vulvo-vaginales (CVV) aiguës et récidivantes (fluconazole 150 mg monodose — référence) ; (ii) candidoses oro-pharyngées et œsophagiennes (COP, COE), particulièrement chez le patient VIH ; (iii) candidoses systémiques (candidémie non neutropénique, péritonite candidosique) — en alternance aux echinocandines ; (iv) cryptococcose neuroméningée (CNM) en association avec l’amphotéricine B pendant la phase d’induction puis fluconazole en consolidation/entretien (VIH) ; (v) prophylaxie antifongique chez les patients greffés de cellules souches hématopoïétiques (allogreffés) ou en hémopathie sous chimiothérapie-intensive ; (vi) dermatophyties cutanées étendues, pityriasis versicolor ; (vii) prophylaxie de la méningite à Cryptococcus chez le VIH avec CD4 &lt; 50/mm³ (autrefois recommandée, désormais conditionnée au contexte).</w:t>
      </w:r>
      <w:r>
        <w:t xml:space="preserve"> </w:t>
      </w:r>
      <w:r>
        <w:t xml:space="preserve">- Contre-indications : (1) hypersensibilité aux azolés ; (2) co-prescription avec</w:t>
      </w:r>
      <w:r>
        <w:t xml:space="preserve"> </w:t>
      </w:r>
      <w:r>
        <w:rPr>
          <w:b/>
          <w:bCs/>
        </w:rPr>
        <w:t xml:space="preserve">médicaments allongeant le QT et métabolisés par CYP2C9/CYP3A4</w:t>
      </w:r>
      <w:r>
        <w:t xml:space="preserve"> </w:t>
      </w:r>
      <w:r>
        <w:t xml:space="preserve">(astémizole et terfénadine — retirés du marché, cisapride — retiré, pimozide, quinidine, érythromycine) ; (3) co-prescription avec la</w:t>
      </w:r>
      <w:r>
        <w:t xml:space="preserve"> </w:t>
      </w:r>
      <w:r>
        <w:rPr>
          <w:b/>
          <w:bCs/>
        </w:rPr>
        <w:t xml:space="preserve">tolvaptane</w:t>
      </w:r>
      <w:r>
        <w:t xml:space="preserve"> </w:t>
      </w:r>
      <w:r>
        <w:t xml:space="preserve">(CYP3A4 — surdosage) ; (4) grossesse 1er trimestre (téragène — voir ci-dessous) ; (5) insuffisance hépatique sévère (CI relative) ; (6) allongement QT congital ou acquis (hypokaliémie non corrigée).</w:t>
      </w:r>
      <w:r>
        <w:t xml:space="preserve"> </w:t>
      </w:r>
      <w:r>
        <w:t xml:space="preserve">- Effets Indésirables : (i) troubles digestifs (nausées 8 %, vomissements, douleurs abdominales, diarrhée) ; (ii) hépatotoxicité (cytolyse ASAT/ALAT modérée 5–10 %, hépatite clinique 1 %, hépatite fulminante exceptionnelle — surveillance mensuelle ASAT/ALAT si traitement prolongé &gt; 14 jours) ; (iii) allongement de l’espace QT (effet dose-dépendant — dose ≥ 800 mg/j) ; (iv) troubles neurologiques (céphalées, vertiges, convulsions exceptionnelles à forte dose) ; (v) réactions cutanées (rash maculo-papuleux 3 %, exceptionnels SJS/TEN, alopécie réversible à forte dose prolongée &gt; 400 mg/j, surtout en prophylaxie VIH) ; (vi) hypokaliémie (par inhibition CYP liée à l’aldostéronisme apparente) ; (vii) allongement du PR. Rarement : thrombopénie, leucopénie, hypertriglycéridémie.</w:t>
      </w:r>
    </w:p>
    <w:p>
      <w:pPr>
        <w:pStyle w:val="BodyText"/>
      </w:pPr>
      <w:r>
        <w:rPr>
          <w:b/>
          <w:bCs/>
        </w:rPr>
        <w:t xml:space="preserve">Prévention et Gestion des Effets Indésirables :</w:t>
      </w:r>
      <w:r>
        <w:t xml:space="preserve"> </w:t>
      </w:r>
      <w:r>
        <w:t xml:space="preserve">- Mesures Préventives : bilan hépatique (ASAT, ALAT, PAL, γ-GT, bilirubine) avant traitement et à J7, J14, puis mensuel si traitement prolongé ; ECG avant instauration si terrain à risque (âge &gt; 65 ans, cardiopathie, hypokaliémie, traitement associé allongeant QT) ; kaliémie initiale et à J7 ; adaptaton de la posologie à la fonction rénale (ClCr &lt; 50 mL/min : demi-dose après dose de charge) ; surveillance clinique cutanée à la recherche d’éruptions précoces.</w:t>
      </w:r>
      <w:r>
        <w:t xml:space="preserve"> </w:t>
      </w:r>
      <w:r>
        <w:t xml:space="preserve">- Conduite à Tenir : arrêt immédiat en cas de rash cutané étendu, bulle, atteinte muqueuse (suspicion SJS/TEN — hospitalisation urgente) ; arrêt et bilan hépatique en cas d’ictère, asthénie majeure, selles décolorées ; arrêt en cas d’hypokaliémie symptomatique (réhydratation, KCl IV) ; réduction posologique de 50 % si ClCr 10–50 mL/min ; dialyse : fluconazole dialysable, dose post-dialyse.</w:t>
      </w:r>
    </w:p>
    <w:p>
      <w:pPr>
        <w:pStyle w:val="BodyText"/>
      </w:pPr>
      <w:r>
        <w:rPr>
          <w:b/>
          <w:bCs/>
        </w:rPr>
        <w:t xml:space="preserve">Interactions Importantes :</w:t>
      </w:r>
      <w:r>
        <w:t xml:space="preserve"> </w:t>
      </w:r>
      <w:r>
        <w:t xml:space="preserve">-</w:t>
      </w:r>
      <w:r>
        <w:t xml:space="preserve"> </w:t>
      </w:r>
      <w:r>
        <w:rPr>
          <w:b/>
          <w:bCs/>
        </w:rPr>
        <w:t xml:space="preserve">Fluconazole + AVK (warfarine, acénocoumarol)</w:t>
      </w:r>
      <w:r>
        <w:t xml:space="preserve"> </w:t>
      </w:r>
      <w:r>
        <w:t xml:space="preserve">: inhibition puissante du CYP2C9 → augmentation majeure de l’INR, hémorragie (réduction de la dose d’AVK de 30 à 50 %, INR tous les 2-3 jours, contrôle hebdomadaire le premier mois).</w:t>
      </w:r>
      <w:r>
        <w:t xml:space="preserve"> </w:t>
      </w:r>
      <w:r>
        <w:t xml:space="preserve">-</w:t>
      </w:r>
      <w:r>
        <w:t xml:space="preserve"> </w:t>
      </w:r>
      <w:r>
        <w:rPr>
          <w:b/>
          <w:bCs/>
        </w:rPr>
        <w:t xml:space="preserve">Fluconazole + sulfamides hypoglycémiants (glibenclamide, glipizide)</w:t>
      </w:r>
      <w:r>
        <w:t xml:space="preserve"> </w:t>
      </w:r>
      <w:r>
        <w:t xml:space="preserve">: inhibition CYP2C9 → hypoglycémie prolongée sévère (surveillance glycémique, adaptation posologique).</w:t>
      </w:r>
      <w:r>
        <w:t xml:space="preserve"> </w:t>
      </w:r>
      <w:r>
        <w:t xml:space="preserve">-</w:t>
      </w:r>
      <w:r>
        <w:t xml:space="preserve"> </w:t>
      </w:r>
      <w:r>
        <w:rPr>
          <w:b/>
          <w:bCs/>
        </w:rPr>
        <w:t xml:space="preserve">Fluconazole + phénytoïne</w:t>
      </w:r>
      <w:r>
        <w:t xml:space="preserve"> </w:t>
      </w:r>
      <w:r>
        <w:t xml:space="preserve">: inhibition CYP2C9 → surdosage (ataxie, nystagmus) — dose de phénytoïne réduite de 25–50 %, contrôle des concentrations sériques.</w:t>
      </w:r>
      <w:r>
        <w:t xml:space="preserve"> </w:t>
      </w:r>
      <w:r>
        <w:t xml:space="preserve">-</w:t>
      </w:r>
      <w:r>
        <w:t xml:space="preserve"> </w:t>
      </w:r>
      <w:r>
        <w:rPr>
          <w:b/>
          <w:bCs/>
        </w:rPr>
        <w:t xml:space="preserve">Fluconazole + statines (simvastatine, atorvastatine)</w:t>
      </w:r>
      <w:r>
        <w:t xml:space="preserve"> </w:t>
      </w:r>
      <w:r>
        <w:t xml:space="preserve">: inhibition CYP3A4 → rhabdomyolyse (préférer pravastatine ou fluvastatine non métabolisées par CYP3A4).</w:t>
      </w:r>
      <w:r>
        <w:t xml:space="preserve"> </w:t>
      </w:r>
      <w:r>
        <w:t xml:space="preserve">-</w:t>
      </w:r>
      <w:r>
        <w:t xml:space="preserve"> </w:t>
      </w:r>
      <w:r>
        <w:rPr>
          <w:b/>
          <w:bCs/>
        </w:rPr>
        <w:t xml:space="preserve">Fluconazole + rifampicine</w:t>
      </w:r>
      <w:r>
        <w:t xml:space="preserve"> </w:t>
      </w:r>
      <w:r>
        <w:t xml:space="preserve">: induction enzymatique → baisse de 25 % des concentrations de fluconazole (augmenter la dose).</w:t>
      </w:r>
      <w:r>
        <w:t xml:space="preserve"> </w:t>
      </w:r>
      <w:r>
        <w:t xml:space="preserve">-</w:t>
      </w:r>
      <w:r>
        <w:t xml:space="preserve"> </w:t>
      </w:r>
      <w:r>
        <w:rPr>
          <w:b/>
          <w:bCs/>
        </w:rPr>
        <w:t xml:space="preserve">Fluconazole + tacrolimus, ciclosporine</w:t>
      </w:r>
      <w:r>
        <w:t xml:space="preserve"> </w:t>
      </w:r>
      <w:r>
        <w:t xml:space="preserve">: inhibition CYP3A4 → néphrotoxicité (surveillance concentrations résiduelles).</w:t>
      </w:r>
      <w:r>
        <w:t xml:space="preserve"> </w:t>
      </w:r>
      <w:r>
        <w:t xml:space="preserve">-</w:t>
      </w:r>
      <w:r>
        <w:t xml:space="preserve"> </w:t>
      </w:r>
      <w:r>
        <w:rPr>
          <w:b/>
          <w:bCs/>
        </w:rPr>
        <w:t xml:space="preserve">Fluconazole + théophylline</w:t>
      </w:r>
      <w:r>
        <w:t xml:space="preserve"> </w:t>
      </w:r>
      <w:r>
        <w:t xml:space="preserve">: baisse de la clairance de 20 % (surveillance signes de surdosage : tachycardie, tremblements).</w:t>
      </w:r>
      <w:r>
        <w:t xml:space="preserve"> </w:t>
      </w:r>
      <w:r>
        <w:t xml:space="preserve">-</w:t>
      </w:r>
      <w:r>
        <w:t xml:space="preserve"> </w:t>
      </w:r>
      <w:r>
        <w:rPr>
          <w:b/>
          <w:bCs/>
        </w:rPr>
        <w:t xml:space="preserve">Fluconazole + AINS (ibuprofène, flurbiprofène)</w:t>
      </w:r>
      <w:r>
        <w:t xml:space="preserve"> </w:t>
      </w:r>
      <w:r>
        <w:t xml:space="preserve">: inhibition CYP2C9 → majoration concentrations et toxicité.</w:t>
      </w:r>
      <w:r>
        <w:t xml:space="preserve"> </w:t>
      </w:r>
      <w:r>
        <w:t xml:space="preserve">-</w:t>
      </w:r>
      <w:r>
        <w:t xml:space="preserve"> </w:t>
      </w:r>
      <w:r>
        <w:rPr>
          <w:b/>
          <w:bCs/>
        </w:rPr>
        <w:t xml:space="preserve">Fluconazole + clopidogrel</w:t>
      </w:r>
      <w:r>
        <w:t xml:space="preserve"> </w:t>
      </w:r>
      <w:r>
        <w:t xml:space="preserve">: inhibition CYP2C19 → baisse d’activation de la prodrogue → baisse d’efficacité antiagrégante (préférer ticagrélor ou prasugrel).</w:t>
      </w:r>
      <w:r>
        <w:t xml:space="preserve"> </w:t>
      </w:r>
      <w:r>
        <w:t xml:space="preserve">-</w:t>
      </w:r>
      <w:r>
        <w:t xml:space="preserve"> </w:t>
      </w:r>
      <w:r>
        <w:rPr>
          <w:b/>
          <w:bCs/>
        </w:rPr>
        <w:t xml:space="preserve">Fluconazole + contraceptifs oraux</w:t>
      </w:r>
      <w:r>
        <w:t xml:space="preserve"> </w:t>
      </w:r>
      <w:r>
        <w:t xml:space="preserve">: pas d’interaction cliniquement significative (faible dose).</w:t>
      </w:r>
      <w:r>
        <w:t xml:space="preserve"> </w:t>
      </w:r>
      <w:r>
        <w:t xml:space="preserve">-</w:t>
      </w:r>
      <w:r>
        <w:t xml:space="preserve"> </w:t>
      </w:r>
      <w:r>
        <w:rPr>
          <w:b/>
          <w:bCs/>
        </w:rPr>
        <w:t xml:space="preserve">Fluconazole + midazolam/triazolam</w:t>
      </w:r>
      <w:r>
        <w:t xml:space="preserve"> </w:t>
      </w:r>
      <w:r>
        <w:t xml:space="preserve">: sédation prolongée par inhibition CYP3A4.</w:t>
      </w:r>
    </w:p>
    <w:p>
      <w:pPr>
        <w:pStyle w:val="BodyText"/>
      </w:pPr>
      <w:r>
        <w:rPr>
          <w:b/>
          <w:bCs/>
        </w:rPr>
        <w:t xml:space="preserve">Grossesse et Allaitement :</w:t>
      </w:r>
      <w:r>
        <w:t xml:space="preserve"> </w:t>
      </w:r>
      <w:r>
        <w:t xml:space="preserve">- Grossesse : le fluconazole est téragène à</w:t>
      </w:r>
      <w:r>
        <w:t xml:space="preserve"> </w:t>
      </w:r>
      <w:r>
        <w:rPr>
          <w:b/>
          <w:bCs/>
        </w:rPr>
        <w:t xml:space="preserve">doses répétées ≥ 400 mg/j au 1er trimestre</w:t>
      </w:r>
      <w:r>
        <w:t xml:space="preserve"> </w:t>
      </w:r>
      <w:r>
        <w:t xml:space="preserve">(syndrome d’Antley-Bixler — craniosynostose, brachydactylie, fente palatine, anomalies osseuses, hypoplasie surrénale — par inhibition de la CYP51 fœtale et de la stéroïdogenèse surrénalienne). Le CRAT classe le fluconazole en « téragène chez l’animal » et déconseillé en clinique au 1er trimestre.</w:t>
      </w:r>
      <w:r>
        <w:t xml:space="preserve"> </w:t>
      </w:r>
      <w:r>
        <w:rPr>
          <w:b/>
          <w:bCs/>
        </w:rPr>
        <w:t xml:space="preserve">Cependant, la dose unique de 150 mg (candidose vaginale) n’est PAS associée à un sur-risque malformatif</w:t>
      </w:r>
      <w:r>
        <w:t xml:space="preserve"> </w:t>
      </w:r>
      <w:r>
        <w:t xml:space="preserve">(études cohérences NORAM,.safe). Au 2e et 3e trimestre : doses répétées déconseillées ; envisager alternatives topiques (cotrimoxazole, éconazole). En 1re intention pour candidose vulvo-vaginale gravidique : préférence aux antifongiques locaux (ovules imidazolés 7 jours) ; le fluconazole oral peut être utilisé en monodose 150 mg si nécessaire, après information.</w:t>
      </w:r>
      <w:r>
        <w:t xml:space="preserve"> </w:t>
      </w:r>
      <w:r>
        <w:t xml:space="preserve">- Allaitement : le fluconazole passe dans le lait maternel à des concentrations proches des concentrations plasmatiques. Le CRAT le considère comme</w:t>
      </w:r>
      <w:r>
        <w:t xml:space="preserve"> </w:t>
      </w:r>
      <w:r>
        <w:rPr>
          <w:b/>
          <w:bCs/>
        </w:rPr>
        <w:t xml:space="preserve">compatible</w:t>
      </w:r>
      <w:r>
        <w:t xml:space="preserve"> </w:t>
      </w:r>
      <w:r>
        <w:t xml:space="preserve">avec l’allaitement (faible toxicité, concentration lactée similaire à la dose pédiatrique néonatale de 3–6 mg/kg/j — médicament de référence pour candidose mammaire chez la mère qui allaite).</w:t>
      </w:r>
      <w:r>
        <w:t xml:space="preserve"> </w:t>
      </w:r>
      <w:r>
        <w:t xml:space="preserve">- Précisions : chez la femme enceinte VIH positive avec méningite à Cryptococcus, le fluconazole est parfois incontournable en consolidation à 400 mg/j (bénéfice/risque à évaluer avec le référent).</w:t>
      </w:r>
    </w:p>
    <w:p>
      <w:pPr>
        <w:pStyle w:val="BodyText"/>
      </w:pPr>
      <w:r>
        <w:rPr>
          <w:b/>
          <w:bCs/>
        </w:rPr>
        <w:t xml:space="preserve">Posologie et Mode d’administration (Standard) :</w:t>
      </w:r>
      <w:r>
        <w:t xml:space="preserve"> </w:t>
      </w:r>
      <w:r>
        <w:t xml:space="preserve">- Adulte : (i) candidose vulvo-vaginale aiguë :</w:t>
      </w:r>
      <w:r>
        <w:t xml:space="preserve"> </w:t>
      </w:r>
      <w:r>
        <w:rPr>
          <w:b/>
          <w:bCs/>
        </w:rPr>
        <w:t xml:space="preserve">150 mg en monodose unique</w:t>
      </w:r>
      <w:r>
        <w:t xml:space="preserve"> </w:t>
      </w:r>
      <w:r>
        <w:t xml:space="preserve">; (ii) candidose oro-pharyngée : 200 mg en dose de charge J1 puis 100 mg/j, 7–14 jours (14 jours si VIH) ; (iii) candidose œsophagienne : 200 mg charge J1, puis 100–200 mg/j, 14–21 jours minimum ; (iv) candidémie non neutropénique : 800 mg J1 puis 400 mg/j, 14 jours après la première hémoculture négative (transition orale possible) ; (v) cryptococcose neuroméningée (consolidation après amphotéricine B) : 400 mg/j 8 semaines, puis 200 mg/j d’entretien jusqu’à restauration immunitaire (VIH) ; (vi) prophylaxie greffe : 200–400 mg/j selon protocole.</w:t>
      </w:r>
      <w:r>
        <w:t xml:space="preserve"> </w:t>
      </w:r>
      <w:r>
        <w:t xml:space="preserve">- Enfant : 3–12 mg/kg/j en une prise (max 600 mg/j), dose de charge J1 double. Néonate &lt; 14 j : dose usuelle puis intervalle prolongé à 72 h (immaturité rénale).</w:t>
      </w:r>
      <w:r>
        <w:t xml:space="preserve"> </w:t>
      </w:r>
      <w:r>
        <w:t xml:space="preserve">- Durée : variable selon pathologie — monodose pour CVV, 7–14 jours pour COP/COE, 14 jours post-négativation pour candidémie, 6–12 mois minimum pour cryptococcose.</w:t>
      </w:r>
      <w:r>
        <w:t xml:space="preserve"> </w:t>
      </w:r>
      <w:r>
        <w:t xml:space="preserve">- Moment de prise : indifférent (repas ou à jeun) — excellente tolérance digestive ; la prise avec un verre d’eau suffit. Pas d’effet du pH gastrique sur l’absorption (contrairement à l’itraconazole capsule).</w:t>
      </w:r>
    </w:p>
    <w:p>
      <w:pPr>
        <w:pStyle w:val="BodyText"/>
      </w:pPr>
      <w:r>
        <w:rPr>
          <w:b/>
          <w:bCs/>
        </w:rPr>
        <w:t xml:space="preserve">Arbitrage et Bénéfices des Formes Galéniques :</w:t>
      </w:r>
      <w:r>
        <w:t xml:space="preserve"> </w:t>
      </w:r>
      <w:r>
        <w:t xml:space="preserve">La disponibilité algérienne des formes orales (gélules 50 et 150 mg) et injectables (200 mg/100 mL perfusion) permet de couvrir l’ensemble des indications courantes. La forme 150 mg en boîte de 1 (monodose candidose vaginale) est la plus délivrée en officine. La forme 50 mg (souvent en boîte de 3, 7 ou 10) correspond aux traitements courts (candidose oro-pharyngée) et à la prophylaxie prolongée. La forme IV est réservée à l’usage hospitalier (candidémie, CNM, prophylaxie en hématologie). Le passage IV→per os est facilité par l’identité biodisponibilité (90 %), autorisant le relais précoce (dès la stabilité clinique). L’absence de suspension buvable pédiatrique en Algérie est un manque notable (nécessité de manipuler les gélules ou d’importer Triflucan susp — non disponible).</w:t>
      </w:r>
    </w:p>
    <w:p>
      <w:pPr>
        <w:pStyle w:val="BodyText"/>
      </w:pPr>
      <w:r>
        <w:rPr>
          <w:b/>
          <w:bCs/>
        </w:rPr>
        <w:t xml:space="preserve">Instructions et Conseils au Patient :</w:t>
      </w:r>
      <w:r>
        <w:t xml:space="preserve"> </w:t>
      </w:r>
      <w:r>
        <w:t xml:space="preserve">- Communication au comptoir : « Ce médicament traite une mycose (champignon). Pour la mycose vaginale, vous prendrez une seule gélule de 150 mg, c’est suffisant. Pour la mycose de la bouche ou d’autres localisations, vous le prendrez tous les jours pendant la durée prescrite, même si les symptômes disparaissent plus tôt. Signalez-nous si vous prenez un traitement anticoagulant ou pour le cœur ou le diabète. »</w:t>
      </w:r>
      <w:r>
        <w:t xml:space="preserve"> </w:t>
      </w:r>
      <w:r>
        <w:t xml:space="preserve">- Mode d’utilisation pratique : prise à heure fixe, idéalement le matin, indifféremment avant ou après les repas. Pour la monodose vaginale : prise unique, même en l’absence de symptômes sévères. Éviction de l’alcool non nécessaire (contrairement au métronidazole). En cas d’oubli : prise dès que possible dans les 24 h, ne pas doubler.</w:t>
      </w:r>
      <w:r>
        <w:t xml:space="preserve"> </w:t>
      </w:r>
      <w:r>
        <w:t xml:space="preserve">- Prévention des récidives de candidose vaginale : hygiène intime douce (éviter les douches vaginales), sous-vêtements en coton, éviter les pantalons trop serrés, traitement du parteur si balanoposthite associée.</w:t>
      </w:r>
    </w:p>
    <w:p>
      <w:pPr>
        <w:pStyle w:val="BodyText"/>
      </w:pPr>
      <w:r>
        <w:rPr>
          <w:b/>
          <w:bCs/>
        </w:rPr>
        <w:t xml:space="preserve">Notes, Règles d’Or &amp; Pièges au Comptoir :</w:t>
      </w:r>
      <w:r>
        <w:t xml:space="preserve"> </w:t>
      </w:r>
      <w:r>
        <w:t xml:space="preserve">- Piège classique 1 :</w:t>
      </w:r>
      <w:r>
        <w:t xml:space="preserve"> </w:t>
      </w:r>
      <w:r>
        <w:rPr>
          <w:b/>
          <w:bCs/>
        </w:rPr>
        <w:t xml:space="preserve">fluconazole + AVK</w:t>
      </w:r>
      <w:r>
        <w:t xml:space="preserve"> </w:t>
      </w:r>
      <w:r>
        <w:t xml:space="preserve">= hémorragie — toujours demander au comptoir si la patiente (souvent femme 30-50 ans pour candidose vaginale) est sous AVK ; si oui, alerter le prescripteur.</w:t>
      </w:r>
      <w:r>
        <w:t xml:space="preserve"> </w:t>
      </w:r>
      <w:r>
        <w:t xml:space="preserve">- Piège classique 2 :</w:t>
      </w:r>
      <w:r>
        <w:t xml:space="preserve"> </w:t>
      </w:r>
      <w:r>
        <w:rPr>
          <w:b/>
          <w:bCs/>
        </w:rPr>
        <w:t xml:space="preserve">monodose 150 mg en grossesse 1er trimestre</w:t>
      </w:r>
      <w:r>
        <w:t xml:space="preserve"> </w:t>
      </w:r>
      <w:r>
        <w:t xml:space="preserve">= tératogénicité théorique — référer au médecin si grossesse connue ; privilégier les ovules locaux.</w:t>
      </w:r>
      <w:r>
        <w:t xml:space="preserve"> </w:t>
      </w:r>
      <w:r>
        <w:t xml:space="preserve">- Piège classique 3 :</w:t>
      </w:r>
      <w:r>
        <w:t xml:space="preserve"> </w:t>
      </w:r>
      <w:r>
        <w:rPr>
          <w:b/>
          <w:bCs/>
        </w:rPr>
        <w:t xml:space="preserve">candidose vaginale récidivante</w:t>
      </w:r>
      <w:r>
        <w:t xml:space="preserve"> </w:t>
      </w:r>
      <w:r>
        <w:t xml:space="preserve">(&gt; 4 épisodes/an) = bilan à faire (VIH, diabète, grossesse) — le fluconazole 150 mg hebdomadaire pendant 6 mois est le schéma de prophylaxie secondaire, à instaurer par le gynécologue.</w:t>
      </w:r>
      <w:r>
        <w:t xml:space="preserve"> </w:t>
      </w:r>
      <w:r>
        <w:t xml:space="preserve">- Règle de prise : pour la candidose vaginale aiguë,</w:t>
      </w:r>
      <w:r>
        <w:t xml:space="preserve"> </w:t>
      </w:r>
      <w:r>
        <w:rPr>
          <w:b/>
          <w:bCs/>
        </w:rPr>
        <w:t xml:space="preserve">monodose = 150 mg en une seule prise</w:t>
      </w:r>
      <w:r>
        <w:t xml:space="preserve"> </w:t>
      </w:r>
      <w:r>
        <w:t xml:space="preserve">(ne pas fractionner).</w:t>
      </w:r>
      <w:r>
        <w:t xml:space="preserve"> </w:t>
      </w:r>
      <w:r>
        <w:t xml:space="preserve">- Préparation et Conservation : la forme IV en perfusion est prête à l’emploi, stable 24 h après ouverture ; pas de suspension buvable reconstituée disponible en Algérie.</w:t>
      </w:r>
      <w:r>
        <w:t xml:space="preserve"> </w:t>
      </w:r>
      <w:r>
        <w:t xml:space="preserve">- Piège du surdosage / Substitution : le fluconazole est disponible en une trentaine de marques génériques en Algérie, toutes équivalentes sur le plan bio pharmaceutique (molécule très bien absorbée) — la substitution est possible. Le TRIFLUCAN Pfizer est retiré (R) et ne doit plus être délivré.</w:t>
      </w:r>
      <w:r>
        <w:t xml:space="preserve"> </w:t>
      </w:r>
      <w:r>
        <w:t xml:space="preserve">- Spécifique : prévenir le patient que la candidose vaginale monodose peut rester symptomatique 24–48 h après prise et que l’effet complet n’est obtenu qu’à 5–7 jours.</w:t>
      </w:r>
    </w:p>
    <w:p>
      <w:r>
        <w:pict>
          <v:rect style="width:0;height:1.5pt" o:hralign="center" o:hrstd="t" o:hr="t"/>
        </w:pict>
      </w:r>
    </w:p>
    <w:bookmarkEnd w:id="70"/>
    <w:bookmarkStart w:id="71" w:name="dci-itraconazole-seule"/>
    <w:p>
      <w:pPr>
        <w:pStyle w:val="Heading3"/>
      </w:pPr>
      <w:r>
        <w:t xml:space="preserve">12.2.3 DCI : Itraconazole (Seule)</w:t>
      </w:r>
    </w:p>
    <w:p>
      <w:pPr>
        <w:pStyle w:val="FirstParagraph"/>
      </w:pPr>
      <w:r>
        <w:rPr>
          <w:b/>
          <w:bCs/>
        </w:rPr>
        <w:t xml:space="preserve">Liste des Catégories :</w:t>
      </w:r>
      <w:r>
        <w:t xml:space="preserve"> </w:t>
      </w:r>
      <w:r>
        <w:t xml:space="preserve">Liste I (toutes formes systémiques) ; prescription initiale hospitalière pour indications de mycoses systémiques.</w:t>
      </w:r>
    </w:p>
    <w:p>
      <w:pPr>
        <w:pStyle w:val="BodyText"/>
      </w:pPr>
      <w:r>
        <w:t xml:space="preserve">L’itraconazole est un triazolé de première génération à spectre élargi, actif sur Candida, dermatophytes, Aspergillus, agents des mycoses endémiques (Histoplasma, Blastomyces, Coccidioides, Sporothrix) et agents des phaéohyphomycoses. Sa particularité PK tient à son</w:t>
      </w:r>
      <w:r>
        <w:t xml:space="preserve"> </w:t>
      </w:r>
      <w:r>
        <w:rPr>
          <w:b/>
          <w:bCs/>
        </w:rPr>
        <w:t xml:space="preserve">absorption pH-dépendante et lipophile</w:t>
      </w:r>
      <w:r>
        <w:t xml:space="preserve"> </w:t>
      </w:r>
      <w:r>
        <w:t xml:space="preserve">: les gélules doivent être prises au cours d’un repas acide pour optimiser la dissolution (l’absorption chute de 50 % à jeun et chez les patients sous anti-acides, IPP ou achlorhydriques). La solution buvable (non disponible en Algérie) a une absorption indépendante du pH et est supérieure pour les candidoses œsophagiennes. La</w:t>
      </w:r>
      <w:r>
        <w:t xml:space="preserve"> </w:t>
      </w:r>
      <w:r>
        <w:rPr>
          <w:b/>
          <w:bCs/>
        </w:rPr>
        <w:t xml:space="preserve">biodisponibilité est erratique</w:t>
      </w:r>
      <w:r>
        <w:t xml:space="preserve"> </w:t>
      </w:r>
      <w:r>
        <w:t xml:space="preserve">(30 à 70 % selon individus), ce qui justifie le</w:t>
      </w:r>
      <w:r>
        <w:t xml:space="preserve"> </w:t>
      </w:r>
      <w:r>
        <w:rPr>
          <w:b/>
          <w:bCs/>
        </w:rPr>
        <w:t xml:space="preserve">dosage sérique</w:t>
      </w:r>
      <w:r>
        <w:t xml:space="preserve"> </w:t>
      </w:r>
      <w:r>
        <w:t xml:space="preserve">(zone thérapeutique 0,5–4 mg/L, IT &gt; 5 mg/L en prophylaxie allo-greffe) en cas de traitement prolongé ou d’aspergillose. La</w:t>
      </w:r>
      <w:r>
        <w:t xml:space="preserve"> </w:t>
      </w:r>
      <w:r>
        <w:rPr>
          <w:b/>
          <w:bCs/>
        </w:rPr>
        <w:t xml:space="preserve">demi-vie d’élimination est longue</w:t>
      </w:r>
      <w:r>
        <w:t xml:space="preserve"> </w:t>
      </w:r>
      <w:r>
        <w:t xml:space="preserve">(~ 20 heures en état d’équilibre), le métabolisme est essentiellement hépatique par CYP3A4 (inhibiteur puissant — interactions majeures) et le métabolite principal,</w:t>
      </w:r>
      <w:r>
        <w:t xml:space="preserve"> </w:t>
      </w:r>
      <w:r>
        <w:rPr>
          <w:b/>
          <w:bCs/>
        </w:rPr>
        <w:t xml:space="preserve">l’hydroxy-itraconazole</w:t>
      </w:r>
      <w:r>
        <w:t xml:space="preserve">, est biologiquement actif (concentrations égales à la molécule mère). L’élimination est biliaire et rénale (~ 40 %).</w:t>
      </w:r>
    </w:p>
    <w:p>
      <w:pPr>
        <w:pStyle w:val="BodyText"/>
      </w:pPr>
      <w:r>
        <w:rPr>
          <w:b/>
          <w:bCs/>
        </w:rPr>
        <w:t xml:space="preserve">Médicaments disponibles en Algérie (Marques, Laboratoires, Formes et Dosages) :</w:t>
      </w:r>
    </w:p>
    <w:p>
      <w:pPr>
        <w:pStyle w:val="BodyText"/>
      </w:pPr>
      <w:r>
        <w:rPr>
          <w:i/>
          <w:iCs/>
        </w:rPr>
        <w:t xml:space="preserve">Forme orale (gélule 100 mg) — STATUT ACTIF :</w:t>
      </w:r>
      <w:r>
        <w:t xml:space="preserve"> </w:t>
      </w:r>
      <w:r>
        <w:t xml:space="preserve">-</w:t>
      </w:r>
      <w:r>
        <w:t xml:space="preserve"> </w:t>
      </w:r>
      <w:r>
        <w:rPr>
          <w:b/>
          <w:bCs/>
        </w:rPr>
        <w:t xml:space="preserve">ITRACONYX</w:t>
      </w:r>
      <w:r>
        <w:t xml:space="preserve"> </w:t>
      </w:r>
      <w:r>
        <w:t xml:space="preserve">(ONYX INDUSTRIE PHARMACEUTIQUE) — Gélule 100 mg, B/30 — Statut : Actif</w:t>
      </w:r>
      <w:r>
        <w:t xml:space="preserve"> </w:t>
      </w:r>
      <w:r>
        <w:t xml:space="preserve">-</w:t>
      </w:r>
      <w:r>
        <w:t xml:space="preserve"> </w:t>
      </w:r>
      <w:r>
        <w:rPr>
          <w:b/>
          <w:bCs/>
        </w:rPr>
        <w:t xml:space="preserve">ITRASPOR</w:t>
      </w:r>
      <w:r>
        <w:t xml:space="preserve"> </w:t>
      </w:r>
      <w:r>
        <w:t xml:space="preserve">(EL KENDI INDUSTRIE DU MEDICAMENT) — Gélule 100 mg, B/30 — Statut : Actif</w:t>
      </w:r>
      <w:r>
        <w:t xml:space="preserve"> </w:t>
      </w:r>
      <w:r>
        <w:t xml:space="preserve">-</w:t>
      </w:r>
      <w:r>
        <w:t xml:space="preserve"> </w:t>
      </w:r>
      <w:r>
        <w:rPr>
          <w:b/>
          <w:bCs/>
        </w:rPr>
        <w:t xml:space="preserve">ITRAZON</w:t>
      </w:r>
      <w:r>
        <w:t xml:space="preserve"> </w:t>
      </w:r>
      <w:r>
        <w:t xml:space="preserve">(BIOCARE) — Gélule 100 mg, B/30 — Statut : Actif</w:t>
      </w:r>
    </w:p>
    <w:p>
      <w:pPr>
        <w:pStyle w:val="BodyText"/>
      </w:pPr>
      <w:r>
        <w:t xml:space="preserve">Aucune forme IV ni solution buvable disponible en Algérie. Le SPORANOX (Janssen) originel, qui proposait gélules + solution buvable + forme IV, n’est plus commercialisé sur le territoire algérien.</w:t>
      </w:r>
    </w:p>
    <w:p>
      <w:pPr>
        <w:pStyle w:val="BodyText"/>
      </w:pPr>
      <w:r>
        <w:rPr>
          <w:b/>
          <w:bCs/>
        </w:rPr>
        <w:t xml:space="preserve">Sous-classe et Mécanisme d’action :</w:t>
      </w:r>
      <w:r>
        <w:t xml:space="preserve"> </w:t>
      </w:r>
      <w:r>
        <w:t xml:space="preserve">- Sous-classe : triazolé systémique de première génération, fungistatique à large spectre incluant Aspergillus, dermatophytes et champignons dimorphiques. Molécule de référence pour les mycoses sous-cutanées (sporotrichose, chromoblastomycose) et alternatives pour l’histoplasmose.</w:t>
      </w:r>
      <w:r>
        <w:t xml:space="preserve"> </w:t>
      </w:r>
      <w:r>
        <w:t xml:space="preserve">- Mécanisme d’action : identique au fluconazole — inhibition de la lanostérol 14α-déméthylase (CYP51A1, ERG11) par coordination N-4/Fe²⁺ de l’hème. Affinité supérieure pour le CYP51 fongique mais aussi inhibition plus marquée des CYP3A4 humains (interactions plus nombreuses que fluconazole). L’itraconazole et son métabolite hydroxy-itraconazole inhibent également le</w:t>
      </w:r>
      <w:r>
        <w:t xml:space="preserve"> </w:t>
      </w:r>
      <w:r>
        <w:rPr>
          <w:b/>
          <w:bCs/>
        </w:rPr>
        <w:t xml:space="preserve">HHG (hedgehog) pathway</w:t>
      </w:r>
      <w:r>
        <w:t xml:space="preserve"> </w:t>
      </w:r>
      <w:r>
        <w:t xml:space="preserve">(interaction avec Smoothened — SMO), à l’origine de ses effets tératogènes et de son utilisation expérimentale dans les carcinomes basocellulaires. Effet principalement</w:t>
      </w:r>
      <w:r>
        <w:t xml:space="preserve"> </w:t>
      </w:r>
      <w:r>
        <w:rPr>
          <w:b/>
          <w:bCs/>
        </w:rPr>
        <w:t xml:space="preserve">fungistatique</w:t>
      </w:r>
      <w:r>
        <w:t xml:space="preserve"> </w:t>
      </w:r>
      <w:r>
        <w:t xml:space="preserve">; activité fungicide modérée sur Aspergillus.</w:t>
      </w:r>
      <w:r>
        <w:t xml:space="preserve"> </w:t>
      </w:r>
      <w:r>
        <w:t xml:space="preserve">- Particularité : activité sur les champignons dimorphiques (Histoplasma, Coccidioides, Blastomyces, Paracoccidioides, Sporothrix) supérieure au fluconazole.</w:t>
      </w:r>
      <w:r>
        <w:t xml:space="preserve"> </w:t>
      </w:r>
      <w:r>
        <w:rPr>
          <w:b/>
          <w:bCs/>
        </w:rPr>
        <w:t xml:space="preserve">Aucune activité sur les mucormycètes</w:t>
      </w:r>
      <w:r>
        <w:t xml:space="preserve"> </w:t>
      </w:r>
      <w:r>
        <w:t xml:space="preserve">(Mucor, Rhizopus).</w:t>
      </w:r>
    </w:p>
    <w:p>
      <w:pPr>
        <w:pStyle w:val="BodyText"/>
      </w:pPr>
      <w:r>
        <w:rPr>
          <w:b/>
          <w:bCs/>
        </w:rPr>
        <w:t xml:space="preserve">Profil Pharmacologique :</w:t>
      </w:r>
      <w:r>
        <w:t xml:space="preserve"> </w:t>
      </w:r>
      <w:r>
        <w:t xml:space="preserve">- Indications : (i) aspergillose pulmonaire invasive (en alternative au voriconazole si sensible, ou en relais) ; (ii) mycoses systémiques endémiques : histoplasmose (alternative à l’amphotéricine B en phase d’entretien), blastomycose, coccidioidomycose (méningée en entretien), paracoccidioidomycose, sporotrichose systémique ; (iii) chromoblastomycose, mycétomes ; (iv) dermatophyties cutanées étendues (alternative à la terbinafine dans les teignes tondantes extensives du cuir chevelu chez l’adulte, les intertrigos des plis étendus, le pityriasis versicolor) ; (v) onychomycoses (à la dose de 200 mg/j pendant 3 mois ongle main, 6 mois ongle pied) en alternative à la terbinafine ; (vi) prophylaxie antifongique en hématologie (neutropénie prolongée, allogreffe de CSH).</w:t>
      </w:r>
      <w:r>
        <w:t xml:space="preserve"> </w:t>
      </w:r>
      <w:r>
        <w:t xml:space="preserve">- Contre-indications : (1) hypersensibilité aux azolés ; (2)</w:t>
      </w:r>
      <w:r>
        <w:t xml:space="preserve"> </w:t>
      </w:r>
      <w:r>
        <w:rPr>
          <w:b/>
          <w:bCs/>
        </w:rPr>
        <w:t xml:space="preserve">insuffisance cardiaque</w:t>
      </w:r>
      <w:r>
        <w:t xml:space="preserve"> </w:t>
      </w:r>
      <w:r>
        <w:t xml:space="preserve">ou antécédent d’ICC — l’itraconazole a été associé à des cas d’ICC (inhibition présumée de la fonction cardiaque par interaction avec les canaux calciques) — CI absolue selon ANSM ; (3) co-prescription avec molécules métabolisées par CYP3A4 et dangereuses en cas de surdosage :</w:t>
      </w:r>
      <w:r>
        <w:t xml:space="preserve"> </w:t>
      </w:r>
      <w:r>
        <w:rPr>
          <w:b/>
          <w:bCs/>
        </w:rPr>
        <w:t xml:space="preserve">simvastatine, lovastatine</w:t>
      </w:r>
      <w:r>
        <w:t xml:space="preserve"> </w:t>
      </w:r>
      <w:r>
        <w:t xml:space="preserve">(rhabdomyolyse),</w:t>
      </w:r>
      <w:r>
        <w:t xml:space="preserve"> </w:t>
      </w:r>
      <w:r>
        <w:rPr>
          <w:b/>
          <w:bCs/>
        </w:rPr>
        <w:t xml:space="preserve">midazolam oral, triazolam</w:t>
      </w:r>
      <w:r>
        <w:t xml:space="preserve"> </w:t>
      </w:r>
      <w:r>
        <w:t xml:space="preserve">(sédation prolongée),</w:t>
      </w:r>
      <w:r>
        <w:t xml:space="preserve"> </w:t>
      </w:r>
      <w:r>
        <w:rPr>
          <w:b/>
          <w:bCs/>
        </w:rPr>
        <w:t xml:space="preserve">dihydroergotamine, ergotamine</w:t>
      </w:r>
      <w:r>
        <w:t xml:space="preserve"> </w:t>
      </w:r>
      <w:r>
        <w:t xml:space="preserve">(ergotisme),</w:t>
      </w:r>
      <w:r>
        <w:t xml:space="preserve"> </w:t>
      </w:r>
      <w:r>
        <w:rPr>
          <w:b/>
          <w:bCs/>
        </w:rPr>
        <w:t xml:space="preserve">nisolédipine</w:t>
      </w:r>
      <w:r>
        <w:t xml:space="preserve">,</w:t>
      </w:r>
      <w:r>
        <w:t xml:space="preserve"> </w:t>
      </w:r>
      <w:r>
        <w:rPr>
          <w:b/>
          <w:bCs/>
        </w:rPr>
        <w:t xml:space="preserve">quinidine, dofétilide</w:t>
      </w:r>
      <w:r>
        <w:t xml:space="preserve"> </w:t>
      </w:r>
      <w:r>
        <w:t xml:space="preserve">(allongement QT, torsades),</w:t>
      </w:r>
      <w:r>
        <w:t xml:space="preserve"> </w:t>
      </w:r>
      <w:r>
        <w:rPr>
          <w:b/>
          <w:bCs/>
        </w:rPr>
        <w:t xml:space="preserve">pimozide</w:t>
      </w:r>
      <w:r>
        <w:t xml:space="preserve">,</w:t>
      </w:r>
      <w:r>
        <w:t xml:space="preserve"> </w:t>
      </w:r>
      <w:r>
        <w:rPr>
          <w:b/>
          <w:bCs/>
        </w:rPr>
        <w:t xml:space="preserve">cisapride</w:t>
      </w:r>
      <w:r>
        <w:t xml:space="preserve"> </w:t>
      </w:r>
      <w:r>
        <w:t xml:space="preserve">(retiré),</w:t>
      </w:r>
      <w:r>
        <w:t xml:space="preserve"> </w:t>
      </w:r>
      <w:r>
        <w:rPr>
          <w:b/>
          <w:bCs/>
        </w:rPr>
        <w:t xml:space="preserve">terfénadine et astémizole</w:t>
      </w:r>
      <w:r>
        <w:t xml:space="preserve"> </w:t>
      </w:r>
      <w:r>
        <w:t xml:space="preserve">(retirés),</w:t>
      </w:r>
      <w:r>
        <w:t xml:space="preserve"> </w:t>
      </w:r>
      <w:r>
        <w:rPr>
          <w:b/>
          <w:bCs/>
        </w:rPr>
        <w:t xml:space="preserve">saquinavir, rilpivirine</w:t>
      </w:r>
      <w:r>
        <w:t xml:space="preserve"> </w:t>
      </w:r>
      <w:r>
        <w:t xml:space="preserve">(interactions),</w:t>
      </w:r>
      <w:r>
        <w:t xml:space="preserve"> </w:t>
      </w:r>
      <w:r>
        <w:rPr>
          <w:b/>
          <w:bCs/>
        </w:rPr>
        <w:t xml:space="preserve">faltadométhine</w:t>
      </w:r>
      <w:r>
        <w:t xml:space="preserve"> </w:t>
      </w:r>
      <w:r>
        <w:t xml:space="preserve">; (4) grossesse (CI absolue — tératogène) ; (5) insuffisance hépatique sévère.</w:t>
      </w:r>
      <w:r>
        <w:t xml:space="preserve"> </w:t>
      </w:r>
      <w:r>
        <w:t xml:space="preserve">- Effets Indésirables : (i) troubles digestifs (nausées, douleurs épigastriques, diarrhée — 10 %) ; (ii)</w:t>
      </w:r>
      <w:r>
        <w:t xml:space="preserve"> </w:t>
      </w:r>
      <w:r>
        <w:rPr>
          <w:b/>
          <w:bCs/>
        </w:rPr>
        <w:t xml:space="preserve">hépatotoxicité</w:t>
      </w:r>
      <w:r>
        <w:t xml:space="preserve"> </w:t>
      </w:r>
      <w:r>
        <w:t xml:space="preserve">(cytolyse, hépatite cholestatique, hépatite fulminante — surveillance ASAT/ALAT) ; (iii)</w:t>
      </w:r>
      <w:r>
        <w:t xml:space="preserve"> </w:t>
      </w:r>
      <w:r>
        <w:rPr>
          <w:b/>
          <w:bCs/>
        </w:rPr>
        <w:t xml:space="preserve">insuffisance cardiaque congestive</w:t>
      </w:r>
      <w:r>
        <w:t xml:space="preserve"> </w:t>
      </w:r>
      <w:r>
        <w:t xml:space="preserve">— effet classe mais particulièrement documenté pour itraconazole (RCP — mise en garde ANSM 2001) ; (iv) hypokaliémie (dose-dépendante) ; (v) allongement de l’espace QT ; (vi) troubles neurologiques (céphalées, vertiges, neuropathie périphérique — surveillance en cas de traitement prolongé) ; (vii) rash cutané, SJS/TEN exceptionnel ; (viii) alopécie ; (ix) troubles menstruels (spotting) avec traitement prolongé ; (x) œdèmes périphériques, hypertension (inhibition des canaux calciques).</w:t>
      </w:r>
    </w:p>
    <w:p>
      <w:pPr>
        <w:pStyle w:val="BodyText"/>
      </w:pPr>
      <w:r>
        <w:rPr>
          <w:b/>
          <w:bCs/>
        </w:rPr>
        <w:t xml:space="preserve">Prévention et Gestion des Effets Indésirables :</w:t>
      </w:r>
      <w:r>
        <w:t xml:space="preserve"> </w:t>
      </w:r>
      <w:r>
        <w:t xml:space="preserve">- Mesures Préventives : ECG avant instauration (QTc) ; kaliémie initiale et à J7 ; bilan hépatique (ASAT/ALAT/PAL/γGT/bilirubine) avant puis à J14 puis mensuel ; dosage sérique de l’itraconazole (et hydroxy-itraconazole) à J7 (cible 0,5–4 mg/L en prophylaxie, 1–4 mg/L en traitement curatif) en particulier si aspergillose, mycose systémique, traitement &gt; 14 jours, ou en pédiatrie ; echographie cardiaque en cas d’antécédent cardiaque ou de traitement prolongé.</w:t>
      </w:r>
      <w:r>
        <w:t xml:space="preserve"> </w:t>
      </w:r>
      <w:r>
        <w:t xml:space="preserve">- Conduite à Tenir : arrêt immédiat en cas de dyspnée, œdèmes des membres inférieurs, prise de poids rapide (suspicion ICC) ; arrêt en cas de cytolyse &gt; 3x LSN ou d’ictère ; supplémentation potassique si hypokaliémie ; réduire la dose si concentrations sériques &gt; 5 mg/L (toxicité neurologique, digestive, cardiaque).</w:t>
      </w:r>
    </w:p>
    <w:p>
      <w:pPr>
        <w:pStyle w:val="BodyText"/>
      </w:pPr>
      <w:r>
        <w:rPr>
          <w:b/>
          <w:bCs/>
        </w:rPr>
        <w:t xml:space="preserve">Interactions Importantes :</w:t>
      </w:r>
      <w:r>
        <w:t xml:space="preserve"> </w:t>
      </w:r>
      <w:r>
        <w:t xml:space="preserve">-</w:t>
      </w:r>
      <w:r>
        <w:t xml:space="preserve"> </w:t>
      </w:r>
      <w:r>
        <w:rPr>
          <w:b/>
          <w:bCs/>
        </w:rPr>
        <w:t xml:space="preserve">Itraconazole + simvastatine/lovastatine</w:t>
      </w:r>
      <w:r>
        <w:t xml:space="preserve"> </w:t>
      </w:r>
      <w:r>
        <w:t xml:space="preserve">: CI absolue — rhabdomyolyse (arrêt statine 1 semaine avant itraconazole, relais par pravastatine).</w:t>
      </w:r>
      <w:r>
        <w:t xml:space="preserve"> </w:t>
      </w:r>
      <w:r>
        <w:t xml:space="preserve">-</w:t>
      </w:r>
      <w:r>
        <w:t xml:space="preserve"> </w:t>
      </w:r>
      <w:r>
        <w:rPr>
          <w:b/>
          <w:bCs/>
        </w:rPr>
        <w:t xml:space="preserve">Itraconazole + AVK</w:t>
      </w:r>
      <w:r>
        <w:t xml:space="preserve"> </w:t>
      </w:r>
      <w:r>
        <w:t xml:space="preserve">: majoration INR — surveillance étroite.</w:t>
      </w:r>
      <w:r>
        <w:t xml:space="preserve"> </w:t>
      </w:r>
      <w:r>
        <w:t xml:space="preserve">-</w:t>
      </w:r>
      <w:r>
        <w:t xml:space="preserve"> </w:t>
      </w:r>
      <w:r>
        <w:rPr>
          <w:b/>
          <w:bCs/>
        </w:rPr>
        <w:t xml:space="preserve">Itraconazole + IPP/antiacides</w:t>
      </w:r>
      <w:r>
        <w:t xml:space="preserve"> </w:t>
      </w:r>
      <w:r>
        <w:t xml:space="preserve">: chute de l’absorption (prise d’itraconazole au cours d’un repas acide, espacer IPP si possible, ou solution buvable).</w:t>
      </w:r>
      <w:r>
        <w:t xml:space="preserve"> </w:t>
      </w:r>
      <w:r>
        <w:t xml:space="preserve">-</w:t>
      </w:r>
      <w:r>
        <w:t xml:space="preserve"> </w:t>
      </w:r>
      <w:r>
        <w:rPr>
          <w:b/>
          <w:bCs/>
        </w:rPr>
        <w:t xml:space="preserve">Itraconazole + digoxine</w:t>
      </w:r>
      <w:r>
        <w:t xml:space="preserve"> </w:t>
      </w:r>
      <w:r>
        <w:t xml:space="preserve">: inhibition P-gp → surdosage digoxine (surveillance concentrations, ECG).</w:t>
      </w:r>
      <w:r>
        <w:t xml:space="preserve"> </w:t>
      </w:r>
      <w:r>
        <w:t xml:space="preserve">-</w:t>
      </w:r>
      <w:r>
        <w:t xml:space="preserve"> </w:t>
      </w:r>
      <w:r>
        <w:rPr>
          <w:b/>
          <w:bCs/>
        </w:rPr>
        <w:t xml:space="preserve">Itraconazole + ciclosporine/tacrolimus</w:t>
      </w:r>
      <w:r>
        <w:t xml:space="preserve"> </w:t>
      </w:r>
      <w:r>
        <w:t xml:space="preserve">: x2 à x3 concentrations — réduction posologique 50 %, contrôle résiduel.</w:t>
      </w:r>
      <w:r>
        <w:t xml:space="preserve"> </w:t>
      </w:r>
      <w:r>
        <w:t xml:space="preserve">-</w:t>
      </w:r>
      <w:r>
        <w:t xml:space="preserve"> </w:t>
      </w:r>
      <w:r>
        <w:rPr>
          <w:b/>
          <w:bCs/>
        </w:rPr>
        <w:t xml:space="preserve">Itraconazole + méthylprednisolone, dexaméthasone, buprénorphine, fentanyl</w:t>
      </w:r>
      <w:r>
        <w:t xml:space="preserve"> </w:t>
      </w:r>
      <w:r>
        <w:t xml:space="preserve">: inhibition CYP3A4 → surdosage.</w:t>
      </w:r>
      <w:r>
        <w:t xml:space="preserve"> </w:t>
      </w:r>
      <w:r>
        <w:t xml:space="preserve">-</w:t>
      </w:r>
      <w:r>
        <w:t xml:space="preserve"> </w:t>
      </w:r>
      <w:r>
        <w:rPr>
          <w:b/>
          <w:bCs/>
        </w:rPr>
        <w:t xml:space="preserve">Itraconazole + rifampicine, rifabutine, carbamazépine, phénytoïne, phénobarbital</w:t>
      </w:r>
      <w:r>
        <w:t xml:space="preserve"> </w:t>
      </w:r>
      <w:r>
        <w:t xml:space="preserve">: induction enzymatique → baisse de 70–90 % concentrations itraconazole (efficacité nulle — association à éviter).</w:t>
      </w:r>
      <w:r>
        <w:t xml:space="preserve"> </w:t>
      </w:r>
      <w:r>
        <w:t xml:space="preserve">-</w:t>
      </w:r>
      <w:r>
        <w:t xml:space="preserve"> </w:t>
      </w:r>
      <w:r>
        <w:rPr>
          <w:b/>
          <w:bCs/>
        </w:rPr>
        <w:t xml:space="preserve">Itraconazole + éfavirenz</w:t>
      </w:r>
      <w:r>
        <w:t xml:space="preserve"> </w:t>
      </w:r>
      <w:r>
        <w:t xml:space="preserve">: double interaction (induction CYP3A4 par éfavirenz → baisse itraconazole ; inhibition CYP3A4 par itraconazole → surdosage éfavirenz, neurotoxicité).</w:t>
      </w:r>
      <w:r>
        <w:t xml:space="preserve"> </w:t>
      </w:r>
      <w:r>
        <w:t xml:space="preserve">-</w:t>
      </w:r>
      <w:r>
        <w:t xml:space="preserve"> </w:t>
      </w:r>
      <w:r>
        <w:rPr>
          <w:b/>
          <w:bCs/>
        </w:rPr>
        <w:t xml:space="preserve">Itraconazole + alcaloïdes de l’ergot de seigle</w:t>
      </w:r>
      <w:r>
        <w:t xml:space="preserve"> </w:t>
      </w:r>
      <w:r>
        <w:t xml:space="preserve">: CI absolue — ergotisme.</w:t>
      </w:r>
      <w:r>
        <w:t xml:space="preserve"> </w:t>
      </w:r>
      <w:r>
        <w:t xml:space="preserve">-</w:t>
      </w:r>
      <w:r>
        <w:t xml:space="preserve"> </w:t>
      </w:r>
      <w:r>
        <w:rPr>
          <w:b/>
          <w:bCs/>
        </w:rPr>
        <w:t xml:space="preserve">Itraconazole + midazolam oral / triazolam</w:t>
      </w:r>
      <w:r>
        <w:t xml:space="preserve"> </w:t>
      </w:r>
      <w:r>
        <w:t xml:space="preserve">: CI absolue — sédation prolongée (jusqu’à 12–24 h).</w:t>
      </w:r>
      <w:r>
        <w:t xml:space="preserve"> </w:t>
      </w:r>
      <w:r>
        <w:t xml:space="preserve">-</w:t>
      </w:r>
      <w:r>
        <w:t xml:space="preserve"> </w:t>
      </w:r>
      <w:r>
        <w:rPr>
          <w:b/>
          <w:bCs/>
        </w:rPr>
        <w:t xml:space="preserve">Itraconazole + aliskiren, dabigatran, rivaroxaban</w:t>
      </w:r>
      <w:r>
        <w:t xml:space="preserve"> </w:t>
      </w:r>
      <w:r>
        <w:t xml:space="preserve">: augmentation concentrations (saignement).</w:t>
      </w:r>
    </w:p>
    <w:p>
      <w:pPr>
        <w:pStyle w:val="BodyText"/>
      </w:pPr>
      <w:r>
        <w:rPr>
          <w:b/>
          <w:bCs/>
        </w:rPr>
        <w:t xml:space="preserve">Grossesse et Allaitement :</w:t>
      </w:r>
      <w:r>
        <w:t xml:space="preserve"> </w:t>
      </w:r>
      <w:r>
        <w:t xml:space="preserve">- Grossesse :</w:t>
      </w:r>
      <w:r>
        <w:t xml:space="preserve"> </w:t>
      </w:r>
      <w:r>
        <w:rPr>
          <w:b/>
          <w:bCs/>
        </w:rPr>
        <w:t xml:space="preserve">CI absolue chez la femme enceinte</w:t>
      </w:r>
      <w:r>
        <w:t xml:space="preserve"> </w:t>
      </w:r>
      <w:r>
        <w:t xml:space="preserve">— l’itraconazole est tératogène chez l’animal (malformations squelettiques, neuronales) ; il inhibe le HHG pathway, clé du développement embryonnaire. Des cas malformatifs (syndrome polymalformatif, anomalie de_members) ont été rapportés chez la femme enceinte exposée au 1er trimestre. Test de grossesse pré-thérapeutique et contraception efficace pendant tout le traitement et</w:t>
      </w:r>
      <w:r>
        <w:t xml:space="preserve"> </w:t>
      </w:r>
      <w:r>
        <w:rPr>
          <w:b/>
          <w:bCs/>
        </w:rPr>
        <w:t xml:space="preserve">jusqu’à 2 mois après l’arrêt</w:t>
      </w:r>
      <w:r>
        <w:t xml:space="preserve"> </w:t>
      </w:r>
      <w:r>
        <w:t xml:space="preserve">(demi-vie longue + métabolite actif). Chez l’homme, une altération transitoire de la fertilité a été décrite — informer le couple.</w:t>
      </w:r>
      <w:r>
        <w:t xml:space="preserve"> </w:t>
      </w:r>
      <w:r>
        <w:t xml:space="preserve">- Allaitement : déconseillé (passage dans le lait, données limitées).</w:t>
      </w:r>
      <w:r>
        <w:t xml:space="preserve"> </w:t>
      </w:r>
      <w:r>
        <w:t xml:space="preserve">- Précisions : en cas de découverte de grossesse sous itraconazole, arrêt immédiat, déclaration de pharmacovigilance, échographie morphologique de référence.</w:t>
      </w:r>
    </w:p>
    <w:p>
      <w:pPr>
        <w:pStyle w:val="BodyText"/>
      </w:pPr>
      <w:r>
        <w:rPr>
          <w:b/>
          <w:bCs/>
        </w:rPr>
        <w:t xml:space="preserve">Posologie et Mode d’administration (Standard) :</w:t>
      </w:r>
      <w:r>
        <w:t xml:space="preserve"> </w:t>
      </w:r>
      <w:r>
        <w:t xml:space="preserve">- Adulte : (i) aspergillose : 200 mg × 2/j (dose de charge optionnelle 200 mg × 3/j × 3 jours) pendant minimum 6–12 semaines ; (ii) mycoses systémiques endémiques : 100–200 mg/j, durée variable (histoplasmose : 6–12 mois ; coccidioidomycose méningée : à vie) ; (iii) dermatophyties : 100 mg/j pendant 15 jours (intertrigos) à 30 jours (teignes), ou schéma</w:t>
      </w:r>
      <w:r>
        <w:t xml:space="preserve"> </w:t>
      </w:r>
      <w:r>
        <w:rPr>
          <w:b/>
          <w:bCs/>
        </w:rPr>
        <w:t xml:space="preserve">pulsé</w:t>
      </w:r>
      <w:r>
        <w:t xml:space="preserve"> </w:t>
      </w:r>
      <w:r>
        <w:t xml:space="preserve">200 mg × 2/j pendant 1 semaine par mois pendant 3 mois (onychomycose main) ou 6 mois (pied) ; (iv) prophylaxie hématologie : 200 mg/j.</w:t>
      </w:r>
      <w:r>
        <w:t xml:space="preserve"> </w:t>
      </w:r>
      <w:r>
        <w:t xml:space="preserve">- Enfant : 3–5 mg/kg/j (max 200 mg/j) ; schéma pulsé possible (&gt; 12 ans, &gt; 40 kg).</w:t>
      </w:r>
      <w:r>
        <w:t xml:space="preserve"> </w:t>
      </w:r>
      <w:r>
        <w:t xml:space="preserve">- Durée : variable selon pathologie — dermatophyties courtes (2–6 semaines), onychomycoses (3–6 mois), mycoses systémiques (6–18 mois).</w:t>
      </w:r>
      <w:r>
        <w:t xml:space="preserve"> </w:t>
      </w:r>
      <w:r>
        <w:t xml:space="preserve">- Moment de prise :</w:t>
      </w:r>
      <w:r>
        <w:t xml:space="preserve"> </w:t>
      </w:r>
      <w:r>
        <w:rPr>
          <w:b/>
          <w:bCs/>
        </w:rPr>
        <w:t xml:space="preserve">gélules au cours d’un repas acide</w:t>
      </w:r>
      <w:r>
        <w:t xml:space="preserve"> </w:t>
      </w:r>
      <w:r>
        <w:t xml:space="preserve">(acidité gastrique nécessaire à la dissolution de la gélule, hypochlorhydrie → échec). Boire un verre de cola ou de jus d’orange si prise IPP inévitable. La prise avec un repas riche en lipides améliore également l’absorption (caractère lipophile).</w:t>
      </w:r>
    </w:p>
    <w:p>
      <w:pPr>
        <w:pStyle w:val="BodyText"/>
      </w:pPr>
      <w:r>
        <w:rPr>
          <w:b/>
          <w:bCs/>
        </w:rPr>
        <w:t xml:space="preserve">Arbitrage et Bénéfices des Formes Galéniques :</w:t>
      </w:r>
      <w:r>
        <w:t xml:space="preserve"> </w:t>
      </w:r>
      <w:r>
        <w:t xml:space="preserve">La seule forme disponible en Algérie est la gélule à 100 mg (trois marques génériques : ITRACONYX, ITRASPOR, ITRAZON). L’absence de solution buvable limite l’usage chez l’enfant et le patient achlorhydrique ou sous IPP à dose élevée. L’absence de forme IV (itraconazole IV retiré du marché européen en 2009 pour problèmes de tolérance rénale et cardiaque) impose le recours à un autre triazolé systémique (voriconazole, fluconazole) ou à l’amphotéricine B pour les situations d’urgence. La galénique en gélule implique le respect strict de la prise au cours d’un repas — point pédagogique essentiel.</w:t>
      </w:r>
    </w:p>
    <w:p>
      <w:pPr>
        <w:pStyle w:val="BodyText"/>
      </w:pPr>
      <w:r>
        <w:rPr>
          <w:b/>
          <w:bCs/>
        </w:rPr>
        <w:t xml:space="preserve">Instructions et Conseils au Patient :</w:t>
      </w:r>
      <w:r>
        <w:t xml:space="preserve"> </w:t>
      </w:r>
      <w:r>
        <w:t xml:space="preserve">- Communication au comptoir : « Ce médicament est un antifongique puissant qui traite les mycoses profondes ou étendues.</w:t>
      </w:r>
      <w:r>
        <w:t xml:space="preserve"> </w:t>
      </w:r>
      <w:r>
        <w:rPr>
          <w:b/>
          <w:bCs/>
        </w:rPr>
        <w:t xml:space="preserve">Prenez absolument les gélules pendant un repas</w:t>
      </w:r>
      <w:r>
        <w:t xml:space="preserve">, jamais à jeun, sinon le médicament ne sera pas absorbé. Si vous prenez un médicament pour l’estomac (type IPP), prenez l’itraconazole avec un verre de jus d’orange ou de cola. Signalez-nous tous vos traitements en cours (surtout statines pour le cholestérol, anticoagulants). »</w:t>
      </w:r>
      <w:r>
        <w:t xml:space="preserve"> </w:t>
      </w:r>
      <w:r>
        <w:t xml:space="preserve">- Mode d’utilisation pratique : prise biquotidienne espacée de 12 h si dose de 200 mg × 2/j ; observance stricte de la durée (onychomycose : plusieurs mois — expliquer que la guérison clinique suit la repousse de l’ongle). Éviction de grossesse pendant le traitement et 2 mois après (femmes en âge de procréer : contraception efficace).</w:t>
      </w:r>
      <w:r>
        <w:t xml:space="preserve"> </w:t>
      </w:r>
      <w:r>
        <w:t xml:space="preserve">- Suivi : examen biologique mensuel (ASAT/ALAT, kaliémie), dosage sérique si traitement prolongé.</w:t>
      </w:r>
    </w:p>
    <w:p>
      <w:pPr>
        <w:pStyle w:val="BodyText"/>
      </w:pPr>
      <w:r>
        <w:rPr>
          <w:b/>
          <w:bCs/>
        </w:rPr>
        <w:t xml:space="preserve">Notes, Règles d’Or &amp; Pièges au Comptoir :</w:t>
      </w:r>
      <w:r>
        <w:t xml:space="preserve"> </w:t>
      </w:r>
      <w:r>
        <w:t xml:space="preserve">- Piège classique 1 :</w:t>
      </w:r>
      <w:r>
        <w:t xml:space="preserve"> </w:t>
      </w:r>
      <w:r>
        <w:rPr>
          <w:b/>
          <w:bCs/>
        </w:rPr>
        <w:t xml:space="preserve">itraconazole + IPP/antiacide/à jeun = échec thérapeutique</w:t>
      </w:r>
      <w:r>
        <w:t xml:space="preserve"> </w:t>
      </w:r>
      <w:r>
        <w:t xml:space="preserve">(l’absorption chute de 50 à 70 %) — toujours demander si le patient prend un IPP et expliquer la prise alimentaire.</w:t>
      </w:r>
      <w:r>
        <w:t xml:space="preserve"> </w:t>
      </w:r>
      <w:r>
        <w:t xml:space="preserve">- Piège classique 2 :</w:t>
      </w:r>
      <w:r>
        <w:t xml:space="preserve"> </w:t>
      </w:r>
      <w:r>
        <w:rPr>
          <w:b/>
          <w:bCs/>
        </w:rPr>
        <w:t xml:space="preserve">itraconazole + insuffisance cardiaque = CI absolue</w:t>
      </w:r>
      <w:r>
        <w:t xml:space="preserve"> </w:t>
      </w:r>
      <w:r>
        <w:t xml:space="preserve">— vérifier les antécédents cardiovasculaires.</w:t>
      </w:r>
      <w:r>
        <w:t xml:space="preserve"> </w:t>
      </w:r>
      <w:r>
        <w:t xml:space="preserve">- Piège classique 3 :</w:t>
      </w:r>
      <w:r>
        <w:t xml:space="preserve"> </w:t>
      </w:r>
      <w:r>
        <w:rPr>
          <w:b/>
          <w:bCs/>
        </w:rPr>
        <w:t xml:space="preserve">itraconazole + statine (simvastatine/atorvastatine)</w:t>
      </w:r>
      <w:r>
        <w:t xml:space="preserve"> </w:t>
      </w:r>
      <w:r>
        <w:t xml:space="preserve">= rhabdomyolyse — demander le traitement associé.</w:t>
      </w:r>
      <w:r>
        <w:t xml:space="preserve"> </w:t>
      </w:r>
      <w:r>
        <w:t xml:space="preserve">- Piège classique 4 :</w:t>
      </w:r>
      <w:r>
        <w:t xml:space="preserve"> </w:t>
      </w:r>
      <w:r>
        <w:rPr>
          <w:b/>
          <w:bCs/>
        </w:rPr>
        <w:t xml:space="preserve">itraconazole + grossesse = tératogène</w:t>
      </w:r>
      <w:r>
        <w:t xml:space="preserve"> </w:t>
      </w:r>
      <w:r>
        <w:t xml:space="preserve">— test de grossesse préalable, contraception 2 mois après arrêt.</w:t>
      </w:r>
      <w:r>
        <w:t xml:space="preserve"> </w:t>
      </w:r>
      <w:r>
        <w:t xml:space="preserve">- Règle de prise : gélules au cours d’un repas complet (de préférence acide), boire un grand verre d’eau.</w:t>
      </w:r>
      <w:r>
        <w:t xml:space="preserve"> </w:t>
      </w:r>
      <w:r>
        <w:t xml:space="preserve">- Préparation et Conservation : conserver à température &lt; 25 °C, à l’abri de l’humidité (gélule sensible).</w:t>
      </w:r>
      <w:r>
        <w:t xml:space="preserve"> </w:t>
      </w:r>
      <w:r>
        <w:t xml:space="preserve">- Piège du surdosage / Substitution : ne pas substituer la solution buvable aux gélules sans adapter la dose (la solution est mieux absorbée, doses 50 % inférieures). Les trois marques algériennes sont équivalentes mais la substitution doit être validée (suivi thérapeutique si changement).</w:t>
      </w:r>
    </w:p>
    <w:p>
      <w:r>
        <w:pict>
          <v:rect style="width:0;height:1.5pt" o:hralign="center" o:hrstd="t" o:hr="t"/>
        </w:pict>
      </w:r>
    </w:p>
    <w:bookmarkEnd w:id="71"/>
    <w:bookmarkStart w:id="72" w:name="dci-voriconazole-seule"/>
    <w:p>
      <w:pPr>
        <w:pStyle w:val="Heading3"/>
      </w:pPr>
      <w:r>
        <w:t xml:space="preserve">12.2.4 DCI : Voriconazole (Seule)</w:t>
      </w:r>
    </w:p>
    <w:p>
      <w:pPr>
        <w:pStyle w:val="FirstParagraph"/>
      </w:pPr>
      <w:r>
        <w:rPr>
          <w:b/>
          <w:bCs/>
        </w:rPr>
        <w:t xml:space="preserve">Liste des Catégories :</w:t>
      </w:r>
      <w:r>
        <w:t xml:space="preserve"> </w:t>
      </w:r>
      <w:r>
        <w:t xml:space="preserve">Liste I ; prescription initiale hospitalière réservée aux spécialistes en infectiologie, hématologie ou réanimation.</w:t>
      </w:r>
    </w:p>
    <w:p>
      <w:pPr>
        <w:pStyle w:val="BodyText"/>
      </w:pPr>
      <w:r>
        <w:t xml:space="preserve">Le voriconazole est le triazolé de</w:t>
      </w:r>
      <w:r>
        <w:t xml:space="preserve"> </w:t>
      </w:r>
      <w:r>
        <w:rPr>
          <w:b/>
          <w:bCs/>
        </w:rPr>
        <w:t xml:space="preserve">seconde génération</w:t>
      </w:r>
      <w:r>
        <w:t xml:space="preserve">, dérivé synthétique du fluconazole avec substitution d’un triazole par un fluoropyrimidine et addition d’un groupement méthyl. Il est le</w:t>
      </w:r>
      <w:r>
        <w:t xml:space="preserve"> </w:t>
      </w:r>
      <w:r>
        <w:rPr>
          <w:b/>
          <w:bCs/>
        </w:rPr>
        <w:t xml:space="preserve">traitement de référence (gold standard) de l’aspergillose pulmonaire invasive</w:t>
      </w:r>
      <w:r>
        <w:t xml:space="preserve"> </w:t>
      </w:r>
      <w:r>
        <w:t xml:space="preserve">(essai clinique Herbrecht NEJM 2002 : supériorité vs amphotéricine B). Sa pharmacocinétique est</w:t>
      </w:r>
      <w:r>
        <w:t xml:space="preserve"> </w:t>
      </w:r>
      <w:r>
        <w:rPr>
          <w:b/>
          <w:bCs/>
        </w:rPr>
        <w:t xml:space="preserve">particulièrement complexe</w:t>
      </w:r>
      <w:r>
        <w:t xml:space="preserve"> </w:t>
      </w:r>
      <w:r>
        <w:t xml:space="preserve">:</w:t>
      </w:r>
      <w:r>
        <w:t xml:space="preserve"> </w:t>
      </w:r>
      <w:r>
        <w:t xml:space="preserve">-</w:t>
      </w:r>
      <w:r>
        <w:t xml:space="preserve"> </w:t>
      </w:r>
      <w:r>
        <w:rPr>
          <w:b/>
          <w:bCs/>
        </w:rPr>
        <w:t xml:space="preserve">Métabolisme hépatique</w:t>
      </w:r>
      <w:r>
        <w:t xml:space="preserve"> </w:t>
      </w:r>
      <w:r>
        <w:t xml:space="preserve">prédominant par CYP2C19 (principal) puis CYP2C9 et CYP3A4. Le CYP2C19 présente un</w:t>
      </w:r>
      <w:r>
        <w:t xml:space="preserve"> </w:t>
      </w:r>
      <w:r>
        <w:rPr>
          <w:b/>
          <w:bCs/>
        </w:rPr>
        <w:t xml:space="preserve">polymorphisme génétique majeur</w:t>
      </w:r>
      <w:r>
        <w:t xml:space="preserve"> </w:t>
      </w:r>
      <w:r>
        <w:t xml:space="preserve">: ~ 3–5 % des Caucasiens/Afro-Américains sont métaboliseurs lents (PM — poor metabolizers), 15–20 % des Asiatiques ; les concentrations de voriconazole sont alors</w:t>
      </w:r>
      <w:r>
        <w:t xml:space="preserve"> </w:t>
      </w:r>
      <w:r>
        <w:rPr>
          <w:b/>
          <w:bCs/>
        </w:rPr>
        <w:t xml:space="preserve">multipliées par 3 à 4</w:t>
      </w:r>
      <w:r>
        <w:t xml:space="preserve"> </w:t>
      </w:r>
      <w:r>
        <w:t xml:space="preserve">chez les PM. À l’opposé, 5–10 % des sujets sont ultrarapides (UM). Ce polymorphisme justifie le</w:t>
      </w:r>
      <w:r>
        <w:t xml:space="preserve"> </w:t>
      </w:r>
      <w:r>
        <w:rPr>
          <w:b/>
          <w:bCs/>
        </w:rPr>
        <w:t xml:space="preserve">suivi thérapeutique pharmacologique (STP)</w:t>
      </w:r>
      <w:r>
        <w:t xml:space="preserve"> </w:t>
      </w:r>
      <w:r>
        <w:t xml:space="preserve">systématique.</w:t>
      </w:r>
      <w:r>
        <w:t xml:space="preserve"> </w:t>
      </w:r>
      <w:r>
        <w:t xml:space="preserve">-</w:t>
      </w:r>
      <w:r>
        <w:t xml:space="preserve"> </w:t>
      </w:r>
      <w:r>
        <w:rPr>
          <w:b/>
          <w:bCs/>
        </w:rPr>
        <w:t xml:space="preserve">Biodisponibilité orale de 96 %</w:t>
      </w:r>
      <w:r>
        <w:t xml:space="preserve"> </w:t>
      </w:r>
      <w:r>
        <w:t xml:space="preserve">(équivalente à la voie IV), absorption</w:t>
      </w:r>
      <w:r>
        <w:t xml:space="preserve"> </w:t>
      </w:r>
      <w:r>
        <w:rPr>
          <w:b/>
          <w:bCs/>
        </w:rPr>
        <w:t xml:space="preserve">diminuée par la prise alimentaire</w:t>
      </w:r>
      <w:r>
        <w:t xml:space="preserve"> </w:t>
      </w:r>
      <w:r>
        <w:t xml:space="preserve">(à prendre à jeun, 1 h avant ou 2 h après le repas).</w:t>
      </w:r>
      <w:r>
        <w:t xml:space="preserve"> </w:t>
      </w:r>
      <w:r>
        <w:t xml:space="preserve">-</w:t>
      </w:r>
      <w:r>
        <w:t xml:space="preserve"> </w:t>
      </w:r>
      <w:r>
        <w:rPr>
          <w:b/>
          <w:bCs/>
        </w:rPr>
        <w:t xml:space="preserve">Demi-vie d’élimination</w:t>
      </w:r>
      <w:r>
        <w:t xml:space="preserve"> </w:t>
      </w:r>
      <w:r>
        <w:t xml:space="preserve">de 6 heures environ mais</w:t>
      </w:r>
      <w:r>
        <w:t xml:space="preserve"> </w:t>
      </w:r>
      <w:r>
        <w:rPr>
          <w:b/>
          <w:bCs/>
        </w:rPr>
        <w:t xml:space="preserve">non linéaire</w:t>
      </w:r>
      <w:r>
        <w:t xml:space="preserve"> </w:t>
      </w:r>
      <w:r>
        <w:t xml:space="preserve">à l’état d’équilibre (la cinétique passe de premier ordre à saturation — accumulation plus que proportionnelle).</w:t>
      </w:r>
      <w:r>
        <w:t xml:space="preserve"> </w:t>
      </w:r>
      <w:r>
        <w:t xml:space="preserve">- Auto-inhibition de son métabolisme (le voriconazole inhibe son propre CYP2C19) à l’origine de la non-linéarité.</w:t>
      </w:r>
      <w:r>
        <w:t xml:space="preserve"> </w:t>
      </w:r>
      <w:r>
        <w:t xml:space="preserve">- Distribution ubiquitaire, LCR (50 % des concentrations sériques), visage ; pas dans les urines (inactif sur infections urinaires).</w:t>
      </w:r>
      <w:r>
        <w:t xml:space="preserve"> </w:t>
      </w:r>
      <w:r>
        <w:t xml:space="preserve">- Métabolite principal : N-oxyde voriconazole, inactif.</w:t>
      </w:r>
    </w:p>
    <w:p>
      <w:pPr>
        <w:pStyle w:val="BodyText"/>
      </w:pPr>
      <w:r>
        <w:rPr>
          <w:b/>
          <w:bCs/>
        </w:rPr>
        <w:t xml:space="preserve">Médicaments disponibles en Algérie (Marques, Laboratoires, Formes et Dosages) :</w:t>
      </w:r>
    </w:p>
    <w:p>
      <w:pPr>
        <w:pStyle w:val="BodyText"/>
      </w:pPr>
      <w:r>
        <w:rPr>
          <w:i/>
          <w:iCs/>
        </w:rPr>
        <w:t xml:space="preserve">Formes orales (comprimés pelliculés 50 mg et 200 mg) — STATUT ACTIF :</w:t>
      </w:r>
      <w:r>
        <w:t xml:space="preserve"> </w:t>
      </w:r>
      <w:r>
        <w:t xml:space="preserve">-</w:t>
      </w:r>
      <w:r>
        <w:t xml:space="preserve"> </w:t>
      </w:r>
      <w:r>
        <w:rPr>
          <w:b/>
          <w:bCs/>
        </w:rPr>
        <w:t xml:space="preserve">VECANZOL</w:t>
      </w:r>
      <w:r>
        <w:t xml:space="preserve"> </w:t>
      </w:r>
      <w:r>
        <w:t xml:space="preserve">(EL KENDI INDUSTRIE DU MEDICAMENT) — Comprimé pelliculé 200 mg B/30 + Comprimé pelliculé 50 mg B/30 — Statut : Actif</w:t>
      </w:r>
      <w:r>
        <w:t xml:space="preserve"> </w:t>
      </w:r>
      <w:r>
        <w:t xml:space="preserve">-</w:t>
      </w:r>
      <w:r>
        <w:t xml:space="preserve"> </w:t>
      </w:r>
      <w:r>
        <w:rPr>
          <w:b/>
          <w:bCs/>
        </w:rPr>
        <w:t xml:space="preserve">VORICONAZOLE BEKER</w:t>
      </w:r>
      <w:r>
        <w:t xml:space="preserve"> </w:t>
      </w:r>
      <w:r>
        <w:t xml:space="preserve">(LABORATOIRES BEKER) — Comprimé pelliculé 200 mg B/30 + Comprimé pelliculé 50 mg B/30 — Statut : Actif</w:t>
      </w:r>
    </w:p>
    <w:p>
      <w:pPr>
        <w:pStyle w:val="BodyText"/>
      </w:pPr>
      <w:r>
        <w:rPr>
          <w:i/>
          <w:iCs/>
        </w:rPr>
        <w:t xml:space="preserve">Forme suspension buvable — STATUT ACTIF :</w:t>
      </w:r>
      <w:r>
        <w:t xml:space="preserve"> </w:t>
      </w:r>
      <w:r>
        <w:t xml:space="preserve">-</w:t>
      </w:r>
      <w:r>
        <w:t xml:space="preserve"> </w:t>
      </w:r>
      <w:r>
        <w:rPr>
          <w:b/>
          <w:bCs/>
        </w:rPr>
        <w:t xml:space="preserve">VFEND POS</w:t>
      </w:r>
      <w:r>
        <w:t xml:space="preserve"> </w:t>
      </w:r>
      <w:r>
        <w:t xml:space="preserve">(PFIZER EUROPE MA EEIG) — Poudre pour suspension buvable 40 mg/mL, flacon de 100 mL — Statut : Actif</w:t>
      </w:r>
    </w:p>
    <w:p>
      <w:pPr>
        <w:pStyle w:val="BodyText"/>
      </w:pPr>
      <w:r>
        <w:rPr>
          <w:i/>
          <w:iCs/>
        </w:rPr>
        <w:t xml:space="preserve">Forme injectable IV — STATUT ACTIF :</w:t>
      </w:r>
      <w:r>
        <w:t xml:space="preserve"> </w:t>
      </w:r>
      <w:r>
        <w:t xml:space="preserve">-</w:t>
      </w:r>
      <w:r>
        <w:t xml:space="preserve"> </w:t>
      </w:r>
      <w:r>
        <w:rPr>
          <w:b/>
          <w:bCs/>
        </w:rPr>
        <w:t xml:space="preserve">TROZASIN</w:t>
      </w:r>
      <w:r>
        <w:t xml:space="preserve"> </w:t>
      </w:r>
      <w:r>
        <w:t xml:space="preserve">(BIEM ILAC SAN. VE TIC. A.S.) — Poudre pour solution pour perfusion IV 200 mg/flacon — Statut : Actif</w:t>
      </w:r>
      <w:r>
        <w:t xml:space="preserve"> </w:t>
      </w:r>
      <w:r>
        <w:t xml:space="preserve">-</w:t>
      </w:r>
      <w:r>
        <w:t xml:space="preserve"> </w:t>
      </w:r>
      <w:r>
        <w:rPr>
          <w:b/>
          <w:bCs/>
        </w:rPr>
        <w:t xml:space="preserve">VORICONAZOLE - SAIDAL</w:t>
      </w:r>
      <w:r>
        <w:t xml:space="preserve"> </w:t>
      </w:r>
      <w:r>
        <w:t xml:space="preserve">(GROUPE SAIDAL) — Poudre pour solution pour perfusion IV 200 mg/flacon — Statut : Actif</w:t>
      </w:r>
      <w:r>
        <w:t xml:space="preserve"> </w:t>
      </w:r>
      <w:r>
        <w:t xml:space="preserve">-</w:t>
      </w:r>
      <w:r>
        <w:t xml:space="preserve"> </w:t>
      </w:r>
      <w:r>
        <w:rPr>
          <w:b/>
          <w:bCs/>
        </w:rPr>
        <w:t xml:space="preserve">VFEND</w:t>
      </w:r>
      <w:r>
        <w:t xml:space="preserve"> </w:t>
      </w:r>
      <w:r>
        <w:t xml:space="preserve">(PFIZER LIMITED) — Poudre pour solution pour perfusion IV 200 mg/flacon — Statut : Actif</w:t>
      </w:r>
    </w:p>
    <w:p>
      <w:pPr>
        <w:pStyle w:val="BodyText"/>
      </w:pPr>
      <w:r>
        <w:rPr>
          <w:i/>
          <w:iCs/>
        </w:rPr>
        <w:t xml:space="preserve">Formes RETIRÉES (R) :</w:t>
      </w:r>
      <w:r>
        <w:t xml:space="preserve"> </w:t>
      </w:r>
      <w:r>
        <w:t xml:space="preserve">-</w:t>
      </w:r>
      <w:r>
        <w:t xml:space="preserve"> </w:t>
      </w:r>
      <w:r>
        <w:rPr>
          <w:b/>
          <w:bCs/>
        </w:rPr>
        <w:t xml:space="preserve">VFEND</w:t>
      </w:r>
      <w:r>
        <w:t xml:space="preserve"> </w:t>
      </w:r>
      <w:r>
        <w:t xml:space="preserve">(PFIZER LIMITED) — Comprimés pelliculés 200 mg B/28 + 50 mg B/28 (R) — ne plus délivrer</w:t>
      </w:r>
    </w:p>
    <w:p>
      <w:pPr>
        <w:pStyle w:val="BodyText"/>
      </w:pPr>
      <w:r>
        <w:rPr>
          <w:b/>
          <w:bCs/>
        </w:rPr>
        <w:t xml:space="preserve">Sous-classe et Mécanisme d’action :</w:t>
      </w:r>
      <w:r>
        <w:t xml:space="preserve"> </w:t>
      </w:r>
      <w:r>
        <w:t xml:space="preserve">- Sous-classe : triazolé systémique de seconde génération, fungistatique (voire fungicide sur Aspergillus) ; traitement de référence de l’aspergillose invasive. Spectre large incluant Aspergillus fumigatus, A. flavus, A. terreus (résistant à l’amphotéricine B), Candida spp. (sauf résistance), Cryptococcus, agents des mycoses endémiques, Scedosporium apiospermum, Fusarium spp.</w:t>
      </w:r>
      <w:r>
        <w:t xml:space="preserve"> </w:t>
      </w:r>
      <w:r>
        <w:rPr>
          <w:b/>
          <w:bCs/>
        </w:rPr>
        <w:t xml:space="preserve">Aucune activité sur les mucormycètes</w:t>
      </w:r>
      <w:r>
        <w:t xml:space="preserve"> </w:t>
      </w:r>
      <w:r>
        <w:t xml:space="preserve">(Mucor, Rhizopus).</w:t>
      </w:r>
      <w:r>
        <w:t xml:space="preserve"> </w:t>
      </w:r>
      <w:r>
        <w:t xml:space="preserve">- Mécanisme d’action : inhibition du CYP51A1 (ERG11) — lanostérol 14α-déméthylase — par coordination N-4/Fe²⁺ de l’hème, identique au fluconazole. Affinité supérieure pour le CYP51 fongique (notamment Aspergillus), activité fungicide partielle. Le voriconazole inhibe également les CYP humains CYP2C19, CYP2C9 et CYP3A4, à l’origine d’interactions médicamenteuses très nombreuses.</w:t>
      </w:r>
      <w:r>
        <w:t xml:space="preserve"> </w:t>
      </w:r>
      <w:r>
        <w:t xml:space="preserve">- Résistance : mutations CYP51A (G54, M220, G448) et promoteur TR34/L98H, TR46/Y121F/T289A (résistance environnementale aux triazolés agricoles). Vérifier l’antifongigramme.</w:t>
      </w:r>
    </w:p>
    <w:p>
      <w:pPr>
        <w:pStyle w:val="BodyText"/>
      </w:pPr>
      <w:r>
        <w:rPr>
          <w:b/>
          <w:bCs/>
        </w:rPr>
        <w:t xml:space="preserve">Profil Pharmacologique :</w:t>
      </w:r>
      <w:r>
        <w:t xml:space="preserve"> </w:t>
      </w:r>
      <w:r>
        <w:t xml:space="preserve">- Indications : (i)</w:t>
      </w:r>
      <w:r>
        <w:t xml:space="preserve"> </w:t>
      </w:r>
      <w:r>
        <w:rPr>
          <w:b/>
          <w:bCs/>
        </w:rPr>
        <w:t xml:space="preserve">aspergillose invasive</w:t>
      </w:r>
      <w:r>
        <w:t xml:space="preserve"> </w:t>
      </w:r>
      <w:r>
        <w:t xml:space="preserve">(pulmonaire, sinusienne, disséminée) — traitement de première ligne (référence IDSA 2016, ESCMID/ECMM 2018) ; (ii) candidémie chez le patient non neutropénique (alternative aux echinocandines si sensible) ; (iii) candidose œsophagienne réfractaire au fluconazole ; (iv) infections à Scedosporium apiospermum et Fusarium spp. ; (v) mycoses endémiques (histoplasmose, blastomycose, coccidioidomycose) en alternative ; (vi) prophylaxie chez les patients à haut risque (allogreffe, LAM induction) en alternative au posaconazole.</w:t>
      </w:r>
      <w:r>
        <w:t xml:space="preserve"> </w:t>
      </w:r>
      <w:r>
        <w:t xml:space="preserve">- Contre-indications : (1) hypersensibilité aux azolés ; (2) co-prescription avec</w:t>
      </w:r>
      <w:r>
        <w:t xml:space="preserve"> </w:t>
      </w:r>
      <w:r>
        <w:rPr>
          <w:b/>
          <w:bCs/>
        </w:rPr>
        <w:t xml:space="preserve">sirolimus</w:t>
      </w:r>
      <w:r>
        <w:t xml:space="preserve"> </w:t>
      </w:r>
      <w:r>
        <w:t xml:space="preserve">(CI absolue — x10 concentrations),</w:t>
      </w:r>
      <w:r>
        <w:t xml:space="preserve"> </w:t>
      </w:r>
      <w:r>
        <w:rPr>
          <w:b/>
          <w:bCs/>
        </w:rPr>
        <w:t xml:space="preserve">rifampicine, rifabutine, carbamazépine, phénobarbital</w:t>
      </w:r>
      <w:r>
        <w:t xml:space="preserve"> </w:t>
      </w:r>
      <w:r>
        <w:t xml:space="preserve">(induction — efficacité nulle),</w:t>
      </w:r>
      <w:r>
        <w:t xml:space="preserve"> </w:t>
      </w:r>
      <w:r>
        <w:rPr>
          <w:b/>
          <w:bCs/>
        </w:rPr>
        <w:t xml:space="preserve">ergotamine, dihydroergotamine</w:t>
      </w:r>
      <w:r>
        <w:t xml:space="preserve"> </w:t>
      </w:r>
      <w:r>
        <w:t xml:space="preserve">(ergotisme),</w:t>
      </w:r>
      <w:r>
        <w:t xml:space="preserve"> </w:t>
      </w:r>
      <w:r>
        <w:rPr>
          <w:b/>
          <w:bCs/>
        </w:rPr>
        <w:t xml:space="preserve">astémizole, terfénadine, cisapride, pimozide, quinidine</w:t>
      </w:r>
      <w:r>
        <w:t xml:space="preserve"> </w:t>
      </w:r>
      <w:r>
        <w:t xml:space="preserve">(QT long),</w:t>
      </w:r>
      <w:r>
        <w:t xml:space="preserve"> </w:t>
      </w:r>
      <w:r>
        <w:rPr>
          <w:b/>
          <w:bCs/>
        </w:rPr>
        <w:t xml:space="preserve">efavirenz</w:t>
      </w:r>
      <w:r>
        <w:t xml:space="preserve"> </w:t>
      </w:r>
      <w:r>
        <w:t xml:space="preserve">à doses standard (interaction bilatérale — voir ci-dessous),</w:t>
      </w:r>
      <w:r>
        <w:t xml:space="preserve"> </w:t>
      </w:r>
      <w:r>
        <w:rPr>
          <w:b/>
          <w:bCs/>
        </w:rPr>
        <w:t xml:space="preserve">rivaroxaban</w:t>
      </w:r>
      <w:r>
        <w:t xml:space="preserve"> </w:t>
      </w:r>
      <w:r>
        <w:t xml:space="preserve">(saignement),</w:t>
      </w:r>
      <w:r>
        <w:t xml:space="preserve"> </w:t>
      </w:r>
      <w:r>
        <w:rPr>
          <w:b/>
          <w:bCs/>
        </w:rPr>
        <w:t xml:space="preserve">alcaloïdes de la pervenche</w:t>
      </w:r>
      <w:r>
        <w:t xml:space="preserve"> </w:t>
      </w:r>
      <w:r>
        <w:t xml:space="preserve">(vincristine — neurotoxicité majeure) ; (3) insuffisance hépatique modérée à sévère (adaptation posologique) ; (4) allongement QT congenital ; (5) grossesse (déconseillé — données limitées) ; (6) insuffisance rénale pour la forme IV (cyclodextrine excipient) — relais per os.</w:t>
      </w:r>
      <w:r>
        <w:t xml:space="preserve"> </w:t>
      </w:r>
      <w:r>
        <w:t xml:space="preserve">- Effets Indésirables : (i)</w:t>
      </w:r>
      <w:r>
        <w:t xml:space="preserve"> </w:t>
      </w:r>
      <w:r>
        <w:rPr>
          <w:b/>
          <w:bCs/>
        </w:rPr>
        <w:t xml:space="preserve">troubles visuels</w:t>
      </w:r>
      <w:r>
        <w:t xml:space="preserve"> </w:t>
      </w:r>
      <w:r>
        <w:t xml:space="preserve">(30 %) — photopsies, vision colorée, halos, scotomes, photophobie, généralement transitoires (30 minutes post-prise), bénins mais inquiétants pour le patient — prévenir ! Exceptionnellement neuropathie optique et atrophie optique en cas de traitement prolongé (&gt; 4 semaines) ; (ii)</w:t>
      </w:r>
      <w:r>
        <w:t xml:space="preserve"> </w:t>
      </w:r>
      <w:r>
        <w:rPr>
          <w:b/>
          <w:bCs/>
        </w:rPr>
        <w:t xml:space="preserve">hépatotoxicité</w:t>
      </w:r>
      <w:r>
        <w:t xml:space="preserve"> </w:t>
      </w:r>
      <w:r>
        <w:t xml:space="preserve">(cytolyse 15 %, cholestase, hépatite fulminante rare — bilan mensuel) ; (iii)</w:t>
      </w:r>
      <w:r>
        <w:t xml:space="preserve"> </w:t>
      </w:r>
      <w:r>
        <w:rPr>
          <w:b/>
          <w:bCs/>
        </w:rPr>
        <w:t xml:space="preserve">phototoxicité cutanée majeure</w:t>
      </w:r>
      <w:r>
        <w:t xml:space="preserve"> </w:t>
      </w:r>
      <w:r>
        <w:t xml:space="preserve">— érythème, lentiginose exivrée,</w:t>
      </w:r>
      <w:r>
        <w:t xml:space="preserve"> </w:t>
      </w:r>
      <w:r>
        <w:rPr>
          <w:b/>
          <w:bCs/>
        </w:rPr>
        <w:t xml:space="preserve">carcinomes épidermoïdes cutanés</w:t>
      </w:r>
      <w:r>
        <w:t xml:space="preserve"> </w:t>
      </w:r>
      <w:r>
        <w:t xml:space="preserve">(surtout UV, phototype clair, traitement &gt; 3 mois — prévention solaire stricte) ; (iv) troubles digestifs (nausées, vomissements, diarrhée) ; (v)</w:t>
      </w:r>
      <w:r>
        <w:t xml:space="preserve"> </w:t>
      </w:r>
      <w:r>
        <w:rPr>
          <w:b/>
          <w:bCs/>
        </w:rPr>
        <w:t xml:space="preserve">allongement de l’espace QT</w:t>
      </w:r>
      <w:r>
        <w:t xml:space="preserve"> </w:t>
      </w:r>
      <w:r>
        <w:t xml:space="preserve">(torsades) ; (vi) hallucinations, confusion, agitation (surtout sujet âgé, forte dose) ; (vii) rash, SJS/TEN ; (viii) hypokaliémie, œdèmes périphériques ; (ix) pancytopénie, neutropénie, thrombopénie ; (x) pancréatite exceptionnelle.</w:t>
      </w:r>
    </w:p>
    <w:p>
      <w:pPr>
        <w:pStyle w:val="BodyText"/>
      </w:pPr>
      <w:r>
        <w:rPr>
          <w:b/>
          <w:bCs/>
        </w:rPr>
        <w:t xml:space="preserve">Prévention et Gestion des Effets Indésirables :</w:t>
      </w:r>
      <w:r>
        <w:t xml:space="preserve"> </w:t>
      </w:r>
      <w:r>
        <w:t xml:space="preserve">- Mesures Préventives :</w:t>
      </w:r>
      <w:r>
        <w:t xml:space="preserve"> </w:t>
      </w:r>
      <w:r>
        <w:rPr>
          <w:b/>
          <w:bCs/>
        </w:rPr>
        <w:t xml:space="preserve">STP (suivi thérapeutique pharmacologique)</w:t>
      </w:r>
      <w:r>
        <w:t xml:space="preserve"> </w:t>
      </w:r>
      <w:r>
        <w:t xml:space="preserve">systématique — dosage sérique voriconazole à J5 (état d’équilibre), cible 2–5,5 mg/L (efficacité + tolérance). ECG avant instauration. Bilan hépatique pré-thérapeutique et hebdomadaire en début de traitement puis mensuel.</w:t>
      </w:r>
      <w:r>
        <w:t xml:space="preserve"> </w:t>
      </w:r>
      <w:r>
        <w:rPr>
          <w:b/>
          <w:bCs/>
        </w:rPr>
        <w:t xml:space="preserve">Photoprotection stricte</w:t>
      </w:r>
      <w:r>
        <w:t xml:space="preserve"> </w:t>
      </w:r>
      <w:r>
        <w:t xml:space="preserve">(crème SPF 50+, vêtements couvrants, éviction solaire 10h–16h) pendant toute la durée du traitement et 2 mois après. Examen ophtalmologique en cas de traitement &gt; 4 semaines.</w:t>
      </w:r>
      <w:r>
        <w:t xml:space="preserve"> </w:t>
      </w:r>
      <w:r>
        <w:t xml:space="preserve">- Conduite à Tenir : arrêt ou réduction si troubles visuels sévères ou hallucinations (régression à l’arrêt) ; arrêt si cytolyse &gt; 5x LSN ou ictère ; arrêt immédiat si rash bulleux, photosensibilité sévère, lésion suspecte (dermato en urgence) ; réduction de dose si concentration &gt; 5,5 mg/L ; arrêt et conversion vers isavuconazole ou posaconazole en cas d’échec/toxicité.</w:t>
      </w:r>
    </w:p>
    <w:p>
      <w:pPr>
        <w:pStyle w:val="BodyText"/>
      </w:pPr>
      <w:r>
        <w:rPr>
          <w:b/>
          <w:bCs/>
        </w:rPr>
        <w:t xml:space="preserve">Interactions Importantes :</w:t>
      </w:r>
      <w:r>
        <w:t xml:space="preserve"> </w:t>
      </w:r>
      <w:r>
        <w:t xml:space="preserve">-</w:t>
      </w:r>
      <w:r>
        <w:t xml:space="preserve"> </w:t>
      </w:r>
      <w:r>
        <w:rPr>
          <w:b/>
          <w:bCs/>
        </w:rPr>
        <w:t xml:space="preserve">Voriconazole + sirolimus</w:t>
      </w:r>
      <w:r>
        <w:t xml:space="preserve"> </w:t>
      </w:r>
      <w:r>
        <w:t xml:space="preserve">: CI absolue — multiplication par 10 des concentrations (hématotoxicité, mortalité).</w:t>
      </w:r>
      <w:r>
        <w:t xml:space="preserve"> </w:t>
      </w:r>
      <w:r>
        <w:t xml:space="preserve">-</w:t>
      </w:r>
      <w:r>
        <w:t xml:space="preserve"> </w:t>
      </w:r>
      <w:r>
        <w:rPr>
          <w:b/>
          <w:bCs/>
        </w:rPr>
        <w:t xml:space="preserve">Voriconazole + éfavirenz</w:t>
      </w:r>
      <w:r>
        <w:t xml:space="preserve"> </w:t>
      </w:r>
      <w:r>
        <w:t xml:space="preserve">: double interaction — baisse du voriconazole (induction par éfavirenz) ET hausse de l’éfavirenz (inhibition par voriconazole) — schéma obligatoire : éfavirenz 400 mg/j (au lieu de 600) + voriconazole dose standard (400 mg charge puis 200 mg × 2/j) — suivi thérapeutique.</w:t>
      </w:r>
      <w:r>
        <w:t xml:space="preserve"> </w:t>
      </w:r>
      <w:r>
        <w:t xml:space="preserve">-</w:t>
      </w:r>
      <w:r>
        <w:t xml:space="preserve"> </w:t>
      </w:r>
      <w:r>
        <w:rPr>
          <w:b/>
          <w:bCs/>
        </w:rPr>
        <w:t xml:space="preserve">Voriconazole + rifampicine</w:t>
      </w:r>
      <w:r>
        <w:t xml:space="preserve"> </w:t>
      </w:r>
      <w:r>
        <w:t xml:space="preserve">: CI absolue — concentration voriconazole chute de 95 %.</w:t>
      </w:r>
      <w:r>
        <w:t xml:space="preserve"> </w:t>
      </w:r>
      <w:r>
        <w:t xml:space="preserve">-</w:t>
      </w:r>
      <w:r>
        <w:t xml:space="preserve"> </w:t>
      </w:r>
      <w:r>
        <w:rPr>
          <w:b/>
          <w:bCs/>
        </w:rPr>
        <w:t xml:space="preserve">Voriconazole + statines (simvastatine, atorvastatine)</w:t>
      </w:r>
      <w:r>
        <w:t xml:space="preserve"> </w:t>
      </w:r>
      <w:r>
        <w:t xml:space="preserve">: rhabdomyolyse (relais pravastatine).</w:t>
      </w:r>
      <w:r>
        <w:t xml:space="preserve"> </w:t>
      </w:r>
      <w:r>
        <w:t xml:space="preserve">-</w:t>
      </w:r>
      <w:r>
        <w:t xml:space="preserve"> </w:t>
      </w:r>
      <w:r>
        <w:rPr>
          <w:b/>
          <w:bCs/>
        </w:rPr>
        <w:t xml:space="preserve">Voriconazole + AVK</w:t>
      </w:r>
      <w:r>
        <w:t xml:space="preserve"> </w:t>
      </w:r>
      <w:r>
        <w:t xml:space="preserve">: majoration INR.</w:t>
      </w:r>
      <w:r>
        <w:t xml:space="preserve"> </w:t>
      </w:r>
      <w:r>
        <w:t xml:space="preserve">-</w:t>
      </w:r>
      <w:r>
        <w:t xml:space="preserve"> </w:t>
      </w:r>
      <w:r>
        <w:rPr>
          <w:b/>
          <w:bCs/>
        </w:rPr>
        <w:t xml:space="preserve">Voriconazole + opioides (fentanyl, oxycodone, méthadone)</w:t>
      </w:r>
      <w:r>
        <w:t xml:space="preserve"> </w:t>
      </w:r>
      <w:r>
        <w:t xml:space="preserve">: surdosage (dépression respiratoire).</w:t>
      </w:r>
      <w:r>
        <w:t xml:space="preserve"> </w:t>
      </w:r>
      <w:r>
        <w:t xml:space="preserve">-</w:t>
      </w:r>
      <w:r>
        <w:t xml:space="preserve"> </w:t>
      </w:r>
      <w:r>
        <w:rPr>
          <w:b/>
          <w:bCs/>
        </w:rPr>
        <w:t xml:space="preserve">Voriconazole + vincristine</w:t>
      </w:r>
      <w:r>
        <w:t xml:space="preserve"> </w:t>
      </w:r>
      <w:r>
        <w:t xml:space="preserve">: neurotoxicité accrue (espacer les cures).</w:t>
      </w:r>
      <w:r>
        <w:t xml:space="preserve"> </w:t>
      </w:r>
      <w:r>
        <w:t xml:space="preserve">-</w:t>
      </w:r>
      <w:r>
        <w:t xml:space="preserve"> </w:t>
      </w:r>
      <w:r>
        <w:rPr>
          <w:b/>
          <w:bCs/>
        </w:rPr>
        <w:t xml:space="preserve">Voriconazole + ciclosporine/tacrolimus</w:t>
      </w:r>
      <w:r>
        <w:t xml:space="preserve"> </w:t>
      </w:r>
      <w:r>
        <w:t xml:space="preserve">: réduire de 50 % la dose d’immunosuppresseur, contrôle résiduel.</w:t>
      </w:r>
      <w:r>
        <w:t xml:space="preserve"> </w:t>
      </w:r>
      <w:r>
        <w:t xml:space="preserve">-</w:t>
      </w:r>
      <w:r>
        <w:t xml:space="preserve"> </w:t>
      </w:r>
      <w:r>
        <w:rPr>
          <w:b/>
          <w:bCs/>
        </w:rPr>
        <w:t xml:space="preserve">Voriconazole + IPP (oméprazole)</w:t>
      </w:r>
      <w:r>
        <w:t xml:space="preserve"> </w:t>
      </w:r>
      <w:r>
        <w:t xml:space="preserve">: double effet — baisse légère du voriconazole (légère, sans impact clinique) et hausse de l’oméprazole (réduire oméprazole de 50 %).</w:t>
      </w:r>
      <w:r>
        <w:t xml:space="preserve"> </w:t>
      </w:r>
      <w:r>
        <w:t xml:space="preserve">-</w:t>
      </w:r>
      <w:r>
        <w:t xml:space="preserve"> </w:t>
      </w:r>
      <w:r>
        <w:rPr>
          <w:b/>
          <w:bCs/>
        </w:rPr>
        <w:t xml:space="preserve">Voriconazole + métadone</w:t>
      </w:r>
      <w:r>
        <w:t xml:space="preserve"> </w:t>
      </w:r>
      <w:r>
        <w:t xml:space="preserve">: allongement QT + surdosage.</w:t>
      </w:r>
    </w:p>
    <w:p>
      <w:pPr>
        <w:pStyle w:val="BodyText"/>
      </w:pPr>
      <w:r>
        <w:rPr>
          <w:b/>
          <w:bCs/>
        </w:rPr>
        <w:t xml:space="preserve">Grossesse et Allaitement :</w:t>
      </w:r>
      <w:r>
        <w:t xml:space="preserve"> </w:t>
      </w:r>
      <w:r>
        <w:t xml:space="preserve">- Grossesse :</w:t>
      </w:r>
      <w:r>
        <w:t xml:space="preserve"> </w:t>
      </w:r>
      <w:r>
        <w:rPr>
          <w:b/>
          <w:bCs/>
        </w:rPr>
        <w:t xml:space="preserve">déconseillé</w:t>
      </w:r>
      <w:r>
        <w:t xml:space="preserve"> </w:t>
      </w:r>
      <w:r>
        <w:t xml:space="preserve">— études animales montrant tératogénicité (fentes palatines, hydronéphrose) à doses thérapeutiques. Données humaines limitées. Le CRAT le classe en « risque tératogène animal non évalué chez la femme enceinte ». À éviter sauf bénéfice majeur (aspergillose invasive mettant en jeu le pronostic vital) et impossibilité d’alternative. Contraception efficace pendant le traitement.</w:t>
      </w:r>
      <w:r>
        <w:t xml:space="preserve"> </w:t>
      </w:r>
      <w:r>
        <w:t xml:space="preserve">- Allaitement : déconseillé (passage dans le lait non documenté, données limitées).</w:t>
      </w:r>
      <w:r>
        <w:t xml:space="preserve"> </w:t>
      </w:r>
      <w:r>
        <w:t xml:space="preserve">- Précisions : chez la femme enceinte présentant une aspergillose invasive, l’amphotéricine B liposomale reste préférable au 1er trimestre.</w:t>
      </w:r>
    </w:p>
    <w:p>
      <w:pPr>
        <w:pStyle w:val="BodyText"/>
      </w:pPr>
      <w:r>
        <w:rPr>
          <w:b/>
          <w:bCs/>
        </w:rPr>
        <w:t xml:space="preserve">Posologie et Mode d’administration (Standard) :</w:t>
      </w:r>
      <w:r>
        <w:t xml:space="preserve"> </w:t>
      </w:r>
      <w:r>
        <w:t xml:space="preserve">- Adulte : (i) dose de charge obligatoire : 6 mg/kg IV × 2 doses à 12 h d’intervalle (J1) ; (ii) traitement d’entretien IV : 4 mg/kg × 2/j ; (iii) relais per os : 200 mg × 2/j (ou 100 mg × 2/j si &lt; 40 kg) — débutable 24 h après la dose de charge ; (iv) durée : minimum 6–12 semaines en aspergillose ; prophylaxie : jusqu’à J+100 post-allogreffe.</w:t>
      </w:r>
      <w:r>
        <w:t xml:space="preserve"> </w:t>
      </w:r>
      <w:r>
        <w:t xml:space="preserve">- Enfant : 2–12 ans : 9 mg/kg IV × 2 (charge) puis 8 mg/kg × 2/j ; per os : 9 mg/kg × 2/j (max 350 mg × 2). Adolescent ≥ 14 ans : posologie adulte.</w:t>
      </w:r>
      <w:r>
        <w:t xml:space="preserve"> </w:t>
      </w:r>
      <w:r>
        <w:t xml:space="preserve">- Durée : variable selon pathologie — aspergillose invasive : 6–12 semaines minimum, jusqu’à 6 mois–1 an si immunodépression persistante ; prophylaxie : 100 jours post-greffe.</w:t>
      </w:r>
      <w:r>
        <w:t xml:space="preserve"> </w:t>
      </w:r>
      <w:r>
        <w:t xml:space="preserve">- Moment de prise : comprimés</w:t>
      </w:r>
      <w:r>
        <w:t xml:space="preserve"> </w:t>
      </w:r>
      <w:r>
        <w:rPr>
          <w:b/>
          <w:bCs/>
        </w:rPr>
        <w:t xml:space="preserve">à jeun</w:t>
      </w:r>
      <w:r>
        <w:t xml:space="preserve"> </w:t>
      </w:r>
      <w:r>
        <w:t xml:space="preserve">(1 h avant ou 2 h après le repas — la prise alimentaire diminue l’absorption de 22 % pour le comprimé et 80 % pour la suspension buvable). Suspension buvable : à jeun également.</w:t>
      </w:r>
    </w:p>
    <w:p>
      <w:pPr>
        <w:pStyle w:val="BodyText"/>
      </w:pPr>
      <w:r>
        <w:rPr>
          <w:b/>
          <w:bCs/>
        </w:rPr>
        <w:t xml:space="preserve">Arbitrage et Bénéfices des Formes Galéniques :</w:t>
      </w:r>
      <w:r>
        <w:t xml:space="preserve"> </w:t>
      </w:r>
      <w:r>
        <w:t xml:space="preserve">La disponibilité de trois voies d’administration (IV, comprimés, suspension buvable) en Algérie est un atout : la suspension buvable 40 mg/mL (VFEND POS) est essentielle en pédiatrie et chez le patient incapable d’avaler les comprimés. La forme IV permet la prise en charge hospitalière initiale de l’aspergillose invasive (relais per os précoce à la stabilité clinique, ≥ J7). La présence de cyclodextrine (excipient) dans la forme IV contre-indique son utilisation en cas d’insuffisance rénale sévère (ClCr &lt; 50 mL/min) — relais per os obligatoire. La biodisponibilité équivalente (96 %) permet un switch IV→PO sans ajustement.</w:t>
      </w:r>
    </w:p>
    <w:p>
      <w:pPr>
        <w:pStyle w:val="BodyText"/>
      </w:pPr>
      <w:r>
        <w:rPr>
          <w:b/>
          <w:bCs/>
        </w:rPr>
        <w:t xml:space="preserve">Instructions et Conseils au Patient :</w:t>
      </w:r>
      <w:r>
        <w:t xml:space="preserve"> </w:t>
      </w:r>
      <w:r>
        <w:t xml:space="preserve">- Communication au comptoir : « Ce médicament très puissant est utilisé pour traiter les mycoses graves (champignons). Il faut</w:t>
      </w:r>
      <w:r>
        <w:t xml:space="preserve"> </w:t>
      </w:r>
      <w:r>
        <w:rPr>
          <w:b/>
          <w:bCs/>
        </w:rPr>
        <w:t xml:space="preserve">le prendre à jeun</w:t>
      </w:r>
      <w:r>
        <w:t xml:space="preserve">, une heure avant ou deux heures après les repas. Prévenez votre médecin si vous avez des</w:t>
      </w:r>
      <w:r>
        <w:t xml:space="preserve"> </w:t>
      </w:r>
      <w:r>
        <w:rPr>
          <w:b/>
          <w:bCs/>
        </w:rPr>
        <w:t xml:space="preserve">troubles visuels</w:t>
      </w:r>
      <w:r>
        <w:t xml:space="preserve"> </w:t>
      </w:r>
      <w:r>
        <w:t xml:space="preserve">(vision floue, couleurs bizarres, sensibilité à la lumière) — c’est fréquent et bénin, mais signalez-le.</w:t>
      </w:r>
      <w:r>
        <w:t xml:space="preserve"> </w:t>
      </w:r>
      <w:r>
        <w:rPr>
          <w:b/>
          <w:bCs/>
        </w:rPr>
        <w:t xml:space="preserve">Évitez absolument le soleil</w:t>
      </w:r>
      <w:r>
        <w:t xml:space="preserve"> </w:t>
      </w:r>
      <w:r>
        <w:t xml:space="preserve">pendant le traitement et deux mois après : crème solaire indice 50+, vêtements couvrants. Signalez tous vos médicaments, surtout les statines (cholestérol), les anticoagulants et le sirolimus. »</w:t>
      </w:r>
      <w:r>
        <w:t xml:space="preserve"> </w:t>
      </w:r>
      <w:r>
        <w:t xml:space="preserve">- Mode d’utilisation pratique : prise biquotidienne à 12 h d’intervalle, à heure fixe. Suspension buvable : bien agiter avant emploi, mesurer avec la cuillère-dose fournie. Respecter la dose de charge (J1) puis l’entretien. Observance stricte.</w:t>
      </w:r>
      <w:r>
        <w:t xml:space="preserve"> </w:t>
      </w:r>
      <w:r>
        <w:t xml:space="preserve">- Suivi : bilan hépatique régulier, dosage sérique à J5, photoprotection stricte.</w:t>
      </w:r>
    </w:p>
    <w:p>
      <w:pPr>
        <w:pStyle w:val="BodyText"/>
      </w:pPr>
      <w:r>
        <w:rPr>
          <w:b/>
          <w:bCs/>
        </w:rPr>
        <w:t xml:space="preserve">Notes, Règles d’Or &amp; Pièges au Comptoir :</w:t>
      </w:r>
      <w:r>
        <w:t xml:space="preserve"> </w:t>
      </w:r>
      <w:r>
        <w:t xml:space="preserve">- Piège classique 1 :</w:t>
      </w:r>
      <w:r>
        <w:t xml:space="preserve"> </w:t>
      </w:r>
      <w:r>
        <w:rPr>
          <w:b/>
          <w:bCs/>
        </w:rPr>
        <w:t xml:space="preserve">voriconazole + soleil = phototoxicité et cancer cutané</w:t>
      </w:r>
      <w:r>
        <w:t xml:space="preserve"> </w:t>
      </w:r>
      <w:r>
        <w:t xml:space="preserve">(carcinomes épidermoïdes) — photoprotection absolue, surtout phototype clair.</w:t>
      </w:r>
      <w:r>
        <w:t xml:space="preserve"> </w:t>
      </w:r>
      <w:r>
        <w:t xml:space="preserve">- Piège classique 2 :</w:t>
      </w:r>
      <w:r>
        <w:t xml:space="preserve"> </w:t>
      </w:r>
      <w:r>
        <w:rPr>
          <w:b/>
          <w:bCs/>
        </w:rPr>
        <w:t xml:space="preserve">troubles visuels</w:t>
      </w:r>
      <w:r>
        <w:t xml:space="preserve"> </w:t>
      </w:r>
      <w:r>
        <w:t xml:space="preserve">= effet très fréquent et bénin — prévenir le patient, ne pas arrêter (sauf si sévère ou neuropathie optique).</w:t>
      </w:r>
      <w:r>
        <w:t xml:space="preserve"> </w:t>
      </w:r>
      <w:r>
        <w:t xml:space="preserve">- Piège classique 3 :</w:t>
      </w:r>
      <w:r>
        <w:t xml:space="preserve"> </w:t>
      </w:r>
      <w:r>
        <w:rPr>
          <w:b/>
          <w:bCs/>
        </w:rPr>
        <w:t xml:space="preserve">voriconazole + éfavirenz</w:t>
      </w:r>
      <w:r>
        <w:t xml:space="preserve"> </w:t>
      </w:r>
      <w:r>
        <w:t xml:space="preserve">= interaction bilatérale — adapter les doses (éfavirenz 400 mg, voriconazole standard) et suivre concentrations.</w:t>
      </w:r>
      <w:r>
        <w:t xml:space="preserve"> </w:t>
      </w:r>
      <w:r>
        <w:t xml:space="preserve">- Piège classique 4 :</w:t>
      </w:r>
      <w:r>
        <w:t xml:space="preserve"> </w:t>
      </w:r>
      <w:r>
        <w:rPr>
          <w:b/>
          <w:bCs/>
        </w:rPr>
        <w:t xml:space="preserve">polymorphisme CYP2C19</w:t>
      </w:r>
      <w:r>
        <w:t xml:space="preserve"> </w:t>
      </w:r>
      <w:r>
        <w:t xml:space="preserve">= métaboliseurs lents (Asiatiques surtout) — concentrations x3-x4, toxicité accrue — STP indispensable.</w:t>
      </w:r>
      <w:r>
        <w:t xml:space="preserve"> </w:t>
      </w:r>
      <w:r>
        <w:t xml:space="preserve">- Règle de prise : à jeun strict, biquotidien à 12 h d’intervalle.</w:t>
      </w:r>
      <w:r>
        <w:t xml:space="preserve"> </w:t>
      </w:r>
      <w:r>
        <w:t xml:space="preserve">- Préparation et Conservation : suspension buvable reconstituée stable 14 jours à température ambiante, bien agiter avant emploi ; poudre IV à reconstituer puis diluer (compatibilité NaCl 0,9 %, éviter sérum glucosé si perfusion centrale prolongée).</w:t>
      </w:r>
      <w:r>
        <w:t xml:space="preserve"> </w:t>
      </w:r>
      <w:r>
        <w:t xml:space="preserve">- Piège du surdosage / Substitution : la forme IV contient de la cyclodextrine — CI si ClCr &lt; 50 mL/min (relais per os). Les comprimés VFEND ont été retirés (R) ; substituer par VECANZOL ou VORICONAZOLE BEKER. La suspension buvable est à préférer chez l’enfant (dose en mg/kg précise).</w:t>
      </w:r>
    </w:p>
    <w:p>
      <w:r>
        <w:pict>
          <v:rect style="width:0;height:1.5pt" o:hralign="center" o:hrstd="t" o:hr="t"/>
        </w:pict>
      </w:r>
    </w:p>
    <w:bookmarkEnd w:id="72"/>
    <w:bookmarkStart w:id="73" w:name="dci-isavuconazole-seule"/>
    <w:p>
      <w:pPr>
        <w:pStyle w:val="Heading3"/>
      </w:pPr>
      <w:r>
        <w:t xml:space="preserve">12.2.5 DCI : Isavuconazole (Seule)</w:t>
      </w:r>
    </w:p>
    <w:p>
      <w:pPr>
        <w:pStyle w:val="FirstParagraph"/>
      </w:pPr>
      <w:r>
        <w:rPr>
          <w:b/>
          <w:bCs/>
        </w:rPr>
        <w:t xml:space="preserve">Liste des Catégories :</w:t>
      </w:r>
      <w:r>
        <w:t xml:space="preserve"> </w:t>
      </w:r>
      <w:r>
        <w:t xml:space="preserve">Liste I ; prescription initiale hospitalière réservée aux spécialistes en infectiologie, hématologie ou réanimation.</w:t>
      </w:r>
    </w:p>
    <w:p>
      <w:pPr>
        <w:pStyle w:val="BodyText"/>
      </w:pPr>
      <w:r>
        <w:t xml:space="preserve">L’isavuconazole est le plus récent triazolé systémique disponible en Algérie (commercialisation mondiale 2015, disponibilité algérienne via CRESEMBA HIKMA). Il se distingue des autres triazolés par plusieurs caractéristiques pharmacologiques majeures :</w:t>
      </w:r>
      <w:r>
        <w:t xml:space="preserve"> </w:t>
      </w:r>
      <w:r>
        <w:t xml:space="preserve">-</w:t>
      </w:r>
      <w:r>
        <w:t xml:space="preserve"> </w:t>
      </w:r>
      <w:r>
        <w:rPr>
          <w:b/>
          <w:bCs/>
        </w:rPr>
        <w:t xml:space="preserve">Prodrogue</w:t>
      </w:r>
      <w:r>
        <w:t xml:space="preserve"> </w:t>
      </w:r>
      <w:r>
        <w:t xml:space="preserve">: isavuconazonium (sel sulfate) pour la forme IV, clivée rapidement par les estérases plasmatiques en isavuconazole actif. Permet une formulation IV</w:t>
      </w:r>
      <w:r>
        <w:t xml:space="preserve"> </w:t>
      </w:r>
      <w:r>
        <w:rPr>
          <w:b/>
          <w:bCs/>
        </w:rPr>
        <w:t xml:space="preserve">sans cyclodextrine</w:t>
      </w:r>
      <w:r>
        <w:t xml:space="preserve"> </w:t>
      </w:r>
      <w:r>
        <w:t xml:space="preserve">(utilisable chez l’insuffisant rénal — atout majeur vs voriconazole).</w:t>
      </w:r>
      <w:r>
        <w:t xml:space="preserve"> </w:t>
      </w:r>
      <w:r>
        <w:t xml:space="preserve">-</w:t>
      </w:r>
      <w:r>
        <w:t xml:space="preserve"> </w:t>
      </w:r>
      <w:r>
        <w:rPr>
          <w:b/>
          <w:bCs/>
        </w:rPr>
        <w:t xml:space="preserve">Biodisponibilité orale de 98 %</w:t>
      </w:r>
      <w:r>
        <w:t xml:space="preserve"> </w:t>
      </w:r>
      <w:r>
        <w:t xml:space="preserve">(équivalente à la voie IV), absorption</w:t>
      </w:r>
      <w:r>
        <w:t xml:space="preserve"> </w:t>
      </w:r>
      <w:r>
        <w:rPr>
          <w:b/>
          <w:bCs/>
        </w:rPr>
        <w:t xml:space="preserve">indépendante de la prise alimentaire</w:t>
      </w:r>
      <w:r>
        <w:t xml:space="preserve"> </w:t>
      </w:r>
      <w:r>
        <w:t xml:space="preserve">(à jeun ou avec repas, acide ou non).</w:t>
      </w:r>
      <w:r>
        <w:t xml:space="preserve"> </w:t>
      </w:r>
      <w:r>
        <w:t xml:space="preserve">-</w:t>
      </w:r>
      <w:r>
        <w:t xml:space="preserve"> </w:t>
      </w:r>
      <w:r>
        <w:rPr>
          <w:b/>
          <w:bCs/>
        </w:rPr>
        <w:t xml:space="preserve">Demi-vie très longue</w:t>
      </w:r>
      <w:r>
        <w:t xml:space="preserve"> </w:t>
      </w:r>
      <w:r>
        <w:t xml:space="preserve">(~ 130 heures) autorisant une seule prise quotidienne après dose de charge.</w:t>
      </w:r>
      <w:r>
        <w:t xml:space="preserve"> </w:t>
      </w:r>
      <w:r>
        <w:t xml:space="preserve">-</w:t>
      </w:r>
      <w:r>
        <w:t xml:space="preserve"> </w:t>
      </w:r>
      <w:r>
        <w:rPr>
          <w:b/>
          <w:bCs/>
        </w:rPr>
        <w:t xml:space="preserve">Métabolisme</w:t>
      </w:r>
      <w:r>
        <w:t xml:space="preserve"> </w:t>
      </w:r>
      <w:r>
        <w:t xml:space="preserve">par CYP3A4 (substrat) et CYP3A4 (inhibiteur modéré) — moins d’interactions que le voriconazole. Pas de métabolisme CYP2C19 (donc indépendant du polymorphisme).</w:t>
      </w:r>
      <w:r>
        <w:t xml:space="preserve"> </w:t>
      </w:r>
      <w:r>
        <w:t xml:space="preserve">-</w:t>
      </w:r>
      <w:r>
        <w:t xml:space="preserve"> </w:t>
      </w:r>
      <w:r>
        <w:rPr>
          <w:b/>
          <w:bCs/>
        </w:rPr>
        <w:t xml:space="preserve">Effet paradoxal sur le QT</w:t>
      </w:r>
      <w:r>
        <w:t xml:space="preserve"> </w:t>
      </w:r>
      <w:r>
        <w:t xml:space="preserve">: l’isavuconazole</w:t>
      </w:r>
      <w:r>
        <w:t xml:space="preserve"> </w:t>
      </w:r>
      <w:r>
        <w:rPr>
          <w:b/>
          <w:bCs/>
        </w:rPr>
        <w:t xml:space="preserve">raccourcit l’intervalle QT</w:t>
      </w:r>
      <w:r>
        <w:t xml:space="preserve"> </w:t>
      </w:r>
      <w:r>
        <w:t xml:space="preserve">(effet inverse des autres azolés) — pas de risque de torsades, mais à éviter en cas de QT court familial.</w:t>
      </w:r>
      <w:r>
        <w:t xml:space="preserve"> </w:t>
      </w:r>
      <w:r>
        <w:t xml:space="preserve">- Distribution ubiquitaire, y compris LCR et cerveau (efficace dans aspergillose cérébrale). Concentrations pulmonaires élevées.</w:t>
      </w:r>
    </w:p>
    <w:p>
      <w:pPr>
        <w:pStyle w:val="BodyText"/>
      </w:pPr>
      <w:r>
        <w:rPr>
          <w:b/>
          <w:bCs/>
        </w:rPr>
        <w:t xml:space="preserve">Médicaments disponibles en Algérie (Marques, Laboratoires, Formes et Dosages) :</w:t>
      </w:r>
    </w:p>
    <w:p>
      <w:pPr>
        <w:pStyle w:val="BodyText"/>
      </w:pPr>
      <w:r>
        <w:rPr>
          <w:i/>
          <w:iCs/>
        </w:rPr>
        <w:t xml:space="preserve">Formes orales et injectables — STATUT ACTIF :</w:t>
      </w:r>
      <w:r>
        <w:t xml:space="preserve"> </w:t>
      </w:r>
      <w:r>
        <w:t xml:space="preserve">-</w:t>
      </w:r>
      <w:r>
        <w:t xml:space="preserve"> </w:t>
      </w:r>
      <w:r>
        <w:rPr>
          <w:b/>
          <w:bCs/>
        </w:rPr>
        <w:t xml:space="preserve">CRESEMBA</w:t>
      </w:r>
      <w:r>
        <w:t xml:space="preserve"> </w:t>
      </w:r>
      <w:r>
        <w:t xml:space="preserve">(HIKMA PHARMACEUTICALS LLC)</w:t>
      </w:r>
      <w:r>
        <w:t xml:space="preserve"> </w:t>
      </w:r>
      <w:r>
        <w:t xml:space="preserve">- Formes et Dosages : Gélule 100 mg (B/14) ; Poudre pour solution à diluer pour perfusion 200 mg (flacon de 10 mL)</w:t>
      </w:r>
      <w:r>
        <w:t xml:space="preserve"> </w:t>
      </w:r>
      <w:r>
        <w:t xml:space="preserve">- Statut : Actif</w:t>
      </w:r>
    </w:p>
    <w:p>
      <w:pPr>
        <w:pStyle w:val="BodyText"/>
      </w:pPr>
      <w:r>
        <w:t xml:space="preserve">Une seule marque disponible en Algérie (médicament d’exception, onéreux, réservé à l’usage hospitalo-universitaire).</w:t>
      </w:r>
    </w:p>
    <w:p>
      <w:pPr>
        <w:pStyle w:val="BodyText"/>
      </w:pPr>
      <w:r>
        <w:rPr>
          <w:b/>
          <w:bCs/>
        </w:rPr>
        <w:t xml:space="preserve">Sous-classe et Mécanisme d’action :</w:t>
      </w:r>
      <w:r>
        <w:t xml:space="preserve"> </w:t>
      </w:r>
      <w:r>
        <w:t xml:space="preserve">- Sous-classe : triazolé systémique de nouvelle génération, fungistatique (voire fungicide sur Aspergillus) ; indication dans aspergillose invasive et mucormycose (seul triazolé actif sur les mucormycètes avec le posaconazole).</w:t>
      </w:r>
      <w:r>
        <w:t xml:space="preserve"> </w:t>
      </w:r>
      <w:r>
        <w:t xml:space="preserve">- Mécanisme d’action : inhibition du CYP51A1 (ERG11) — lanostérol 14α-déméthylase — par coordination N-4/Fe²⁺ de l’hème, identique aux autres triazolés. Affinité élargie au CYP51 des mucormycètes (Rhizopus, Mucor, Absidia, Cunninghamella) — à l’origine de son indication dans la mucormycose.</w:t>
      </w:r>
      <w:r>
        <w:t xml:space="preserve"> </w:t>
      </w:r>
      <w:r>
        <w:t xml:space="preserve">- Spectre : Aspergillus (y compris A. terreus résistant à l’amphotéricine B), mucormycètes (Rhizopus, Mucor, Lichtheimia), Candida (sauf résistance), Cryptococcus, agents des mycoses endémiques, Fusarium partiellement, Scedosporium partiellement. Spectre comparable au voriconazole avec ajout majeur des mucormycètes.</w:t>
      </w:r>
    </w:p>
    <w:p>
      <w:pPr>
        <w:pStyle w:val="BodyText"/>
      </w:pPr>
      <w:r>
        <w:rPr>
          <w:b/>
          <w:bCs/>
        </w:rPr>
        <w:t xml:space="preserve">Profil Pharmacologique :</w:t>
      </w:r>
      <w:r>
        <w:t xml:space="preserve"> </w:t>
      </w:r>
      <w:r>
        <w:t xml:space="preserve">- Indications : (i)</w:t>
      </w:r>
      <w:r>
        <w:t xml:space="preserve"> </w:t>
      </w:r>
      <w:r>
        <w:rPr>
          <w:b/>
          <w:bCs/>
        </w:rPr>
        <w:t xml:space="preserve">aspergillose invasive</w:t>
      </w:r>
      <w:r>
        <w:t xml:space="preserve"> </w:t>
      </w:r>
      <w:r>
        <w:t xml:space="preserve">(essai SECURE — non-infériorité vs voriconazole, meilleure tolérance globale, moins de troubles visuels et hépatiques) ; (ii)</w:t>
      </w:r>
      <w:r>
        <w:t xml:space="preserve"> </w:t>
      </w:r>
      <w:r>
        <w:rPr>
          <w:b/>
          <w:bCs/>
        </w:rPr>
        <w:t xml:space="preserve">mucormycose</w:t>
      </w:r>
      <w:r>
        <w:t xml:space="preserve"> </w:t>
      </w:r>
      <w:r>
        <w:t xml:space="preserve">(essai VITAL — indication approuvée EMA/FDA, alternative à l’amphotéricine B liposomale, en particulier en relais ou en cas d’insuffisance rénale) ; (iii) prophylaxie en hématologie (alternative au posaconazole, en particulier chez les patients intolérants au voriconazole).</w:t>
      </w:r>
      <w:r>
        <w:t xml:space="preserve"> </w:t>
      </w:r>
      <w:r>
        <w:t xml:space="preserve">- Contre-indications : (1) hypersensibilité aux azolés ; (2) co-prescription avec</w:t>
      </w:r>
      <w:r>
        <w:t xml:space="preserve"> </w:t>
      </w:r>
      <w:r>
        <w:rPr>
          <w:b/>
          <w:bCs/>
        </w:rPr>
        <w:t xml:space="preserve">ketoconazole</w:t>
      </w:r>
      <w:r>
        <w:t xml:space="preserve"> </w:t>
      </w:r>
      <w:r>
        <w:t xml:space="preserve">(double inhibition CYP3A4),</w:t>
      </w:r>
      <w:r>
        <w:t xml:space="preserve"> </w:t>
      </w:r>
      <w:r>
        <w:rPr>
          <w:b/>
          <w:bCs/>
        </w:rPr>
        <w:t xml:space="preserve">forte dose de ritonavir</w:t>
      </w:r>
      <w:r>
        <w:t xml:space="preserve"> </w:t>
      </w:r>
      <w:r>
        <w:t xml:space="preserve">(x2 concentrations),</w:t>
      </w:r>
      <w:r>
        <w:t xml:space="preserve"> </w:t>
      </w:r>
      <w:r>
        <w:rPr>
          <w:b/>
          <w:bCs/>
        </w:rPr>
        <w:t xml:space="preserve">rifampicine</w:t>
      </w:r>
      <w:r>
        <w:t xml:space="preserve"> </w:t>
      </w:r>
      <w:r>
        <w:t xml:space="preserve">(induction — baisse de 95 %),</w:t>
      </w:r>
      <w:r>
        <w:t xml:space="preserve"> </w:t>
      </w:r>
      <w:r>
        <w:rPr>
          <w:b/>
          <w:bCs/>
        </w:rPr>
        <w:t xml:space="preserve">carbamazépine, phénobarbital</w:t>
      </w:r>
      <w:r>
        <w:t xml:space="preserve"> </w:t>
      </w:r>
      <w:r>
        <w:t xml:space="preserve">(induction),</w:t>
      </w:r>
      <w:r>
        <w:t xml:space="preserve"> </w:t>
      </w:r>
      <w:r>
        <w:rPr>
          <w:b/>
          <w:bCs/>
        </w:rPr>
        <w:t xml:space="preserve">efavirenz</w:t>
      </w:r>
      <w:r>
        <w:t xml:space="preserve"> </w:t>
      </w:r>
      <w:r>
        <w:t xml:space="preserve">à 400 mg et 600 mg (induction),</w:t>
      </w:r>
      <w:r>
        <w:t xml:space="preserve"> </w:t>
      </w:r>
      <w:r>
        <w:rPr>
          <w:b/>
          <w:bCs/>
        </w:rPr>
        <w:t xml:space="preserve">alcaloïdes de l’ergot</w:t>
      </w:r>
      <w:r>
        <w:t xml:space="preserve"> </w:t>
      </w:r>
      <w:r>
        <w:t xml:space="preserve">(ergotisme),</w:t>
      </w:r>
      <w:r>
        <w:t xml:space="preserve"> </w:t>
      </w:r>
      <w:r>
        <w:rPr>
          <w:b/>
          <w:bCs/>
        </w:rPr>
        <w:t xml:space="preserve">quinidine</w:t>
      </w:r>
      <w:r>
        <w:t xml:space="preserve"> </w:t>
      </w:r>
      <w:r>
        <w:t xml:space="preserve">(QT) ; (3) QT court familial (&lt; 350 ms) — effet paradoxal ; (4) grossesse (déconseillé) ; (5) insuffisance hépatique sévère (adaptation posologique).</w:t>
      </w:r>
      <w:r>
        <w:t xml:space="preserve"> </w:t>
      </w:r>
      <w:r>
        <w:t xml:space="preserve">- Effets Indésirables : (i) troubles digestifs (nausées, vomissements, diarrhée — moins fréquents que voriconazole) ; (ii) hépatotoxicité (cytolyse 5 %, moins marquée que voriconazole) ; (iii)</w:t>
      </w:r>
      <w:r>
        <w:t xml:space="preserve"> </w:t>
      </w:r>
      <w:r>
        <w:rPr>
          <w:b/>
          <w:bCs/>
        </w:rPr>
        <w:t xml:space="preserve">aucun trouble visuel</w:t>
      </w:r>
      <w:r>
        <w:t xml:space="preserve"> </w:t>
      </w:r>
      <w:r>
        <w:t xml:space="preserve">(différence majeure vs voriconazole) ; (iv) hypokaliémie (15 %), œdèmes périphériques (15 %) ; (v) rash cutané, photosensibilité (moins que voriconazole) ; (vi) céphalées, insomnie, fatigue ; (vii) neutropénie, thrombopénie ; (viii)</w:t>
      </w:r>
      <w:r>
        <w:t xml:space="preserve"> </w:t>
      </w:r>
      <w:r>
        <w:rPr>
          <w:b/>
          <w:bCs/>
        </w:rPr>
        <w:t xml:space="preserve">raccourcissement du QT</w:t>
      </w:r>
      <w:r>
        <w:t xml:space="preserve"> </w:t>
      </w:r>
      <w:r>
        <w:t xml:space="preserve">(à surveiller chez les patients avec QT court familial ou en cas de co-prescription avec antiarythmiques).</w:t>
      </w:r>
    </w:p>
    <w:p>
      <w:pPr>
        <w:pStyle w:val="BodyText"/>
      </w:pPr>
      <w:r>
        <w:rPr>
          <w:b/>
          <w:bCs/>
        </w:rPr>
        <w:t xml:space="preserve">Prévention et Gestion des Effets Indésirables :</w:t>
      </w:r>
      <w:r>
        <w:t xml:space="preserve"> </w:t>
      </w:r>
      <w:r>
        <w:t xml:space="preserve">- Mesures Préventives : bilan hépatique avant traitement, à J7 puis mensuel ; kaliémie à J7 ; ECG avant instauration (vérifier QT — ne pas utiliser si QT court familial) ; pas de photoprotection stricte indispensable (mais éviction solaire raisonnable).</w:t>
      </w:r>
      <w:r>
        <w:t xml:space="preserve"> </w:t>
      </w:r>
      <w:r>
        <w:t xml:space="preserve">- Conduite à Tenir : arrêt et bilan si cytolyse &gt; 5x LSN ; supplémentation potassique si hypokaliémie ; pas d’arrêt nécessaire pour troubles visuels (absents) ; surveillance neurologique en cas de traitement prolongé.</w:t>
      </w:r>
    </w:p>
    <w:p>
      <w:pPr>
        <w:pStyle w:val="BodyText"/>
      </w:pPr>
      <w:r>
        <w:rPr>
          <w:b/>
          <w:bCs/>
        </w:rPr>
        <w:t xml:space="preserve">Interactions Importantes :</w:t>
      </w:r>
      <w:r>
        <w:t xml:space="preserve"> </w:t>
      </w:r>
      <w:r>
        <w:t xml:space="preserve">-</w:t>
      </w:r>
      <w:r>
        <w:t xml:space="preserve"> </w:t>
      </w:r>
      <w:r>
        <w:rPr>
          <w:b/>
          <w:bCs/>
        </w:rPr>
        <w:t xml:space="preserve">Isavuconazole + rifampicine</w:t>
      </w:r>
      <w:r>
        <w:t xml:space="preserve"> </w:t>
      </w:r>
      <w:r>
        <w:t xml:space="preserve">: CI absolue — induction majeure, concentrations d’isavuconazole réduites de 95 %.</w:t>
      </w:r>
      <w:r>
        <w:t xml:space="preserve"> </w:t>
      </w:r>
      <w:r>
        <w:t xml:space="preserve">-</w:t>
      </w:r>
      <w:r>
        <w:t xml:space="preserve"> </w:t>
      </w:r>
      <w:r>
        <w:rPr>
          <w:b/>
          <w:bCs/>
        </w:rPr>
        <w:t xml:space="preserve">Isavuconazole + kétoconazole</w:t>
      </w:r>
      <w:r>
        <w:t xml:space="preserve"> </w:t>
      </w:r>
      <w:r>
        <w:t xml:space="preserve">: CI absolue — double inhibition CYP3A4.</w:t>
      </w:r>
      <w:r>
        <w:t xml:space="preserve"> </w:t>
      </w:r>
      <w:r>
        <w:t xml:space="preserve">-</w:t>
      </w:r>
      <w:r>
        <w:t xml:space="preserve"> </w:t>
      </w:r>
      <w:r>
        <w:rPr>
          <w:b/>
          <w:bCs/>
        </w:rPr>
        <w:t xml:space="preserve">Isavuconazole + forte dose de ritonavir</w:t>
      </w:r>
      <w:r>
        <w:t xml:space="preserve"> </w:t>
      </w:r>
      <w:r>
        <w:t xml:space="preserve">: x2 concentrations isavuconazole.</w:t>
      </w:r>
      <w:r>
        <w:t xml:space="preserve"> </w:t>
      </w:r>
      <w:r>
        <w:t xml:space="preserve">-</w:t>
      </w:r>
      <w:r>
        <w:t xml:space="preserve"> </w:t>
      </w:r>
      <w:r>
        <w:rPr>
          <w:b/>
          <w:bCs/>
        </w:rPr>
        <w:t xml:space="preserve">Isavuconazole + éfavirenz, carbamazépine, phénobarbital</w:t>
      </w:r>
      <w:r>
        <w:t xml:space="preserve"> </w:t>
      </w:r>
      <w:r>
        <w:t xml:space="preserve">: induction — baisse d’efficacité.</w:t>
      </w:r>
      <w:r>
        <w:t xml:space="preserve"> </w:t>
      </w:r>
      <w:r>
        <w:t xml:space="preserve">-</w:t>
      </w:r>
      <w:r>
        <w:t xml:space="preserve"> </w:t>
      </w:r>
      <w:r>
        <w:rPr>
          <w:b/>
          <w:bCs/>
        </w:rPr>
        <w:t xml:space="preserve">Isavuconazole + ciclosporine, tacrolimus, sirolimus</w:t>
      </w:r>
      <w:r>
        <w:t xml:space="preserve"> </w:t>
      </w:r>
      <w:r>
        <w:t xml:space="preserve">: inhibition modérée CYP3A4 — surveillance, adaptation posologique de l’immunosuppresseur.</w:t>
      </w:r>
      <w:r>
        <w:t xml:space="preserve"> </w:t>
      </w:r>
      <w:r>
        <w:t xml:space="preserve">-</w:t>
      </w:r>
      <w:r>
        <w:t xml:space="preserve"> </w:t>
      </w:r>
      <w:r>
        <w:rPr>
          <w:b/>
          <w:bCs/>
        </w:rPr>
        <w:t xml:space="preserve">Isavuconazole + midazolam</w:t>
      </w:r>
      <w:r>
        <w:t xml:space="preserve"> </w:t>
      </w:r>
      <w:r>
        <w:t xml:space="preserve">: augmentation concentrations (surveillance sédation).</w:t>
      </w:r>
      <w:r>
        <w:t xml:space="preserve"> </w:t>
      </w:r>
      <w:r>
        <w:t xml:space="preserve">-</w:t>
      </w:r>
      <w:r>
        <w:t xml:space="preserve"> </w:t>
      </w:r>
      <w:r>
        <w:rPr>
          <w:b/>
          <w:bCs/>
        </w:rPr>
        <w:t xml:space="preserve">Isavuconazole + statines</w:t>
      </w:r>
      <w:r>
        <w:t xml:space="preserve"> </w:t>
      </w:r>
      <w:r>
        <w:t xml:space="preserve">: moindre interaction que voriconazole (inhibition CYP3A4 modérée) — prudence tout de même avec simvastatine.</w:t>
      </w:r>
      <w:r>
        <w:t xml:space="preserve"> </w:t>
      </w:r>
      <w:r>
        <w:t xml:space="preserve">-</w:t>
      </w:r>
      <w:r>
        <w:t xml:space="preserve"> </w:t>
      </w:r>
      <w:r>
        <w:rPr>
          <w:b/>
          <w:bCs/>
        </w:rPr>
        <w:t xml:space="preserve">Isavuconazole + digoxine</w:t>
      </w:r>
      <w:r>
        <w:t xml:space="preserve"> </w:t>
      </w:r>
      <w:r>
        <w:t xml:space="preserve">: pas d’interaction pertinente (n’agit pas sur P-gp).</w:t>
      </w:r>
      <w:r>
        <w:t xml:space="preserve"> </w:t>
      </w:r>
      <w:r>
        <w:t xml:space="preserve">- L’isavuconazole présente moins d’interactions cliniquement significatives que le voriconazole (pas de métabolisme CYP2C19, pas de CYP2C9).</w:t>
      </w:r>
    </w:p>
    <w:p>
      <w:pPr>
        <w:pStyle w:val="BodyText"/>
      </w:pPr>
      <w:r>
        <w:rPr>
          <w:b/>
          <w:bCs/>
        </w:rPr>
        <w:t xml:space="preserve">Grossesse et Allaitement :</w:t>
      </w:r>
      <w:r>
        <w:t xml:space="preserve"> </w:t>
      </w:r>
      <w:r>
        <w:t xml:space="preserve">- Grossesse :</w:t>
      </w:r>
      <w:r>
        <w:t xml:space="preserve"> </w:t>
      </w:r>
      <w:r>
        <w:rPr>
          <w:b/>
          <w:bCs/>
        </w:rPr>
        <w:t xml:space="preserve">déconseillé</w:t>
      </w:r>
      <w:r>
        <w:t xml:space="preserve"> </w:t>
      </w:r>
      <w:r>
        <w:t xml:space="preserve">— études animales montrant tératogénicité (anomalies squelettiques, fentes palatines) à doses supra-thérapeutiques. Données humaines limitées. Le CRAT le classe en « données limitées, déconseillé par mesure de prudence ». À réserver à l’aspergillose/mucormycose invasive mettant en jeu le pronostic vital, en évaluant le bénéfice/risque.</w:t>
      </w:r>
      <w:r>
        <w:t xml:space="preserve"> </w:t>
      </w:r>
      <w:r>
        <w:t xml:space="preserve">- Allaitement : déconseillé (données limitées).</w:t>
      </w:r>
      <w:r>
        <w:t xml:space="preserve"> </w:t>
      </w:r>
      <w:r>
        <w:t xml:space="preserve">- Précisions : chez la femme enceinte, l’amphotéricine B liposomale reste préférable au 1er trimestre ; l’isavuconazole peut être discuté en cas d’échec ou de résistance.</w:t>
      </w:r>
    </w:p>
    <w:p>
      <w:pPr>
        <w:pStyle w:val="BodyText"/>
      </w:pPr>
      <w:r>
        <w:rPr>
          <w:b/>
          <w:bCs/>
        </w:rPr>
        <w:t xml:space="preserve">Posologie et Mode d’administration (Standard) :</w:t>
      </w:r>
      <w:r>
        <w:t xml:space="preserve"> </w:t>
      </w:r>
      <w:r>
        <w:t xml:space="preserve">- Adulte : (i)</w:t>
      </w:r>
      <w:r>
        <w:t xml:space="preserve"> </w:t>
      </w:r>
      <w:r>
        <w:rPr>
          <w:b/>
          <w:bCs/>
        </w:rPr>
        <w:t xml:space="preserve">dose de charge obligatoire</w:t>
      </w:r>
      <w:r>
        <w:t xml:space="preserve"> </w:t>
      </w:r>
      <w:r>
        <w:t xml:space="preserve">: 200 mg × 2/j (IV ou per os) pendant 48 h (soit J1 et J2) ; (ii)</w:t>
      </w:r>
      <w:r>
        <w:t xml:space="preserve"> </w:t>
      </w:r>
      <w:r>
        <w:rPr>
          <w:b/>
          <w:bCs/>
        </w:rPr>
        <w:t xml:space="preserve">traitement d’entretien</w:t>
      </w:r>
      <w:r>
        <w:t xml:space="preserve"> </w:t>
      </w:r>
      <w:r>
        <w:t xml:space="preserve">: 200 mg une fois par jour (IV ou per os) à partir de J3 ; (iii) durée : minimum 6–12 semaines en aspergillose, 4–8 semaines minimum en mucormycose (parfois prolongée selon l’étendue).</w:t>
      </w:r>
      <w:r>
        <w:t xml:space="preserve"> </w:t>
      </w:r>
      <w:r>
        <w:t xml:space="preserve">- Enfant : données pédiatriques limitées ; études en cours. Chez l’adolescent ≥ 18 ans : posologie adulte.</w:t>
      </w:r>
      <w:r>
        <w:t xml:space="preserve"> </w:t>
      </w:r>
      <w:r>
        <w:t xml:space="preserve">- Durée : variable selon pathologie — aspergillose : 6–12 semaines minimum ; mucormycose : jusqu’à 6 mois–1 an selon étendue et immunodépression.</w:t>
      </w:r>
      <w:r>
        <w:t xml:space="preserve"> </w:t>
      </w:r>
      <w:r>
        <w:t xml:space="preserve">- Moment de prise : indifférent (à jeun ou avec repas, acide ou non — biodisponibilité 98 % indépendante). Prise unique quotidienne — atout d’observance majeur vs voriconazole biquotidien.</w:t>
      </w:r>
    </w:p>
    <w:p>
      <w:pPr>
        <w:pStyle w:val="BodyText"/>
      </w:pPr>
      <w:r>
        <w:rPr>
          <w:b/>
          <w:bCs/>
        </w:rPr>
        <w:t xml:space="preserve">Arbitrage et Bénéfices des Formes Galéniques :</w:t>
      </w:r>
      <w:r>
        <w:t xml:space="preserve"> </w:t>
      </w:r>
      <w:r>
        <w:t xml:space="preserve">La disponibilité simultanée de formes orales (gélule 100 mg) et injectables IV (poudre 200 mg/flacon) sans cyclodextrine permet l’usage en toute sécurité chez l’insuffisant rénal — atout majeur vs voriconazole IV. Le switch IV→PO est immédiat, sans ajustement (biodisponibilité 98 %). La prise unique quotidienne (après la dose de charge) améliore l’observance, particulièrement chez les patients ambulatoires en sortie d’hospitalisation pour aspergillose. Le coût élevé limite son usage en première intention (voriconazole générique reste moins cher), mais l’isavuconazole est l’alternative de choix en cas de toxicité au voriconazole (troubles visuels, hépatotoxicité, phototoxicité), en cas d’insuffisance rénale, ou pour la mucormycose.</w:t>
      </w:r>
    </w:p>
    <w:p>
      <w:pPr>
        <w:pStyle w:val="BodyText"/>
      </w:pPr>
      <w:r>
        <w:rPr>
          <w:b/>
          <w:bCs/>
        </w:rPr>
        <w:t xml:space="preserve">Instructions et Conseils au Patient :</w:t>
      </w:r>
      <w:r>
        <w:t xml:space="preserve"> </w:t>
      </w:r>
      <w:r>
        <w:t xml:space="preserve">- Communication au comptoir : « Ce médicament est un antifongique puissant prescrit pour une mycose grave. Vous prendrez deux prises par jour les deux premiers jours (dose de charge), puis une seule prise par jour ensuite.</w:t>
      </w:r>
      <w:r>
        <w:t xml:space="preserve"> </w:t>
      </w:r>
      <w:r>
        <w:rPr>
          <w:b/>
          <w:bCs/>
        </w:rPr>
        <w:t xml:space="preserve">Vous pouvez le prendre pendant ou en dehors des repas</w:t>
      </w:r>
      <w:r>
        <w:t xml:space="preserve">, indifféremment. La prise unique le soir est conseillée. Signalez tous vos médicaments en cours, surtout si vous prenez de la rifampicine ou des antiépileptiques. »</w:t>
      </w:r>
      <w:r>
        <w:t xml:space="preserve"> </w:t>
      </w:r>
      <w:r>
        <w:t xml:space="preserve">- Mode d’utilisation pratique : gélule à avaler entière avec un grand verre d’eau. Prise à heure fixe (le soir en entretien pour observance). Observance stricte — ne jamais arrêter brutalement même si amélioration (risque de rechute).</w:t>
      </w:r>
      <w:r>
        <w:t xml:space="preserve"> </w:t>
      </w:r>
      <w:r>
        <w:t xml:space="preserve">- Suivi : bilan hépatique mensuel, kaliémie à J7, suivi clinique régulier.</w:t>
      </w:r>
    </w:p>
    <w:p>
      <w:pPr>
        <w:pStyle w:val="BodyText"/>
      </w:pPr>
      <w:r>
        <w:rPr>
          <w:b/>
          <w:bCs/>
        </w:rPr>
        <w:t xml:space="preserve">Notes, Règles d’Or &amp; Pièges au Comptoir :</w:t>
      </w:r>
      <w:r>
        <w:t xml:space="preserve"> </w:t>
      </w:r>
      <w:r>
        <w:t xml:space="preserve">- Piège classique 1 :</w:t>
      </w:r>
      <w:r>
        <w:t xml:space="preserve"> </w:t>
      </w:r>
      <w:r>
        <w:rPr>
          <w:b/>
          <w:bCs/>
        </w:rPr>
        <w:t xml:space="preserve">isavuconazole raccourcit le QT</w:t>
      </w:r>
      <w:r>
        <w:t xml:space="preserve"> </w:t>
      </w:r>
      <w:r>
        <w:t xml:space="preserve">(effet paradoxal inverse des autres azolés) — pas de précaution QT long mais à éviter en cas de QT court familial.</w:t>
      </w:r>
      <w:r>
        <w:t xml:space="preserve"> </w:t>
      </w:r>
      <w:r>
        <w:t xml:space="preserve">- Piège classique 2 :</w:t>
      </w:r>
      <w:r>
        <w:t xml:space="preserve"> </w:t>
      </w:r>
      <w:r>
        <w:rPr>
          <w:b/>
          <w:bCs/>
        </w:rPr>
        <w:t xml:space="preserve">isavuconazole + rifampicine = CI absolue</w:t>
      </w:r>
      <w:r>
        <w:t xml:space="preserve"> </w:t>
      </w:r>
      <w:r>
        <w:t xml:space="preserve">(chute de 95 % concentrations).</w:t>
      </w:r>
      <w:r>
        <w:t xml:space="preserve"> </w:t>
      </w:r>
      <w:r>
        <w:t xml:space="preserve">- Piège classique 3 : pas de troubles visuels (différence majeure vs voriconazole) — atout en cas d’intolérance.</w:t>
      </w:r>
      <w:r>
        <w:t xml:space="preserve"> </w:t>
      </w:r>
      <w:r>
        <w:t xml:space="preserve">- Piège classique 4 :</w:t>
      </w:r>
      <w:r>
        <w:t xml:space="preserve"> </w:t>
      </w:r>
      <w:r>
        <w:rPr>
          <w:b/>
          <w:bCs/>
        </w:rPr>
        <w:t xml:space="preserve">mucormycose = indication spécifique</w:t>
      </w:r>
      <w:r>
        <w:t xml:space="preserve"> </w:t>
      </w:r>
      <w:r>
        <w:t xml:space="preserve">— seul triazolé disponible en Algérie avec activité (voriconazole et fluconazole INACTIFS sur mucormycètes).</w:t>
      </w:r>
      <w:r>
        <w:t xml:space="preserve"> </w:t>
      </w:r>
      <w:r>
        <w:t xml:space="preserve">- Règle de prise : 200 mg × 2/j pendant 48 h (charge), puis 200 mg × 1/j (entretien).</w:t>
      </w:r>
      <w:r>
        <w:t xml:space="preserve"> </w:t>
      </w:r>
      <w:r>
        <w:t xml:space="preserve">- Préparation et Conservation : poudre IV à reconstituer avec 5 mL eau ppi, puis diluer dans 250 mL NaCl 0,9 % ou G5% ; perfusion sur 1 h minimum (au delà de 2 h, recommandé pour éviter les réactions à la perfusion). Gélules à conserver à température &lt; 25 °C.</w:t>
      </w:r>
      <w:r>
        <w:t xml:space="preserve"> </w:t>
      </w:r>
      <w:r>
        <w:t xml:space="preserve">- Piège du surdosage / Substitution : pas de substitution possible (une seule marque disponible en Algérie). Médicament d’exception — usage strictement hospitalier ou sur prescription spécialisée.</w:t>
      </w:r>
    </w:p>
    <w:p>
      <w:r>
        <w:pict>
          <v:rect style="width:0;height:1.5pt" o:hralign="center" o:hrstd="t" o:hr="t"/>
        </w:pict>
      </w:r>
    </w:p>
    <w:bookmarkEnd w:id="73"/>
    <w:bookmarkEnd w:id="74"/>
    <w:bookmarkStart w:id="78" w:name="sous-classe-antifongiques-allylamines"/>
    <w:p>
      <w:pPr>
        <w:pStyle w:val="Heading2"/>
      </w:pPr>
      <w:r>
        <w:t xml:space="preserve">12.3 Sous-classe : Antifongiques Allylamines</w:t>
      </w:r>
    </w:p>
    <w:bookmarkStart w:id="75" w:name="introduction-de-la-sous-classe-1"/>
    <w:p>
      <w:pPr>
        <w:pStyle w:val="Heading3"/>
      </w:pPr>
      <w:r>
        <w:t xml:space="preserve">12.3.1 Introduction de la sous-classe</w:t>
      </w:r>
    </w:p>
    <w:p>
      <w:pPr>
        <w:pStyle w:val="FirstParagraph"/>
      </w:pPr>
      <w:r>
        <w:t xml:space="preserve">Les allylamines sont des antifongiques synthétiques dérivés de la naphtalène, caractérisés par une structure amine allylique. Deux molécules sont utilisées en clinique : la</w:t>
      </w:r>
      <w:r>
        <w:t xml:space="preserve"> </w:t>
      </w:r>
      <w:r>
        <w:rPr>
          <w:b/>
          <w:bCs/>
        </w:rPr>
        <w:t xml:space="preserve">terbinafine</w:t>
      </w:r>
      <w:r>
        <w:t xml:space="preserve"> </w:t>
      </w:r>
      <w:r>
        <w:t xml:space="preserve">(systémique et topique) et la</w:t>
      </w:r>
      <w:r>
        <w:t xml:space="preserve"> </w:t>
      </w:r>
      <w:r>
        <w:rPr>
          <w:b/>
          <w:bCs/>
        </w:rPr>
        <w:t xml:space="preserve">naftifine</w:t>
      </w:r>
      <w:r>
        <w:t xml:space="preserve"> </w:t>
      </w:r>
      <w:r>
        <w:t xml:space="preserve">(topique exclusivement). Leur cible moléculaire est la</w:t>
      </w:r>
      <w:r>
        <w:t xml:space="preserve"> </w:t>
      </w:r>
      <w:r>
        <w:rPr>
          <w:b/>
          <w:bCs/>
        </w:rPr>
        <w:t xml:space="preserve">squalène époxidase (SE)</w:t>
      </w:r>
      <w:r>
        <w:t xml:space="preserve">, enzyme de la voie de biosynthèse de l’ergostérol, en amont de la cible des triazolés. Cette enzyme convertit le</w:t>
      </w:r>
      <w:r>
        <w:t xml:space="preserve"> </w:t>
      </w:r>
      <w:r>
        <w:rPr>
          <w:b/>
          <w:bCs/>
        </w:rPr>
        <w:t xml:space="preserve">squalène</w:t>
      </w:r>
      <w:r>
        <w:t xml:space="preserve"> </w:t>
      </w:r>
      <w:r>
        <w:t xml:space="preserve">en</w:t>
      </w:r>
      <w:r>
        <w:t xml:space="preserve"> </w:t>
      </w:r>
      <w:r>
        <w:rPr>
          <w:b/>
          <w:bCs/>
        </w:rPr>
        <w:t xml:space="preserve">2,3-oxydosqualène</w:t>
      </w:r>
      <w:r>
        <w:t xml:space="preserve">, précurseur du lanostérol. L’inhibition a deux conséquences : (1)</w:t>
      </w:r>
      <w:r>
        <w:t xml:space="preserve"> </w:t>
      </w:r>
      <w:r>
        <w:rPr>
          <w:b/>
          <w:bCs/>
        </w:rPr>
        <w:t xml:space="preserve">déplétion en ergostérol</w:t>
      </w:r>
      <w:r>
        <w:t xml:space="preserve"> </w:t>
      </w:r>
      <w:r>
        <w:t xml:space="preserve">(effet similaire aux azolés, mais sans inhibition du CYP51) ; (2)</w:t>
      </w:r>
      <w:r>
        <w:t xml:space="preserve"> </w:t>
      </w:r>
      <w:r>
        <w:rPr>
          <w:b/>
          <w:bCs/>
        </w:rPr>
        <w:t xml:space="preserve">accumulation massive de squalène</w:t>
      </w:r>
      <w:r>
        <w:t xml:space="preserve"> </w:t>
      </w:r>
      <w:r>
        <w:t xml:space="preserve">dans la cellule fongique — or le squalène est toxique à haute concentration (perturbation membranaire, inhibition de la croissance). Cette double action explique le caractère</w:t>
      </w:r>
      <w:r>
        <w:t xml:space="preserve"> </w:t>
      </w:r>
      <w:r>
        <w:rPr>
          <w:b/>
          <w:bCs/>
        </w:rPr>
        <w:t xml:space="preserve">fungicide</w:t>
      </w:r>
      <w:r>
        <w:t xml:space="preserve"> </w:t>
      </w:r>
      <w:r>
        <w:t xml:space="preserve">(et non fungistatique) des allylamines — distinction majeure avec les azolés.</w:t>
      </w:r>
    </w:p>
    <w:p>
      <w:pPr>
        <w:pStyle w:val="BodyText"/>
      </w:pPr>
      <w:r>
        <w:t xml:space="preserve">La sélectivité pour la squalène époxidase fongique est environ 1000x supérieure à celle de la squalène époxidase humaine, à l’origine d’une excellente tolérance systémique. L’action est essentiellement dirigée contre les</w:t>
      </w:r>
      <w:r>
        <w:t xml:space="preserve"> </w:t>
      </w:r>
      <w:r>
        <w:rPr>
          <w:b/>
          <w:bCs/>
        </w:rPr>
        <w:t xml:space="preserve">dermatophytes</w:t>
      </w:r>
      <w:r>
        <w:t xml:space="preserve"> </w:t>
      </w:r>
      <w:r>
        <w:t xml:space="preserve">(Trichophyton, Microsporum, Epidermophyton), avec une activité moindre sur les levures (Candida) et les moisissures (Aspergillus). La terbinafine est le traitement de référence des onychomycoses (efficacité mycologique ~ 70–80 % à 6 mois de traitement pour l’ongle du pied, vs ~ 50 % pour l’itraconazole pulsé).</w:t>
      </w:r>
    </w:p>
    <w:p>
      <w:pPr>
        <w:pStyle w:val="BodyText"/>
      </w:pPr>
      <w:r>
        <w:rPr>
          <w:b/>
          <w:bCs/>
        </w:rPr>
        <w:t xml:space="preserve">Résistance</w:t>
      </w:r>
      <w:r>
        <w:t xml:space="preserve"> </w:t>
      </w:r>
      <w:r>
        <w:t xml:space="preserve">: rare en clinique, moins documentée que pour les azolés. Mutations du gène ERG1 codant la squalène époxidase rapportées en laboratoire. Aucune résistance croisée avec les azolés.</w:t>
      </w:r>
    </w:p>
    <w:p>
      <w:r>
        <w:pict>
          <v:rect style="width:0;height:1.5pt" o:hralign="center" o:hrstd="t" o:hr="t"/>
        </w:pict>
      </w:r>
    </w:p>
    <w:bookmarkEnd w:id="75"/>
    <w:bookmarkStart w:id="76" w:name="dci-terbinafine-seule"/>
    <w:p>
      <w:pPr>
        <w:pStyle w:val="Heading3"/>
      </w:pPr>
      <w:r>
        <w:t xml:space="preserve">12.3.2 DCI : Terbinafine (Seule)</w:t>
      </w:r>
    </w:p>
    <w:p>
      <w:pPr>
        <w:pStyle w:val="FirstParagraph"/>
      </w:pPr>
      <w:r>
        <w:rPr>
          <w:b/>
          <w:bCs/>
        </w:rPr>
        <w:t xml:space="preserve">Liste des Catégories :</w:t>
      </w:r>
      <w:r>
        <w:t xml:space="preserve"> </w:t>
      </w:r>
      <w:r>
        <w:t xml:space="preserve">Liste II pour toutes les formes (orales et topiques) — prescription possible en ville mais surveillance hépatique en cas de traitement systémique.</w:t>
      </w:r>
    </w:p>
    <w:p>
      <w:pPr>
        <w:pStyle w:val="BodyText"/>
      </w:pPr>
      <w:r>
        <w:t xml:space="preserve">La terbinafine est l’allylamine de référence.</w:t>
      </w:r>
      <w:r>
        <w:t xml:space="preserve"> </w:t>
      </w:r>
      <w:r>
        <w:rPr>
          <w:b/>
          <w:bCs/>
        </w:rPr>
        <w:t xml:space="preserve">Biodisponibilité orale de 70–80 %</w:t>
      </w:r>
      <w:r>
        <w:t xml:space="preserve">, absorption peu influencée par la prise alimentaire (légère augmentation avec repas gras).</w:t>
      </w:r>
      <w:r>
        <w:t xml:space="preserve"> </w:t>
      </w:r>
      <w:r>
        <w:rPr>
          <w:b/>
          <w:bCs/>
        </w:rPr>
        <w:t xml:space="preserve">Métabolisme hépatique</w:t>
      </w:r>
      <w:r>
        <w:t xml:space="preserve"> </w:t>
      </w:r>
      <w:r>
        <w:t xml:space="preserve">par CYP1A2, CYP2C9, CYP3A4 et CYP2C19, avec production de métabolites inactifs.</w:t>
      </w:r>
      <w:r>
        <w:t xml:space="preserve"> </w:t>
      </w:r>
      <w:r>
        <w:rPr>
          <w:b/>
          <w:bCs/>
        </w:rPr>
        <w:t xml:space="preserve">Demi-vie d’élimination longue</w:t>
      </w:r>
      <w:r>
        <w:t xml:space="preserve"> </w:t>
      </w:r>
      <w:r>
        <w:t xml:space="preserve">(~ 22 h), autorisant une seule prise quotidienne.</w:t>
      </w:r>
      <w:r>
        <w:t xml:space="preserve"> </w:t>
      </w:r>
      <w:r>
        <w:rPr>
          <w:b/>
          <w:bCs/>
        </w:rPr>
        <w:t xml:space="preserve">Élimination urinaire</w:t>
      </w:r>
      <w:r>
        <w:t xml:space="preserve"> </w:t>
      </w:r>
      <w:r>
        <w:t xml:space="preserve">(80 %) et fécale. Particularité pharmacologique majeure :</w:t>
      </w:r>
      <w:r>
        <w:t xml:space="preserve"> </w:t>
      </w:r>
      <w:r>
        <w:rPr>
          <w:b/>
          <w:bCs/>
        </w:rPr>
        <w:t xml:space="preserve">diffusion et accumulation</w:t>
      </w:r>
      <w:r>
        <w:t xml:space="preserve"> </w:t>
      </w:r>
      <w:r>
        <w:t xml:space="preserve">dans les tissus kératinisés (peau, ongles, cheveux) — concentrations supérieures aux concentrations plasmatiques, persistant plusieurs semaines à mois après l’arrêt (effet</w:t>
      </w:r>
      <w:r>
        <w:t xml:space="preserve"> </w:t>
      </w:r>
      <w:r>
        <w:t xml:space="preserve">“</w:t>
      </w:r>
      <w:r>
        <w:t xml:space="preserve">dépôt</w:t>
      </w:r>
      <w:r>
        <w:t xml:space="preserve">”</w:t>
      </w:r>
      <w:r>
        <w:t xml:space="preserve"> </w:t>
      </w:r>
      <w:r>
        <w:t xml:space="preserve">— particulièrement utile pour le traitement court des onychomycoses). La terbinafine passe dans le sebum et les follicules pileux, d’où son efficacité dans les teignes. Pas de diffusion méningée significative.</w:t>
      </w:r>
    </w:p>
    <w:p>
      <w:pPr>
        <w:pStyle w:val="BodyText"/>
      </w:pPr>
      <w:r>
        <w:rPr>
          <w:b/>
          <w:bCs/>
        </w:rPr>
        <w:t xml:space="preserve">Médicaments disponibles en Algérie (Marques, Laboratoires, Formes et Dosages) :</w:t>
      </w:r>
    </w:p>
    <w:p>
      <w:pPr>
        <w:pStyle w:val="BodyText"/>
      </w:pPr>
      <w:r>
        <w:rPr>
          <w:i/>
          <w:iCs/>
        </w:rPr>
        <w:t xml:space="preserve">Forme orale (comprimé 250 mg) — STATUT ACTIF :</w:t>
      </w:r>
      <w:r>
        <w:t xml:space="preserve"> </w:t>
      </w:r>
      <w:r>
        <w:t xml:space="preserve">-</w:t>
      </w:r>
      <w:r>
        <w:t xml:space="preserve"> </w:t>
      </w:r>
      <w:r>
        <w:rPr>
          <w:b/>
          <w:bCs/>
        </w:rPr>
        <w:t xml:space="preserve">LAMIDAZ</w:t>
      </w:r>
      <w:r>
        <w:t xml:space="preserve"> </w:t>
      </w:r>
      <w:r>
        <w:t xml:space="preserve">(GROUPE SAIDAL) — Comprimé pelliculé 250 mg, B/20 — Statut : Actif</w:t>
      </w:r>
      <w:r>
        <w:t xml:space="preserve"> </w:t>
      </w:r>
      <w:r>
        <w:t xml:space="preserve">-</w:t>
      </w:r>
      <w:r>
        <w:t xml:space="preserve"> </w:t>
      </w:r>
      <w:r>
        <w:rPr>
          <w:b/>
          <w:bCs/>
        </w:rPr>
        <w:t xml:space="preserve">ONYCAL</w:t>
      </w:r>
      <w:r>
        <w:t xml:space="preserve"> </w:t>
      </w:r>
      <w:r>
        <w:t xml:space="preserve">(LABORATOIRES DE DIAGNOSTIC MAGHREBINS-LDM) — Comprimé sécable 250 mg, B/14 — Statut : Actif</w:t>
      </w:r>
      <w:r>
        <w:t xml:space="preserve"> </w:t>
      </w:r>
      <w:r>
        <w:t xml:space="preserve">-</w:t>
      </w:r>
      <w:r>
        <w:t xml:space="preserve"> </w:t>
      </w:r>
      <w:r>
        <w:rPr>
          <w:b/>
          <w:bCs/>
        </w:rPr>
        <w:t xml:space="preserve">TERBIFINE</w:t>
      </w:r>
      <w:r>
        <w:t xml:space="preserve"> </w:t>
      </w:r>
      <w:r>
        <w:t xml:space="preserve">(PHARMALLIANCE) — Comprimé sécable 250 mg, B/10 et B/20 — Statut : Actif</w:t>
      </w:r>
      <w:r>
        <w:t xml:space="preserve"> </w:t>
      </w:r>
      <w:r>
        <w:t xml:space="preserve">-</w:t>
      </w:r>
      <w:r>
        <w:t xml:space="preserve"> </w:t>
      </w:r>
      <w:r>
        <w:rPr>
          <w:b/>
          <w:bCs/>
        </w:rPr>
        <w:t xml:space="preserve">TERBIL</w:t>
      </w:r>
      <w:r>
        <w:t xml:space="preserve"> </w:t>
      </w:r>
      <w:r>
        <w:t xml:space="preserve">(NEOMEDIC) — Comprimé sécable 250 mg, B/10 et B/20 — Statut : Actif</w:t>
      </w:r>
      <w:r>
        <w:t xml:space="preserve"> </w:t>
      </w:r>
      <w:r>
        <w:t xml:space="preserve">-</w:t>
      </w:r>
      <w:r>
        <w:t xml:space="preserve"> </w:t>
      </w:r>
      <w:r>
        <w:rPr>
          <w:b/>
          <w:bCs/>
        </w:rPr>
        <w:t xml:space="preserve">TERBINAN</w:t>
      </w:r>
      <w:r>
        <w:t xml:space="preserve"> </w:t>
      </w:r>
      <w:r>
        <w:t xml:space="preserve">(BIOPHARM) — Comprimé sécable 250 mg, B/14 — Statut : Actif</w:t>
      </w:r>
      <w:r>
        <w:t xml:space="preserve"> </w:t>
      </w:r>
      <w:r>
        <w:t xml:space="preserve">-</w:t>
      </w:r>
      <w:r>
        <w:t xml:space="preserve"> </w:t>
      </w:r>
      <w:r>
        <w:rPr>
          <w:b/>
          <w:bCs/>
        </w:rPr>
        <w:t xml:space="preserve">TERFINEX</w:t>
      </w:r>
      <w:r>
        <w:t xml:space="preserve"> </w:t>
      </w:r>
      <w:r>
        <w:t xml:space="preserve">(NOVAPHARM TRADING) — Comprimé 250 mg, B/20 — Statut : Actif</w:t>
      </w:r>
      <w:r>
        <w:t xml:space="preserve"> </w:t>
      </w:r>
      <w:r>
        <w:t xml:space="preserve">-</w:t>
      </w:r>
      <w:r>
        <w:t xml:space="preserve"> </w:t>
      </w:r>
      <w:r>
        <w:rPr>
          <w:b/>
          <w:bCs/>
        </w:rPr>
        <w:t xml:space="preserve">EVOMISIL</w:t>
      </w:r>
      <w:r>
        <w:t xml:space="preserve"> </w:t>
      </w:r>
      <w:r>
        <w:t xml:space="preserve">(SARL EVOLAB) — Comprimé sécable 250 mg, B/20 — Statut : Actif</w:t>
      </w:r>
      <w:r>
        <w:t xml:space="preserve"> </w:t>
      </w:r>
      <w:r>
        <w:t xml:space="preserve">-</w:t>
      </w:r>
      <w:r>
        <w:t xml:space="preserve"> </w:t>
      </w:r>
      <w:r>
        <w:rPr>
          <w:b/>
          <w:bCs/>
        </w:rPr>
        <w:t xml:space="preserve">LAMINOX</w:t>
      </w:r>
      <w:r>
        <w:t xml:space="preserve"> </w:t>
      </w:r>
      <w:r>
        <w:t xml:space="preserve">(ABDI IBRAHIM ILAÇ SANAYI VE TICARET A.Ş) — Comprimé sécable 250 mg, B/14 — Statut : Actif</w:t>
      </w:r>
      <w:r>
        <w:t xml:space="preserve"> </w:t>
      </w:r>
      <w:r>
        <w:t xml:space="preserve">-</w:t>
      </w:r>
      <w:r>
        <w:t xml:space="preserve"> </w:t>
      </w:r>
      <w:r>
        <w:rPr>
          <w:b/>
          <w:bCs/>
        </w:rPr>
        <w:t xml:space="preserve">TENASIL</w:t>
      </w:r>
      <w:r>
        <w:t xml:space="preserve"> </w:t>
      </w:r>
      <w:r>
        <w:t xml:space="preserve">(GEOPHARM) — Comprimé sécable 250 mg, B/14 — Statut : Actif</w:t>
      </w:r>
      <w:r>
        <w:t xml:space="preserve"> </w:t>
      </w:r>
      <w:r>
        <w:t xml:space="preserve">-</w:t>
      </w:r>
      <w:r>
        <w:t xml:space="preserve"> </w:t>
      </w:r>
      <w:r>
        <w:rPr>
          <w:b/>
          <w:bCs/>
        </w:rPr>
        <w:t xml:space="preserve">TERBINAFINE BEKER</w:t>
      </w:r>
      <w:r>
        <w:t xml:space="preserve"> </w:t>
      </w:r>
      <w:r>
        <w:t xml:space="preserve">(LABORATOIRES BEKER) — Comprimé sécable 250 mg, B/20 — Statut : Actif</w:t>
      </w:r>
    </w:p>
    <w:p>
      <w:pPr>
        <w:pStyle w:val="BodyText"/>
      </w:pPr>
      <w:r>
        <w:rPr>
          <w:i/>
          <w:iCs/>
        </w:rPr>
        <w:t xml:space="preserve">Forme topique cutanée (crème 1%) — STATUT ACTIF :</w:t>
      </w:r>
      <w:r>
        <w:t xml:space="preserve"> </w:t>
      </w:r>
      <w:r>
        <w:t xml:space="preserve">-</w:t>
      </w:r>
      <w:r>
        <w:t xml:space="preserve"> </w:t>
      </w:r>
      <w:r>
        <w:rPr>
          <w:b/>
          <w:bCs/>
        </w:rPr>
        <w:t xml:space="preserve">DERMAFINE</w:t>
      </w:r>
      <w:r>
        <w:t xml:space="preserve"> </w:t>
      </w:r>
      <w:r>
        <w:t xml:space="preserve">(SARL LABORATOIRE GROUPEMENT PHARMACEUTIQUE ALGERIEN) — Crème dermique 0,01 (1%), T/15 g — Statut : Actif</w:t>
      </w:r>
      <w:r>
        <w:t xml:space="preserve"> </w:t>
      </w:r>
      <w:r>
        <w:t xml:space="preserve">-</w:t>
      </w:r>
      <w:r>
        <w:t xml:space="preserve"> </w:t>
      </w:r>
      <w:r>
        <w:rPr>
          <w:b/>
          <w:bCs/>
        </w:rPr>
        <w:t xml:space="preserve">LAMIDAZ</w:t>
      </w:r>
      <w:r>
        <w:t xml:space="preserve"> </w:t>
      </w:r>
      <w:r>
        <w:t xml:space="preserve">(GROUPE SAIDAL) — Crème dermique 0,01, T/15 g — Statut : Actif</w:t>
      </w:r>
      <w:r>
        <w:t xml:space="preserve"> </w:t>
      </w:r>
      <w:r>
        <w:t xml:space="preserve">-</w:t>
      </w:r>
      <w:r>
        <w:t xml:space="preserve"> </w:t>
      </w:r>
      <w:r>
        <w:rPr>
          <w:b/>
          <w:bCs/>
        </w:rPr>
        <w:t xml:space="preserve">MANTIXA</w:t>
      </w:r>
      <w:r>
        <w:t xml:space="preserve"> </w:t>
      </w:r>
      <w:r>
        <w:t xml:space="preserve">(PHYSIOPHARM LABORATOIRES) — Crème dermique 0,01, T/15 g — Statut : Actif</w:t>
      </w:r>
      <w:r>
        <w:t xml:space="preserve"> </w:t>
      </w:r>
      <w:r>
        <w:t xml:space="preserve">-</w:t>
      </w:r>
      <w:r>
        <w:t xml:space="preserve"> </w:t>
      </w:r>
      <w:r>
        <w:rPr>
          <w:b/>
          <w:bCs/>
        </w:rPr>
        <w:t xml:space="preserve">ONYCAL</w:t>
      </w:r>
      <w:r>
        <w:t xml:space="preserve"> </w:t>
      </w:r>
      <w:r>
        <w:t xml:space="preserve">(LABORATOIRES DE DIAGNOSTIC MAGHREBINS-LDM) — Crème dermique 0,01, T/15 g — Statut : Actif</w:t>
      </w:r>
      <w:r>
        <w:t xml:space="preserve"> </w:t>
      </w:r>
      <w:r>
        <w:t xml:space="preserve">-</w:t>
      </w:r>
      <w:r>
        <w:t xml:space="preserve"> </w:t>
      </w:r>
      <w:r>
        <w:rPr>
          <w:b/>
          <w:bCs/>
        </w:rPr>
        <w:t xml:space="preserve">TERBIDERME</w:t>
      </w:r>
      <w:r>
        <w:t xml:space="preserve"> </w:t>
      </w:r>
      <w:r>
        <w:t xml:space="preserve">(D-B-F) — Crème dermique 0,01, T/15 g — Statut : Actif</w:t>
      </w:r>
      <w:r>
        <w:t xml:space="preserve"> </w:t>
      </w:r>
      <w:r>
        <w:t xml:space="preserve">-</w:t>
      </w:r>
      <w:r>
        <w:t xml:space="preserve"> </w:t>
      </w:r>
      <w:r>
        <w:rPr>
          <w:b/>
          <w:bCs/>
        </w:rPr>
        <w:t xml:space="preserve">TERBIFINE</w:t>
      </w:r>
      <w:r>
        <w:t xml:space="preserve"> </w:t>
      </w:r>
      <w:r>
        <w:t xml:space="preserve">(PHARMALLIANCE) — Crème dermique 0,01, T/15 g — Statut : Actif</w:t>
      </w:r>
      <w:r>
        <w:t xml:space="preserve"> </w:t>
      </w:r>
      <w:r>
        <w:t xml:space="preserve">-</w:t>
      </w:r>
      <w:r>
        <w:t xml:space="preserve"> </w:t>
      </w:r>
      <w:r>
        <w:rPr>
          <w:b/>
          <w:bCs/>
        </w:rPr>
        <w:t xml:space="preserve">TERBIL</w:t>
      </w:r>
      <w:r>
        <w:t xml:space="preserve"> </w:t>
      </w:r>
      <w:r>
        <w:t xml:space="preserve">(NEOMEDIC) — Crème dermique 0,01, T/15 g — Statut : Actif</w:t>
      </w:r>
      <w:r>
        <w:t xml:space="preserve"> </w:t>
      </w:r>
      <w:r>
        <w:t xml:space="preserve">-</w:t>
      </w:r>
      <w:r>
        <w:t xml:space="preserve"> </w:t>
      </w:r>
      <w:r>
        <w:rPr>
          <w:b/>
          <w:bCs/>
        </w:rPr>
        <w:t xml:space="preserve">TERBINAMEX</w:t>
      </w:r>
      <w:r>
        <w:t xml:space="preserve"> </w:t>
      </w:r>
      <w:r>
        <w:t xml:space="preserve">(KPMA BIOTIC) — Crème dermique 0,01, T/15 g — Statut : Actif</w:t>
      </w:r>
      <w:r>
        <w:t xml:space="preserve"> </w:t>
      </w:r>
      <w:r>
        <w:t xml:space="preserve">-</w:t>
      </w:r>
      <w:r>
        <w:t xml:space="preserve"> </w:t>
      </w:r>
      <w:r>
        <w:rPr>
          <w:b/>
          <w:bCs/>
        </w:rPr>
        <w:t xml:space="preserve">TERBINAN</w:t>
      </w:r>
      <w:r>
        <w:t xml:space="preserve"> </w:t>
      </w:r>
      <w:r>
        <w:t xml:space="preserve">(BIOPHARM) — Crème dermique 0,01, T/15 g — Statut : Actif</w:t>
      </w:r>
      <w:r>
        <w:t xml:space="preserve"> </w:t>
      </w:r>
      <w:r>
        <w:t xml:space="preserve">-</w:t>
      </w:r>
      <w:r>
        <w:t xml:space="preserve"> </w:t>
      </w:r>
      <w:r>
        <w:rPr>
          <w:b/>
          <w:bCs/>
        </w:rPr>
        <w:t xml:space="preserve">TERFINEX</w:t>
      </w:r>
      <w:r>
        <w:t xml:space="preserve"> </w:t>
      </w:r>
      <w:r>
        <w:t xml:space="preserve">(NOVAPHARM TRADING) — Crème dermique 0,01, T/15 g — Statut : Actif</w:t>
      </w:r>
    </w:p>
    <w:p>
      <w:pPr>
        <w:pStyle w:val="BodyText"/>
      </w:pPr>
      <w:r>
        <w:rPr>
          <w:i/>
          <w:iCs/>
        </w:rPr>
        <w:t xml:space="preserve">Forme topique (spray solution) — STATUT ACTIF :</w:t>
      </w:r>
      <w:r>
        <w:t xml:space="preserve"> </w:t>
      </w:r>
      <w:r>
        <w:t xml:space="preserve">-</w:t>
      </w:r>
      <w:r>
        <w:t xml:space="preserve"> </w:t>
      </w:r>
      <w:r>
        <w:rPr>
          <w:b/>
          <w:bCs/>
        </w:rPr>
        <w:t xml:space="preserve">TERBIDAL 1%</w:t>
      </w:r>
      <w:r>
        <w:t xml:space="preserve"> </w:t>
      </w:r>
      <w:r>
        <w:t xml:space="preserve">(PHARMIDAL NS) — Solution pour application locale 0,01, flacon pulvérisateur de 15 mL — Statut : Actif</w:t>
      </w:r>
    </w:p>
    <w:p>
      <w:pPr>
        <w:pStyle w:val="BodyText"/>
      </w:pPr>
      <w:r>
        <w:rPr>
          <w:i/>
          <w:iCs/>
        </w:rPr>
        <w:t xml:space="preserve">Statut NON RENOUVELABLE :</w:t>
      </w:r>
      <w:r>
        <w:t xml:space="preserve"> </w:t>
      </w:r>
      <w:r>
        <w:t xml:space="preserve">-</w:t>
      </w:r>
      <w:r>
        <w:t xml:space="preserve"> </w:t>
      </w:r>
      <w:r>
        <w:rPr>
          <w:b/>
          <w:bCs/>
        </w:rPr>
        <w:t xml:space="preserve">TERCYD</w:t>
      </w:r>
      <w:r>
        <w:t xml:space="preserve"> </w:t>
      </w:r>
      <w:r>
        <w:t xml:space="preserve">(PHARMAGHREB) — Crème dermique 0,01 T/15 g + Comprimé sécable 250 mg B/15 — Statut : Non Renouvelable</w:t>
      </w:r>
      <w:r>
        <w:t xml:space="preserve"> </w:t>
      </w:r>
      <w:r>
        <w:t xml:space="preserve">-</w:t>
      </w:r>
      <w:r>
        <w:t xml:space="preserve"> </w:t>
      </w:r>
      <w:r>
        <w:rPr>
          <w:b/>
          <w:bCs/>
        </w:rPr>
        <w:t xml:space="preserve">LAMINOX</w:t>
      </w:r>
      <w:r>
        <w:t xml:space="preserve"> </w:t>
      </w:r>
      <w:r>
        <w:t xml:space="preserve">(ABDI IBRAHIM ILAÇ SANAYI VE TICARET A.Ş) — Solution pulvérisable cutanée 0,01, flacon/30 mL — Statut : Non Renouvelable</w:t>
      </w:r>
      <w:r>
        <w:t xml:space="preserve"> </w:t>
      </w:r>
      <w:r>
        <w:t xml:space="preserve">-</w:t>
      </w:r>
      <w:r>
        <w:t xml:space="preserve"> </w:t>
      </w:r>
      <w:r>
        <w:rPr>
          <w:b/>
          <w:bCs/>
        </w:rPr>
        <w:t xml:space="preserve">LAMISIL DERMGEL</w:t>
      </w:r>
      <w:r>
        <w:t xml:space="preserve"> </w:t>
      </w:r>
      <w:r>
        <w:t xml:space="preserve">(NOVARTIS SANTE FAMILIALE SAS) — Gel 0,01, T/15 g — Statut : Non Renouvelable</w:t>
      </w:r>
    </w:p>
    <w:p>
      <w:pPr>
        <w:pStyle w:val="BodyText"/>
      </w:pPr>
      <w:r>
        <w:rPr>
          <w:i/>
          <w:iCs/>
        </w:rPr>
        <w:t xml:space="preserve">Statut RETIRÉ (R) — ne plus délivrer :</w:t>
      </w:r>
      <w:r>
        <w:t xml:space="preserve"> </w:t>
      </w:r>
      <w:r>
        <w:t xml:space="preserve">-</w:t>
      </w:r>
      <w:r>
        <w:t xml:space="preserve"> </w:t>
      </w:r>
      <w:r>
        <w:rPr>
          <w:b/>
          <w:bCs/>
        </w:rPr>
        <w:t xml:space="preserve">LAMISIL DERMGEL</w:t>
      </w:r>
      <w:r>
        <w:t xml:space="preserve"> </w:t>
      </w:r>
      <w:r>
        <w:t xml:space="preserve">(NOVARTIS SANTE FAMILIALE SAS) — Gel 0,01, T/15 g (R)</w:t>
      </w:r>
      <w:r>
        <w:t xml:space="preserve"> </w:t>
      </w:r>
      <w:r>
        <w:t xml:space="preserve">-</w:t>
      </w:r>
      <w:r>
        <w:t xml:space="preserve"> </w:t>
      </w:r>
      <w:r>
        <w:rPr>
          <w:b/>
          <w:bCs/>
        </w:rPr>
        <w:t xml:space="preserve">LAMINOX</w:t>
      </w:r>
      <w:r>
        <w:t xml:space="preserve"> </w:t>
      </w:r>
      <w:r>
        <w:t xml:space="preserve">(ABDI IBRAHIM) — Crème dermique 0,01, T/15 g (R)</w:t>
      </w:r>
      <w:r>
        <w:t xml:space="preserve"> </w:t>
      </w:r>
      <w:r>
        <w:t xml:space="preserve">-</w:t>
      </w:r>
      <w:r>
        <w:t xml:space="preserve"> </w:t>
      </w:r>
      <w:r>
        <w:rPr>
          <w:b/>
          <w:bCs/>
        </w:rPr>
        <w:t xml:space="preserve">LAMISIL</w:t>
      </w:r>
      <w:r>
        <w:t xml:space="preserve"> </w:t>
      </w:r>
      <w:r>
        <w:t xml:space="preserve">(NOVARTIS SANTE FAMILIALE S.A.) — Crème dermique 0,01, T/15 g (R)</w:t>
      </w:r>
      <w:r>
        <w:t xml:space="preserve"> </w:t>
      </w:r>
      <w:r>
        <w:t xml:space="preserve">-</w:t>
      </w:r>
      <w:r>
        <w:t xml:space="preserve"> </w:t>
      </w:r>
      <w:r>
        <w:rPr>
          <w:b/>
          <w:bCs/>
        </w:rPr>
        <w:t xml:space="preserve">LAMIKEN</w:t>
      </w:r>
      <w:r>
        <w:t xml:space="preserve"> </w:t>
      </w:r>
      <w:r>
        <w:t xml:space="preserve">(BEIT JALA PHARMACEUTICALS Co) — Crème 1%, T/15 g + Comprimé 250 mg B/10 (R)</w:t>
      </w:r>
      <w:r>
        <w:t xml:space="preserve"> </w:t>
      </w:r>
      <w:r>
        <w:t xml:space="preserve">-</w:t>
      </w:r>
      <w:r>
        <w:t xml:space="preserve"> </w:t>
      </w:r>
      <w:r>
        <w:rPr>
          <w:b/>
          <w:bCs/>
        </w:rPr>
        <w:t xml:space="preserve">LAMISIL</w:t>
      </w:r>
      <w:r>
        <w:t xml:space="preserve"> </w:t>
      </w:r>
      <w:r>
        <w:t xml:space="preserve">(NOVARTIS SANTE FAMILIALE SAS) — Solution pulvérisable cutanée 0,01, flacon/15 mL (R)</w:t>
      </w:r>
      <w:r>
        <w:t xml:space="preserve"> </w:t>
      </w:r>
      <w:r>
        <w:t xml:space="preserve">-</w:t>
      </w:r>
      <w:r>
        <w:t xml:space="preserve"> </w:t>
      </w:r>
      <w:r>
        <w:rPr>
          <w:b/>
          <w:bCs/>
        </w:rPr>
        <w:t xml:space="preserve">LAMISILATE MONODOSE</w:t>
      </w:r>
      <w:r>
        <w:t xml:space="preserve"> </w:t>
      </w:r>
      <w:r>
        <w:t xml:space="preserve">(NOVARTIS SANTE FAMILIALE SAS) — Solution pour application cutanée 0,01, T/4 g (R)</w:t>
      </w:r>
      <w:r>
        <w:t xml:space="preserve"> </w:t>
      </w:r>
      <w:r>
        <w:t xml:space="preserve">-</w:t>
      </w:r>
      <w:r>
        <w:t xml:space="preserve"> </w:t>
      </w:r>
      <w:r>
        <w:rPr>
          <w:b/>
          <w:bCs/>
        </w:rPr>
        <w:t xml:space="preserve">LAMISIL</w:t>
      </w:r>
      <w:r>
        <w:t xml:space="preserve"> </w:t>
      </w:r>
      <w:r>
        <w:t xml:space="preserve">(NOVARTIS PHARMA S.A.) — Comprimé sécable 250 mg, B/14 (R)</w:t>
      </w:r>
      <w:r>
        <w:t xml:space="preserve"> </w:t>
      </w:r>
      <w:r>
        <w:t xml:space="preserve">-</w:t>
      </w:r>
      <w:r>
        <w:t xml:space="preserve"> </w:t>
      </w:r>
      <w:r>
        <w:rPr>
          <w:b/>
          <w:bCs/>
        </w:rPr>
        <w:t xml:space="preserve">DERMAFINE</w:t>
      </w:r>
      <w:r>
        <w:t xml:space="preserve"> </w:t>
      </w:r>
      <w:r>
        <w:t xml:space="preserve">(LGPA) — Comprimé sécable 250 mg, B/16 (R)</w:t>
      </w:r>
      <w:r>
        <w:t xml:space="preserve"> </w:t>
      </w:r>
      <w:r>
        <w:t xml:space="preserve">-</w:t>
      </w:r>
      <w:r>
        <w:t xml:space="preserve"> </w:t>
      </w:r>
      <w:r>
        <w:rPr>
          <w:b/>
          <w:bCs/>
        </w:rPr>
        <w:t xml:space="preserve">TERBINAFINE WINTHROP</w:t>
      </w:r>
      <w:r>
        <w:t xml:space="preserve"> </w:t>
      </w:r>
      <w:r>
        <w:t xml:space="preserve">(SANOFI AVENTIS) — Comprimé sécable 250 mg, B/14 (R)</w:t>
      </w:r>
    </w:p>
    <w:p>
      <w:pPr>
        <w:pStyle w:val="BodyText"/>
      </w:pPr>
      <w:r>
        <w:rPr>
          <w:b/>
          <w:bCs/>
        </w:rPr>
        <w:t xml:space="preserve">Sous-classe et Mécanisme d’action :</w:t>
      </w:r>
      <w:r>
        <w:t xml:space="preserve"> </w:t>
      </w:r>
      <w:r>
        <w:t xml:space="preserve">- Sous-classe : allylamine synthétique fungicide, traitement de référence des dermatophyties cutanéo-unguéales. Activité prédominante sur dermatophytes (Trichophyton, Microsporum, Epidermophyton), plus modérée sur Candida et moisissures.</w:t>
      </w:r>
      <w:r>
        <w:t xml:space="preserve"> </w:t>
      </w:r>
      <w:r>
        <w:t xml:space="preserve">- Mécanisme d’action :</w:t>
      </w:r>
      <w:r>
        <w:t xml:space="preserve"> </w:t>
      </w:r>
      <w:r>
        <w:rPr>
          <w:b/>
          <w:bCs/>
        </w:rPr>
        <w:t xml:space="preserve">inhibition de la squalène époxidase (SE)</w:t>
      </w:r>
      <w:r>
        <w:t xml:space="preserve">, enzyme de la voie de biosynthèse de l’ergostérol (codée par ERG1), en amont de la cible des azolés. La SE convertit le squalène en 2,3-oxydosqualène, précurseur du lanostérol. L’inhibition (réversible, non compétitive au niveau du site actif) a deux conséquences : (1)</w:t>
      </w:r>
      <w:r>
        <w:t xml:space="preserve"> </w:t>
      </w:r>
      <w:r>
        <w:rPr>
          <w:b/>
          <w:bCs/>
        </w:rPr>
        <w:t xml:space="preserve">déplétion en ergostérol</w:t>
      </w:r>
      <w:r>
        <w:t xml:space="preserve"> </w:t>
      </w:r>
      <w:r>
        <w:t xml:space="preserve">membranaire (effet similaire aux azolés, mais sans cibler le CYP51) ; (2)</w:t>
      </w:r>
      <w:r>
        <w:t xml:space="preserve"> </w:t>
      </w:r>
      <w:r>
        <w:rPr>
          <w:b/>
          <w:bCs/>
        </w:rPr>
        <w:t xml:space="preserve">accumulation intracellulaire massive de squalène</w:t>
      </w:r>
      <w:r>
        <w:t xml:space="preserve"> </w:t>
      </w:r>
      <w:r>
        <w:t xml:space="preserve">(~ 100x concentrations normales), toxique pour la cellule fongique — perturbation membranaire, inhibition de la croissance. Double action ⇒ caractère</w:t>
      </w:r>
      <w:r>
        <w:t xml:space="preserve"> </w:t>
      </w:r>
      <w:r>
        <w:rPr>
          <w:b/>
          <w:bCs/>
        </w:rPr>
        <w:t xml:space="preserve">fungicide</w:t>
      </w:r>
      <w:r>
        <w:t xml:space="preserve"> </w:t>
      </w:r>
      <w:r>
        <w:t xml:space="preserve">(lyse cellulaire) — distinction majeure avec les azolés (fungistatiques). Sélectivité : affinité pour la SE fongique ~ 1000x supérieure à celle pour la SE humaine. Action rapide : 1 h de contact suffit en topique.</w:t>
      </w:r>
    </w:p>
    <w:p>
      <w:pPr>
        <w:pStyle w:val="BodyText"/>
      </w:pPr>
      <w:r>
        <w:rPr>
          <w:b/>
          <w:bCs/>
        </w:rPr>
        <w:t xml:space="preserve">Profil Pharmacologique :</w:t>
      </w:r>
      <w:r>
        <w:t xml:space="preserve"> </w:t>
      </w:r>
      <w:r>
        <w:t xml:space="preserve">- Indications : (i)</w:t>
      </w:r>
      <w:r>
        <w:t xml:space="preserve"> </w:t>
      </w:r>
      <w:r>
        <w:rPr>
          <w:b/>
          <w:bCs/>
        </w:rPr>
        <w:t xml:space="preserve">onychomycoses</w:t>
      </w:r>
      <w:r>
        <w:t xml:space="preserve"> </w:t>
      </w:r>
      <w:r>
        <w:t xml:space="preserve">(pied et main) — traitement de référence, 250 mg/j pendant 6 semaines (ongle main) à 12 semaines (ongle pied) ; (ii)</w:t>
      </w:r>
      <w:r>
        <w:t xml:space="preserve"> </w:t>
      </w:r>
      <w:r>
        <w:rPr>
          <w:b/>
          <w:bCs/>
        </w:rPr>
        <w:t xml:space="preserve">teignes</w:t>
      </w:r>
      <w:r>
        <w:t xml:space="preserve"> </w:t>
      </w:r>
      <w:r>
        <w:t xml:space="preserve">(tinea capitis) —尤其是 Microsporum (alternative à la griséofulvine), 250 mg/j 4–6 semaines ; (iii) dermatophyties cutanées étendues (pied d’athlète étendu, herpès circiné étendu, intertrigo inguinal) en cas d’échec topique ou d’extension ; (iv) forme topique (crème 1%) : pityriasis versicolor, dermatophyties cutanées localisées, candidoses cutanées localisées — durée courte 1–2 semaines, monodose possible pour le pied d’athlète.</w:t>
      </w:r>
      <w:r>
        <w:t xml:space="preserve"> </w:t>
      </w:r>
      <w:r>
        <w:t xml:space="preserve">- Contre-indications : (1) hypersensibilité aux allylamines ; (2) insuffisance hépatique sévère (orale) ; (3) insuffisance rénale sévère (ClCr &lt; 50 mL/min) — adaptation posologique ; (4)</w:t>
      </w:r>
      <w:r>
        <w:t xml:space="preserve"> </w:t>
      </w:r>
      <w:r>
        <w:rPr>
          <w:b/>
          <w:bCs/>
        </w:rPr>
        <w:t xml:space="preserve">psoriasis</w:t>
      </w:r>
      <w:r>
        <w:t xml:space="preserve"> </w:t>
      </w:r>
      <w:r>
        <w:t xml:space="preserve">— risque de</w:t>
      </w:r>
      <w:r>
        <w:t xml:space="preserve"> </w:t>
      </w:r>
      <w:r>
        <w:rPr>
          <w:b/>
          <w:bCs/>
        </w:rPr>
        <w:t xml:space="preserve">poussée psoriasique</w:t>
      </w:r>
      <w:r>
        <w:t xml:space="preserve"> </w:t>
      </w:r>
      <w:r>
        <w:t xml:space="preserve">(effet paradoxe Köebner) — prudence ; (5) lupus érythémateux (risque de poussée) ; (6) allaitement (orale) — passer dans le lait.</w:t>
      </w:r>
      <w:r>
        <w:t xml:space="preserve"> </w:t>
      </w:r>
      <w:r>
        <w:t xml:space="preserve">- Effets Indésirables : (i)</w:t>
      </w:r>
      <w:r>
        <w:t xml:space="preserve"> </w:t>
      </w:r>
      <w:r>
        <w:rPr>
          <w:b/>
          <w:bCs/>
        </w:rPr>
        <w:t xml:space="preserve">hépatotoxicité</w:t>
      </w:r>
      <w:r>
        <w:t xml:space="preserve"> </w:t>
      </w:r>
      <w:r>
        <w:t xml:space="preserve">(cytolyse, hépatite cholestatique, hépatite fulminante exceptionnelle — surveillance ASAT/ALAT mensuelle) ; (ii)</w:t>
      </w:r>
      <w:r>
        <w:t xml:space="preserve"> </w:t>
      </w:r>
      <w:r>
        <w:rPr>
          <w:b/>
          <w:bCs/>
        </w:rPr>
        <w:t xml:space="preserve">neutropénie</w:t>
      </w:r>
      <w:r>
        <w:t xml:space="preserve"> </w:t>
      </w:r>
      <w:r>
        <w:t xml:space="preserve">et agranulocytose (rare mais grave — NFS à J14 et mensuel) ; (iii) troubles digestifs (nausées, douleurs abdominales, diarrhée — 10 %) ; (iv)</w:t>
      </w:r>
      <w:r>
        <w:t xml:space="preserve"> </w:t>
      </w:r>
      <w:r>
        <w:rPr>
          <w:b/>
          <w:bCs/>
        </w:rPr>
        <w:t xml:space="preserve">troubles du goût</w:t>
      </w:r>
      <w:r>
        <w:t xml:space="preserve"> </w:t>
      </w:r>
      <w:r>
        <w:t xml:space="preserve">(agueusie, dysgueusie métallique — 5–10 %, parfois persistante plusieurs mois après arrêt, anorexie associée) ; (v) réactions cutanées (rash, SJS/TEN exceptionnel) ; (vi)</w:t>
      </w:r>
      <w:r>
        <w:t xml:space="preserve"> </w:t>
      </w:r>
      <w:r>
        <w:rPr>
          <w:b/>
          <w:bCs/>
        </w:rPr>
        <w:t xml:space="preserve">poussée psoriasique</w:t>
      </w:r>
      <w:r>
        <w:t xml:space="preserve"> </w:t>
      </w:r>
      <w:r>
        <w:t xml:space="preserve">(effet paradoxe) ; (vii) lupus induit ; (viii) céphalées, vertiges ; (ix) fatigue ; (x) exceptionnels syndrome DRESS, pancytopénie.</w:t>
      </w:r>
    </w:p>
    <w:p>
      <w:pPr>
        <w:pStyle w:val="BodyText"/>
      </w:pPr>
      <w:r>
        <w:rPr>
          <w:b/>
          <w:bCs/>
        </w:rPr>
        <w:t xml:space="preserve">Prévention et Gestion des Effets Indésirables :</w:t>
      </w:r>
      <w:r>
        <w:t xml:space="preserve"> </w:t>
      </w:r>
      <w:r>
        <w:t xml:space="preserve">- Mesures Préventives : bilan hépatique (ASAT, ALAT, PAL, γ-GT) avant traitement et à J28 puis mensuel ; NFS avant traitement et à J14 puis mensuel (surveillance neutropénie) ; information du patient sur le risque de troubles du goût (réversibilité à l’arrêt) ; examen cutané en cas de psoriasis (arrêt si poussée).</w:t>
      </w:r>
      <w:r>
        <w:t xml:space="preserve"> </w:t>
      </w:r>
      <w:r>
        <w:t xml:space="preserve">- Conduite à Tenir : arrêt immédiat en cas de cytolyse &gt; 3x LSN ou d’ictère ; arrêt en cas de neutropénie &lt; 1500/mm³ ; arrêt en cas de troubles du goût sévères ou d’anorexie marquée ; arrêt en cas de rash bulleux ou syndrome DRESS.</w:t>
      </w:r>
    </w:p>
    <w:p>
      <w:pPr>
        <w:pStyle w:val="BodyText"/>
      </w:pPr>
      <w:r>
        <w:rPr>
          <w:b/>
          <w:bCs/>
        </w:rPr>
        <w:t xml:space="preserve">Interactions Importantes :</w:t>
      </w:r>
      <w:r>
        <w:t xml:space="preserve"> </w:t>
      </w:r>
      <w:r>
        <w:t xml:space="preserve">-</w:t>
      </w:r>
      <w:r>
        <w:t xml:space="preserve"> </w:t>
      </w:r>
      <w:r>
        <w:rPr>
          <w:b/>
          <w:bCs/>
        </w:rPr>
        <w:t xml:space="preserve">Terbinafine + antidépresseurs tricycliques, ISRS, IMAO</w:t>
      </w:r>
      <w:r>
        <w:t xml:space="preserve"> </w:t>
      </w:r>
      <w:r>
        <w:t xml:space="preserve">: inhibition CYP2D6 par la terbinafine → augmentation concentrations → syndrome sérotoninergique ou cardiotoxicité. Prudence.</w:t>
      </w:r>
      <w:r>
        <w:t xml:space="preserve"> </w:t>
      </w:r>
      <w:r>
        <w:t xml:space="preserve">-</w:t>
      </w:r>
      <w:r>
        <w:t xml:space="preserve"> </w:t>
      </w:r>
      <w:r>
        <w:rPr>
          <w:b/>
          <w:bCs/>
        </w:rPr>
        <w:t xml:space="preserve">Terbinafine + codéine, tramadol</w:t>
      </w:r>
      <w:r>
        <w:t xml:space="preserve"> </w:t>
      </w:r>
      <w:r>
        <w:t xml:space="preserve">: inhibition CYP2D6 → baisse de l’activation en métabolite actif → inefficacité analgésique.</w:t>
      </w:r>
      <w:r>
        <w:t xml:space="preserve"> </w:t>
      </w:r>
      <w:r>
        <w:t xml:space="preserve">-</w:t>
      </w:r>
      <w:r>
        <w:t xml:space="preserve"> </w:t>
      </w:r>
      <w:r>
        <w:rPr>
          <w:b/>
          <w:bCs/>
        </w:rPr>
        <w:t xml:space="preserve">Terbinafine + tamoxifène</w:t>
      </w:r>
      <w:r>
        <w:t xml:space="preserve"> </w:t>
      </w:r>
      <w:r>
        <w:t xml:space="preserve">: baisse d’activation → inefficacité (alternative à discuter avec oncologue).</w:t>
      </w:r>
      <w:r>
        <w:t xml:space="preserve"> </w:t>
      </w:r>
      <w:r>
        <w:t xml:space="preserve">-</w:t>
      </w:r>
      <w:r>
        <w:t xml:space="preserve"> </w:t>
      </w:r>
      <w:r>
        <w:rPr>
          <w:b/>
          <w:bCs/>
        </w:rPr>
        <w:t xml:space="preserve">Terbinafine + bêta-bloquants (métoprolol, propranolol)</w:t>
      </w:r>
      <w:r>
        <w:t xml:space="preserve"> </w:t>
      </w:r>
      <w:r>
        <w:t xml:space="preserve">: majoration bradycardie, hypotension.</w:t>
      </w:r>
      <w:r>
        <w:t xml:space="preserve"> </w:t>
      </w:r>
      <w:r>
        <w:t xml:space="preserve">-</w:t>
      </w:r>
      <w:r>
        <w:t xml:space="preserve"> </w:t>
      </w:r>
      <w:r>
        <w:rPr>
          <w:b/>
          <w:bCs/>
        </w:rPr>
        <w:t xml:space="preserve">Terbinafine + antiarythmiques IC (flécaïnide, propafénone)</w:t>
      </w:r>
      <w:r>
        <w:t xml:space="preserve"> </w:t>
      </w:r>
      <w:r>
        <w:t xml:space="preserve">: majoration toxicité cardiaque.</w:t>
      </w:r>
      <w:r>
        <w:t xml:space="preserve"> </w:t>
      </w:r>
      <w:r>
        <w:t xml:space="preserve">-</w:t>
      </w:r>
      <w:r>
        <w:t xml:space="preserve"> </w:t>
      </w:r>
      <w:r>
        <w:rPr>
          <w:b/>
          <w:bCs/>
        </w:rPr>
        <w:t xml:space="preserve">Terbinafine + ciclosporine</w:t>
      </w:r>
      <w:r>
        <w:t xml:space="preserve"> </w:t>
      </w:r>
      <w:r>
        <w:t xml:space="preserve">: baisse de 15 % des concentrations de ciclosporine (induction).</w:t>
      </w:r>
      <w:r>
        <w:t xml:space="preserve"> </w:t>
      </w:r>
      <w:r>
        <w:t xml:space="preserve">-</w:t>
      </w:r>
      <w:r>
        <w:t xml:space="preserve"> </w:t>
      </w:r>
      <w:r>
        <w:rPr>
          <w:b/>
          <w:bCs/>
        </w:rPr>
        <w:t xml:space="preserve">Terbinafine + AVK</w:t>
      </w:r>
      <w:r>
        <w:t xml:space="preserve"> </w:t>
      </w:r>
      <w:r>
        <w:t xml:space="preserve">: modification INR (cas rapportés, surveillance INR).</w:t>
      </w:r>
      <w:r>
        <w:t xml:space="preserve"> </w:t>
      </w:r>
      <w:r>
        <w:t xml:space="preserve">-</w:t>
      </w:r>
      <w:r>
        <w:t xml:space="preserve"> </w:t>
      </w:r>
      <w:r>
        <w:rPr>
          <w:b/>
          <w:bCs/>
        </w:rPr>
        <w:t xml:space="preserve">Terbinafine + caféine</w:t>
      </w:r>
      <w:r>
        <w:t xml:space="preserve"> </w:t>
      </w:r>
      <w:r>
        <w:t xml:space="preserve">: baisse de 19 % de la clairance (surveillance insomnie, tachycardie).</w:t>
      </w:r>
    </w:p>
    <w:p>
      <w:pPr>
        <w:pStyle w:val="BodyText"/>
      </w:pPr>
      <w:r>
        <w:rPr>
          <w:b/>
          <w:bCs/>
        </w:rPr>
        <w:t xml:space="preserve">Grossesse et Allaitement :</w:t>
      </w:r>
      <w:r>
        <w:t xml:space="preserve"> </w:t>
      </w:r>
      <w:r>
        <w:t xml:space="preserve">- Grossesse :</w:t>
      </w:r>
      <w:r>
        <w:t xml:space="preserve"> </w:t>
      </w:r>
      <w:r>
        <w:rPr>
          <w:b/>
          <w:bCs/>
        </w:rPr>
        <w:t xml:space="preserve">déconseillé</w:t>
      </w:r>
      <w:r>
        <w:t xml:space="preserve"> </w:t>
      </w:r>
      <w:r>
        <w:t xml:space="preserve">par le CRAT (données animales montrant toxicité fœtale à doses élevées, données humaines limitées mais sans sur-risque malformatif identifié). À éviter au 1er trimestre par mesure de prudence. Pour les onychomycoses gravidiques, préférer traitement topique différé en post-partum. Pour teignes gravidiques, évaluer bénéfice/risque (préférer griséofulvine si indispensable au 2e et 3e trimestre).</w:t>
      </w:r>
      <w:r>
        <w:t xml:space="preserve"> </w:t>
      </w:r>
      <w:r>
        <w:t xml:space="preserve">- Allaitement :</w:t>
      </w:r>
      <w:r>
        <w:t xml:space="preserve"> </w:t>
      </w:r>
      <w:r>
        <w:rPr>
          <w:b/>
          <w:bCs/>
        </w:rPr>
        <w:t xml:space="preserve">déconseillé</w:t>
      </w:r>
      <w:r>
        <w:t xml:space="preserve"> </w:t>
      </w:r>
      <w:r>
        <w:t xml:space="preserve">— la terbinafine passe dans le lait maternel à des concentrations supérieures aux concentrations plasmatiques (rapport lait/plasma ~ 7), le nourrisson recevrait ~ 1,5 mg/kg/j (dose pédiatrique proche). Pour onychomycose en cours d’allaitement, différer le traitement ou suspender l’allaitement.</w:t>
      </w:r>
      <w:r>
        <w:t xml:space="preserve"> </w:t>
      </w:r>
      <w:r>
        <w:t xml:space="preserve">- Précisions : l’usage topique (crème 1%) est</w:t>
      </w:r>
      <w:r>
        <w:t xml:space="preserve"> </w:t>
      </w:r>
      <w:r>
        <w:rPr>
          <w:b/>
          <w:bCs/>
        </w:rPr>
        <w:t xml:space="preserve">compatible</w:t>
      </w:r>
      <w:r>
        <w:t xml:space="preserve"> </w:t>
      </w:r>
      <w:r>
        <w:t xml:space="preserve">avec la grossesse et l’allaitement (résorption systémique négligeable &lt; 5 %).</w:t>
      </w:r>
    </w:p>
    <w:p>
      <w:pPr>
        <w:pStyle w:val="BodyText"/>
      </w:pPr>
      <w:r>
        <w:rPr>
          <w:b/>
          <w:bCs/>
        </w:rPr>
        <w:t xml:space="preserve">Posologie et Mode d’administration (Standard) :</w:t>
      </w:r>
      <w:r>
        <w:t xml:space="preserve"> </w:t>
      </w:r>
      <w:r>
        <w:t xml:space="preserve">- Adulte : (i) onychomycose pied :</w:t>
      </w:r>
      <w:r>
        <w:t xml:space="preserve"> </w:t>
      </w:r>
      <w:r>
        <w:rPr>
          <w:b/>
          <w:bCs/>
        </w:rPr>
        <w:t xml:space="preserve">250 mg/j pendant 12 semaines</w:t>
      </w:r>
      <w:r>
        <w:t xml:space="preserve"> </w:t>
      </w:r>
      <w:r>
        <w:t xml:space="preserve">; (ii) onychomycose main : 250 mg/j pendant 6 semaines ; (iii) teignes (Microsporum, Trichophyton) : 250 mg/j pendant 4–6 semaines ; (iv) dermatophyties cutanées étendues : 250 mg/j pendant 2–4 semaines ; (v) pityriasis versicolor : 250 mg/j pendant 2 semaines (alternative topique préferable).</w:t>
      </w:r>
      <w:r>
        <w:t xml:space="preserve"> </w:t>
      </w:r>
      <w:r>
        <w:t xml:space="preserve">- Enfant &gt; 20 kg : 125 mg/j ; &gt; 40 kg : 250 mg/j. Adapter au poids.</w:t>
      </w:r>
      <w:r>
        <w:t xml:space="preserve"> </w:t>
      </w:r>
      <w:r>
        <w:t xml:space="preserve">- Forme topique crème 1% : 1 à 2 applications/j pendant 1–2 semaines (dermatophyties), 2 semaines (pityriasis versicolor, candidoses cutanées). Monodose possible (pied d’athlète — Lamisilate monodose retirée en Algérie).</w:t>
      </w:r>
      <w:r>
        <w:t xml:space="preserve"> </w:t>
      </w:r>
      <w:r>
        <w:t xml:space="preserve">- Durée : stricte selon indication — ne pas prolonger inutilement (hépatotoxicité, neutropénie).</w:t>
      </w:r>
      <w:r>
        <w:t xml:space="preserve"> </w:t>
      </w:r>
      <w:r>
        <w:t xml:space="preserve">- Moment de prise : indifférent (à jeun ou avec repas, prise unique quotidienne — le soir pour observance).</w:t>
      </w:r>
    </w:p>
    <w:p>
      <w:pPr>
        <w:pStyle w:val="BodyText"/>
      </w:pPr>
      <w:r>
        <w:rPr>
          <w:b/>
          <w:bCs/>
        </w:rPr>
        <w:t xml:space="preserve">Arbitrage et Bénéfices des Formes Galéniques :</w:t>
      </w:r>
      <w:r>
        <w:t xml:space="preserve"> </w:t>
      </w:r>
      <w:r>
        <w:t xml:space="preserve">La disponibilité algérienne est large pour la terbinafine : ~ 10 marques de comprimés à 250 mg, ~ 10 marques de crème 1% et une forme spray (TERBIDAL 1%). Cette pluralité reflète l’importance de cette molécule dans la pratique officinale algérienne (dermatophyties très fréquentes sous climat chaud et humide). La crème 1% est privilégiée pour les formes localisées (intertrigo, herpès circiné limité) — monodose possible pour le pied d’athlète. La forme orale est réservée aux onychomycoses (plusieurs ongles, atteinte matricielle), teignes étendues, et dermatophyties résistantes au topique. Le spray est utile pour les atteintes étendues (dos, plis) et pour une meilleure observance.</w:t>
      </w:r>
    </w:p>
    <w:p>
      <w:pPr>
        <w:pStyle w:val="BodyText"/>
      </w:pPr>
      <w:r>
        <w:rPr>
          <w:b/>
          <w:bCs/>
        </w:rPr>
        <w:t xml:space="preserve">Instructions et Conseils au Patient :</w:t>
      </w:r>
      <w:r>
        <w:t xml:space="preserve"> </w:t>
      </w:r>
      <w:r>
        <w:t xml:space="preserve">- Communication au comptoir : « Pour les mycoses de la peau localisées (entre les orteils, plis), la crème est suffisante : appliquez 1 à 2 fois par jour pendant 1 à 2 semaines, même après la disparition des démangeaisons. Pour les mycoses des ongles, c’est un traitement par comprimés pendant 3 mois (ongle pied) ou 6 semaines (ongle main) — il faut être patient, l’ongle met plusieurs mois à repousser sain.</w:t>
      </w:r>
      <w:r>
        <w:t xml:space="preserve"> </w:t>
      </w:r>
      <w:r>
        <w:rPr>
          <w:b/>
          <w:bCs/>
        </w:rPr>
        <w:t xml:space="preserve">Signalez-nous si vous avez des nausées, une jaunisse, une perte d’appétit, ou si le goût des aliments change</w:t>
      </w:r>
      <w:r>
        <w:t xml:space="preserve">. Une prise de sang est nécessaire pendant le traitement. »</w:t>
      </w:r>
      <w:r>
        <w:t xml:space="preserve"> </w:t>
      </w:r>
      <w:r>
        <w:t xml:space="preserve">- Mode d’utilisation pratique (crème) : nettoyer et sécher la zone, appliquer en couche fine, masser légèrement, étendre 1 cm au-delà de la lésion. Se laver les mains après. Ne pas couvrir (occlusion) sauf avis médical. Changer de chaussettes quotidiennement (pied d’athlète).</w:t>
      </w:r>
      <w:r>
        <w:t xml:space="preserve"> </w:t>
      </w:r>
      <w:r>
        <w:t xml:space="preserve">- Mode d’utilisation pratique (comprimés) : prise unique quotidienne à heure fixe. Observance stricte de la durée (6–12 semaines pour ongle). Consultation médicale à J28 (bilan hépatique). Éviter la grossesse pendant le traitement et 1 mois après (femmes en âge de procréer).</w:t>
      </w:r>
      <w:r>
        <w:t xml:space="preserve"> </w:t>
      </w:r>
      <w:r>
        <w:t xml:space="preserve">- Prévention des récidives onychomycose : traitement des chaussures (poudre antifongique), séchage soigneux des pieds après douche, coupe correcte des ongles, chaussettes en coton.</w:t>
      </w:r>
    </w:p>
    <w:p>
      <w:pPr>
        <w:pStyle w:val="BodyText"/>
      </w:pPr>
      <w:r>
        <w:rPr>
          <w:b/>
          <w:bCs/>
        </w:rPr>
        <w:t xml:space="preserve">Notes, Règles d’Or &amp; Pièges au Comptoir :</w:t>
      </w:r>
      <w:r>
        <w:t xml:space="preserve"> </w:t>
      </w:r>
      <w:r>
        <w:t xml:space="preserve">- Piège classique 1 :</w:t>
      </w:r>
      <w:r>
        <w:t xml:space="preserve"> </w:t>
      </w:r>
      <w:r>
        <w:rPr>
          <w:b/>
          <w:bCs/>
        </w:rPr>
        <w:t xml:space="preserve">terbinafine + psoriasis = poussée psoriasique</w:t>
      </w:r>
      <w:r>
        <w:t xml:space="preserve"> </w:t>
      </w:r>
      <w:r>
        <w:t xml:space="preserve">— toujours demander au patient s’il est suivi en dermatologie pour psoriasis.</w:t>
      </w:r>
      <w:r>
        <w:t xml:space="preserve"> </w:t>
      </w:r>
      <w:r>
        <w:t xml:space="preserve">- Piège classique 2 :</w:t>
      </w:r>
      <w:r>
        <w:t xml:space="preserve"> </w:t>
      </w:r>
      <w:r>
        <w:rPr>
          <w:b/>
          <w:bCs/>
        </w:rPr>
        <w:t xml:space="preserve">terbinafine + troubles du goût</w:t>
      </w:r>
      <w:r>
        <w:t xml:space="preserve"> </w:t>
      </w:r>
      <w:r>
        <w:t xml:space="preserve">(dysgueusie métallique, agueusie) — prévenir le patient, peut durer plusieurs mois après arrêt.</w:t>
      </w:r>
      <w:r>
        <w:t xml:space="preserve"> </w:t>
      </w:r>
      <w:r>
        <w:t xml:space="preserve">- Piège classique 3 :</w:t>
      </w:r>
      <w:r>
        <w:t xml:space="preserve"> </w:t>
      </w:r>
      <w:r>
        <w:rPr>
          <w:b/>
          <w:bCs/>
        </w:rPr>
        <w:t xml:space="preserve">terbinafine orale + grossesse/allaitement</w:t>
      </w:r>
      <w:r>
        <w:t xml:space="preserve"> </w:t>
      </w:r>
      <w:r>
        <w:t xml:space="preserve">= déconseillé — privilégier topique.</w:t>
      </w:r>
      <w:r>
        <w:t xml:space="preserve"> </w:t>
      </w:r>
      <w:r>
        <w:t xml:space="preserve">- Piège classique 4 :</w:t>
      </w:r>
      <w:r>
        <w:t xml:space="preserve"> </w:t>
      </w:r>
      <w:r>
        <w:rPr>
          <w:b/>
          <w:bCs/>
        </w:rPr>
        <w:t xml:space="preserve">terbinafine + ISRS/IMAO/codéine</w:t>
      </w:r>
      <w:r>
        <w:t xml:space="preserve"> </w:t>
      </w:r>
      <w:r>
        <w:t xml:space="preserve">= interactions CYP2D6 — demander les psychotropes et antalgiques.</w:t>
      </w:r>
      <w:r>
        <w:t xml:space="preserve"> </w:t>
      </w:r>
      <w:r>
        <w:t xml:space="preserve">- Règle de prise : 250 mg/j en une prise, à heure fixe (idéal le soir).</w:t>
      </w:r>
      <w:r>
        <w:t xml:space="preserve"> </w:t>
      </w:r>
      <w:r>
        <w:t xml:space="preserve">- Préparation et Conservation : crème en tube à conserver à &lt; 25 °C, ne pas congeler. Comprimés à conserver dans l’emballage d’origine.</w:t>
      </w:r>
      <w:r>
        <w:t xml:space="preserve"> </w:t>
      </w:r>
      <w:r>
        <w:t xml:space="preserve">- Piège du surdosage / Substitution : substitution possible entre les 10 marques de comprimés à 250 mg (bioéquivalence validée pour génériques). Le LAMISIL originel (Novartis) est retiré (R) — substituer par LAMIDAZ, TERBINAN, ONYCAL, etc.</w:t>
      </w:r>
    </w:p>
    <w:p>
      <w:r>
        <w:pict>
          <v:rect style="width:0;height:1.5pt" o:hralign="center" o:hrstd="t" o:hr="t"/>
        </w:pict>
      </w:r>
    </w:p>
    <w:bookmarkEnd w:id="76"/>
    <w:bookmarkStart w:id="77" w:name="dci-naftifine-seule"/>
    <w:p>
      <w:pPr>
        <w:pStyle w:val="Heading3"/>
      </w:pPr>
      <w:r>
        <w:t xml:space="preserve">12.3.3 DCI : Naftifine (Seule)</w:t>
      </w:r>
    </w:p>
    <w:p>
      <w:pPr>
        <w:pStyle w:val="FirstParagraph"/>
      </w:pPr>
      <w:r>
        <w:rPr>
          <w:b/>
          <w:bCs/>
        </w:rPr>
        <w:t xml:space="preserve">Liste des Catégories :</w:t>
      </w:r>
      <w:r>
        <w:t xml:space="preserve"> </w:t>
      </w:r>
      <w:r>
        <w:t xml:space="preserve">Statut non listé dans la nomenclature algérienne actuelle (dispensation libre ; produit non renouvelé — voie topique exclusivement).</w:t>
      </w:r>
    </w:p>
    <w:p>
      <w:pPr>
        <w:pStyle w:val="BodyText"/>
      </w:pPr>
      <w:r>
        <w:t xml:space="preserve">La naftifine est l’allylamine de première génération, antérieure à la terbinafine. Structurellement, elle est dérivée du naphtalène (alors que la terbinafine est une allylamine plus complexe avec un groupement tert-butylacétylène). Son usage est</w:t>
      </w:r>
      <w:r>
        <w:t xml:space="preserve"> </w:t>
      </w:r>
      <w:r>
        <w:rPr>
          <w:b/>
          <w:bCs/>
        </w:rPr>
        <w:t xml:space="preserve">exclusivement topique</w:t>
      </w:r>
      <w:r>
        <w:t xml:space="preserve"> </w:t>
      </w:r>
      <w:r>
        <w:t xml:space="preserve">(crème et solution) — résorption systémique négligeable. Bien que supplantée par la terbinafine dans la plupart des indications (meilleure pénétration et activité de la terbinafine), la naftifine conserve une place en dermatologie topique, notamment en Europe.</w:t>
      </w:r>
    </w:p>
    <w:p>
      <w:pPr>
        <w:pStyle w:val="BodyText"/>
      </w:pPr>
      <w:r>
        <w:rPr>
          <w:b/>
          <w:bCs/>
        </w:rPr>
        <w:t xml:space="preserve">Médicaments disponibles en Algérie (Marques, Laboratoires, Formes et Dosages) :</w:t>
      </w:r>
    </w:p>
    <w:p>
      <w:pPr>
        <w:pStyle w:val="BodyText"/>
      </w:pPr>
      <w:r>
        <w:rPr>
          <w:i/>
          <w:iCs/>
        </w:rPr>
        <w:t xml:space="preserve">Statut NON RENOUVELABLE :</w:t>
      </w:r>
      <w:r>
        <w:t xml:space="preserve"> </w:t>
      </w:r>
      <w:r>
        <w:t xml:space="preserve">-</w:t>
      </w:r>
      <w:r>
        <w:t xml:space="preserve"> </w:t>
      </w:r>
      <w:r>
        <w:rPr>
          <w:b/>
          <w:bCs/>
        </w:rPr>
        <w:t xml:space="preserve">EXODERIL</w:t>
      </w:r>
      <w:r>
        <w:t xml:space="preserve"> </w:t>
      </w:r>
      <w:r>
        <w:t xml:space="preserve">(SANDOZ GmbH)</w:t>
      </w:r>
      <w:r>
        <w:t xml:space="preserve"> </w:t>
      </w:r>
      <w:r>
        <w:t xml:space="preserve">- Formes et Dosages : Solution dermique 0,01 (1%), flacon de 10 mL ; Crème dermique 0,01 (1%), tube de 15 g</w:t>
      </w:r>
      <w:r>
        <w:t xml:space="preserve"> </w:t>
      </w:r>
      <w:r>
        <w:t xml:space="preserve">- Statut : Non Renouvelable</w:t>
      </w:r>
    </w:p>
    <w:p>
      <w:pPr>
        <w:pStyle w:val="BodyText"/>
      </w:pPr>
      <w:r>
        <w:rPr>
          <w:b/>
          <w:bCs/>
        </w:rPr>
        <w:t xml:space="preserve">Aucune forme ACTIVEMENT disponible en Algérie à ce jour</w:t>
      </w:r>
      <w:r>
        <w:t xml:space="preserve"> </w:t>
      </w:r>
      <w:r>
        <w:t xml:space="preserve">— la naftifine n’est plus commercialisée sous la seule marque (EXODERIL) qui était distribuée. Les patients algériens se tournent vers la terbinafine topique comme alternative (activité et spectre similaires).</w:t>
      </w:r>
    </w:p>
    <w:p>
      <w:pPr>
        <w:pStyle w:val="BodyText"/>
      </w:pPr>
      <w:r>
        <w:rPr>
          <w:b/>
          <w:bCs/>
        </w:rPr>
        <w:t xml:space="preserve">Sous-classe et Mécanisme d’action :</w:t>
      </w:r>
      <w:r>
        <w:t xml:space="preserve"> </w:t>
      </w:r>
      <w:r>
        <w:t xml:space="preserve">- Sous-classe : allylamine de première génération, antifongique topique, fungicide. Activité prédominante sur dermatophytes, modérée sur Candida, Aspergillus, Sporothrix.</w:t>
      </w:r>
      <w:r>
        <w:t xml:space="preserve"> </w:t>
      </w:r>
      <w:r>
        <w:t xml:space="preserve">- Mécanisme d’action : identique à la terbinafine —</w:t>
      </w:r>
      <w:r>
        <w:t xml:space="preserve"> </w:t>
      </w:r>
      <w:r>
        <w:rPr>
          <w:b/>
          <w:bCs/>
        </w:rPr>
        <w:t xml:space="preserve">inhibition de la squalène époxidase (SE, ERG1)</w:t>
      </w:r>
      <w:r>
        <w:t xml:space="preserve">, en amont du CYP51. Double action : (1) déplétion en ergostérol ; (2) accumulation toxique de squalène. Caractère</w:t>
      </w:r>
      <w:r>
        <w:t xml:space="preserve"> </w:t>
      </w:r>
      <w:r>
        <w:rPr>
          <w:b/>
          <w:bCs/>
        </w:rPr>
        <w:t xml:space="preserve">fungicide</w:t>
      </w:r>
      <w:r>
        <w:t xml:space="preserve">. Effet anti-inflammatoire modéré (inhibition de la 5-lipoxygénase — moindre que la terbinafine).</w:t>
      </w:r>
      <w:r>
        <w:t xml:space="preserve"> </w:t>
      </w:r>
      <w:r>
        <w:t xml:space="preserve">- Spectre : dermatophytes (Trichophyton rubrum, T. mentagrophytes, Microsporum canis, Epidermophyton floccosum) ; levures (Candida — activité moindre) ; moisissures (Aspergillus — activité in vitro).</w:t>
      </w:r>
    </w:p>
    <w:p>
      <w:pPr>
        <w:pStyle w:val="BodyText"/>
      </w:pPr>
      <w:r>
        <w:rPr>
          <w:b/>
          <w:bCs/>
        </w:rPr>
        <w:t xml:space="preserve">Profil Pharmacologique :</w:t>
      </w:r>
      <w:r>
        <w:t xml:space="preserve"> </w:t>
      </w:r>
      <w:r>
        <w:t xml:space="preserve">- Indications : (i) dermatophyties cutanées localisées (pied d’athlète, intertrigo inguinal, herpès circiné) ; (ii) candidoses cutanées localisées ; (iii) pityriasis versicolor (alternative). Usage topique uniquement.</w:t>
      </w:r>
      <w:r>
        <w:t xml:space="preserve"> </w:t>
      </w:r>
      <w:r>
        <w:t xml:space="preserve">- Contre-indications : (1) hypersensibilité aux allylamines ; (2) application sur plaie ouverte, muqueuse, œil.</w:t>
      </w:r>
      <w:r>
        <w:t xml:space="preserve"> </w:t>
      </w:r>
      <w:r>
        <w:t xml:space="preserve">- Effets Indésirables : (i) irritation locale (sécheresse, érythème, brûlure — 3 %) ; (ii) prurit, contact dermatitis exceptionnel ; (iii) pas d’effets systémiques (résorption &lt; 6 %).</w:t>
      </w:r>
    </w:p>
    <w:p>
      <w:pPr>
        <w:pStyle w:val="BodyText"/>
      </w:pPr>
      <w:r>
        <w:rPr>
          <w:b/>
          <w:bCs/>
        </w:rPr>
        <w:t xml:space="preserve">Prévention et Gestion des Effets Indésirables :</w:t>
      </w:r>
      <w:r>
        <w:t xml:space="preserve"> </w:t>
      </w:r>
      <w:r>
        <w:t xml:space="preserve">- Mesures Préventives : application sur peau propre et sèche ; éviter l’occlusion ; ne pas appliquer sur muqueuses.</w:t>
      </w:r>
      <w:r>
        <w:t xml:space="preserve"> </w:t>
      </w:r>
      <w:r>
        <w:t xml:space="preserve">- Conduite à Tenir : arrêt en cas d’irritation sévère ; relais par un autre antifongique topique (imidazolé, terbinafine).</w:t>
      </w:r>
    </w:p>
    <w:p>
      <w:pPr>
        <w:pStyle w:val="BodyText"/>
      </w:pPr>
      <w:r>
        <w:rPr>
          <w:b/>
          <w:bCs/>
        </w:rPr>
        <w:t xml:space="preserve">Interactions Importantes :</w:t>
      </w:r>
      <w:r>
        <w:t xml:space="preserve"> </w:t>
      </w:r>
      <w:r>
        <w:t xml:space="preserve">- Aucune interaction systémique décrite (résorption négligeable). À titre informatif, la naftifine n’a pas d’effet sur les CYP450 humains aux doses topiques.</w:t>
      </w:r>
    </w:p>
    <w:p>
      <w:pPr>
        <w:pStyle w:val="BodyText"/>
      </w:pPr>
      <w:r>
        <w:rPr>
          <w:b/>
          <w:bCs/>
        </w:rPr>
        <w:t xml:space="preserve">Grossesse et Allaitement :</w:t>
      </w:r>
      <w:r>
        <w:t xml:space="preserve"> </w:t>
      </w:r>
      <w:r>
        <w:t xml:space="preserve">- Grossesse :</w:t>
      </w:r>
      <w:r>
        <w:t xml:space="preserve"> </w:t>
      </w:r>
      <w:r>
        <w:rPr>
          <w:b/>
          <w:bCs/>
        </w:rPr>
        <w:t xml:space="preserve">compatible</w:t>
      </w:r>
      <w:r>
        <w:t xml:space="preserve"> </w:t>
      </w:r>
      <w:r>
        <w:t xml:space="preserve">(résorption négligeable, pas de passage systémique). À utiliser en première intention pour dermatophyties gravidiques localisées.</w:t>
      </w:r>
      <w:r>
        <w:t xml:space="preserve"> </w:t>
      </w:r>
      <w:r>
        <w:t xml:space="preserve">- Allaitement :</w:t>
      </w:r>
      <w:r>
        <w:t xml:space="preserve"> </w:t>
      </w:r>
      <w:r>
        <w:rPr>
          <w:b/>
          <w:bCs/>
        </w:rPr>
        <w:t xml:space="preserve">compatible</w:t>
      </w:r>
      <w:r>
        <w:t xml:space="preserve"> </w:t>
      </w:r>
      <w:r>
        <w:t xml:space="preserve">(ne pas appliquer sur le sein avant la tétée).</w:t>
      </w:r>
      <w:r>
        <w:t xml:space="preserve"> </w:t>
      </w:r>
      <w:r>
        <w:t xml:space="preserve">- Précisions : l’usage topique court (1–2 semaines) est sûr à toutes les phases de la grossesse.</w:t>
      </w:r>
    </w:p>
    <w:p>
      <w:pPr>
        <w:pStyle w:val="BodyText"/>
      </w:pPr>
      <w:r>
        <w:rPr>
          <w:b/>
          <w:bCs/>
        </w:rPr>
        <w:t xml:space="preserve">Posologie et Mode d’administration (Standard) :</w:t>
      </w:r>
      <w:r>
        <w:t xml:space="preserve"> </w:t>
      </w:r>
      <w:r>
        <w:t xml:space="preserve">- Adulte et enfant &gt; 2 ans : 1 à 2 applications/j sur la zone atteinte, en étendant 1 cm au-delà de la lésion. Durée : 2–4 semaines (dermatophyties), 2 semaines (pityriasis versicolor, candidoses cutanées).</w:t>
      </w:r>
      <w:r>
        <w:t xml:space="preserve"> </w:t>
      </w:r>
      <w:r>
        <w:t xml:space="preserve">- Moment de prise : indifférent (matin et soir pour biquotidien).</w:t>
      </w:r>
    </w:p>
    <w:p>
      <w:pPr>
        <w:pStyle w:val="BodyText"/>
      </w:pPr>
      <w:r>
        <w:rPr>
          <w:b/>
          <w:bCs/>
        </w:rPr>
        <w:t xml:space="preserve">Arbitrage et Bénéfices des Formes Galéniques :</w:t>
      </w:r>
      <w:r>
        <w:t xml:space="preserve"> </w:t>
      </w:r>
      <w:r>
        <w:t xml:space="preserve">La naftifine était proposée en deux formes topiques (crème et solution). La solution est utile pour les zones pileuses (cuir chevelu pour teignes résiduelles, barbe, plis) car elle pénètre mieux. La crème convient aux zones glabres et aux plis.</w:t>
      </w:r>
    </w:p>
    <w:p>
      <w:pPr>
        <w:pStyle w:val="BodyText"/>
      </w:pPr>
      <w:r>
        <w:rPr>
          <w:b/>
          <w:bCs/>
        </w:rPr>
        <w:t xml:space="preserve">Instructions et Conseils au Patient :</w:t>
      </w:r>
      <w:r>
        <w:t xml:space="preserve"> </w:t>
      </w:r>
      <w:r>
        <w:t xml:space="preserve">- Communication au comptoir : « La naftifine (EXODERIL) n’est actuellement plus disponible en Algérie. Je peux vous proposer un équivalent à base de terbinafine (crème TERBIFINE, ONYCAL, etc.), qui appartient à la même famille et sera aussi efficace. »</w:t>
      </w:r>
      <w:r>
        <w:t xml:space="preserve"> </w:t>
      </w:r>
      <w:r>
        <w:t xml:space="preserve">- Mode d’utilisation pratique : application sur peau propre et sèche, en couche fine, 1–2 fois par jour pendant 2 semaines.</w:t>
      </w:r>
    </w:p>
    <w:p>
      <w:pPr>
        <w:pStyle w:val="BodyText"/>
      </w:pPr>
      <w:r>
        <w:rPr>
          <w:b/>
          <w:bCs/>
        </w:rPr>
        <w:t xml:space="preserve">Notes, Règles d’Or &amp; Pièges au Comptoir :</w:t>
      </w:r>
      <w:r>
        <w:t xml:space="preserve"> </w:t>
      </w:r>
      <w:r>
        <w:t xml:space="preserve">- Piège classique : la naftifine n’est plus disponible en Algérie — substitution systématique par terbinafine topique.</w:t>
      </w:r>
      <w:r>
        <w:t xml:space="preserve"> </w:t>
      </w:r>
      <w:r>
        <w:t xml:space="preserve">- Règle de prise : topique, 1–2 applications/j.</w:t>
      </w:r>
      <w:r>
        <w:t xml:space="preserve"> </w:t>
      </w:r>
      <w:r>
        <w:t xml:space="preserve">- Préparation et Conservation : tube et flacon à conserver à &lt; 25 °C.</w:t>
      </w:r>
      <w:r>
        <w:t xml:space="preserve"> </w:t>
      </w:r>
      <w:r>
        <w:t xml:space="preserve">- Piège du surdosage / Substitution : proposer terbinafine crème 1% (équivalence thérapeutique validée).</w:t>
      </w:r>
    </w:p>
    <w:p>
      <w:r>
        <w:pict>
          <v:rect style="width:0;height:1.5pt" o:hralign="center" o:hrstd="t" o:hr="t"/>
        </w:pict>
      </w:r>
    </w:p>
    <w:bookmarkEnd w:id="77"/>
    <w:bookmarkEnd w:id="78"/>
    <w:bookmarkStart w:id="81" w:name="sous-classe-antifongiques-morpholines"/>
    <w:p>
      <w:pPr>
        <w:pStyle w:val="Heading2"/>
      </w:pPr>
      <w:r>
        <w:t xml:space="preserve">12.4 Sous-classe : Antifongiques Morpholines</w:t>
      </w:r>
    </w:p>
    <w:bookmarkStart w:id="79" w:name="introduction-de-la-sous-classe-2"/>
    <w:p>
      <w:pPr>
        <w:pStyle w:val="Heading3"/>
      </w:pPr>
      <w:r>
        <w:t xml:space="preserve">12.4.1 Introduction de la sous-classe</w:t>
      </w:r>
    </w:p>
    <w:p>
      <w:pPr>
        <w:pStyle w:val="FirstParagraph"/>
      </w:pPr>
      <w:r>
        <w:t xml:space="preserve">Les morpholines sont une classe d’antifongiques synthétiques caractérisés par un cycle morpholine dans leur structure. Seule l’</w:t>
      </w:r>
      <w:r>
        <w:rPr>
          <w:b/>
          <w:bCs/>
        </w:rPr>
        <w:t xml:space="preserve">amorolfine</w:t>
      </w:r>
      <w:r>
        <w:t xml:space="preserve"> </w:t>
      </w:r>
      <w:r>
        <w:t xml:space="preserve">est utilisée en clinique (en Algérie et en Europe). Son usage est</w:t>
      </w:r>
      <w:r>
        <w:t xml:space="preserve"> </w:t>
      </w:r>
      <w:r>
        <w:rPr>
          <w:b/>
          <w:bCs/>
        </w:rPr>
        <w:t xml:space="preserve">exclusivement topique</w:t>
      </w:r>
      <w:r>
        <w:t xml:space="preserve"> </w:t>
      </w:r>
      <w:r>
        <w:t xml:space="preserve">(vernis à ongles médicamenteux). Son mécanisme d’action est</w:t>
      </w:r>
      <w:r>
        <w:t xml:space="preserve"> </w:t>
      </w:r>
      <w:r>
        <w:rPr>
          <w:b/>
          <w:bCs/>
        </w:rPr>
        <w:t xml:space="preserve">double</w:t>
      </w:r>
      <w:r>
        <w:t xml:space="preserve"> </w:t>
      </w:r>
      <w:r>
        <w:t xml:space="preserve">: (1) inhibition de la</w:t>
      </w:r>
      <w:r>
        <w:t xml:space="preserve"> </w:t>
      </w:r>
      <w:r>
        <w:rPr>
          <w:b/>
          <w:bCs/>
        </w:rPr>
        <w:t xml:space="preserve">Δ14-stérol réductase</w:t>
      </w:r>
      <w:r>
        <w:t xml:space="preserve"> </w:t>
      </w:r>
      <w:r>
        <w:t xml:space="preserve">(codée par ERG24) ; (2) inhibition de la</w:t>
      </w:r>
      <w:r>
        <w:t xml:space="preserve"> </w:t>
      </w:r>
      <w:r>
        <w:rPr>
          <w:b/>
          <w:bCs/>
        </w:rPr>
        <w:t xml:space="preserve">Δ7-Δ8 isomérase</w:t>
      </w:r>
      <w:r>
        <w:t xml:space="preserve"> </w:t>
      </w:r>
      <w:r>
        <w:t xml:space="preserve">(ERG2). Ces enzymes catalysent des étapes tardives de la biosynthèse de l’ergostérol, postérieurement à l’action du CYP51 (cible des azolés) et de la squalène époxidase (cible des allylamines). L’inhibition de la Δ14-réductase et de la Δ7-Δ8 isomère aboutit à la</w:t>
      </w:r>
      <w:r>
        <w:t xml:space="preserve"> </w:t>
      </w:r>
      <w:r>
        <w:rPr>
          <w:b/>
          <w:bCs/>
        </w:rPr>
        <w:t xml:space="preserve">déplétion en ergostérol</w:t>
      </w:r>
      <w:r>
        <w:t xml:space="preserve"> </w:t>
      </w:r>
      <w:r>
        <w:t xml:space="preserve">et à l’accumulation de précurseurs anormaux (ignostérol, 14-méthyl-fécostérol), perturbant la membrane fongique. L’effet est</w:t>
      </w:r>
      <w:r>
        <w:t xml:space="preserve"> </w:t>
      </w:r>
      <w:r>
        <w:rPr>
          <w:b/>
          <w:bCs/>
        </w:rPr>
        <w:t xml:space="preserve">fungicide</w:t>
      </w:r>
      <w:r>
        <w:t xml:space="preserve">.</w:t>
      </w:r>
    </w:p>
    <w:p>
      <w:pPr>
        <w:pStyle w:val="BodyText"/>
      </w:pPr>
      <w:r>
        <w:t xml:space="preserve">L’intérêt majeur de l’amorolfine réside dans sa formulation galénique en</w:t>
      </w:r>
      <w:r>
        <w:t xml:space="preserve"> </w:t>
      </w:r>
      <w:r>
        <w:rPr>
          <w:b/>
          <w:bCs/>
        </w:rPr>
        <w:t xml:space="preserve">vernis à ongles médicamenteux à 5%</w:t>
      </w:r>
      <w:r>
        <w:t xml:space="preserve"> </w:t>
      </w:r>
      <w:r>
        <w:t xml:space="preserve">qui maintient des concentrations efficaces dans la tablette unguéale pendant 7 jours après une seule application — révolution thérapeutique pour les onychomycoses à ongle peu atteint (&lt; 50% de la surface, sans atteinte matricielle). Spectre essentiellement dermatophytes, secondairement levures et moisissures.</w:t>
      </w:r>
    </w:p>
    <w:p>
      <w:r>
        <w:pict>
          <v:rect style="width:0;height:1.5pt" o:hralign="center" o:hrstd="t" o:hr="t"/>
        </w:pict>
      </w:r>
    </w:p>
    <w:bookmarkEnd w:id="79"/>
    <w:bookmarkStart w:id="80" w:name="dci-amorolfine-seule"/>
    <w:p>
      <w:pPr>
        <w:pStyle w:val="Heading3"/>
      </w:pPr>
      <w:r>
        <w:t xml:space="preserve">12.4.2 DCI : Amorolfine (Seule)</w:t>
      </w:r>
    </w:p>
    <w:p>
      <w:pPr>
        <w:pStyle w:val="FirstParagraph"/>
      </w:pPr>
      <w:r>
        <w:rPr>
          <w:b/>
          <w:bCs/>
        </w:rPr>
        <w:t xml:space="preserve">Liste des Catégories :</w:t>
      </w:r>
      <w:r>
        <w:t xml:space="preserve"> </w:t>
      </w:r>
      <w:r>
        <w:t xml:space="preserve">Liste I pour toutes les formes (vernis à ongles médicamenteux) — prescription médicale nécessaire.</w:t>
      </w:r>
    </w:p>
    <w:p>
      <w:pPr>
        <w:pStyle w:val="BodyText"/>
      </w:pPr>
      <w:r>
        <w:t xml:space="preserve">L’amorolfine est l’unique représentant de la classe des morpholines en clinique. Résorption systémique négligeable (&lt; 0.5 ng/mL après application hebdomadaire pendant 6 mois). L’efficacité dépend de la pénétration dans la tablette unguéale — limitée par l’épaisseur de l’ongle et l’atteinte matricielle. Concentrations fungicides dans l’ongle maintenues &gt; 100 fois la CMI pendant 7 jours après une seule application. Élimination cutanée par desquamation.</w:t>
      </w:r>
    </w:p>
    <w:p>
      <w:pPr>
        <w:pStyle w:val="BodyText"/>
      </w:pPr>
      <w:r>
        <w:rPr>
          <w:b/>
          <w:bCs/>
        </w:rPr>
        <w:t xml:space="preserve">Médicaments disponibles en Algérie (Marques, Laboratoires, Formes et Dosages) :</w:t>
      </w:r>
    </w:p>
    <w:p>
      <w:pPr>
        <w:pStyle w:val="BodyText"/>
      </w:pPr>
      <w:r>
        <w:rPr>
          <w:i/>
          <w:iCs/>
        </w:rPr>
        <w:t xml:space="preserve">Forme vernis à ongles médicamenteux 5% — STATUT ACTIF :</w:t>
      </w:r>
      <w:r>
        <w:t xml:space="preserve"> </w:t>
      </w:r>
      <w:r>
        <w:t xml:space="preserve">-</w:t>
      </w:r>
      <w:r>
        <w:t xml:space="preserve"> </w:t>
      </w:r>
      <w:r>
        <w:rPr>
          <w:b/>
          <w:bCs/>
        </w:rPr>
        <w:t xml:space="preserve">BIOFERYL</w:t>
      </w:r>
      <w:r>
        <w:t xml:space="preserve"> </w:t>
      </w:r>
      <w:r>
        <w:t xml:space="preserve">(SARL BIOREM) — Vernis à ongles médicamenteux 0,05 (5%), flacon de 2,5 mL — Statut : Actif</w:t>
      </w:r>
      <w:r>
        <w:t xml:space="preserve"> </w:t>
      </w:r>
      <w:r>
        <w:t xml:space="preserve">-</w:t>
      </w:r>
      <w:r>
        <w:t xml:space="preserve"> </w:t>
      </w:r>
      <w:r>
        <w:rPr>
          <w:b/>
          <w:bCs/>
        </w:rPr>
        <w:t xml:space="preserve">LOCERYL</w:t>
      </w:r>
      <w:r>
        <w:t xml:space="preserve"> </w:t>
      </w:r>
      <w:r>
        <w:t xml:space="preserve">(GALDERMA INTERNATIONAL) — Vernis à ongles médicamenteux 0,05 (5%), B/01 flacon de 2,5 mL + 10 spatules — Statut : Actif</w:t>
      </w:r>
      <w:r>
        <w:t xml:space="preserve"> </w:t>
      </w:r>
      <w:r>
        <w:t xml:space="preserve">-</w:t>
      </w:r>
      <w:r>
        <w:t xml:space="preserve"> </w:t>
      </w:r>
      <w:r>
        <w:rPr>
          <w:b/>
          <w:bCs/>
        </w:rPr>
        <w:t xml:space="preserve">NOCIRINE</w:t>
      </w:r>
      <w:r>
        <w:t xml:space="preserve"> </w:t>
      </w:r>
      <w:r>
        <w:t xml:space="preserve">(NOVAPHARM TRADING) — Vernis à ongles médicamenteux 5%, flacon de 2,5 mL avec 10 spatules — Statut : Actif</w:t>
      </w:r>
    </w:p>
    <w:p>
      <w:pPr>
        <w:pStyle w:val="BodyText"/>
      </w:pPr>
      <w:r>
        <w:rPr>
          <w:b/>
          <w:bCs/>
        </w:rPr>
        <w:t xml:space="preserve">Sous-classe et Mécanisme d’action :</w:t>
      </w:r>
      <w:r>
        <w:t xml:space="preserve"> </w:t>
      </w:r>
      <w:r>
        <w:t xml:space="preserve">- Sous-classe : morpholine synthétique, antifongique topique (vernis à ongles), fungicide. Molécule de référence pour onychomycoses modérées sans atteinte matricielle.</w:t>
      </w:r>
      <w:r>
        <w:t xml:space="preserve"> </w:t>
      </w:r>
      <w:r>
        <w:t xml:space="preserve">- Mécanisme d’action :</w:t>
      </w:r>
      <w:r>
        <w:t xml:space="preserve"> </w:t>
      </w:r>
      <w:r>
        <w:rPr>
          <w:b/>
          <w:bCs/>
        </w:rPr>
        <w:t xml:space="preserve">double inhibition enzymatique</w:t>
      </w:r>
      <w:r>
        <w:t xml:space="preserve"> </w:t>
      </w:r>
      <w:r>
        <w:t xml:space="preserve">dans la voie de biosynthèse de l’ergostérol — (1) inhibition de la</w:t>
      </w:r>
      <w:r>
        <w:t xml:space="preserve"> </w:t>
      </w:r>
      <w:r>
        <w:rPr>
          <w:b/>
          <w:bCs/>
        </w:rPr>
        <w:t xml:space="preserve">Δ14-stérol réductase</w:t>
      </w:r>
      <w:r>
        <w:t xml:space="preserve"> </w:t>
      </w:r>
      <w:r>
        <w:t xml:space="preserve">(ERG24), qui convertit le 14-méthyl-fécostérol en fécostérol ; (2) inhibition de la</w:t>
      </w:r>
      <w:r>
        <w:t xml:space="preserve"> </w:t>
      </w:r>
      <w:r>
        <w:rPr>
          <w:b/>
          <w:bCs/>
        </w:rPr>
        <w:t xml:space="preserve">Δ7-Δ8 isomérase</w:t>
      </w:r>
      <w:r>
        <w:t xml:space="preserve"> </w:t>
      </w:r>
      <w:r>
        <w:t xml:space="preserve">(ERG2), qui déplace la double liaison. Ces étapes sont situées en aval du CYP51 (cible des azolés) et de la squalène époxidase (cible des allylamines). La double action aboutit à une</w:t>
      </w:r>
      <w:r>
        <w:t xml:space="preserve"> </w:t>
      </w:r>
      <w:r>
        <w:rPr>
          <w:b/>
          <w:bCs/>
        </w:rPr>
        <w:t xml:space="preserve">déplétion profonde en ergostérol</w:t>
      </w:r>
      <w:r>
        <w:t xml:space="preserve"> </w:t>
      </w:r>
      <w:r>
        <w:t xml:space="preserve">et à l’accumulation de précurseurs anormaux (ignostérol, 14-méthyl-fécostérol, ignatériol) qui perturbent l’architecture membranaire. Effet</w:t>
      </w:r>
      <w:r>
        <w:t xml:space="preserve"> </w:t>
      </w:r>
      <w:r>
        <w:rPr>
          <w:b/>
          <w:bCs/>
        </w:rPr>
        <w:t xml:space="preserve">fungicide</w:t>
      </w:r>
      <w:r>
        <w:t xml:space="preserve">.</w:t>
      </w:r>
      <w:r>
        <w:t xml:space="preserve"> </w:t>
      </w:r>
      <w:r>
        <w:t xml:space="preserve">- Spectre : dermatophytes (Trichophyton rubrum, T. mentagrophytes, T. tonsurans, Microsporum canis, Epidermophyton floccosum) ; levures (Candida, Cryptococcus) ; moisissures (Hendersonula, Scopulariopsis, Aspergillus). Pas d’activité sur les bactéries.</w:t>
      </w:r>
    </w:p>
    <w:p>
      <w:pPr>
        <w:pStyle w:val="BodyText"/>
      </w:pPr>
      <w:r>
        <w:rPr>
          <w:b/>
          <w:bCs/>
        </w:rPr>
        <w:t xml:space="preserve">Profil Pharmacologique :</w:t>
      </w:r>
      <w:r>
        <w:t xml:space="preserve"> </w:t>
      </w:r>
      <w:r>
        <w:t xml:space="preserve">- Indications :</w:t>
      </w:r>
      <w:r>
        <w:t xml:space="preserve"> </w:t>
      </w:r>
      <w:r>
        <w:rPr>
          <w:b/>
          <w:bCs/>
        </w:rPr>
        <w:t xml:space="preserve">onychomycoses</w:t>
      </w:r>
      <w:r>
        <w:t xml:space="preserve"> </w:t>
      </w:r>
      <w:r>
        <w:t xml:space="preserve">à dermatophytes, levures ou moisissuses,</w:t>
      </w:r>
      <w:r>
        <w:t xml:space="preserve"> </w:t>
      </w:r>
      <w:r>
        <w:rPr>
          <w:b/>
          <w:bCs/>
        </w:rPr>
        <w:t xml:space="preserve">limitées à 2 ongles maximum</w:t>
      </w:r>
      <w:r>
        <w:t xml:space="preserve"> </w:t>
      </w:r>
      <w:r>
        <w:t xml:space="preserve">et à</w:t>
      </w:r>
      <w:r>
        <w:t xml:space="preserve"> </w:t>
      </w:r>
      <w:r>
        <w:rPr>
          <w:b/>
          <w:bCs/>
        </w:rPr>
        <w:t xml:space="preserve">moins de 50% de la surface de l’ongle</w:t>
      </w:r>
      <w:r>
        <w:t xml:space="preserve"> </w:t>
      </w:r>
      <w:r>
        <w:t xml:space="preserve">(sans atteinte matricielle — lunule non atteinte). Au-delà, traitement systémique (terbinafine) nécessaire. Forme 5% en application hebdomadaire.</w:t>
      </w:r>
      <w:r>
        <w:t xml:space="preserve"> </w:t>
      </w:r>
      <w:r>
        <w:t xml:space="preserve">- Contre-indications : (1) hypersensibilité aux morpholines ; (2) onychomycose étendue (&gt; 50% surface, atteinte matricielle, &gt; 2 ongles) — relais systémique ; (3) grossesse et allaitement par mesure de précaution (données limitées) ; (4) enfant &lt; 18 ans par défaut d’études.</w:t>
      </w:r>
      <w:r>
        <w:t xml:space="preserve"> </w:t>
      </w:r>
      <w:r>
        <w:t xml:space="preserve">- Effets Indésirables : (i) irritation locale péri-unguéale (érythème, prurit, sensation de brûlure — 5 %) ; (ii) modification de l’ongle (décoloration, fragilité) ; (iii) exceptionnelle dermatite de contact ; (iv) pas d’effets systémiques (résorption négligeable).</w:t>
      </w:r>
    </w:p>
    <w:p>
      <w:pPr>
        <w:pStyle w:val="BodyText"/>
      </w:pPr>
      <w:r>
        <w:rPr>
          <w:b/>
          <w:bCs/>
        </w:rPr>
        <w:t xml:space="preserve">Prévention et Gestion des Effets Indésirables :</w:t>
      </w:r>
      <w:r>
        <w:t xml:space="preserve"> </w:t>
      </w:r>
      <w:r>
        <w:t xml:space="preserve">- Mesures Préventives : application stricte sur l’ongle atteint, éviter le contact avec la peau péri-unguéale (utiliser les spatules) ; retirer le vernis précédent avec le dissolvant fourni avant nouvelle application.</w:t>
      </w:r>
      <w:r>
        <w:t xml:space="preserve"> </w:t>
      </w:r>
      <w:r>
        <w:t xml:space="preserve">- Conduite à Tenir : arrêt en cas d’irritation sévère ; consultation si pas d’amélioration à 3 mois (réévaluation mycologique).</w:t>
      </w:r>
    </w:p>
    <w:p>
      <w:pPr>
        <w:pStyle w:val="BodyText"/>
      </w:pPr>
      <w:r>
        <w:rPr>
          <w:b/>
          <w:bCs/>
        </w:rPr>
        <w:t xml:space="preserve">Interactions Importantes :</w:t>
      </w:r>
      <w:r>
        <w:t xml:space="preserve"> </w:t>
      </w:r>
      <w:r>
        <w:t xml:space="preserve">- Aucune interaction systémique décrite (résorption négligeable). À titre informatif, l’amorolfine est un inhibiteur très modéré du CYP450 in vitro, sans pertinence clinique en topique unguéale.</w:t>
      </w:r>
      <w:r>
        <w:t xml:space="preserve"> </w:t>
      </w:r>
      <w:r>
        <w:t xml:space="preserve">- Ne pas appliquer de vernis cosmétique par-dessus le vernis médicamenteux.</w:t>
      </w:r>
    </w:p>
    <w:p>
      <w:pPr>
        <w:pStyle w:val="BodyText"/>
      </w:pPr>
      <w:r>
        <w:rPr>
          <w:b/>
          <w:bCs/>
        </w:rPr>
        <w:t xml:space="preserve">Grossesse et Allaitement :</w:t>
      </w:r>
      <w:r>
        <w:t xml:space="preserve"> </w:t>
      </w:r>
      <w:r>
        <w:t xml:space="preserve">- Grossesse :</w:t>
      </w:r>
      <w:r>
        <w:t xml:space="preserve"> </w:t>
      </w:r>
      <w:r>
        <w:rPr>
          <w:b/>
          <w:bCs/>
        </w:rPr>
        <w:t xml:space="preserve">déconseillé par mesure de précaution</w:t>
      </w:r>
      <w:r>
        <w:t xml:space="preserve"> </w:t>
      </w:r>
      <w:r>
        <w:t xml:space="preserve">(données limitées — pas de signal tératogène). Différer le traitement en post-partum si possible.</w:t>
      </w:r>
      <w:r>
        <w:t xml:space="preserve"> </w:t>
      </w:r>
      <w:r>
        <w:t xml:space="preserve">- Allaitement :</w:t>
      </w:r>
      <w:r>
        <w:t xml:space="preserve"> </w:t>
      </w:r>
      <w:r>
        <w:rPr>
          <w:b/>
          <w:bCs/>
        </w:rPr>
        <w:t xml:space="preserve">déconseillé</w:t>
      </w:r>
      <w:r>
        <w:t xml:space="preserve"> </w:t>
      </w:r>
      <w:r>
        <w:t xml:space="preserve">par mesure de précaution (données limitées).</w:t>
      </w:r>
      <w:r>
        <w:t xml:space="preserve"> </w:t>
      </w:r>
      <w:r>
        <w:t xml:space="preserve">- Précisions : l’usage étant purement topique avec résorption négligeable, l’excès de risque est théorique ; néanmoins, l’onychomycose étant une affection bénigne, il est raisonnable de différer.</w:t>
      </w:r>
    </w:p>
    <w:p>
      <w:pPr>
        <w:pStyle w:val="BodyText"/>
      </w:pPr>
      <w:r>
        <w:rPr>
          <w:b/>
          <w:bCs/>
        </w:rPr>
        <w:t xml:space="preserve">Posologie et Mode d’administration (Standard) :</w:t>
      </w:r>
      <w:r>
        <w:t xml:space="preserve"> </w:t>
      </w:r>
      <w:r>
        <w:t xml:space="preserve">- Adulte :</w:t>
      </w:r>
      <w:r>
        <w:t xml:space="preserve"> </w:t>
      </w:r>
      <w:r>
        <w:rPr>
          <w:b/>
          <w:bCs/>
        </w:rPr>
        <w:t xml:space="preserve">1 application par semaine</w:t>
      </w:r>
      <w:r>
        <w:t xml:space="preserve"> </w:t>
      </w:r>
      <w:r>
        <w:t xml:space="preserve">sur l’ongle atteint, après nettoyage, limage de la surface et dissolution du vernis précédent.</w:t>
      </w:r>
      <w:r>
        <w:t xml:space="preserve"> </w:t>
      </w:r>
      <w:r>
        <w:t xml:space="preserve">- Durée : (i) ongle main :</w:t>
      </w:r>
      <w:r>
        <w:t xml:space="preserve"> </w:t>
      </w:r>
      <w:r>
        <w:rPr>
          <w:b/>
          <w:bCs/>
        </w:rPr>
        <w:t xml:space="preserve">6 mois</w:t>
      </w:r>
      <w:r>
        <w:t xml:space="preserve"> </w:t>
      </w:r>
      <w:r>
        <w:t xml:space="preserve">; (ii) ongle pied :</w:t>
      </w:r>
      <w:r>
        <w:t xml:space="preserve"> </w:t>
      </w:r>
      <w:r>
        <w:rPr>
          <w:b/>
          <w:bCs/>
        </w:rPr>
        <w:t xml:space="preserve">9 à 12 mois</w:t>
      </w:r>
      <w:r>
        <w:t xml:space="preserve"> </w:t>
      </w:r>
      <w:r>
        <w:t xml:space="preserve">(parfois jusqu’à 18 mois pour gros orteils épaissis).</w:t>
      </w:r>
      <w:r>
        <w:t xml:space="preserve"> </w:t>
      </w:r>
      <w:r>
        <w:t xml:space="preserve">- Procédure d’application (4 étapes) : (1)</w:t>
      </w:r>
      <w:r>
        <w:t xml:space="preserve"> </w:t>
      </w:r>
      <w:r>
        <w:rPr>
          <w:b/>
          <w:bCs/>
        </w:rPr>
        <w:t xml:space="preserve">limer</w:t>
      </w:r>
      <w:r>
        <w:t xml:space="preserve"> </w:t>
      </w:r>
      <w:r>
        <w:t xml:space="preserve">la surface de l’ongle atteint avec la lime à usage unique ; (2)</w:t>
      </w:r>
      <w:r>
        <w:t xml:space="preserve"> </w:t>
      </w:r>
      <w:r>
        <w:rPr>
          <w:b/>
          <w:bCs/>
        </w:rPr>
        <w:t xml:space="preserve">nettoyer</w:t>
      </w:r>
      <w:r>
        <w:t xml:space="preserve"> </w:t>
      </w:r>
      <w:r>
        <w:t xml:space="preserve">et dégraisser l’ongle avec le tampon d’alcool ; (3)</w:t>
      </w:r>
      <w:r>
        <w:t xml:space="preserve"> </w:t>
      </w:r>
      <w:r>
        <w:rPr>
          <w:b/>
          <w:bCs/>
        </w:rPr>
        <w:t xml:space="preserve">appliquer</w:t>
      </w:r>
      <w:r>
        <w:t xml:space="preserve"> </w:t>
      </w:r>
      <w:r>
        <w:t xml:space="preserve">le vernis à l’aide de la spatule sur toute la surface de l’ongle atteint (uniquement) ; (4)</w:t>
      </w:r>
      <w:r>
        <w:t xml:space="preserve"> </w:t>
      </w:r>
      <w:r>
        <w:rPr>
          <w:b/>
          <w:bCs/>
        </w:rPr>
        <w:t xml:space="preserve">laisser sécher</w:t>
      </w:r>
      <w:r>
        <w:t xml:space="preserve"> </w:t>
      </w:r>
      <w:r>
        <w:t xml:space="preserve">3 minutes. Renouveler chaque semaine en retirant d’abord le vernis précédent avec le dissolvant fourni.</w:t>
      </w:r>
    </w:p>
    <w:p>
      <w:pPr>
        <w:pStyle w:val="BodyText"/>
      </w:pPr>
      <w:r>
        <w:rPr>
          <w:b/>
          <w:bCs/>
        </w:rPr>
        <w:t xml:space="preserve">Arbitrage et Bénéfices des Formes Galéniques :</w:t>
      </w:r>
      <w:r>
        <w:t xml:space="preserve"> </w:t>
      </w:r>
      <w:r>
        <w:t xml:space="preserve">Le vernis à ongles à 5% est la seule formulation disponible en Algérie (3 marques : LOCERYL originel Galderma, BIOFERYL, NOCIRINE). Les boîtes contiennent flacon de 2,5 mL + 10 spatules réutilisables + tampons alcoolisés + limes à usage unique. Le vernis à 5% (amorolfine) est en concurrence avec le vernis à 8% de ciclopirox (MYCOSTER solution filmogène 8% — voir fiche ciclopirox). L’amorolfine s’applique une fois par semaine (observance excellente) vs ciclopirox en application quotidienne. L’efficacité mycologique est comparable (40–55% à 12 mois pour ongle pied).</w:t>
      </w:r>
    </w:p>
    <w:p>
      <w:pPr>
        <w:pStyle w:val="BodyText"/>
      </w:pPr>
      <w:r>
        <w:rPr>
          <w:b/>
          <w:bCs/>
        </w:rPr>
        <w:t xml:space="preserve">Instructions et Conseils au Patient :</w:t>
      </w:r>
      <w:r>
        <w:t xml:space="preserve"> </w:t>
      </w:r>
      <w:r>
        <w:t xml:space="preserve">- Communication au comptoir : « Ce vernis traite la mycose de l’ongle. Vous l’appliquez</w:t>
      </w:r>
      <w:r>
        <w:t xml:space="preserve"> </w:t>
      </w:r>
      <w:r>
        <w:rPr>
          <w:b/>
          <w:bCs/>
        </w:rPr>
        <w:t xml:space="preserve">une fois par semaine</w:t>
      </w:r>
      <w:r>
        <w:t xml:space="preserve"> </w:t>
      </w:r>
      <w:r>
        <w:t xml:space="preserve">pendant 6 mois pour un ongle de la main, 9 à 12 mois pour un ongle du pied. Il faut être patient, l’ongle met une année entière à se renouveler.</w:t>
      </w:r>
      <w:r>
        <w:t xml:space="preserve"> </w:t>
      </w:r>
      <w:r>
        <w:rPr>
          <w:b/>
          <w:bCs/>
        </w:rPr>
        <w:t xml:space="preserve">Suivez bien les étapes</w:t>
      </w:r>
      <w:r>
        <w:t xml:space="preserve"> </w:t>
      </w:r>
      <w:r>
        <w:t xml:space="preserve">: limer la surface, nettoyer, appliquer avec la spatule, laisser sécher. Apportez la boîte en pharmacie pour le renouvellement du flacon quand il est vide.</w:t>
      </w:r>
      <w:r>
        <w:t xml:space="preserve"> </w:t>
      </w:r>
      <w:r>
        <w:rPr>
          <w:b/>
          <w:bCs/>
        </w:rPr>
        <w:t xml:space="preserve">Si la mycose touche la base de l’ongle ou plus de la moitié de sa surface, ce vernis ne suffit pas : il faudra consulter pour un traitement par comprimés.</w:t>
      </w:r>
      <w:r>
        <w:t xml:space="preserve"> </w:t>
      </w:r>
      <w:r>
        <w:t xml:space="preserve">»</w:t>
      </w:r>
      <w:r>
        <w:t xml:space="preserve"> </w:t>
      </w:r>
      <w:r>
        <w:t xml:space="preserve">- Mode d’utilisation pratique : semaine 1 : limer, nettoyer, appliquer. Semaines 2 et suivantes : retirer le vernis avec le dissolvant fourni, limer à nouveau, nettoyer, appliquer. Ne pas appliquer de vernis cosmétique pendant le traitement. Se laver les mains après manipulation.</w:t>
      </w:r>
      <w:r>
        <w:t xml:space="preserve"> </w:t>
      </w:r>
      <w:r>
        <w:t xml:space="preserve">- Prévention des récidives : traitement des chaussures (poudre antifongique), séchage soigneux des pieds, changement quotidien de chaussettes en coton, traitement d’un éventuel intertrigo inter-orteils associé (le réservoir fongique est souvent là).</w:t>
      </w:r>
    </w:p>
    <w:p>
      <w:pPr>
        <w:pStyle w:val="BodyText"/>
      </w:pPr>
      <w:r>
        <w:rPr>
          <w:b/>
          <w:bCs/>
        </w:rPr>
        <w:t xml:space="preserve">Notes, Règles d’Or &amp; Pièges au Comptoir :</w:t>
      </w:r>
      <w:r>
        <w:t xml:space="preserve"> </w:t>
      </w:r>
      <w:r>
        <w:t xml:space="preserve">- Piège classique 1 :</w:t>
      </w:r>
      <w:r>
        <w:t xml:space="preserve"> </w:t>
      </w:r>
      <w:r>
        <w:rPr>
          <w:b/>
          <w:bCs/>
        </w:rPr>
        <w:t xml:space="preserve">onychomycose étendue traitée par vernis seul</w:t>
      </w:r>
      <w:r>
        <w:t xml:space="preserve"> </w:t>
      </w:r>
      <w:r>
        <w:t xml:space="preserve">= échec — expliquer que le vernis n’atteint pas la matrice. Référer au dermatologue pour terbinafine orale si &gt; 50% surface ou atteinte matricielle ou &gt; 2 ongles.</w:t>
      </w:r>
      <w:r>
        <w:t xml:space="preserve"> </w:t>
      </w:r>
      <w:r>
        <w:t xml:space="preserve">- Piège classique 2 :</w:t>
      </w:r>
      <w:r>
        <w:t xml:space="preserve"> </w:t>
      </w:r>
      <w:r>
        <w:rPr>
          <w:b/>
          <w:bCs/>
        </w:rPr>
        <w:t xml:space="preserve">non-limage du vernis précédent</w:t>
      </w:r>
      <w:r>
        <w:t xml:space="preserve"> </w:t>
      </w:r>
      <w:r>
        <w:t xml:space="preserve">= perte d’efficacité (suraccumulation, mauvaise pénétration).</w:t>
      </w:r>
      <w:r>
        <w:t xml:space="preserve"> </w:t>
      </w:r>
      <w:r>
        <w:t xml:space="preserve">- Piège classique 3 :</w:t>
      </w:r>
      <w:r>
        <w:t xml:space="preserve"> </w:t>
      </w:r>
      <w:r>
        <w:rPr>
          <w:b/>
          <w:bCs/>
        </w:rPr>
        <w:t xml:space="preserve">pas d’observance hebdomadaire stricte</w:t>
      </w:r>
      <w:r>
        <w:t xml:space="preserve"> </w:t>
      </w:r>
      <w:r>
        <w:t xml:space="preserve">= échec.</w:t>
      </w:r>
      <w:r>
        <w:t xml:space="preserve"> </w:t>
      </w:r>
      <w:r>
        <w:t xml:space="preserve">- Règle de prise : 1 application/semaine, stricte.</w:t>
      </w:r>
      <w:r>
        <w:t xml:space="preserve"> </w:t>
      </w:r>
      <w:r>
        <w:t xml:space="preserve">- Préparation et Conservation : flacon à conserver à température ambiante (&lt; 25 °C), fermer hermétiquement après usage (solvant volatil), tenir hors de portée des enfants. Bien refermer pour éviter l’évaporation du solvant (sinon le vernis s’épaissit).</w:t>
      </w:r>
      <w:r>
        <w:t xml:space="preserve"> </w:t>
      </w:r>
      <w:r>
        <w:t xml:space="preserve">- Piège du surdosage / Substitution : substitution possible entre LOCERYL, BIOFERYL, NOCIRINE (même concentration 5%, même principe actif). Le flacon de 2,5 mL permet environ 3 mois de traitement hebdomadaire pour un ongle (prévoir 2-3 flacons pour un ongle du pied sur 12 mois).</w:t>
      </w:r>
    </w:p>
    <w:p>
      <w:r>
        <w:pict>
          <v:rect style="width:0;height:1.5pt" o:hralign="center" o:hrstd="t" o:hr="t"/>
        </w:pict>
      </w:r>
    </w:p>
    <w:bookmarkEnd w:id="80"/>
    <w:bookmarkEnd w:id="81"/>
    <w:bookmarkStart w:id="85" w:name="sous-classe-antifongiques-echinocandines"/>
    <w:p>
      <w:pPr>
        <w:pStyle w:val="Heading2"/>
      </w:pPr>
      <w:r>
        <w:t xml:space="preserve">12.5 Sous-classe : Antifongiques Echinocandines</w:t>
      </w:r>
    </w:p>
    <w:bookmarkStart w:id="82" w:name="introduction-de-la-sous-classe-3"/>
    <w:p>
      <w:pPr>
        <w:pStyle w:val="Heading3"/>
      </w:pPr>
      <w:r>
        <w:t xml:space="preserve">12.5.1 Introduction de la sous-classe</w:t>
      </w:r>
    </w:p>
    <w:p>
      <w:pPr>
        <w:pStyle w:val="FirstParagraph"/>
      </w:pPr>
      <w:r>
        <w:t xml:space="preserve">Les echinocandines sont des antifongiques semi-synthétiques dérivés de lipopeptides naturels produits par des champignons (pneumocandines à partir de Glarea lozoyensis pour la caspofungine, FR901379 pour la micafungine, echinocandine B pour l’anidulafungine). Trois molécules sont commercialisées :</w:t>
      </w:r>
      <w:r>
        <w:t xml:space="preserve"> </w:t>
      </w:r>
      <w:r>
        <w:rPr>
          <w:b/>
          <w:bCs/>
        </w:rPr>
        <w:t xml:space="preserve">caspofungine</w:t>
      </w:r>
      <w:r>
        <w:t xml:space="preserve"> </w:t>
      </w:r>
      <w:r>
        <w:t xml:space="preserve">(2001),</w:t>
      </w:r>
      <w:r>
        <w:t xml:space="preserve"> </w:t>
      </w:r>
      <w:r>
        <w:rPr>
          <w:b/>
          <w:bCs/>
        </w:rPr>
        <w:t xml:space="preserve">micafungine</w:t>
      </w:r>
      <w:r>
        <w:t xml:space="preserve"> </w:t>
      </w:r>
      <w:r>
        <w:t xml:space="preserve">(2005, non disponible en Algérie à ce jour) et</w:t>
      </w:r>
      <w:r>
        <w:t xml:space="preserve"> </w:t>
      </w:r>
      <w:r>
        <w:rPr>
          <w:b/>
          <w:bCs/>
        </w:rPr>
        <w:t xml:space="preserve">anidulafungine</w:t>
      </w:r>
      <w:r>
        <w:t xml:space="preserve"> </w:t>
      </w:r>
      <w:r>
        <w:t xml:space="preserve">(2006). Leur cible moléculaire est la</w:t>
      </w:r>
      <w:r>
        <w:t xml:space="preserve"> </w:t>
      </w:r>
      <w:r>
        <w:rPr>
          <w:b/>
          <w:bCs/>
        </w:rPr>
        <w:t xml:space="preserve">β-(1,3)-D-glucane synthase</w:t>
      </w:r>
      <w:r>
        <w:t xml:space="preserve">, enzyme complexe membranaire fongique qui polymérise l’UDP-glucose en β-(1,3)-glucane, composant majeur (50–60 %) de la</w:t>
      </w:r>
      <w:r>
        <w:t xml:space="preserve"> </w:t>
      </w:r>
      <w:r>
        <w:rPr>
          <w:b/>
          <w:bCs/>
        </w:rPr>
        <w:t xml:space="preserve">paroi cellulaire fongique</w:t>
      </w:r>
      <w:r>
        <w:t xml:space="preserve">. Cette paroi est</w:t>
      </w:r>
      <w:r>
        <w:t xml:space="preserve"> </w:t>
      </w:r>
      <w:r>
        <w:rPr>
          <w:b/>
          <w:bCs/>
        </w:rPr>
        <w:t xml:space="preserve">absente chez l’homme</w:t>
      </w:r>
      <w:r>
        <w:t xml:space="preserve"> </w:t>
      </w:r>
      <w:r>
        <w:t xml:space="preserve">(nos cellules n’ont pas de paroi), ce qui confère aux echinocandines une</w:t>
      </w:r>
      <w:r>
        <w:t xml:space="preserve"> </w:t>
      </w:r>
      <w:r>
        <w:rPr>
          <w:b/>
          <w:bCs/>
        </w:rPr>
        <w:t xml:space="preserve">sélectivité remarquable</w:t>
      </w:r>
      <w:r>
        <w:t xml:space="preserve"> </w:t>
      </w:r>
      <w:r>
        <w:t xml:space="preserve">et une excellente tolérance.</w:t>
      </w:r>
    </w:p>
    <w:p>
      <w:pPr>
        <w:pStyle w:val="BodyText"/>
      </w:pPr>
      <w:r>
        <w:t xml:space="preserve">L’inhibition de la β-(1,3)-glucane synthase aboutit à une</w:t>
      </w:r>
      <w:r>
        <w:t xml:space="preserve"> </w:t>
      </w:r>
      <w:r>
        <w:rPr>
          <w:b/>
          <w:bCs/>
        </w:rPr>
        <w:t xml:space="preserve">paroi défectueuse</w:t>
      </w:r>
      <w:r>
        <w:t xml:space="preserve"> </w:t>
      </w:r>
      <w:r>
        <w:t xml:space="preserve">: déplétion en glucane, désorganisation de la couche interne, fragilité osmotique, lyse cellulaire. L’effet est</w:t>
      </w:r>
      <w:r>
        <w:t xml:space="preserve"> </w:t>
      </w:r>
      <w:r>
        <w:rPr>
          <w:b/>
          <w:bCs/>
        </w:rPr>
        <w:t xml:space="preserve">fungicide</w:t>
      </w:r>
      <w:r>
        <w:t xml:space="preserve"> </w:t>
      </w:r>
      <w:r>
        <w:t xml:space="preserve">sur Candida (lyse cellulaire) et</w:t>
      </w:r>
      <w:r>
        <w:t xml:space="preserve"> </w:t>
      </w:r>
      <w:r>
        <w:rPr>
          <w:b/>
          <w:bCs/>
        </w:rPr>
        <w:t xml:space="preserve">fungistatique</w:t>
      </w:r>
      <w:r>
        <w:t xml:space="preserve"> </w:t>
      </w:r>
      <w:r>
        <w:t xml:space="preserve">sur Aspergillus (altération des extrémités hyphales — effet « déformant »). Les echinocandines sont ainsi les seuls antifongiques à cibler la paroi fongique — innovation thérapeutique majeure des années 2000.</w:t>
      </w:r>
    </w:p>
    <w:p>
      <w:pPr>
        <w:pStyle w:val="BodyText"/>
      </w:pPr>
      <w:r>
        <w:rPr>
          <w:b/>
          <w:bCs/>
        </w:rPr>
        <w:t xml:space="preserve">Pharmacocinétique commune</w:t>
      </w:r>
      <w:r>
        <w:t xml:space="preserve"> </w:t>
      </w:r>
      <w:r>
        <w:t xml:space="preserve">: (i)</w:t>
      </w:r>
      <w:r>
        <w:t xml:space="preserve"> </w:t>
      </w:r>
      <w:r>
        <w:rPr>
          <w:b/>
          <w:bCs/>
        </w:rPr>
        <w:t xml:space="preserve">biodisponibilité orale nulle</w:t>
      </w:r>
      <w:r>
        <w:t xml:space="preserve"> </w:t>
      </w:r>
      <w:r>
        <w:t xml:space="preserve">(&lt; 10 %) — usage exclusivement IV ; (ii)</w:t>
      </w:r>
      <w:r>
        <w:t xml:space="preserve"> </w:t>
      </w:r>
      <w:r>
        <w:rPr>
          <w:b/>
          <w:bCs/>
        </w:rPr>
        <w:t xml:space="preserve">liaison aux protéines plasmatiques élevée</w:t>
      </w:r>
      <w:r>
        <w:t xml:space="preserve"> </w:t>
      </w:r>
      <w:r>
        <w:t xml:space="preserve">(&gt; 90 % pour caspofungine, &gt; 84 % pour anidulafungine) ; (iii)</w:t>
      </w:r>
      <w:r>
        <w:t xml:space="preserve"> </w:t>
      </w:r>
      <w:r>
        <w:rPr>
          <w:b/>
          <w:bCs/>
        </w:rPr>
        <w:t xml:space="preserve">demi-vie longue</w:t>
      </w:r>
      <w:r>
        <w:t xml:space="preserve"> </w:t>
      </w:r>
      <w:r>
        <w:t xml:space="preserve">(~ 13 h pour caspofungine, ~ 27 h pour anidulafungine) autorisant une administration quotidienne unique ; (iv) métabolisme hépatique par hydrolyse peptidique (caspofungine — pas d’implication des CYP450 ; anidulafungine — dégradation chimique spontanée, pas d’implication hépatique !) ; (v) élimination fécale et urinaire (métabolites inactifs) ; (vi) pas d’adaptation rénale (atout majeur en cas d’insuffisance rénale) ; (vii) diffusion limitée dans le LCR, les urines et l’œil — utilisables dans candidémie mais alternatives à préférer pour méningite à Candida ou endophtalmie.</w:t>
      </w:r>
    </w:p>
    <w:p>
      <w:pPr>
        <w:pStyle w:val="BodyText"/>
      </w:pPr>
      <w:r>
        <w:rPr>
          <w:b/>
          <w:bCs/>
        </w:rPr>
        <w:t xml:space="preserve">Spectre</w:t>
      </w:r>
      <w:r>
        <w:t xml:space="preserve"> </w:t>
      </w:r>
      <w:r>
        <w:t xml:space="preserve">: Candida (toutes espèces, y compris C. krusei et C. glabrata résistants au fluconazole — référence dans candidémie), Aspergillus (fungistatique, en alternative ou relais), Pneumocystis jirovecii (activité sur les formes trophiques — alternative au cotrimoxazole en prophylaxie).</w:t>
      </w:r>
      <w:r>
        <w:t xml:space="preserve"> </w:t>
      </w:r>
      <w:r>
        <w:rPr>
          <w:b/>
          <w:bCs/>
        </w:rPr>
        <w:t xml:space="preserve">Pas d’activité</w:t>
      </w:r>
      <w:r>
        <w:t xml:space="preserve"> </w:t>
      </w:r>
      <w:r>
        <w:t xml:space="preserve">sur Cryptococcus, mucormycètes, Fusarium, Trichosporon.</w:t>
      </w:r>
      <w:r>
        <w:t xml:space="preserve"> </w:t>
      </w:r>
      <w:r>
        <w:rPr>
          <w:b/>
          <w:bCs/>
        </w:rPr>
        <w:t xml:space="preserve">Résistance</w:t>
      </w:r>
      <w:r>
        <w:t xml:space="preserve"> </w:t>
      </w:r>
      <w:r>
        <w:t xml:space="preserve">rare mais émergente : mutations du gène FKS1/FKS2 codant la sous-unité catalytique de la β-(1,3)-glucane synthase — décrites chez C. glabrata (jusqu’à 10 % souches dans certaines unités) et plus rarement chez C. albicans.</w:t>
      </w:r>
    </w:p>
    <w:p>
      <w:pPr>
        <w:pStyle w:val="BodyText"/>
      </w:pPr>
      <w:r>
        <w:rPr>
          <w:b/>
          <w:bCs/>
        </w:rPr>
        <w:t xml:space="preserve">Effets indésirables communs</w:t>
      </w:r>
      <w:r>
        <w:t xml:space="preserve"> </w:t>
      </w:r>
      <w:r>
        <w:t xml:space="preserve">: fièvre, rash, troubles digestifs (nausées, diarrhée), céphalées, hypokaliémie, élévation transitoire des transaminases. Réactions à la perfusion (flush, fièvre) — rares mais possibles (histamino-libération). La caspofungine nécessite une adaptation posologique en cas d’insuffisance hépatique modérée à sévère (Child-Pugh B et C). L’anidulafungine n’est pas métabolisée par le foie — pas d’adaptation hépatique.</w:t>
      </w:r>
    </w:p>
    <w:p>
      <w:r>
        <w:pict>
          <v:rect style="width:0;height:1.5pt" o:hralign="center" o:hrstd="t" o:hr="t"/>
        </w:pict>
      </w:r>
    </w:p>
    <w:bookmarkEnd w:id="82"/>
    <w:bookmarkStart w:id="83" w:name="dci-caspofungine-seule"/>
    <w:p>
      <w:pPr>
        <w:pStyle w:val="Heading3"/>
      </w:pPr>
      <w:r>
        <w:t xml:space="preserve">12.5.2 DCI : Caspofungine (Seule)</w:t>
      </w:r>
    </w:p>
    <w:p>
      <w:pPr>
        <w:pStyle w:val="FirstParagraph"/>
      </w:pPr>
      <w:r>
        <w:rPr>
          <w:b/>
          <w:bCs/>
        </w:rPr>
        <w:t xml:space="preserve">Liste des Catégories :</w:t>
      </w:r>
      <w:r>
        <w:t xml:space="preserve"> </w:t>
      </w:r>
      <w:r>
        <w:t xml:space="preserve">Liste I ; prescription initiale hospitalière réservée aux spécialistes en infectiologie, réanimation, hématologie ou oncologie.</w:t>
      </w:r>
    </w:p>
    <w:p>
      <w:pPr>
        <w:pStyle w:val="BodyText"/>
      </w:pPr>
      <w:r>
        <w:t xml:space="preserve">La caspofungine est la première echinocandine commercialisée (2001, Cancidas MSD). Demi-vie d’élimination de 9 à 11 heures, autorisant une administration quotidienne unique. Métabolisme par</w:t>
      </w:r>
      <w:r>
        <w:t xml:space="preserve"> </w:t>
      </w:r>
      <w:r>
        <w:rPr>
          <w:b/>
          <w:bCs/>
        </w:rPr>
        <w:t xml:space="preserve">peptide hydrolyse</w:t>
      </w:r>
      <w:r>
        <w:t xml:space="preserve"> </w:t>
      </w:r>
      <w:r>
        <w:t xml:space="preserve">(et non CYP450) en métabolites inactifs. Pas d’adaptation rénale.</w:t>
      </w:r>
      <w:r>
        <w:t xml:space="preserve"> </w:t>
      </w:r>
      <w:r>
        <w:rPr>
          <w:b/>
          <w:bCs/>
        </w:rPr>
        <w:t xml:space="preserve">Adaptation hépatique nécessaire</w:t>
      </w:r>
      <w:r>
        <w:t xml:space="preserve"> </w:t>
      </w:r>
      <w:r>
        <w:t xml:space="preserve">si Child-Pugh B ou C : dose d’entretien réduite de 50 % (35 mg/j après dose de charge 70 mg).</w:t>
      </w:r>
      <w:r>
        <w:t xml:space="preserve"> </w:t>
      </w:r>
      <w:r>
        <w:rPr>
          <w:b/>
          <w:bCs/>
        </w:rPr>
        <w:t xml:space="preserve">Dose de charge obligatoire</w:t>
      </w:r>
      <w:r>
        <w:t xml:space="preserve"> </w:t>
      </w:r>
      <w:r>
        <w:t xml:space="preserve">J1 (70 mg IV) puis dose d’entretien (50 mg IV/j). Distribution limitée dans le LCR, mais concentrations pulmonaires et rénales élevées. Non dialysable.</w:t>
      </w:r>
    </w:p>
    <w:p>
      <w:pPr>
        <w:pStyle w:val="BodyText"/>
      </w:pPr>
      <w:r>
        <w:rPr>
          <w:b/>
          <w:bCs/>
        </w:rPr>
        <w:t xml:space="preserve">Médicaments disponibles en Algérie (Marques, Laboratoires, Formes et Dosages) :</w:t>
      </w:r>
    </w:p>
    <w:p>
      <w:pPr>
        <w:pStyle w:val="BodyText"/>
      </w:pPr>
      <w:r>
        <w:rPr>
          <w:i/>
          <w:iCs/>
        </w:rPr>
        <w:t xml:space="preserve">Forme injectable IV (poudre lyophilisée) — STATUT ACTIF :</w:t>
      </w:r>
      <w:r>
        <w:t xml:space="preserve"> </w:t>
      </w:r>
      <w:r>
        <w:t xml:space="preserve">-</w:t>
      </w:r>
      <w:r>
        <w:t xml:space="preserve"> </w:t>
      </w:r>
      <w:r>
        <w:rPr>
          <w:b/>
          <w:bCs/>
        </w:rPr>
        <w:t xml:space="preserve">CANCIDAS</w:t>
      </w:r>
      <w:r>
        <w:t xml:space="preserve"> </w:t>
      </w:r>
      <w:r>
        <w:t xml:space="preserve">(MERCK SHARP &amp; DHOME LIMITED)</w:t>
      </w:r>
      <w:r>
        <w:t xml:space="preserve"> </w:t>
      </w:r>
      <w:r>
        <w:t xml:space="preserve">- Formes et Dosages : Poudre lyophilisée pour solution à diluer pour perfusion IV 50 mg (B/01 flacon) ; Poudre lyophilisée pour solution à diluer pour perfusion IV 70 mg (B/01 flacon)</w:t>
      </w:r>
      <w:r>
        <w:t xml:space="preserve"> </w:t>
      </w:r>
      <w:r>
        <w:t xml:space="preserve">- Statut : Actif</w:t>
      </w:r>
      <w:r>
        <w:t xml:space="preserve"> </w:t>
      </w:r>
      <w:r>
        <w:t xml:space="preserve">-</w:t>
      </w:r>
      <w:r>
        <w:t xml:space="preserve"> </w:t>
      </w:r>
      <w:r>
        <w:rPr>
          <w:b/>
          <w:bCs/>
        </w:rPr>
        <w:t xml:space="preserve">CANGIN</w:t>
      </w:r>
      <w:r>
        <w:t xml:space="preserve"> </w:t>
      </w:r>
      <w:r>
        <w:t xml:space="preserve">(EL KENDI INDUSTRIE DU MEDICAMENT)</w:t>
      </w:r>
      <w:r>
        <w:t xml:space="preserve"> </w:t>
      </w:r>
      <w:r>
        <w:t xml:space="preserve">- Formes et Dosages : Poudre lyophilisée pour solution à diluer pour perfusion IV 50 mg (B/01 flacon) ; Poudre lyophilisée pour solution à diluer pour perfusion IV 70 mg (B/01 flacon)</w:t>
      </w:r>
      <w:r>
        <w:t xml:space="preserve"> </w:t>
      </w:r>
      <w:r>
        <w:t xml:space="preserve">- Statut : Actif</w:t>
      </w:r>
      <w:r>
        <w:t xml:space="preserve"> </w:t>
      </w:r>
      <w:r>
        <w:t xml:space="preserve">-</w:t>
      </w:r>
      <w:r>
        <w:t xml:space="preserve"> </w:t>
      </w:r>
      <w:r>
        <w:rPr>
          <w:b/>
          <w:bCs/>
        </w:rPr>
        <w:t xml:space="preserve">AFUNDAS-L</w:t>
      </w:r>
      <w:r>
        <w:t xml:space="preserve"> </w:t>
      </w:r>
      <w:r>
        <w:t xml:space="preserve">(MUSTAFA NEVZAT ILAÇ SANAYII A.Ş)</w:t>
      </w:r>
      <w:r>
        <w:t xml:space="preserve"> </w:t>
      </w:r>
      <w:r>
        <w:t xml:space="preserve">- Formes et Dosages : Poudre lyophilisée pour solution à diluer pour perfusion IV 50 mg (B/01 flacon) ; Poudre lyophilisée pour solution à diluer pour perfusion IV 70 mg (B/01 flacon)</w:t>
      </w:r>
      <w:r>
        <w:t xml:space="preserve"> </w:t>
      </w:r>
      <w:r>
        <w:t xml:space="preserve">- Statut : Actif</w:t>
      </w:r>
      <w:r>
        <w:t xml:space="preserve"> </w:t>
      </w:r>
      <w:r>
        <w:t xml:space="preserve">-</w:t>
      </w:r>
      <w:r>
        <w:t xml:space="preserve"> </w:t>
      </w:r>
      <w:r>
        <w:rPr>
          <w:b/>
          <w:bCs/>
        </w:rPr>
        <w:t xml:space="preserve">BDCASPO 50</w:t>
      </w:r>
      <w:r>
        <w:t xml:space="preserve"> </w:t>
      </w:r>
      <w:r>
        <w:t xml:space="preserve">(BDR PHARMACEUTICALS INTERNATIONAL PVT LTD) — Poudre lyophilisée 50 mg, B/01 flacon — Statut : Actif</w:t>
      </w:r>
      <w:r>
        <w:t xml:space="preserve"> </w:t>
      </w:r>
      <w:r>
        <w:t xml:space="preserve">-</w:t>
      </w:r>
      <w:r>
        <w:t xml:space="preserve"> </w:t>
      </w:r>
      <w:r>
        <w:rPr>
          <w:b/>
          <w:bCs/>
        </w:rPr>
        <w:t xml:space="preserve">BDCASPO 70</w:t>
      </w:r>
      <w:r>
        <w:t xml:space="preserve"> </w:t>
      </w:r>
      <w:r>
        <w:t xml:space="preserve">(BDR PHARMACEUTICALS INTERNATIONAL PVT LTD) — Poudre lyophilisée 70 mg, B/01 flacon — Statut : Actif</w:t>
      </w:r>
    </w:p>
    <w:p>
      <w:pPr>
        <w:pStyle w:val="BodyText"/>
      </w:pPr>
      <w:r>
        <w:t xml:space="preserve">Le Cancidas MSD est le princeps ; les autres marques (CANGIN El Kendi, AFUNDAS-L Mustafa Nevzat, BDCASPO BDR) sont des génériques. Disponibilité en flacons de 50 mg et 70 mg pour permettre la dose de charge (70 mg) puis l’entretien (50 mg).</w:t>
      </w:r>
    </w:p>
    <w:p>
      <w:pPr>
        <w:pStyle w:val="BodyText"/>
      </w:pPr>
      <w:r>
        <w:rPr>
          <w:b/>
          <w:bCs/>
        </w:rPr>
        <w:t xml:space="preserve">Sous-classe et Mécanisme d’action :</w:t>
      </w:r>
      <w:r>
        <w:t xml:space="preserve"> </w:t>
      </w:r>
      <w:r>
        <w:t xml:space="preserve">- Sous-classe : echinocandine semi-synthétique (dérivé de pneumocandine B0), premier inhibiteur de la β-(1,3)-D-glucane synthase. Antifongique de la paroi. Fungicide sur Candida, fungistatique sur Aspergillus.</w:t>
      </w:r>
      <w:r>
        <w:t xml:space="preserve"> </w:t>
      </w:r>
      <w:r>
        <w:t xml:space="preserve">- Mécanisme d’action :</w:t>
      </w:r>
      <w:r>
        <w:t xml:space="preserve"> </w:t>
      </w:r>
      <w:r>
        <w:rPr>
          <w:b/>
          <w:bCs/>
        </w:rPr>
        <w:t xml:space="preserve">inhibition non compétitive et réversible de la β-(1,3)-D-glucane synthase</w:t>
      </w:r>
      <w:r>
        <w:t xml:space="preserve">, complexe enzymatique membranaire fongique composé de deux sous-unités : Fks1p (sous-unité catalytique, ancrée dans la membrane) et Rho1p (sous-unité régulatrice GTPase). La caspofungine se lie à Fks1p et bloque la polymérisation de l’UDP-glucose en β-(1,3)-glucane, composant majeur de la paroi fongique (50-60 % du poids sec). Conséquences : (1) déplétion en β-(1,3)-glucane ; (2) désorganisation de la paroi (couche interne glucanique absente, couche externe mannoprotéinique désorganisée) ; (3) fragilité osmotique ; (4) lyse cellulaire par choc osmotique (effet fungicide sur Candida) ; (5) sur Aspergillus, altération des extrémités hyphales (effet fungistatique, déformant). Sélectivité : la paroi fongique est absente chez l’homme (nos cellules n’ont pas de paroi, seulement une membrane plasmique).</w:t>
      </w:r>
      <w:r>
        <w:t xml:space="preserve"> </w:t>
      </w:r>
      <w:r>
        <w:t xml:space="preserve">- Résistance : mutations du gène FKS1 (chez C. albicans) ou FKS2 (chez C. glabrata) codant la sous-unité catalytique, au niveau des hotspots 1 et 2 (acides aminés 641-649 et 1345-1355). Phénotype : élévation majeure de la CME (concentration efficace minimale). Résistance émergente chez C. glabrata (jusqu’à 10 % dans certaines unités de soins intensifs).</w:t>
      </w:r>
    </w:p>
    <w:p>
      <w:pPr>
        <w:pStyle w:val="BodyText"/>
      </w:pPr>
      <w:r>
        <w:rPr>
          <w:b/>
          <w:bCs/>
        </w:rPr>
        <w:t xml:space="preserve">Profil Pharmacologique :</w:t>
      </w:r>
      <w:r>
        <w:t xml:space="preserve"> </w:t>
      </w:r>
      <w:r>
        <w:t xml:space="preserve">- Indications : (i)</w:t>
      </w:r>
      <w:r>
        <w:t xml:space="preserve"> </w:t>
      </w:r>
      <w:r>
        <w:rPr>
          <w:b/>
          <w:bCs/>
        </w:rPr>
        <w:t xml:space="preserve">candidémie et candidoses invasives</w:t>
      </w:r>
      <w:r>
        <w:t xml:space="preserve"> </w:t>
      </w:r>
      <w:r>
        <w:t xml:space="preserve">(candidémie non neutropénique, péritonite candidosique, abcès hépatique candidosique) — traitement de</w:t>
      </w:r>
      <w:r>
        <w:t xml:space="preserve"> </w:t>
      </w:r>
      <w:r>
        <w:rPr>
          <w:b/>
          <w:bCs/>
        </w:rPr>
        <w:t xml:space="preserve">première ligne</w:t>
      </w:r>
      <w:r>
        <w:t xml:space="preserve"> </w:t>
      </w:r>
      <w:r>
        <w:t xml:space="preserve">(recommandations IDSA 2016, ESCMID 2012) ; (ii) candidose œsophagienne réfractaire au fluconazole ; (iii)</w:t>
      </w:r>
      <w:r>
        <w:t xml:space="preserve"> </w:t>
      </w:r>
      <w:r>
        <w:rPr>
          <w:b/>
          <w:bCs/>
        </w:rPr>
        <w:t xml:space="preserve">aspergillose invasive réfractaire ou intolérante</w:t>
      </w:r>
      <w:r>
        <w:t xml:space="preserve"> </w:t>
      </w:r>
      <w:r>
        <w:t xml:space="preserve">aux autres antifongiques (voriconazole, amphotéricine B) ; (iv)</w:t>
      </w:r>
      <w:r>
        <w:t xml:space="preserve"> </w:t>
      </w:r>
      <w:r>
        <w:rPr>
          <w:b/>
          <w:bCs/>
        </w:rPr>
        <w:t xml:space="preserve">empirique</w:t>
      </w:r>
      <w:r>
        <w:t xml:space="preserve"> </w:t>
      </w:r>
      <w:r>
        <w:t xml:space="preserve">chez le patient neutropénique fébrile à haut risque (allogreffe, hémopathie) ; (v) prophylaxie en cas d’intolérance aux autres antifongiques.</w:t>
      </w:r>
      <w:r>
        <w:t xml:space="preserve"> </w:t>
      </w:r>
      <w:r>
        <w:t xml:space="preserve">- Contre-indications : (1) hypersensibilité aux echinocandines ; (2) co-prescription avec</w:t>
      </w:r>
      <w:r>
        <w:t xml:space="preserve"> </w:t>
      </w:r>
      <w:r>
        <w:rPr>
          <w:b/>
          <w:bCs/>
        </w:rPr>
        <w:t xml:space="preserve">cyclosporine</w:t>
      </w:r>
      <w:r>
        <w:t xml:space="preserve"> </w:t>
      </w:r>
      <w:r>
        <w:t xml:space="preserve">(augmentation x35 % des concentrations de caspofungine — surveillance étroite,ibilité d’utiliser si nécessaire) ; (3) grossesse (déconseillé par mesure de précaution) ; (4) allaitement (déconseillé).</w:t>
      </w:r>
      <w:r>
        <w:t xml:space="preserve"> </w:t>
      </w:r>
      <w:r>
        <w:t xml:space="preserve">- Effets Indésirables : (i) fièvre, frissons, rash (10 %) ; (ii) troubles digestifs (nausées, vomissements, diarrhée — 5 %) ; (iii) céphalées ; (iv)</w:t>
      </w:r>
      <w:r>
        <w:t xml:space="preserve"> </w:t>
      </w:r>
      <w:r>
        <w:rPr>
          <w:b/>
          <w:bCs/>
        </w:rPr>
        <w:t xml:space="preserve">élévation transitoire des transaminases</w:t>
      </w:r>
      <w:r>
        <w:t xml:space="preserve"> </w:t>
      </w:r>
      <w:r>
        <w:t xml:space="preserve">(cytolyse, cholestase — surveillance) ; (v) hypokaliémie ; (vi) réactions à la perfusion (flush, fièvre, tachycardie — histamino-libération, rares) ; (vii) thrombopénie, neutropénie ; (viii) exceptionnels syndromes SJS/TEN.</w:t>
      </w:r>
    </w:p>
    <w:p>
      <w:pPr>
        <w:pStyle w:val="BodyText"/>
      </w:pPr>
      <w:r>
        <w:rPr>
          <w:b/>
          <w:bCs/>
        </w:rPr>
        <w:t xml:space="preserve">Prévention et Gestion des Effets Indésirables :</w:t>
      </w:r>
      <w:r>
        <w:t xml:space="preserve"> </w:t>
      </w:r>
      <w:r>
        <w:t xml:space="preserve">- Mesures Préventives : bilan hépatique avant traitement et 2x/semaine en début ; kaliémie à J7 ; perfusion lente (1 heure minimum) pour éviter les réactions histaminiques ; pas d’adaptation rénale ; adaptation hépatique si Child-Pugh B/C.</w:t>
      </w:r>
      <w:r>
        <w:t xml:space="preserve"> </w:t>
      </w:r>
      <w:r>
        <w:t xml:space="preserve">- Conduite à Tenir : arrêt si cytolyse &gt; 5x LSN ou ictère ; ralentir la perfusion en cas de flush ; arrêt en cas de réaction allergique sévère.</w:t>
      </w:r>
    </w:p>
    <w:p>
      <w:pPr>
        <w:pStyle w:val="BodyText"/>
      </w:pPr>
      <w:r>
        <w:rPr>
          <w:b/>
          <w:bCs/>
        </w:rPr>
        <w:t xml:space="preserve">Interactions Importantes :</w:t>
      </w:r>
      <w:r>
        <w:t xml:space="preserve"> </w:t>
      </w:r>
      <w:r>
        <w:t xml:space="preserve">-</w:t>
      </w:r>
      <w:r>
        <w:t xml:space="preserve"> </w:t>
      </w:r>
      <w:r>
        <w:rPr>
          <w:b/>
          <w:bCs/>
        </w:rPr>
        <w:t xml:space="preserve">Caspofungine + cyclosporine</w:t>
      </w:r>
      <w:r>
        <w:t xml:space="preserve"> </w:t>
      </w:r>
      <w:r>
        <w:t xml:space="preserve">: augmentation x35 % des concentrations de caspofungine (et augmentation modérée de la cyclosporine) — surveillance ASAT/ALAT, utiliser si nécessaire.</w:t>
      </w:r>
      <w:r>
        <w:t xml:space="preserve"> </w:t>
      </w:r>
      <w:r>
        <w:t xml:space="preserve">-</w:t>
      </w:r>
      <w:r>
        <w:t xml:space="preserve"> </w:t>
      </w:r>
      <w:r>
        <w:rPr>
          <w:b/>
          <w:bCs/>
        </w:rPr>
        <w:t xml:space="preserve">Caspofungine + rifampicine</w:t>
      </w:r>
      <w:r>
        <w:t xml:space="preserve"> </w:t>
      </w:r>
      <w:r>
        <w:t xml:space="preserve">: induction — baisse de 25 % concentrations caspofungine (augmenter la dose à 70 mg/j en entretien).</w:t>
      </w:r>
      <w:r>
        <w:t xml:space="preserve"> </w:t>
      </w:r>
      <w:r>
        <w:t xml:space="preserve">-</w:t>
      </w:r>
      <w:r>
        <w:t xml:space="preserve"> </w:t>
      </w:r>
      <w:r>
        <w:rPr>
          <w:b/>
          <w:bCs/>
        </w:rPr>
        <w:t xml:space="preserve">Caspofungine + efavirenz, névirapine, phénytoïne, dexaméthasone, carbamazépine</w:t>
      </w:r>
      <w:r>
        <w:t xml:space="preserve"> </w:t>
      </w:r>
      <w:r>
        <w:t xml:space="preserve">: induction enzymatique mineure — envisager augmentation de la dose d’entretien à 70 mg/j.</w:t>
      </w:r>
      <w:r>
        <w:t xml:space="preserve"> </w:t>
      </w:r>
      <w:r>
        <w:t xml:space="preserve">-</w:t>
      </w:r>
      <w:r>
        <w:t xml:space="preserve"> </w:t>
      </w:r>
      <w:r>
        <w:rPr>
          <w:b/>
          <w:bCs/>
        </w:rPr>
        <w:t xml:space="preserve">Caspofungine + tacrolimus</w:t>
      </w:r>
      <w:r>
        <w:t xml:space="preserve"> </w:t>
      </w:r>
      <w:r>
        <w:t xml:space="preserve">: pas d’interaction cliniquement significative (atout vs azolés).</w:t>
      </w:r>
      <w:r>
        <w:t xml:space="preserve"> </w:t>
      </w:r>
      <w:r>
        <w:t xml:space="preserve">-</w:t>
      </w:r>
      <w:r>
        <w:t xml:space="preserve"> </w:t>
      </w:r>
      <w:r>
        <w:rPr>
          <w:b/>
          <w:bCs/>
        </w:rPr>
        <w:t xml:space="preserve">Caspofungine + AVK</w:t>
      </w:r>
      <w:r>
        <w:t xml:space="preserve"> </w:t>
      </w:r>
      <w:r>
        <w:t xml:space="preserve">: pas d’interaction directe mais surveillance INR (effet indirect sur flore).</w:t>
      </w:r>
      <w:r>
        <w:t xml:space="preserve"> </w:t>
      </w:r>
      <w:r>
        <w:t xml:space="preserve">- Pas d’interaction avec les CYP450 — atout majeur vs triazolés (peu d’interactions médicamenteuses).</w:t>
      </w:r>
    </w:p>
    <w:p>
      <w:pPr>
        <w:pStyle w:val="BodyText"/>
      </w:pPr>
      <w:r>
        <w:rPr>
          <w:b/>
          <w:bCs/>
        </w:rPr>
        <w:t xml:space="preserve">Grossesse et Allaitement :</w:t>
      </w:r>
      <w:r>
        <w:t xml:space="preserve"> </w:t>
      </w:r>
      <w:r>
        <w:t xml:space="preserve">- Grossesse :</w:t>
      </w:r>
      <w:r>
        <w:t xml:space="preserve"> </w:t>
      </w:r>
      <w:r>
        <w:rPr>
          <w:b/>
          <w:bCs/>
        </w:rPr>
        <w:t xml:space="preserve">déconseillé par mesure de précaution</w:t>
      </w:r>
      <w:r>
        <w:t xml:space="preserve"> </w:t>
      </w:r>
      <w:r>
        <w:t xml:space="preserve">— études animales montrant toxicité fœtale (anomalies osseuses) à doses supra-thérapeutiques. Données humaines limitées. À réserver à l’infection grave (candidémie, aspergillose invasive) mettant en jeu le pronostic vital, sans alternative (amphotéricine B liposomale à préférer au 1er trimestre si possible).</w:t>
      </w:r>
      <w:r>
        <w:t xml:space="preserve"> </w:t>
      </w:r>
      <w:r>
        <w:t xml:space="preserve">- Allaitement :</w:t>
      </w:r>
      <w:r>
        <w:t xml:space="preserve"> </w:t>
      </w:r>
      <w:r>
        <w:rPr>
          <w:b/>
          <w:bCs/>
        </w:rPr>
        <w:t xml:space="preserve">déconseillé</w:t>
      </w:r>
      <w:r>
        <w:t xml:space="preserve"> </w:t>
      </w:r>
      <w:r>
        <w:t xml:space="preserve">(données limitées).</w:t>
      </w:r>
      <w:r>
        <w:t xml:space="preserve"> </w:t>
      </w:r>
      <w:r>
        <w:t xml:space="preserve">- Précisions : la caspofungine étant utilisée quasi exclusivement en milieu hospitalier chez des patients gravement malades, la question de la grossesse est rarement posée en pratique.</w:t>
      </w:r>
    </w:p>
    <w:p>
      <w:pPr>
        <w:pStyle w:val="BodyText"/>
      </w:pPr>
      <w:r>
        <w:rPr>
          <w:b/>
          <w:bCs/>
        </w:rPr>
        <w:t xml:space="preserve">Posologie et Mode d’administration (Standard) :</w:t>
      </w:r>
      <w:r>
        <w:t xml:space="preserve"> </w:t>
      </w:r>
      <w:r>
        <w:t xml:space="preserve">- Adulte : (i)</w:t>
      </w:r>
      <w:r>
        <w:t xml:space="preserve"> </w:t>
      </w:r>
      <w:r>
        <w:rPr>
          <w:b/>
          <w:bCs/>
        </w:rPr>
        <w:t xml:space="preserve">dose de charge J1</w:t>
      </w:r>
      <w:r>
        <w:t xml:space="preserve"> </w:t>
      </w:r>
      <w:r>
        <w:t xml:space="preserve">: 70 mg IV en perfusion de 1 heure ; (ii)</w:t>
      </w:r>
      <w:r>
        <w:t xml:space="preserve"> </w:t>
      </w:r>
      <w:r>
        <w:rPr>
          <w:b/>
          <w:bCs/>
        </w:rPr>
        <w:t xml:space="preserve">dose d’entretien à partir de J2</w:t>
      </w:r>
      <w:r>
        <w:t xml:space="preserve"> </w:t>
      </w:r>
      <w:r>
        <w:t xml:space="preserve">: 50 mg IV/j en perfusion de 1 heure ; (iii) adaptation hépatique (Child-Pugh B ou C) : dose de charge 70 mg puis</w:t>
      </w:r>
      <w:r>
        <w:t xml:space="preserve"> </w:t>
      </w:r>
      <w:r>
        <w:rPr>
          <w:b/>
          <w:bCs/>
        </w:rPr>
        <w:t xml:space="preserve">35 mg/j</w:t>
      </w:r>
      <w:r>
        <w:t xml:space="preserve"> </w:t>
      </w:r>
      <w:r>
        <w:t xml:space="preserve">; (iv) adaptation pondérale : si &gt; 80 kg, envisager 70 mg/j en entretien ; (v) durée : candidémie 14 jours après première hémoculture négative ; aspergillose 6–12 semaines minimum.</w:t>
      </w:r>
      <w:r>
        <w:t xml:space="preserve"> </w:t>
      </w:r>
      <w:r>
        <w:t xml:space="preserve">- Enfant ≥ 3 mois : 70 mg/m² J1 (max 70 mg), puis 50 mg/m²/j (max 50 mg).</w:t>
      </w:r>
      <w:r>
        <w:t xml:space="preserve"> </w:t>
      </w:r>
      <w:r>
        <w:t xml:space="preserve">- Durée : selon pathologie — candidémie : 14 jours post-négativation ; aspergillose : 6–12 semaines minimum.</w:t>
      </w:r>
      <w:r>
        <w:t xml:space="preserve"> </w:t>
      </w:r>
      <w:r>
        <w:t xml:space="preserve">- Mode d’administration : perfusion IV stricte (1 heure minimum), dans NaCl 0,9 % ou G5% (compatibilité), pas en bolus. À conserver entre 2 et 8 °C avant reconstitution. Reconstitution avec 10,5 mL de NaCl 0,9 % ou eau ppi, concentration finale 5 mg/mL (50 mg) ou 7 mg/mL (70 mg) ; dilution dans 250 mL NaCl 0,9 % ou G5%. Pas de voie IM ou sous-cutanée.</w:t>
      </w:r>
    </w:p>
    <w:p>
      <w:pPr>
        <w:pStyle w:val="BodyText"/>
      </w:pPr>
      <w:r>
        <w:rPr>
          <w:b/>
          <w:bCs/>
        </w:rPr>
        <w:t xml:space="preserve">Arbitrage et Bénéfices des Formes Galéniques :</w:t>
      </w:r>
      <w:r>
        <w:t xml:space="preserve"> </w:t>
      </w:r>
      <w:r>
        <w:t xml:space="preserve">La caspofungine est uniquement disponible en forme IV (poudre lyophilisée 50 mg et 70 mg). Pas de relais per os — atout de l’anidulafungine et de la micafungine non plus. La dose de charge (70 mg J1) nécessite l’usage du flacon 70 mg ; le traitement d’entretien (50 mg/j) utilise le flacon 50 mg. La disponibilité de génériques (CANGIN, AFUNDAS-L, BDCASPO) réduit le coût par rapport au princeps (CANCIDAS MSD).</w:t>
      </w:r>
    </w:p>
    <w:p>
      <w:pPr>
        <w:pStyle w:val="BodyText"/>
      </w:pPr>
      <w:r>
        <w:rPr>
          <w:b/>
          <w:bCs/>
        </w:rPr>
        <w:t xml:space="preserve">Instructions et Conseils au Patient :</w:t>
      </w:r>
      <w:r>
        <w:t xml:space="preserve"> </w:t>
      </w:r>
      <w:r>
        <w:t xml:space="preserve">- Communication au comptoir : la caspofungine est un médicament hospitalier, délivré en milieu de soins. Le patient (ou sa famille) n’a pas à se soucier de l’observance — administration par le personnel infirmier. Informer que le traitement est administré en perfusion d’une heure, une fois par jour, et qu’une dose plus forte est donnée le premier jour.</w:t>
      </w:r>
      <w:r>
        <w:t xml:space="preserve"> </w:t>
      </w:r>
      <w:r>
        <w:t xml:space="preserve">- Mode d’utilisation pratique : administration hospitalière stricte, perfusion lente (1 h). Surveillance : bilan hépatique, kaliémie.</w:t>
      </w:r>
    </w:p>
    <w:p>
      <w:pPr>
        <w:pStyle w:val="BodyText"/>
      </w:pPr>
      <w:r>
        <w:rPr>
          <w:b/>
          <w:bCs/>
        </w:rPr>
        <w:t xml:space="preserve">Notes, Règles d’Or &amp; Pièges au Comptoir :</w:t>
      </w:r>
      <w:r>
        <w:t xml:space="preserve"> </w:t>
      </w:r>
      <w:r>
        <w:t xml:space="preserve">- Piège classique 1 :</w:t>
      </w:r>
      <w:r>
        <w:t xml:space="preserve"> </w:t>
      </w:r>
      <w:r>
        <w:rPr>
          <w:b/>
          <w:bCs/>
        </w:rPr>
        <w:t xml:space="preserve">oubli de la dose de charge J1</w:t>
      </w:r>
      <w:r>
        <w:t xml:space="preserve"> </w:t>
      </w:r>
      <w:r>
        <w:t xml:space="preserve">= retard à l’équilibre (concentrations sub-thérapeutiques pendant 7 jours).</w:t>
      </w:r>
      <w:r>
        <w:t xml:space="preserve"> </w:t>
      </w:r>
      <w:r>
        <w:t xml:space="preserve">- Piège classique 2 :</w:t>
      </w:r>
      <w:r>
        <w:t xml:space="preserve"> </w:t>
      </w:r>
      <w:r>
        <w:rPr>
          <w:b/>
          <w:bCs/>
        </w:rPr>
        <w:t xml:space="preserve">non adaptation hépatique</w:t>
      </w:r>
      <w:r>
        <w:t xml:space="preserve"> </w:t>
      </w:r>
      <w:r>
        <w:t xml:space="preserve">(Child-Pugh B/C) = surdosage, cytolyse.</w:t>
      </w:r>
      <w:r>
        <w:t xml:space="preserve"> </w:t>
      </w:r>
      <w:r>
        <w:t xml:space="preserve">- Piège classique 3 :</w:t>
      </w:r>
      <w:r>
        <w:t xml:space="preserve"> </w:t>
      </w:r>
      <w:r>
        <w:rPr>
          <w:b/>
          <w:bCs/>
        </w:rPr>
        <w:t xml:space="preserve">perfusion trop rapide</w:t>
      </w:r>
      <w:r>
        <w:t xml:space="preserve"> </w:t>
      </w:r>
      <w:r>
        <w:t xml:space="preserve">(&lt; 1 h) = réaction histaminique.</w:t>
      </w:r>
      <w:r>
        <w:t xml:space="preserve"> </w:t>
      </w:r>
      <w:r>
        <w:t xml:space="preserve">- Piège classique 4 :</w:t>
      </w:r>
      <w:r>
        <w:t xml:space="preserve"> </w:t>
      </w:r>
      <w:r>
        <w:rPr>
          <w:b/>
          <w:bCs/>
        </w:rPr>
        <w:t xml:space="preserve">utilisation dans méningite à Candida ou endophtalmie</w:t>
      </w:r>
      <w:r>
        <w:t xml:space="preserve"> </w:t>
      </w:r>
      <w:r>
        <w:t xml:space="preserve">= diffusion insuffisante dans LCR/humeur aqueuse — préférer fluconazole ou amphotéricine B liposomale.</w:t>
      </w:r>
      <w:r>
        <w:t xml:space="preserve"> </w:t>
      </w:r>
      <w:r>
        <w:t xml:space="preserve">- Règle de prise : 70 mg J1, puis 50 mg/j en perfusion 1 h.</w:t>
      </w:r>
      <w:r>
        <w:t xml:space="preserve"> </w:t>
      </w:r>
      <w:r>
        <w:t xml:space="preserve">- Préparation et Conservation : flacons à conserver entre 2 et 8 °C (réfrigérateur) ; ne pas congeler ; protéger de la lumière. Solution reconstituée stable 24 h à température ambiante ou 48 h à 2-8 °C. Ne pas mélanger avec d’autres médicaments dans la même perfusion (sauf NaCl 0,9 % et G5%). Ne pas utiliser de solvant contenant du dextrose seul.</w:t>
      </w:r>
      <w:r>
        <w:t xml:space="preserve"> </w:t>
      </w:r>
      <w:r>
        <w:t xml:space="preserve">- Piège du surdosage / Substitution : les génériques (CANGIN, AFUNDAS-L, BDCASPO) sont équivalents au princeps (CANCIDAS). Substitution possible. Attention : la caspofungine n’est PAS active sur les mucormycètes ni sur Cryptococcus.</w:t>
      </w:r>
    </w:p>
    <w:p>
      <w:r>
        <w:pict>
          <v:rect style="width:0;height:1.5pt" o:hralign="center" o:hrstd="t" o:hr="t"/>
        </w:pict>
      </w:r>
    </w:p>
    <w:bookmarkEnd w:id="83"/>
    <w:bookmarkStart w:id="84" w:name="dci-anidulafungine-seule"/>
    <w:p>
      <w:pPr>
        <w:pStyle w:val="Heading3"/>
      </w:pPr>
      <w:r>
        <w:t xml:space="preserve">12.5.3 DCI : Anidulafungine (Seule)</w:t>
      </w:r>
    </w:p>
    <w:p>
      <w:pPr>
        <w:pStyle w:val="FirstParagraph"/>
      </w:pPr>
      <w:r>
        <w:rPr>
          <w:b/>
          <w:bCs/>
        </w:rPr>
        <w:t xml:space="preserve">Liste des Catégories :</w:t>
      </w:r>
      <w:r>
        <w:t xml:space="preserve"> </w:t>
      </w:r>
      <w:r>
        <w:t xml:space="preserve">Liste I ; prescription initiale hospitalière réservée aux spécialistes en infectiologie, réanimation, hématologie ou oncologie.</w:t>
      </w:r>
    </w:p>
    <w:p>
      <w:pPr>
        <w:pStyle w:val="BodyText"/>
      </w:pPr>
      <w:r>
        <w:t xml:space="preserve">L’anidulafungine est la troisième echinocandine commercialisée (2006, Eraxis/Ecalta Pfizer). Sa particularité pharmacocinétique majeure est son</w:t>
      </w:r>
      <w:r>
        <w:t xml:space="preserve"> </w:t>
      </w:r>
      <w:r>
        <w:rPr>
          <w:b/>
          <w:bCs/>
        </w:rPr>
        <w:t xml:space="preserve">métabolisme non enzymatique</w:t>
      </w:r>
      <w:r>
        <w:t xml:space="preserve"> </w:t>
      </w:r>
      <w:r>
        <w:t xml:space="preserve">: elle est dégradée par</w:t>
      </w:r>
      <w:r>
        <w:t xml:space="preserve"> </w:t>
      </w:r>
      <w:r>
        <w:rPr>
          <w:b/>
          <w:bCs/>
        </w:rPr>
        <w:t xml:space="preserve">dégradation chimique spontanée</w:t>
      </w:r>
      <w:r>
        <w:t xml:space="preserve"> </w:t>
      </w:r>
      <w:r>
        <w:t xml:space="preserve">(péptide qui se dégrade en peptides inactifs par hydrolyse non enzymatique à pH physiologique), sans intervention du foie ni des reins. Cette caractéristique unique lui confère : (1)</w:t>
      </w:r>
      <w:r>
        <w:t xml:space="preserve"> </w:t>
      </w:r>
      <w:r>
        <w:rPr>
          <w:b/>
          <w:bCs/>
        </w:rPr>
        <w:t xml:space="preserve">demi-vie très longue</w:t>
      </w:r>
      <w:r>
        <w:t xml:space="preserve"> </w:t>
      </w:r>
      <w:r>
        <w:t xml:space="preserve">(~ 27 heures) — administration quotidienne unique, concentration d’équilibre à J4 ; (2)</w:t>
      </w:r>
      <w:r>
        <w:t xml:space="preserve"> </w:t>
      </w:r>
      <w:r>
        <w:rPr>
          <w:b/>
          <w:bCs/>
        </w:rPr>
        <w:t xml:space="preserve">aucune adaptation hépatique</w:t>
      </w:r>
      <w:r>
        <w:t xml:space="preserve"> </w:t>
      </w:r>
      <w:r>
        <w:t xml:space="preserve">nécessaire (atout vs caspofungine) ; (3)</w:t>
      </w:r>
      <w:r>
        <w:t xml:space="preserve"> </w:t>
      </w:r>
      <w:r>
        <w:rPr>
          <w:b/>
          <w:bCs/>
        </w:rPr>
        <w:t xml:space="preserve">aucune adaptation rénale</w:t>
      </w:r>
      <w:r>
        <w:t xml:space="preserve"> </w:t>
      </w:r>
      <w:r>
        <w:t xml:space="preserve">nécessaire (atout vs toutes les autres classes) ; (4)</w:t>
      </w:r>
      <w:r>
        <w:t xml:space="preserve"> </w:t>
      </w:r>
      <w:r>
        <w:rPr>
          <w:b/>
          <w:bCs/>
        </w:rPr>
        <w:t xml:space="preserve">pas d’interactions médicamenteuses</w:t>
      </w:r>
      <w:r>
        <w:t xml:space="preserve"> </w:t>
      </w:r>
      <w:r>
        <w:t xml:space="preserve">via les CYP450 ou la P-gp (atout majeur vs triazolés). Liaison aux protéines plasmatiques élevée (&gt; 84 %). Distribution tissulaire large mais limitée dans le LCR et les urines.</w:t>
      </w:r>
    </w:p>
    <w:p>
      <w:pPr>
        <w:pStyle w:val="BodyText"/>
      </w:pPr>
      <w:r>
        <w:rPr>
          <w:b/>
          <w:bCs/>
        </w:rPr>
        <w:t xml:space="preserve">Médicaments disponibles en Algérie (Marques, Laboratoires, Formes et Dosages) :</w:t>
      </w:r>
    </w:p>
    <w:p>
      <w:pPr>
        <w:pStyle w:val="BodyText"/>
      </w:pPr>
      <w:r>
        <w:rPr>
          <w:i/>
          <w:iCs/>
        </w:rPr>
        <w:t xml:space="preserve">Forme injectable IV (poudre lyophilisée) — STATUT ACTIF :</w:t>
      </w:r>
      <w:r>
        <w:t xml:space="preserve"> </w:t>
      </w:r>
      <w:r>
        <w:t xml:space="preserve">-</w:t>
      </w:r>
      <w:r>
        <w:t xml:space="preserve"> </w:t>
      </w:r>
      <w:r>
        <w:rPr>
          <w:b/>
          <w:bCs/>
        </w:rPr>
        <w:t xml:space="preserve">ECALTA</w:t>
      </w:r>
      <w:r>
        <w:t xml:space="preserve"> </w:t>
      </w:r>
      <w:r>
        <w:t xml:space="preserve">(PFIZER EUROPE MA EEIG)</w:t>
      </w:r>
      <w:r>
        <w:t xml:space="preserve"> </w:t>
      </w:r>
      <w:r>
        <w:t xml:space="preserve">- Formes et Dosages : Poudre pour solution à diluer pour perfusion IV 100 mg (B/01 flacon de 30 mL)</w:t>
      </w:r>
      <w:r>
        <w:t xml:space="preserve"> </w:t>
      </w:r>
      <w:r>
        <w:t xml:space="preserve">- Statut : Actif</w:t>
      </w:r>
    </w:p>
    <w:p>
      <w:pPr>
        <w:pStyle w:val="BodyText"/>
      </w:pPr>
      <w:r>
        <w:t xml:space="preserve">Une seule marque et un seul dosage (100 mg) disponibles en Algérie. Le schéma posologique comprend une dose de charge de 200 mg J1 (donc 2 flacons) puis 100 mg/j en entretien (1 flacon/jour).</w:t>
      </w:r>
    </w:p>
    <w:p>
      <w:pPr>
        <w:pStyle w:val="BodyText"/>
      </w:pPr>
      <w:r>
        <w:rPr>
          <w:b/>
          <w:bCs/>
        </w:rPr>
        <w:t xml:space="preserve">Sous-classe et Mécanisme d’action :</w:t>
      </w:r>
      <w:r>
        <w:t xml:space="preserve"> </w:t>
      </w:r>
      <w:r>
        <w:t xml:space="preserve">- Sous-classe : echinocandine semi-synthétique (dérivé d’échinocandine B), inhibiteur de la β-(1,3)-D-glucane synthase. Fungicide sur Candida, fungistatique sur Aspergillus. Métabolisme non enzymatique unique.</w:t>
      </w:r>
      <w:r>
        <w:t xml:space="preserve"> </w:t>
      </w:r>
      <w:r>
        <w:t xml:space="preserve">- Mécanisme d’action :</w:t>
      </w:r>
      <w:r>
        <w:t xml:space="preserve"> </w:t>
      </w:r>
      <w:r>
        <w:rPr>
          <w:b/>
          <w:bCs/>
        </w:rPr>
        <w:t xml:space="preserve">inhibition non compétitive et réversible de la β-(1,3)-D-glucane synthase</w:t>
      </w:r>
      <w:r>
        <w:t xml:space="preserve"> </w:t>
      </w:r>
      <w:r>
        <w:t xml:space="preserve">(FKS1/FKS2) — identique à la caspofungine. Polymérisation de l’UDP-glucose en β-(1,3)-glucane bloquée → paroi défectueuse → lyse cellulaire (Candida) ou déformation hyphale (Aspergillus). Effet fungicide sur Candida, fungistatique sur Aspergillus. Aucune activité sur Cryptococcus, mucormycètes, Fusarium.</w:t>
      </w:r>
      <w:r>
        <w:t xml:space="preserve"> </w:t>
      </w:r>
      <w:r>
        <w:t xml:space="preserve">- Résistance : mutations FKS1/FKS2 (hotspots 1 et 2), identiques à la caspofungine (résistance croisée entre echinocandines).</w:t>
      </w:r>
    </w:p>
    <w:p>
      <w:pPr>
        <w:pStyle w:val="BodyText"/>
      </w:pPr>
      <w:r>
        <w:rPr>
          <w:b/>
          <w:bCs/>
        </w:rPr>
        <w:t xml:space="preserve">Profil Pharmacologique :</w:t>
      </w:r>
      <w:r>
        <w:t xml:space="preserve"> </w:t>
      </w:r>
      <w:r>
        <w:t xml:space="preserve">- Indications : (i)</w:t>
      </w:r>
      <w:r>
        <w:t xml:space="preserve"> </w:t>
      </w:r>
      <w:r>
        <w:rPr>
          <w:b/>
          <w:bCs/>
        </w:rPr>
        <w:t xml:space="preserve">candidémie et candidoses invasives</w:t>
      </w:r>
      <w:r>
        <w:t xml:space="preserve"> </w:t>
      </w:r>
      <w:r>
        <w:t xml:space="preserve">(candidémie non neutropénique, péritonite candidosique) — traitement de première ligne (alternative à la caspofungine) ; (ii) candidose œsophagienne (alternative au fluconazole, surtout si résistance). L’anidulafungine est</w:t>
      </w:r>
      <w:r>
        <w:t xml:space="preserve"> </w:t>
      </w:r>
      <w:r>
        <w:rPr>
          <w:b/>
          <w:bCs/>
        </w:rPr>
        <w:t xml:space="preserve">validée dans l’aspergillose invasive</w:t>
      </w:r>
      <w:r>
        <w:t xml:space="preserve"> </w:t>
      </w:r>
      <w:r>
        <w:t xml:space="preserve">(essai clinique positif, AMM dans cette indication aux USA, mais en Europe elle est essentiellement utilisée dans les candidoses).</w:t>
      </w:r>
      <w:r>
        <w:t xml:space="preserve"> </w:t>
      </w:r>
      <w:r>
        <w:t xml:space="preserve">- Contre-indications : (1) hypersensibilité aux echinocandines ; (2) grossesse (déconseillé par mesure de précaution) ; (3) allaitement (déconseillé).</w:t>
      </w:r>
      <w:r>
        <w:t xml:space="preserve"> </w:t>
      </w:r>
      <w:r>
        <w:t xml:space="preserve">- Effets Indésirables : (i) fièvre, rash, diarrhée (10 %) ; (ii) troubles digestifs (nausées, vomissements, diarrhée — 5 %) ; (iii) céphalées ; (iv)</w:t>
      </w:r>
      <w:r>
        <w:t xml:space="preserve"> </w:t>
      </w:r>
      <w:r>
        <w:rPr>
          <w:b/>
          <w:bCs/>
        </w:rPr>
        <w:t xml:space="preserve">élévation transitoire des transaminases</w:t>
      </w:r>
      <w:r>
        <w:t xml:space="preserve"> </w:t>
      </w:r>
      <w:r>
        <w:t xml:space="preserve">(cytolyse — surveillance) ; (v) hypokaliémie ; (vi) réactions à la perfusion (flush, fièvre — histamino-libération) ; (vii) exceptionnels SJS/TEN ; (viii) thrombopénie, neutropénie.</w:t>
      </w:r>
    </w:p>
    <w:p>
      <w:pPr>
        <w:pStyle w:val="BodyText"/>
      </w:pPr>
      <w:r>
        <w:rPr>
          <w:b/>
          <w:bCs/>
        </w:rPr>
        <w:t xml:space="preserve">Prévention et Gestion des Effets Indésirables :</w:t>
      </w:r>
      <w:r>
        <w:t xml:space="preserve"> </w:t>
      </w:r>
      <w:r>
        <w:t xml:space="preserve">- Mesures Préventives : bilan hépatique avant traitement et 2x/semaine ; kaliémie à J7 ; perfusion lente (1 heure minimum) — ne pas dépasser 1,1 mg/min (sinon risque d’histamino-libération).</w:t>
      </w:r>
      <w:r>
        <w:t xml:space="preserve"> </w:t>
      </w:r>
      <w:r>
        <w:t xml:space="preserve">- Conduite à Tenir : arrêt si cytolyse &gt; 5x LSN ; ralentir la perfusion en cas de flush ; arrêt en cas de réaction allergique sévère.</w:t>
      </w:r>
    </w:p>
    <w:p>
      <w:pPr>
        <w:pStyle w:val="BodyText"/>
      </w:pPr>
      <w:r>
        <w:rPr>
          <w:b/>
          <w:bCs/>
        </w:rPr>
        <w:t xml:space="preserve">Interactions Importantes :</w:t>
      </w:r>
      <w:r>
        <w:t xml:space="preserve"> </w:t>
      </w:r>
      <w:r>
        <w:t xml:space="preserve">-</w:t>
      </w:r>
      <w:r>
        <w:t xml:space="preserve"> </w:t>
      </w:r>
      <w:r>
        <w:rPr>
          <w:b/>
          <w:bCs/>
        </w:rPr>
        <w:t xml:space="preserve">Anidulafungine + cyclosporine</w:t>
      </w:r>
      <w:r>
        <w:t xml:space="preserve"> </w:t>
      </w:r>
      <w:r>
        <w:t xml:space="preserve">: pas d’interaction cliniquement significative (différence vs caspofungine).</w:t>
      </w:r>
      <w:r>
        <w:t xml:space="preserve"> </w:t>
      </w:r>
      <w:r>
        <w:t xml:space="preserve">-</w:t>
      </w:r>
      <w:r>
        <w:t xml:space="preserve"> </w:t>
      </w:r>
      <w:r>
        <w:rPr>
          <w:b/>
          <w:bCs/>
        </w:rPr>
        <w:t xml:space="preserve">Anidulafungine + tacrolimus</w:t>
      </w:r>
      <w:r>
        <w:t xml:space="preserve"> </w:t>
      </w:r>
      <w:r>
        <w:t xml:space="preserve">: pas d’interaction.</w:t>
      </w:r>
      <w:r>
        <w:t xml:space="preserve"> </w:t>
      </w:r>
      <w:r>
        <w:t xml:space="preserve">-</w:t>
      </w:r>
      <w:r>
        <w:t xml:space="preserve"> </w:t>
      </w:r>
      <w:r>
        <w:rPr>
          <w:b/>
          <w:bCs/>
        </w:rPr>
        <w:t xml:space="preserve">Anidulafungine + voriconazole</w:t>
      </w:r>
      <w:r>
        <w:t xml:space="preserve"> </w:t>
      </w:r>
      <w:r>
        <w:t xml:space="preserve">: pas d’interaction pharmacocinétique (association synergique possible).</w:t>
      </w:r>
      <w:r>
        <w:t xml:space="preserve"> </w:t>
      </w:r>
      <w:r>
        <w:t xml:space="preserve">-</w:t>
      </w:r>
      <w:r>
        <w:t xml:space="preserve"> </w:t>
      </w:r>
      <w:r>
        <w:rPr>
          <w:b/>
          <w:bCs/>
        </w:rPr>
        <w:t xml:space="preserve">Anidulafungine + rifampicine</w:t>
      </w:r>
      <w:r>
        <w:t xml:space="preserve"> </w:t>
      </w:r>
      <w:r>
        <w:t xml:space="preserve">: pas d’interaction cliniquement significative (légère baisse non pertinente).</w:t>
      </w:r>
      <w:r>
        <w:t xml:space="preserve"> </w:t>
      </w:r>
      <w:r>
        <w:t xml:space="preserve">-</w:t>
      </w:r>
      <w:r>
        <w:t xml:space="preserve"> </w:t>
      </w:r>
      <w:r>
        <w:rPr>
          <w:b/>
          <w:bCs/>
        </w:rPr>
        <w:t xml:space="preserve">Anidulafungine + amphotéricine B</w:t>
      </w:r>
      <w:r>
        <w:t xml:space="preserve"> </w:t>
      </w:r>
      <w:r>
        <w:t xml:space="preserve">: pas d’interaction (association synergique possible).</w:t>
      </w:r>
      <w:r>
        <w:t xml:space="preserve"> </w:t>
      </w:r>
      <w:r>
        <w:t xml:space="preserve">- Aucune interaction via CYP450 ou P-gp — atout majeur. La plus « propre » des echinocandines en termes d’interactions.</w:t>
      </w:r>
    </w:p>
    <w:p>
      <w:pPr>
        <w:pStyle w:val="BodyText"/>
      </w:pPr>
      <w:r>
        <w:rPr>
          <w:b/>
          <w:bCs/>
        </w:rPr>
        <w:t xml:space="preserve">Grossesse et Allaitement :</w:t>
      </w:r>
      <w:r>
        <w:t xml:space="preserve"> </w:t>
      </w:r>
      <w:r>
        <w:t xml:space="preserve">- Grossesse :</w:t>
      </w:r>
      <w:r>
        <w:t xml:space="preserve"> </w:t>
      </w:r>
      <w:r>
        <w:rPr>
          <w:b/>
          <w:bCs/>
        </w:rPr>
        <w:t xml:space="preserve">déconseillé par mesure de précaution</w:t>
      </w:r>
      <w:r>
        <w:t xml:space="preserve"> </w:t>
      </w:r>
      <w:r>
        <w:t xml:space="preserve">— études animales limitées, pas de signal tératogène clair. À réserver à l’infection grave sans alternative.</w:t>
      </w:r>
      <w:r>
        <w:t xml:space="preserve"> </w:t>
      </w:r>
      <w:r>
        <w:t xml:space="preserve">- Allaitement :</w:t>
      </w:r>
      <w:r>
        <w:t xml:space="preserve"> </w:t>
      </w:r>
      <w:r>
        <w:rPr>
          <w:b/>
          <w:bCs/>
        </w:rPr>
        <w:t xml:space="preserve">déconseillé</w:t>
      </w:r>
      <w:r>
        <w:t xml:space="preserve"> </w:t>
      </w:r>
      <w:r>
        <w:t xml:space="preserve">(données limitées).</w:t>
      </w:r>
      <w:r>
        <w:t xml:space="preserve"> </w:t>
      </w:r>
      <w:r>
        <w:t xml:space="preserve">- Précisions : usage hospitalier exclusif — la question se pose rarement en pratique.</w:t>
      </w:r>
    </w:p>
    <w:p>
      <w:pPr>
        <w:pStyle w:val="BodyText"/>
      </w:pPr>
      <w:r>
        <w:rPr>
          <w:b/>
          <w:bCs/>
        </w:rPr>
        <w:t xml:space="preserve">Posologie et Mode d’administration (Standard) :</w:t>
      </w:r>
      <w:r>
        <w:t xml:space="preserve"> </w:t>
      </w:r>
      <w:r>
        <w:t xml:space="preserve">- Adulte : (i)</w:t>
      </w:r>
      <w:r>
        <w:t xml:space="preserve"> </w:t>
      </w:r>
      <w:r>
        <w:rPr>
          <w:b/>
          <w:bCs/>
        </w:rPr>
        <w:t xml:space="preserve">dose de charge J1</w:t>
      </w:r>
      <w:r>
        <w:t xml:space="preserve"> </w:t>
      </w:r>
      <w:r>
        <w:t xml:space="preserve">: 200 mg IV en perfusion de 1 heure (soit 2 flacons de 100 mg) ; (ii)</w:t>
      </w:r>
      <w:r>
        <w:t xml:space="preserve"> </w:t>
      </w:r>
      <w:r>
        <w:rPr>
          <w:b/>
          <w:bCs/>
        </w:rPr>
        <w:t xml:space="preserve">dose d’entretien à partir de J2</w:t>
      </w:r>
      <w:r>
        <w:t xml:space="preserve"> </w:t>
      </w:r>
      <w:r>
        <w:t xml:space="preserve">: 100 mg IV/j en perfusion de 1 heure (soit 1 flacon/jour) ; (iii)</w:t>
      </w:r>
      <w:r>
        <w:t xml:space="preserve"> </w:t>
      </w:r>
      <w:r>
        <w:rPr>
          <w:b/>
          <w:bCs/>
        </w:rPr>
        <w:t xml:space="preserve">pas d’adaptation hépatique</w:t>
      </w:r>
      <w:r>
        <w:t xml:space="preserve"> </w:t>
      </w:r>
      <w:r>
        <w:t xml:space="preserve">; (iv)</w:t>
      </w:r>
      <w:r>
        <w:t xml:space="preserve"> </w:t>
      </w:r>
      <w:r>
        <w:rPr>
          <w:b/>
          <w:bCs/>
        </w:rPr>
        <w:t xml:space="preserve">pas d’adaptation rénale</w:t>
      </w:r>
      <w:r>
        <w:t xml:space="preserve"> </w:t>
      </w:r>
      <w:r>
        <w:t xml:space="preserve">(même en dialyse) ; (v) durée : candidémie 14 jours après première hémoculture négative ; candidose œsophagienne 14–21 jours minimum.</w:t>
      </w:r>
      <w:r>
        <w:t xml:space="preserve"> </w:t>
      </w:r>
      <w:r>
        <w:t xml:space="preserve">- Enfant ≥ 1 mois : 3 mg/kg J1, puis 1,5 mg/kg/j en entretien.</w:t>
      </w:r>
      <w:r>
        <w:t xml:space="preserve"> </w:t>
      </w:r>
      <w:r>
        <w:t xml:space="preserve">- Durée : selon pathologie — candidémie : 14 jours post-négativation ; candidose œsophagienne : 14–21 jours.</w:t>
      </w:r>
      <w:r>
        <w:t xml:space="preserve"> </w:t>
      </w:r>
      <w:r>
        <w:t xml:space="preserve">- Mode d’administration : perfusion IV stricte (1 heure minimum, ne pas dépasser 1,1 mg/min). Reconstitution avec 30 mL de NaCl 0,9 % ou eau ppi (concentration 3,33 mg/mL) ; dilution dans 100 mL NaCl 0,9 % ou G5%. Compatible NaCl 0,9 % et G5%. Ne pas mélanger avec d’autres médicaments. Pas de voie IM ou sous-cutanée.</w:t>
      </w:r>
    </w:p>
    <w:p>
      <w:pPr>
        <w:pStyle w:val="BodyText"/>
      </w:pPr>
      <w:r>
        <w:rPr>
          <w:b/>
          <w:bCs/>
        </w:rPr>
        <w:t xml:space="preserve">Arbitrage et Bénéfices des Formes Galéniques :</w:t>
      </w:r>
      <w:r>
        <w:t xml:space="preserve"> </w:t>
      </w:r>
      <w:r>
        <w:t xml:space="preserve">L’anidulafungine est uniquement disponible en forme IV (poudre 100 mg/flacon, marque ECALTA Pfizer). L’absence de générique en Algérie en fait un médicament plus onéreux que la caspofungine (qui dispose de génériques). Cependant, son profil PK (pas d’adaptation hépatique ni rénale, pas d’interactions) en fait l’echinocandine de choix chez le patient</w:t>
      </w:r>
      <w:r>
        <w:t xml:space="preserve"> </w:t>
      </w:r>
      <w:r>
        <w:rPr>
          <w:b/>
          <w:bCs/>
        </w:rPr>
        <w:t xml:space="preserve">insuffisant hépatique</w:t>
      </w:r>
      <w:r>
        <w:t xml:space="preserve"> </w:t>
      </w:r>
      <w:r>
        <w:t xml:space="preserve">(Child-Pugh B ou C), le patient</w:t>
      </w:r>
      <w:r>
        <w:t xml:space="preserve"> </w:t>
      </w:r>
      <w:r>
        <w:rPr>
          <w:b/>
          <w:bCs/>
        </w:rPr>
        <w:t xml:space="preserve">polymédiqué</w:t>
      </w:r>
      <w:r>
        <w:t xml:space="preserve"> </w:t>
      </w:r>
      <w:r>
        <w:t xml:space="preserve">(transplanté, ICU), et le patient sous</w:t>
      </w:r>
      <w:r>
        <w:t xml:space="preserve"> </w:t>
      </w:r>
      <w:r>
        <w:rPr>
          <w:b/>
          <w:bCs/>
        </w:rPr>
        <w:t xml:space="preserve">cyclosporine</w:t>
      </w:r>
      <w:r>
        <w:t xml:space="preserve"> </w:t>
      </w:r>
      <w:r>
        <w:t xml:space="preserve">ou</w:t>
      </w:r>
      <w:r>
        <w:t xml:space="preserve"> </w:t>
      </w:r>
      <w:r>
        <w:rPr>
          <w:b/>
          <w:bCs/>
        </w:rPr>
        <w:t xml:space="preserve">tacrolimus</w:t>
      </w:r>
      <w:r>
        <w:t xml:space="preserve"> </w:t>
      </w:r>
      <w:r>
        <w:t xml:space="preserve">(pas d’interaction). À noter : pas de relais per os (forme orale non disponible).</w:t>
      </w:r>
    </w:p>
    <w:p>
      <w:pPr>
        <w:pStyle w:val="BodyText"/>
      </w:pPr>
      <w:r>
        <w:rPr>
          <w:b/>
          <w:bCs/>
        </w:rPr>
        <w:t xml:space="preserve">Instructions et Conseils au Patient :</w:t>
      </w:r>
      <w:r>
        <w:t xml:space="preserve"> </w:t>
      </w:r>
      <w:r>
        <w:t xml:space="preserve">- Communication au comptoir : médicament strictement hospitalier. Le patient n’a pas à se soucier de l’observance. Informer sur la perfusion quotidienne d’une heure et la dose de charge plus importante le premier jour.</w:t>
      </w:r>
      <w:r>
        <w:t xml:space="preserve"> </w:t>
      </w:r>
      <w:r>
        <w:t xml:space="preserve">- Mode d’utilisation pratique : administration hospitalière, perfusion lente 1 h.</w:t>
      </w:r>
    </w:p>
    <w:p>
      <w:pPr>
        <w:pStyle w:val="BodyText"/>
      </w:pPr>
      <w:r>
        <w:rPr>
          <w:b/>
          <w:bCs/>
        </w:rPr>
        <w:t xml:space="preserve">Notes, Règles d’Or &amp; Pièges au Comptoir :</w:t>
      </w:r>
      <w:r>
        <w:t xml:space="preserve"> </w:t>
      </w:r>
      <w:r>
        <w:t xml:space="preserve">- Piège classique 1 :</w:t>
      </w:r>
      <w:r>
        <w:t xml:space="preserve"> </w:t>
      </w:r>
      <w:r>
        <w:rPr>
          <w:b/>
          <w:bCs/>
        </w:rPr>
        <w:t xml:space="preserve">oubli de la dose de charge J1</w:t>
      </w:r>
      <w:r>
        <w:t xml:space="preserve"> </w:t>
      </w:r>
      <w:r>
        <w:t xml:space="preserve">= retard à l’équilibre (4 jours vs 1 jour).</w:t>
      </w:r>
      <w:r>
        <w:t xml:space="preserve"> </w:t>
      </w:r>
      <w:r>
        <w:t xml:space="preserve">- Piège classique 2 :</w:t>
      </w:r>
      <w:r>
        <w:t xml:space="preserve"> </w:t>
      </w:r>
      <w:r>
        <w:rPr>
          <w:b/>
          <w:bCs/>
        </w:rPr>
        <w:t xml:space="preserve">perfusion trop rapide</w:t>
      </w:r>
      <w:r>
        <w:t xml:space="preserve"> </w:t>
      </w:r>
      <w:r>
        <w:t xml:space="preserve">(&lt; 1 h ou &gt; 1,1 mg/min) = histamino-libération (flush, bronchospasme).</w:t>
      </w:r>
      <w:r>
        <w:t xml:space="preserve"> </w:t>
      </w:r>
      <w:r>
        <w:t xml:space="preserve">- Piège classique 3 :</w:t>
      </w:r>
      <w:r>
        <w:t xml:space="preserve"> </w:t>
      </w:r>
      <w:r>
        <w:rPr>
          <w:b/>
          <w:bCs/>
        </w:rPr>
        <w:t xml:space="preserve">non utilisation chez l’insuffisant hépatique</w:t>
      </w:r>
      <w:r>
        <w:t xml:space="preserve"> </w:t>
      </w:r>
      <w:r>
        <w:t xml:space="preserve">par excès de prudence = privation d’un atout thérapeutique majeur (l’anidulafungine est l’echinocandine de choix dans l’insuffisance hépatique — pas d’adaptation).</w:t>
      </w:r>
      <w:r>
        <w:t xml:space="preserve"> </w:t>
      </w:r>
      <w:r>
        <w:t xml:space="preserve">- Piège classique 4 :</w:t>
      </w:r>
      <w:r>
        <w:t xml:space="preserve"> </w:t>
      </w:r>
      <w:r>
        <w:rPr>
          <w:b/>
          <w:bCs/>
        </w:rPr>
        <w:t xml:space="preserve">utilisation dans méningite à Candida</w:t>
      </w:r>
      <w:r>
        <w:t xml:space="preserve"> </w:t>
      </w:r>
      <w:r>
        <w:t xml:space="preserve">= diffusion LCR insuffisante — préférer fluconazole ou amphotéricine B liposomale.</w:t>
      </w:r>
      <w:r>
        <w:t xml:space="preserve"> </w:t>
      </w:r>
      <w:r>
        <w:t xml:space="preserve">- Règle de prise : 200 mg J1, puis 100 mg/j en perfusion 1 h. Pas d’adaptation rénale ni hépatique.</w:t>
      </w:r>
      <w:r>
        <w:t xml:space="preserve"> </w:t>
      </w:r>
      <w:r>
        <w:t xml:space="preserve">- Préparation et Conservation : flacons à conserver entre 2 et 8 °C (réfrigérateur) ; ne pas congeler. Solution reconstituée stable 24 h à température ambiante. Ne pas utiliser si présence de particules ou changement de couleur.</w:t>
      </w:r>
      <w:r>
        <w:t xml:space="preserve"> </w:t>
      </w:r>
      <w:r>
        <w:t xml:space="preserve">- Piège du surdosage / Substitution : pas de substitution possible (une seule marque). Médicament d’exception — usage strictement hospitalier. L’anidulafungine n’est PAS active sur les mucormycètes ni sur Cryptococcus.</w:t>
      </w:r>
    </w:p>
    <w:p>
      <w:r>
        <w:pict>
          <v:rect style="width:0;height:1.5pt" o:hralign="center" o:hrstd="t" o:hr="t"/>
        </w:pict>
      </w:r>
    </w:p>
    <w:bookmarkEnd w:id="84"/>
    <w:bookmarkEnd w:id="85"/>
    <w:bookmarkStart w:id="89" w:name="sous-classe-antifongiques-divers"/>
    <w:p>
      <w:pPr>
        <w:pStyle w:val="Heading2"/>
      </w:pPr>
      <w:r>
        <w:t xml:space="preserve">12.6 Sous-classe : Antifongiques Divers</w:t>
      </w:r>
    </w:p>
    <w:bookmarkStart w:id="86" w:name="introduction-de-la-sous-classe-4"/>
    <w:p>
      <w:pPr>
        <w:pStyle w:val="Heading3"/>
      </w:pPr>
      <w:r>
        <w:t xml:space="preserve">12.6.1 Introduction de la sous-classe</w:t>
      </w:r>
    </w:p>
    <w:p>
      <w:pPr>
        <w:pStyle w:val="FirstParagraph"/>
      </w:pPr>
      <w:r>
        <w:t xml:space="preserve">La sous-classe « Antifongiques Divers » regroupe des molécules antifongiques qui n’appartiennent à aucune des grandes familles précédemment décrites (polyènes, azolés, allylamines, morpholines, echinocandines). Deux molécules sont disponibles en Algérie : la</w:t>
      </w:r>
      <w:r>
        <w:t xml:space="preserve"> </w:t>
      </w:r>
      <w:r>
        <w:rPr>
          <w:b/>
          <w:bCs/>
        </w:rPr>
        <w:t xml:space="preserve">griséofulvine</w:t>
      </w:r>
      <w:r>
        <w:t xml:space="preserve"> </w:t>
      </w:r>
      <w:r>
        <w:t xml:space="preserve">et le</w:t>
      </w:r>
      <w:r>
        <w:t xml:space="preserve"> </w:t>
      </w:r>
      <w:r>
        <w:rPr>
          <w:b/>
          <w:bCs/>
        </w:rPr>
        <w:t xml:space="preserve">ciclopirox</w:t>
      </w:r>
      <w:r>
        <w:t xml:space="preserve">. Elles partagent uniquement le fait d’avoir un mécanisme d’action original :</w:t>
      </w:r>
    </w:p>
    <w:p>
      <w:pPr>
        <w:numPr>
          <w:ilvl w:val="0"/>
          <w:numId w:val="1157"/>
        </w:numPr>
      </w:pPr>
      <w:r>
        <w:t xml:space="preserve">La</w:t>
      </w:r>
      <w:r>
        <w:t xml:space="preserve"> </w:t>
      </w:r>
      <w:r>
        <w:rPr>
          <w:b/>
          <w:bCs/>
        </w:rPr>
        <w:t xml:space="preserve">griséofulvine</w:t>
      </w:r>
      <w:r>
        <w:t xml:space="preserve"> </w:t>
      </w:r>
      <w:r>
        <w:t xml:space="preserve">est un antifongique naturel, produit par Penicillium griseofulvum, isolé en 1939. C’est le plus ancien antifongique systémique disponible (commercialisé depuis 1958). Son mécanisme d’action est original :</w:t>
      </w:r>
      <w:r>
        <w:t xml:space="preserve"> </w:t>
      </w:r>
      <w:r>
        <w:rPr>
          <w:b/>
          <w:bCs/>
        </w:rPr>
        <w:t xml:space="preserve">inhibition de la mitose fongique</w:t>
      </w:r>
      <w:r>
        <w:t xml:space="preserve"> </w:t>
      </w:r>
      <w:r>
        <w:t xml:space="preserve">par liaison aux microtubules ( analogue à la vinblastine/vincristine en oncologie — mais cible spécifique aux microtubules fongiques via la β-tubuline) et inhibition de la</w:t>
      </w:r>
      <w:r>
        <w:t xml:space="preserve"> </w:t>
      </w:r>
      <w:r>
        <w:rPr>
          <w:b/>
          <w:bCs/>
        </w:rPr>
        <w:t xml:space="preserve">chitine synthase</w:t>
      </w:r>
      <w:r>
        <w:t xml:space="preserve">, enzyme de la paroi fongique. Effet</w:t>
      </w:r>
      <w:r>
        <w:t xml:space="preserve"> </w:t>
      </w:r>
      <w:r>
        <w:rPr>
          <w:b/>
          <w:bCs/>
        </w:rPr>
        <w:t xml:space="preserve">fungistatique</w:t>
      </w:r>
      <w:r>
        <w:t xml:space="preserve">. Activité exclusive sur</w:t>
      </w:r>
      <w:r>
        <w:t xml:space="preserve"> </w:t>
      </w:r>
      <w:r>
        <w:rPr>
          <w:b/>
          <w:bCs/>
        </w:rPr>
        <w:t xml:space="preserve">dermatophytes</w:t>
      </w:r>
      <w:r>
        <w:t xml:space="preserve"> </w:t>
      </w:r>
      <w:r>
        <w:t xml:space="preserve">(Microsporum, Trichophyton, Epidermophyton) — pas d’activité sur les levures (Candida) ni les moisissures (Aspergillus). Diffusion préférentielle vers les tissus kératinisés (peau, ongles, cheveux) — atout pour dermatophyties, mais concentration cutanée inhomogène. Biodisponibilité orale variable, dépendante de la prise alimentaire grasse et de la taille des particules (forme microfine/micronisée). Demi-vie longue (~ 24 h). Métabolisme hépatique par CYP3A4 (inducteur — interactions), élimination urinaire et fécale. La griséofulvine est aujourd’hui</w:t>
      </w:r>
      <w:r>
        <w:t xml:space="preserve"> </w:t>
      </w:r>
      <w:r>
        <w:rPr>
          <w:b/>
          <w:bCs/>
        </w:rPr>
        <w:t xml:space="preserve">supplantée par la terbinafine</w:t>
      </w:r>
      <w:r>
        <w:t xml:space="preserve"> </w:t>
      </w:r>
      <w:r>
        <w:t xml:space="preserve">dans la plupart des indications (efficacité supérieure, tolérance meilleure), mais conserve une place dans les teignes Microsporum (en alternative à la terbinafine).</w:t>
      </w:r>
    </w:p>
    <w:p>
      <w:pPr>
        <w:numPr>
          <w:ilvl w:val="0"/>
          <w:numId w:val="1157"/>
        </w:numPr>
      </w:pPr>
      <w:r>
        <w:t xml:space="preserve">Le</w:t>
      </w:r>
      <w:r>
        <w:t xml:space="preserve"> </w:t>
      </w:r>
      <w:r>
        <w:rPr>
          <w:b/>
          <w:bCs/>
        </w:rPr>
        <w:t xml:space="preserve">ciclopirox</w:t>
      </w:r>
      <w:r>
        <w:t xml:space="preserve"> </w:t>
      </w:r>
      <w:r>
        <w:t xml:space="preserve">est un antifongique synthétique de la famille des hydroxypyridones (pyridone). Son mécanisme d’action est</w:t>
      </w:r>
      <w:r>
        <w:t xml:space="preserve"> </w:t>
      </w:r>
      <w:r>
        <w:rPr>
          <w:b/>
          <w:bCs/>
        </w:rPr>
        <w:t xml:space="preserve">original et multi-factoriel</w:t>
      </w:r>
      <w:r>
        <w:t xml:space="preserve"> </w:t>
      </w:r>
      <w:r>
        <w:t xml:space="preserve">: (1)</w:t>
      </w:r>
      <w:r>
        <w:t xml:space="preserve"> </w:t>
      </w:r>
      <w:r>
        <w:rPr>
          <w:b/>
          <w:bCs/>
        </w:rPr>
        <w:t xml:space="preserve">chélation des ions polyvalents</w:t>
      </w:r>
      <w:r>
        <w:t xml:space="preserve"> </w:t>
      </w:r>
      <w:r>
        <w:t xml:space="preserve">(Fe³⁺, Al³⁺) indispensables au fonctionnement de nombreuses enzymes fongiques (cytochrome oxydase, catalase, peroxydase) → inhibition de la respiration mitochondriale et de la détoxication des ROS ; (2) altération de la membrane cellulaire (effet sur la perméabilité) ; (3) inhibition de la synthèse de l’ergostérol (effet secondaire mineur). Effet</w:t>
      </w:r>
      <w:r>
        <w:t xml:space="preserve"> </w:t>
      </w:r>
      <w:r>
        <w:rPr>
          <w:b/>
          <w:bCs/>
        </w:rPr>
        <w:t xml:space="preserve">fungicide</w:t>
      </w:r>
      <w:r>
        <w:t xml:space="preserve"> </w:t>
      </w:r>
      <w:r>
        <w:t xml:space="preserve">par déplétion énergétique et accumulation de ROS toxiques. Spectre large : dermatophytes, levures (Candida, Malassezia), moisissures (Aspergillus), et même activité antibactérienne (Gram+, Gram-) et anti-inflammatoire. Le ciclopirox est disponible en formes topiques (crème 1%, solution cutanée 1%, solution filmogène 8% pour vernis à ongles). La forme orale n’est pas disponible en Algérie.</w:t>
      </w:r>
    </w:p>
    <w:p>
      <w:r>
        <w:pict>
          <v:rect style="width:0;height:1.5pt" o:hralign="center" o:hrstd="t" o:hr="t"/>
        </w:pict>
      </w:r>
    </w:p>
    <w:bookmarkEnd w:id="86"/>
    <w:bookmarkStart w:id="87" w:name="dci-griséofulvine-seule"/>
    <w:p>
      <w:pPr>
        <w:pStyle w:val="Heading3"/>
      </w:pPr>
      <w:r>
        <w:t xml:space="preserve">12.6.2 DCI : Griséofulvine (Seule)</w:t>
      </w:r>
    </w:p>
    <w:p>
      <w:pPr>
        <w:pStyle w:val="FirstParagraph"/>
      </w:pPr>
      <w:r>
        <w:rPr>
          <w:b/>
          <w:bCs/>
        </w:rPr>
        <w:t xml:space="preserve">Liste des Catégories :</w:t>
      </w:r>
      <w:r>
        <w:t xml:space="preserve"> </w:t>
      </w:r>
      <w:r>
        <w:t xml:space="preserve">Liste I (toutes formes systémiques) ; prescription médicale.</w:t>
      </w:r>
    </w:p>
    <w:p>
      <w:pPr>
        <w:pStyle w:val="BodyText"/>
      </w:pPr>
      <w:r>
        <w:t xml:space="preserve">La griséofulvine est l’antifongique systémique historique. Particularité PK :</w:t>
      </w:r>
      <w:r>
        <w:t xml:space="preserve"> </w:t>
      </w:r>
      <w:r>
        <w:rPr>
          <w:b/>
          <w:bCs/>
        </w:rPr>
        <w:t xml:space="preserve">biodisponibilité orale variable</w:t>
      </w:r>
      <w:r>
        <w:t xml:space="preserve"> </w:t>
      </w:r>
      <w:r>
        <w:t xml:space="preserve">(25 à 70 % selon la forme galénique — forme micronisée à particules ultrafines, supérieure), améliorée par la prise avec un</w:t>
      </w:r>
      <w:r>
        <w:t xml:space="preserve"> </w:t>
      </w:r>
      <w:r>
        <w:rPr>
          <w:b/>
          <w:bCs/>
        </w:rPr>
        <w:t xml:space="preserve">repas riche en lipides</w:t>
      </w:r>
      <w:r>
        <w:t xml:space="preserve">. Liaison aux protéines plasmatiques modérée (84 %).</w:t>
      </w:r>
      <w:r>
        <w:t xml:space="preserve"> </w:t>
      </w:r>
      <w:r>
        <w:rPr>
          <w:b/>
          <w:bCs/>
        </w:rPr>
        <w:t xml:space="preserve">Demi-vie longue</w:t>
      </w:r>
      <w:r>
        <w:t xml:space="preserve"> </w:t>
      </w:r>
      <w:r>
        <w:t xml:space="preserve">(~ 24 h, autorisant une prise unique quotidienne). Métabolisme hépatique par CYP3A4 (métabolite principal 6-desméthylgriséofulvine inactif).</w:t>
      </w:r>
      <w:r>
        <w:t xml:space="preserve"> </w:t>
      </w:r>
      <w:r>
        <w:rPr>
          <w:b/>
          <w:bCs/>
        </w:rPr>
        <w:t xml:space="preserve">Inducteur enzymatique</w:t>
      </w:r>
      <w:r>
        <w:t xml:space="preserve"> </w:t>
      </w:r>
      <w:r>
        <w:t xml:space="preserve">(effet similaire à la rifampicine mais moins puissant) — interactions médicamenteuses. Élimination urinaire (50 %) et fécale. Diffusion préférentielle vers les tissus kératinisés (concentrations cutanées atteintes en 24–48 h, ongles en plusieurs semaines — la griséofulvine est déposée dans les cellules kératinisées et persiste plusieurs mois après l’arrêt).</w:t>
      </w:r>
    </w:p>
    <w:p>
      <w:pPr>
        <w:pStyle w:val="BodyText"/>
      </w:pPr>
      <w:r>
        <w:rPr>
          <w:b/>
          <w:bCs/>
        </w:rPr>
        <w:t xml:space="preserve">Médicaments disponibles en Algérie (Marques, Laboratoires, Formes et Dosages) :</w:t>
      </w:r>
    </w:p>
    <w:p>
      <w:pPr>
        <w:pStyle w:val="BodyText"/>
      </w:pPr>
      <w:r>
        <w:rPr>
          <w:i/>
          <w:iCs/>
        </w:rPr>
        <w:t xml:space="preserve">Forme orale (comprimé 250 mg) — STATUT ACTIF :</w:t>
      </w:r>
      <w:r>
        <w:t xml:space="preserve"> </w:t>
      </w:r>
      <w:r>
        <w:t xml:space="preserve">-</w:t>
      </w:r>
      <w:r>
        <w:t xml:space="preserve"> </w:t>
      </w:r>
      <w:r>
        <w:rPr>
          <w:b/>
          <w:bCs/>
        </w:rPr>
        <w:t xml:space="preserve">FONGENAL</w:t>
      </w:r>
      <w:r>
        <w:t xml:space="preserve"> </w:t>
      </w:r>
      <w:r>
        <w:t xml:space="preserve">(GROUPE SAIDAL) — Comprimé sécable 250 mg, B/30 — Statut : Actif</w:t>
      </w:r>
    </w:p>
    <w:p>
      <w:pPr>
        <w:pStyle w:val="BodyText"/>
      </w:pPr>
      <w:r>
        <w:rPr>
          <w:i/>
          <w:iCs/>
        </w:rPr>
        <w:t xml:space="preserve">Statut NON RENOUVELABLE :</w:t>
      </w:r>
      <w:r>
        <w:t xml:space="preserve"> </w:t>
      </w:r>
      <w:r>
        <w:t xml:space="preserve">-</w:t>
      </w:r>
      <w:r>
        <w:t xml:space="preserve"> </w:t>
      </w:r>
      <w:r>
        <w:rPr>
          <w:b/>
          <w:bCs/>
        </w:rPr>
        <w:t xml:space="preserve">FONGENAL</w:t>
      </w:r>
      <w:r>
        <w:t xml:space="preserve"> </w:t>
      </w:r>
      <w:r>
        <w:t xml:space="preserve">(GROUPE SAIDAL) — Comprimé 125 mg B/32 + Comprimé sécable 500 mg B/20 — Statut : Non Renouvelable</w:t>
      </w:r>
    </w:p>
    <w:p>
      <w:pPr>
        <w:pStyle w:val="BodyText"/>
      </w:pPr>
      <w:r>
        <w:rPr>
          <w:i/>
          <w:iCs/>
        </w:rPr>
        <w:t xml:space="preserve">Statut RETIRÉ (R) — ne plus délivrer :</w:t>
      </w:r>
      <w:r>
        <w:t xml:space="preserve"> </w:t>
      </w:r>
      <w:r>
        <w:t xml:space="preserve">-</w:t>
      </w:r>
      <w:r>
        <w:t xml:space="preserve"> </w:t>
      </w:r>
      <w:r>
        <w:rPr>
          <w:b/>
          <w:bCs/>
        </w:rPr>
        <w:t xml:space="preserve">MICOFULVINE</w:t>
      </w:r>
      <w:r>
        <w:t xml:space="preserve"> </w:t>
      </w:r>
      <w:r>
        <w:t xml:space="preserve">(LIFEPHARMA) — Comprimé 125 mg, B/32 (R)</w:t>
      </w:r>
      <w:r>
        <w:t xml:space="preserve"> </w:t>
      </w:r>
      <w:r>
        <w:t xml:space="preserve">-</w:t>
      </w:r>
      <w:r>
        <w:t xml:space="preserve"> </w:t>
      </w:r>
      <w:r>
        <w:rPr>
          <w:b/>
          <w:bCs/>
        </w:rPr>
        <w:t xml:space="preserve">GRISEFULINE</w:t>
      </w:r>
      <w:r>
        <w:t xml:space="preserve"> </w:t>
      </w:r>
      <w:r>
        <w:t xml:space="preserve">(SANOFI SYNTHELABO) — Comprimé sécable 250 mg B/30 + Comprimé enrobé 500 mg B/20 (R)</w:t>
      </w:r>
      <w:r>
        <w:t xml:space="preserve"> </w:t>
      </w:r>
      <w:r>
        <w:t xml:space="preserve">-</w:t>
      </w:r>
      <w:r>
        <w:t xml:space="preserve"> </w:t>
      </w:r>
      <w:r>
        <w:rPr>
          <w:b/>
          <w:bCs/>
        </w:rPr>
        <w:t xml:space="preserve">MICROCIDAL</w:t>
      </w:r>
      <w:r>
        <w:t xml:space="preserve"> </w:t>
      </w:r>
      <w:r>
        <w:t xml:space="preserve">(PHARMACARE LIMITED) — Comprimé 500 mg, B/30 (R)</w:t>
      </w:r>
      <w:r>
        <w:t xml:space="preserve"> </w:t>
      </w:r>
      <w:r>
        <w:t xml:space="preserve">-</w:t>
      </w:r>
      <w:r>
        <w:t xml:space="preserve"> </w:t>
      </w:r>
      <w:r>
        <w:rPr>
          <w:b/>
          <w:bCs/>
        </w:rPr>
        <w:t xml:space="preserve">FULCINE</w:t>
      </w:r>
      <w:r>
        <w:t xml:space="preserve"> </w:t>
      </w:r>
      <w:r>
        <w:t xml:space="preserve">(ZENECA PHARMA) — Comprimé sécable 500 mg, B/10 (R)</w:t>
      </w:r>
    </w:p>
    <w:p>
      <w:pPr>
        <w:pStyle w:val="BodyText"/>
      </w:pPr>
      <w:r>
        <w:t xml:space="preserve">La seule forme activement disponible en Algérie est le FONGENAL 250 mg (Saidal) — comprimé sécable en boîte de 30.</w:t>
      </w:r>
    </w:p>
    <w:p>
      <w:pPr>
        <w:pStyle w:val="BodyText"/>
      </w:pPr>
      <w:r>
        <w:rPr>
          <w:b/>
          <w:bCs/>
        </w:rPr>
        <w:t xml:space="preserve">Sous-classe et Mécanisme d’action :</w:t>
      </w:r>
      <w:r>
        <w:t xml:space="preserve"> </w:t>
      </w:r>
      <w:r>
        <w:t xml:space="preserve">- Sous-classe : antifongique naturel (dérivé du Penicillium griseofulvum), antimitotique fongique, fungistatique. Spécifique des dermatophytes. Mécanisme original distinct des azolés/allylamines/morpholines/echinocandines.</w:t>
      </w:r>
      <w:r>
        <w:t xml:space="preserve"> </w:t>
      </w:r>
      <w:r>
        <w:t xml:space="preserve">- Mécanisme d’action : (1)</w:t>
      </w:r>
      <w:r>
        <w:t xml:space="preserve"> </w:t>
      </w:r>
      <w:r>
        <w:rPr>
          <w:b/>
          <w:bCs/>
        </w:rPr>
        <w:t xml:space="preserve">inhibition de la mitose fongique</w:t>
      </w:r>
      <w:r>
        <w:t xml:space="preserve"> </w:t>
      </w:r>
      <w:r>
        <w:t xml:space="preserve">par liaison à la</w:t>
      </w:r>
      <w:r>
        <w:t xml:space="preserve"> </w:t>
      </w:r>
      <w:r>
        <w:rPr>
          <w:b/>
          <w:bCs/>
        </w:rPr>
        <w:t xml:space="preserve">β-tubuline</w:t>
      </w:r>
      <w:r>
        <w:t xml:space="preserve"> </w:t>
      </w:r>
      <w:r>
        <w:t xml:space="preserve">(microtubules), altérant la formation du fuseau mitotique (effet analogue à la vincristine/vinblastine en oncologie, mais avec affinité spécifique pour la tubuline fongique) ; (2)</w:t>
      </w:r>
      <w:r>
        <w:t xml:space="preserve"> </w:t>
      </w:r>
      <w:r>
        <w:rPr>
          <w:b/>
          <w:bCs/>
        </w:rPr>
        <w:t xml:space="preserve">inhibition de la chitine synthase</w:t>
      </w:r>
      <w:r>
        <w:t xml:space="preserve"> </w:t>
      </w:r>
      <w:r>
        <w:t xml:space="preserve">(parfois avancée), enzyme de la synthèse de la paroi fongique. Effet</w:t>
      </w:r>
      <w:r>
        <w:t xml:space="preserve"> </w:t>
      </w:r>
      <w:r>
        <w:rPr>
          <w:b/>
          <w:bCs/>
        </w:rPr>
        <w:t xml:space="preserve">fungistatique</w:t>
      </w:r>
      <w:r>
        <w:t xml:space="preserve"> </w:t>
      </w:r>
      <w:r>
        <w:t xml:space="preserve">(blocage de la division cellulaire). Activité</w:t>
      </w:r>
      <w:r>
        <w:t xml:space="preserve"> </w:t>
      </w:r>
      <w:r>
        <w:rPr>
          <w:b/>
          <w:bCs/>
        </w:rPr>
        <w:t xml:space="preserve">spécifique des dermatophytes</w:t>
      </w:r>
      <w:r>
        <w:t xml:space="preserve"> </w:t>
      </w:r>
      <w:r>
        <w:t xml:space="preserve">(Trichophyton, Microsporum, Epidermophyton) — aucun effet sur Candida, Aspergillus, Cryptococcus, mucormycètes.</w:t>
      </w:r>
      <w:r>
        <w:t xml:space="preserve"> </w:t>
      </w:r>
      <w:r>
        <w:t xml:space="preserve">- Résistance : rare en clinique, peu documentée.</w:t>
      </w:r>
    </w:p>
    <w:p>
      <w:pPr>
        <w:pStyle w:val="BodyText"/>
      </w:pPr>
      <w:r>
        <w:rPr>
          <w:b/>
          <w:bCs/>
        </w:rPr>
        <w:t xml:space="preserve">Profil Pharmacologique :</w:t>
      </w:r>
      <w:r>
        <w:t xml:space="preserve"> </w:t>
      </w:r>
      <w:r>
        <w:t xml:space="preserve">- Indications : (i)</w:t>
      </w:r>
      <w:r>
        <w:t xml:space="preserve"> </w:t>
      </w:r>
      <w:r>
        <w:rPr>
          <w:b/>
          <w:bCs/>
        </w:rPr>
        <w:t xml:space="preserve">teignes tondantes</w:t>
      </w:r>
      <w:r>
        <w:t xml:space="preserve"> </w:t>
      </w:r>
      <w:r>
        <w:t xml:space="preserve">(Microsporum — notamment Microsporum canis et Microsporum audouinii, et Trichophyton tonsurans, Trichophyton violaceum) — traitement historique de référence, alternative à la terbinafine ; durée 6–8 semaines ; (ii) onychomycoses (alternative à la terbinafine — moins efficace, durée plus longue) — 6 mois (ongle main), 12 mois (ongle pied) ; (iii) dermatophyties cutanées étendues (alternative à la terbinafine, itraconazole). En pratique, la griséofulvine est aujourd’hui essentiellement utilisée pour les</w:t>
      </w:r>
      <w:r>
        <w:t xml:space="preserve"> </w:t>
      </w:r>
      <w:r>
        <w:rPr>
          <w:b/>
          <w:bCs/>
        </w:rPr>
        <w:t xml:space="preserve">teignes de l’enfant</w:t>
      </w:r>
      <w:r>
        <w:t xml:space="preserve">, en particulier Microsporum, où elle a longtemps été le traitement de référence (la terbinafine est désormais recommandée chez l’adulte et l’enfant &gt; 4 ans dans les teignes Trichophyton, mais la griséofulvine reste une alternative pour Microsporum).</w:t>
      </w:r>
      <w:r>
        <w:t xml:space="preserve"> </w:t>
      </w:r>
      <w:r>
        <w:t xml:space="preserve">- Contre-indications : (1) hypersensibilité à la griséofulvine ; (2)</w:t>
      </w:r>
      <w:r>
        <w:t xml:space="preserve"> </w:t>
      </w:r>
      <w:r>
        <w:rPr>
          <w:b/>
          <w:bCs/>
        </w:rPr>
        <w:t xml:space="preserve">porphyries</w:t>
      </w:r>
      <w:r>
        <w:t xml:space="preserve"> </w:t>
      </w:r>
      <w:r>
        <w:t xml:space="preserve">(cutanée tardive, aiguë intermittente, variegata — risque de crise aiguë) ; (3)</w:t>
      </w:r>
      <w:r>
        <w:t xml:space="preserve"> </w:t>
      </w:r>
      <w:r>
        <w:rPr>
          <w:b/>
          <w:bCs/>
        </w:rPr>
        <w:t xml:space="preserve">lupus érythémateux</w:t>
      </w:r>
      <w:r>
        <w:t xml:space="preserve"> </w:t>
      </w:r>
      <w:r>
        <w:t xml:space="preserve">(risque de poussée) ; (4) insuffisance hépatique sévère ; (5) grossesse (CI absolue — effet tératogène avéré chez l’animal, interférence avec la spermatogenèse) ; (6) allaitement ; (7) enfant &lt; 2 ans (par défaut d’études).</w:t>
      </w:r>
      <w:r>
        <w:t xml:space="preserve"> </w:t>
      </w:r>
      <w:r>
        <w:t xml:space="preserve">- Effets Indésirables : (i) troubles digestifs (nausées, vomissements, diarrhée — 15 %) ; (ii)</w:t>
      </w:r>
      <w:r>
        <w:t xml:space="preserve"> </w:t>
      </w:r>
      <w:r>
        <w:rPr>
          <w:b/>
          <w:bCs/>
        </w:rPr>
        <w:t xml:space="preserve">hépatotoxicité</w:t>
      </w:r>
      <w:r>
        <w:t xml:space="preserve"> </w:t>
      </w:r>
      <w:r>
        <w:t xml:space="preserve">(cytolyse, cholestase — surveillance) ; (iii)</w:t>
      </w:r>
      <w:r>
        <w:t xml:space="preserve"> </w:t>
      </w:r>
      <w:r>
        <w:rPr>
          <w:b/>
          <w:bCs/>
        </w:rPr>
        <w:t xml:space="preserve">céphalées</w:t>
      </w:r>
      <w:r>
        <w:t xml:space="preserve"> </w:t>
      </w:r>
      <w:r>
        <w:t xml:space="preserve">(très fréquentes — 20 %, parfois sévères) ; (iv)</w:t>
      </w:r>
      <w:r>
        <w:t xml:space="preserve"> </w:t>
      </w:r>
      <w:r>
        <w:rPr>
          <w:b/>
          <w:bCs/>
        </w:rPr>
        <w:t xml:space="preserve">confusion, vertiges, somnolence, fatigue</w:t>
      </w:r>
      <w:r>
        <w:t xml:space="preserve"> </w:t>
      </w:r>
      <w:r>
        <w:t xml:space="preserve">(effets centraux — prudence conduite automobile) ; (v)</w:t>
      </w:r>
      <w:r>
        <w:t xml:space="preserve"> </w:t>
      </w:r>
      <w:r>
        <w:rPr>
          <w:b/>
          <w:bCs/>
        </w:rPr>
        <w:t xml:space="preserve">leucopénie, neutropénie</w:t>
      </w:r>
      <w:r>
        <w:t xml:space="preserve"> </w:t>
      </w:r>
      <w:r>
        <w:t xml:space="preserve">(surveillance NFS) ; (vi) réactions cutanées (rash, urticaire, photosensibilité, SJS/TEN exceptionnel) ; (vii)</w:t>
      </w:r>
      <w:r>
        <w:t xml:space="preserve"> </w:t>
      </w:r>
      <w:r>
        <w:rPr>
          <w:b/>
          <w:bCs/>
        </w:rPr>
        <w:t xml:space="preserve">aménorrhée</w:t>
      </w:r>
      <w:r>
        <w:t xml:space="preserve"> </w:t>
      </w:r>
      <w:r>
        <w:t xml:space="preserve">chez la femme (effet hormonal) ; (viii)</w:t>
      </w:r>
      <w:r>
        <w:t xml:space="preserve"> </w:t>
      </w:r>
      <w:r>
        <w:rPr>
          <w:b/>
          <w:bCs/>
        </w:rPr>
        <w:t xml:space="preserve">Œstrogénicité réduite</w:t>
      </w:r>
      <w:r>
        <w:t xml:space="preserve"> </w:t>
      </w:r>
      <w:r>
        <w:t xml:space="preserve">(induction des œstrogènes — baisse d’efficacité des contraceptifs oraux) ; (ix) exceptionnels : pancytopénie, hépatite fulminante, syndrome lupique.</w:t>
      </w:r>
    </w:p>
    <w:p>
      <w:pPr>
        <w:pStyle w:val="BodyText"/>
      </w:pPr>
      <w:r>
        <w:rPr>
          <w:b/>
          <w:bCs/>
        </w:rPr>
        <w:t xml:space="preserve">Prévention et Gestion des Effets Indésirables :</w:t>
      </w:r>
      <w:r>
        <w:t xml:space="preserve"> </w:t>
      </w:r>
      <w:r>
        <w:t xml:space="preserve">- Mesures Préventives : bilan hépatique (ASAT, ALAT) avant traitement et mensuel ; NFS avant traitement, à J14 puis mensuel ; information patient sur céphalées fréquentes et conduite automobile ; contraception</w:t>
      </w:r>
      <w:r>
        <w:t xml:space="preserve"> </w:t>
      </w:r>
      <w:r>
        <w:rPr>
          <w:b/>
          <w:bCs/>
        </w:rPr>
        <w:t xml:space="preserve">double</w:t>
      </w:r>
      <w:r>
        <w:t xml:space="preserve"> </w:t>
      </w:r>
      <w:r>
        <w:t xml:space="preserve">(estroprogestatif + préservatif) chez la femme en âge de procréer (induction enzymatique) ; prise avec repas riche en lipides.</w:t>
      </w:r>
      <w:r>
        <w:t xml:space="preserve"> </w:t>
      </w:r>
      <w:r>
        <w:t xml:space="preserve">- Conduite à Tenir : arrêt en cas de cytolyse &gt; 3x LSN, de rash bulleux, de confusion sévère, de leucopénie &lt; 2000/mm³.</w:t>
      </w:r>
    </w:p>
    <w:p>
      <w:pPr>
        <w:pStyle w:val="BodyText"/>
      </w:pPr>
      <w:r>
        <w:rPr>
          <w:b/>
          <w:bCs/>
        </w:rPr>
        <w:t xml:space="preserve">Interactions Importantes :</w:t>
      </w:r>
      <w:r>
        <w:t xml:space="preserve"> </w:t>
      </w:r>
      <w:r>
        <w:t xml:space="preserve">-</w:t>
      </w:r>
      <w:r>
        <w:t xml:space="preserve"> </w:t>
      </w:r>
      <w:r>
        <w:rPr>
          <w:b/>
          <w:bCs/>
        </w:rPr>
        <w:t xml:space="preserve">Griséofulvine + contraceptifs oraux</w:t>
      </w:r>
      <w:r>
        <w:t xml:space="preserve"> </w:t>
      </w:r>
      <w:r>
        <w:t xml:space="preserve">: induction enzymatique →</w:t>
      </w:r>
      <w:r>
        <w:t xml:space="preserve"> </w:t>
      </w:r>
      <w:r>
        <w:rPr>
          <w:b/>
          <w:bCs/>
        </w:rPr>
        <w:t xml:space="preserve">baisse d’efficacité</w:t>
      </w:r>
      <w:r>
        <w:t xml:space="preserve"> </w:t>
      </w:r>
      <w:r>
        <w:t xml:space="preserve">(grossesse non désirée — utiliser méthode complémentaire). Risque particulier car la griséofulvine est elle-même tératogène.</w:t>
      </w:r>
      <w:r>
        <w:t xml:space="preserve"> </w:t>
      </w:r>
      <w:r>
        <w:t xml:space="preserve">-</w:t>
      </w:r>
      <w:r>
        <w:t xml:space="preserve"> </w:t>
      </w:r>
      <w:r>
        <w:rPr>
          <w:b/>
          <w:bCs/>
        </w:rPr>
        <w:t xml:space="preserve">Griséofulvine + AVK</w:t>
      </w:r>
      <w:r>
        <w:t xml:space="preserve"> </w:t>
      </w:r>
      <w:r>
        <w:t xml:space="preserve">: induction enzymatique → baisse INR (augmenter la dose d’AVK).</w:t>
      </w:r>
      <w:r>
        <w:t xml:space="preserve"> </w:t>
      </w:r>
      <w:r>
        <w:t xml:space="preserve">-</w:t>
      </w:r>
      <w:r>
        <w:t xml:space="preserve"> </w:t>
      </w:r>
      <w:r>
        <w:rPr>
          <w:b/>
          <w:bCs/>
        </w:rPr>
        <w:t xml:space="preserve">Griséofulvine + ciclosporine</w:t>
      </w:r>
      <w:r>
        <w:t xml:space="preserve"> </w:t>
      </w:r>
      <w:r>
        <w:t xml:space="preserve">: induction → baisse des concentrations (surveillance).</w:t>
      </w:r>
      <w:r>
        <w:t xml:space="preserve"> </w:t>
      </w:r>
      <w:r>
        <w:t xml:space="preserve">-</w:t>
      </w:r>
      <w:r>
        <w:t xml:space="preserve"> </w:t>
      </w:r>
      <w:r>
        <w:rPr>
          <w:b/>
          <w:bCs/>
        </w:rPr>
        <w:t xml:space="preserve">Griséofulvine + phénobarbital</w:t>
      </w:r>
      <w:r>
        <w:t xml:space="preserve"> </w:t>
      </w:r>
      <w:r>
        <w:t xml:space="preserve">: induction additive → baisse de la griséofulvine (efficacité).</w:t>
      </w:r>
      <w:r>
        <w:t xml:space="preserve"> </w:t>
      </w:r>
      <w:r>
        <w:t xml:space="preserve">-</w:t>
      </w:r>
      <w:r>
        <w:t xml:space="preserve"> </w:t>
      </w:r>
      <w:r>
        <w:rPr>
          <w:b/>
          <w:bCs/>
        </w:rPr>
        <w:t xml:space="preserve">Griséofulvine + alcool</w:t>
      </w:r>
      <w:r>
        <w:t xml:space="preserve"> </w:t>
      </w:r>
      <w:r>
        <w:t xml:space="preserve">: effet Antabuse (flush, nausées, tachycardie) — éviction pendant traitement et 48 h après.</w:t>
      </w:r>
      <w:r>
        <w:t xml:space="preserve"> </w:t>
      </w:r>
      <w:r>
        <w:t xml:space="preserve">-</w:t>
      </w:r>
      <w:r>
        <w:t xml:space="preserve"> </w:t>
      </w:r>
      <w:r>
        <w:rPr>
          <w:b/>
          <w:bCs/>
        </w:rPr>
        <w:t xml:space="preserve">Griséofulvine + IPP/antiacides</w:t>
      </w:r>
      <w:r>
        <w:t xml:space="preserve"> </w:t>
      </w:r>
      <w:r>
        <w:t xml:space="preserve">: baisse de l’absorption (espacer).</w:t>
      </w:r>
    </w:p>
    <w:p>
      <w:pPr>
        <w:pStyle w:val="BodyText"/>
      </w:pPr>
      <w:r>
        <w:rPr>
          <w:b/>
          <w:bCs/>
        </w:rPr>
        <w:t xml:space="preserve">Grossesse et Allaitement :</w:t>
      </w:r>
      <w:r>
        <w:t xml:space="preserve"> </w:t>
      </w:r>
      <w:r>
        <w:t xml:space="preserve">- Grossesse :</w:t>
      </w:r>
      <w:r>
        <w:t xml:space="preserve"> </w:t>
      </w:r>
      <w:r>
        <w:rPr>
          <w:b/>
          <w:bCs/>
        </w:rPr>
        <w:t xml:space="preserve">CI absolue</w:t>
      </w:r>
      <w:r>
        <w:t xml:space="preserve"> </w:t>
      </w:r>
      <w:r>
        <w:t xml:space="preserve">— la griséofulvine est tératogène chez l’animal (anomalies squelettiques, neuronales). Contraception efficace pendant le traitement et</w:t>
      </w:r>
      <w:r>
        <w:t xml:space="preserve"> </w:t>
      </w:r>
      <w:r>
        <w:rPr>
          <w:b/>
          <w:bCs/>
        </w:rPr>
        <w:t xml:space="preserve">1 mois après l’arrêt</w:t>
      </w:r>
      <w:r>
        <w:t xml:space="preserve"> </w:t>
      </w:r>
      <w:r>
        <w:t xml:space="preserve">(demi-vie longue + induction enzymatique). Chez l’homme, altération transitoire de la spermatogenèse — prudence chez le couple projetant une grossesse.</w:t>
      </w:r>
      <w:r>
        <w:t xml:space="preserve"> </w:t>
      </w:r>
      <w:r>
        <w:t xml:space="preserve">- Allaitement :</w:t>
      </w:r>
      <w:r>
        <w:t xml:space="preserve"> </w:t>
      </w:r>
      <w:r>
        <w:rPr>
          <w:b/>
          <w:bCs/>
        </w:rPr>
        <w:t xml:space="preserve">CI</w:t>
      </w:r>
      <w:r>
        <w:t xml:space="preserve"> </w:t>
      </w:r>
      <w:r>
        <w:t xml:space="preserve">— passe dans le lait, risques pour le nourrisson (cytolyse, hématotoxicité).</w:t>
      </w:r>
      <w:r>
        <w:t xml:space="preserve"> </w:t>
      </w:r>
      <w:r>
        <w:t xml:space="preserve">- Précisions : chez la femme enceinte présentant une teigne,</w:t>
      </w:r>
      <w:r>
        <w:t xml:space="preserve"> </w:t>
      </w:r>
      <w:r>
        <w:rPr>
          <w:b/>
          <w:bCs/>
        </w:rPr>
        <w:t xml:space="preserve">préférer la terbinafine</w:t>
      </w:r>
      <w:r>
        <w:t xml:space="preserve"> </w:t>
      </w:r>
      <w:r>
        <w:t xml:space="preserve">(déconseillée mais moindre risque) ou différer le traitement au 2e/3e trimestre, voire en post-partum.</w:t>
      </w:r>
    </w:p>
    <w:p>
      <w:pPr>
        <w:pStyle w:val="BodyText"/>
      </w:pPr>
      <w:r>
        <w:rPr>
          <w:b/>
          <w:bCs/>
        </w:rPr>
        <w:t xml:space="preserve">Posologie et Mode d’administration (Standard) :</w:t>
      </w:r>
      <w:r>
        <w:t xml:space="preserve"> </w:t>
      </w:r>
      <w:r>
        <w:t xml:space="preserve">- Adulte : 500 à 1000 mg/j en une ou deux prises (forme micronisée), soit 2 à 4 comprimés à 250 mg/j.</w:t>
      </w:r>
      <w:r>
        <w:t xml:space="preserve"> </w:t>
      </w:r>
      <w:r>
        <w:t xml:space="preserve">- Enfant : 10 mg/kg/j (forme micronisée) en une ou deux prises.</w:t>
      </w:r>
      <w:r>
        <w:t xml:space="preserve"> </w:t>
      </w:r>
      <w:r>
        <w:t xml:space="preserve">- Durée : (i) teignes : 6–8 semaines ; (ii) onychomycose main : 6 mois ; (iii) onychomycose pied : 12 mois ; (iv) dermatophyties cutanées : 4–6 semaines.</w:t>
      </w:r>
      <w:r>
        <w:t xml:space="preserve"> </w:t>
      </w:r>
      <w:r>
        <w:t xml:space="preserve">- Moment de prise :</w:t>
      </w:r>
      <w:r>
        <w:t xml:space="preserve"> </w:t>
      </w:r>
      <w:r>
        <w:rPr>
          <w:b/>
          <w:bCs/>
        </w:rPr>
        <w:t xml:space="preserve">avec un repas riche en lipides</w:t>
      </w:r>
      <w:r>
        <w:t xml:space="preserve"> </w:t>
      </w:r>
      <w:r>
        <w:t xml:space="preserve">(améliore l’absorption), idéalement le soir.</w:t>
      </w:r>
    </w:p>
    <w:p>
      <w:pPr>
        <w:pStyle w:val="BodyText"/>
      </w:pPr>
      <w:r>
        <w:rPr>
          <w:b/>
          <w:bCs/>
        </w:rPr>
        <w:t xml:space="preserve">Arbitrage et Bénéfices des Formes Galéniques :</w:t>
      </w:r>
      <w:r>
        <w:t xml:space="preserve"> </w:t>
      </w:r>
      <w:r>
        <w:t xml:space="preserve">La seule forme disponible en Algérie est le comprimé sécable à 250 mg (FONGENAL Saidal, B/30). L’absence de forme 125 mg (anciennement disponible, NON_RENOUVELABLE) et 500 mg (NON_RENOUVELABLE) impose l’usage du 250 mg avec adaptation de dose. La forme 500 mg était plus pratique pour l’adulte (1 cp/jour), la forme 125 mg pour l’enfant. Aujourd’hui, l’adaptation pédiatrique nécessite de couper les comprimés à 250 mg.</w:t>
      </w:r>
    </w:p>
    <w:p>
      <w:pPr>
        <w:pStyle w:val="BodyText"/>
      </w:pPr>
      <w:r>
        <w:rPr>
          <w:b/>
          <w:bCs/>
        </w:rPr>
        <w:t xml:space="preserve">Instructions et Conseils au Patient :</w:t>
      </w:r>
      <w:r>
        <w:t xml:space="preserve"> </w:t>
      </w:r>
      <w:r>
        <w:t xml:space="preserve">- Communication au comptoir : « Ce médicament est utilisé pour traiter une mycose du cuir chevelu (teigne) ou des ongles. Prenez-le</w:t>
      </w:r>
      <w:r>
        <w:t xml:space="preserve"> </w:t>
      </w:r>
      <w:r>
        <w:rPr>
          <w:b/>
          <w:bCs/>
        </w:rPr>
        <w:t xml:space="preserve">pendant un repas riche en matières grasses</w:t>
      </w:r>
      <w:r>
        <w:t xml:space="preserve"> </w:t>
      </w:r>
      <w:r>
        <w:t xml:space="preserve">pour qu’il soit bien absorbé. Le traitement est long (plusieurs semaines pour la teigne, plusieurs mois pour les ongles).</w:t>
      </w:r>
      <w:r>
        <w:t xml:space="preserve"> </w:t>
      </w:r>
      <w:r>
        <w:rPr>
          <w:b/>
          <w:bCs/>
        </w:rPr>
        <w:t xml:space="preserve">Prévenez-nous si vous êtes enceinte ou allaitez</w:t>
      </w:r>
      <w:r>
        <w:t xml:space="preserve"> </w:t>
      </w:r>
      <w:r>
        <w:t xml:space="preserve">(interdit), et</w:t>
      </w:r>
      <w:r>
        <w:t xml:space="preserve"> </w:t>
      </w:r>
      <w:r>
        <w:rPr>
          <w:b/>
          <w:bCs/>
        </w:rPr>
        <w:t xml:space="preserve">utilisez une contraception efficace</w:t>
      </w:r>
      <w:r>
        <w:t xml:space="preserve"> </w:t>
      </w:r>
      <w:r>
        <w:t xml:space="preserve">si vous êtes une femme en âge de procréer (le médicament réduit l’effet de la pilule). Des</w:t>
      </w:r>
      <w:r>
        <w:t xml:space="preserve"> </w:t>
      </w:r>
      <w:r>
        <w:rPr>
          <w:b/>
          <w:bCs/>
        </w:rPr>
        <w:t xml:space="preserve">maux de tête fréquents</w:t>
      </w:r>
      <w:r>
        <w:t xml:space="preserve"> </w:t>
      </w:r>
      <w:r>
        <w:t xml:space="preserve">sont possibles, surtout en début de traitement. Évitez l’alcool. »</w:t>
      </w:r>
      <w:r>
        <w:t xml:space="preserve"> </w:t>
      </w:r>
      <w:r>
        <w:t xml:space="preserve">- Mode d’utilisation pratique : prise avec repas complet, boire un grand verre d’eau. Observance stricte de la durée. Éviction d’alcool. Suivi : bilan hépatique et NFS mensuels.</w:t>
      </w:r>
    </w:p>
    <w:p>
      <w:pPr>
        <w:pStyle w:val="BodyText"/>
      </w:pPr>
      <w:r>
        <w:rPr>
          <w:b/>
          <w:bCs/>
        </w:rPr>
        <w:t xml:space="preserve">Notes, Règles d’Or &amp; Pièges au Comptoir :</w:t>
      </w:r>
      <w:r>
        <w:t xml:space="preserve"> </w:t>
      </w:r>
      <w:r>
        <w:t xml:space="preserve">- Piège classique 1 :</w:t>
      </w:r>
      <w:r>
        <w:t xml:space="preserve"> </w:t>
      </w:r>
      <w:r>
        <w:rPr>
          <w:b/>
          <w:bCs/>
        </w:rPr>
        <w:t xml:space="preserve">griséofulvine + grossesse = CI absolue</w:t>
      </w:r>
      <w:r>
        <w:t xml:space="preserve"> </w:t>
      </w:r>
      <w:r>
        <w:t xml:space="preserve">(tératogène) — toujours demander si la patiente est enceinte ou envisage une grossesse.</w:t>
      </w:r>
      <w:r>
        <w:t xml:space="preserve"> </w:t>
      </w:r>
      <w:r>
        <w:t xml:space="preserve">- Piège classique 2 :</w:t>
      </w:r>
      <w:r>
        <w:t xml:space="preserve"> </w:t>
      </w:r>
      <w:r>
        <w:rPr>
          <w:b/>
          <w:bCs/>
        </w:rPr>
        <w:t xml:space="preserve">griséofulvine + pilule = baisse d’efficacité contraceptive</w:t>
      </w:r>
      <w:r>
        <w:t xml:space="preserve"> </w:t>
      </w:r>
      <w:r>
        <w:t xml:space="preserve">— méthode complémentaire indispensable.</w:t>
      </w:r>
      <w:r>
        <w:t xml:space="preserve"> </w:t>
      </w:r>
      <w:r>
        <w:t xml:space="preserve">- Piège classique 3 :</w:t>
      </w:r>
      <w:r>
        <w:t xml:space="preserve"> </w:t>
      </w:r>
      <w:r>
        <w:rPr>
          <w:b/>
          <w:bCs/>
        </w:rPr>
        <w:t xml:space="preserve">griséofulvine + alcool = effet Antabuse</w:t>
      </w:r>
      <w:r>
        <w:t xml:space="preserve"> </w:t>
      </w:r>
      <w:r>
        <w:t xml:space="preserve">— éviction stricte.</w:t>
      </w:r>
      <w:r>
        <w:t xml:space="preserve"> </w:t>
      </w:r>
      <w:r>
        <w:t xml:space="preserve">- Piège classique 4 :</w:t>
      </w:r>
      <w:r>
        <w:t xml:space="preserve"> </w:t>
      </w:r>
      <w:r>
        <w:rPr>
          <w:b/>
          <w:bCs/>
        </w:rPr>
        <w:t xml:space="preserve">porphyrie, lupus = CI absolue</w:t>
      </w:r>
      <w:r>
        <w:t xml:space="preserve">.</w:t>
      </w:r>
      <w:r>
        <w:t xml:space="preserve"> </w:t>
      </w:r>
      <w:r>
        <w:t xml:space="preserve">- Règle de prise : avec repas riche en lipides, en une ou deux prises.</w:t>
      </w:r>
      <w:r>
        <w:t xml:space="preserve"> </w:t>
      </w:r>
      <w:r>
        <w:t xml:space="preserve">- Préparation et Conservation : comprimés à conserver à &lt; 25 °C, à l’abri de l’humidité.</w:t>
      </w:r>
      <w:r>
        <w:t xml:space="preserve"> </w:t>
      </w:r>
      <w:r>
        <w:t xml:space="preserve">- Piège du surdosage / Substitution : pas de substitution possible en Algérie (une seule marque active). La griséofulvine est aujourd’hui</w:t>
      </w:r>
      <w:r>
        <w:t xml:space="preserve"> </w:t>
      </w:r>
      <w:r>
        <w:rPr>
          <w:b/>
          <w:bCs/>
        </w:rPr>
        <w:t xml:space="preserve">supplantée par la terbinafine</w:t>
      </w:r>
      <w:r>
        <w:t xml:space="preserve"> </w:t>
      </w:r>
      <w:r>
        <w:t xml:space="preserve">dans la plupart des indications (efficacité supérieure, tolérance meilleure, durée plus courte). Elle reste l’alternative pour les teignes Microsporum résistantes à la terbinafine.</w:t>
      </w:r>
    </w:p>
    <w:p>
      <w:r>
        <w:pict>
          <v:rect style="width:0;height:1.5pt" o:hralign="center" o:hrstd="t" o:hr="t"/>
        </w:pict>
      </w:r>
    </w:p>
    <w:bookmarkEnd w:id="87"/>
    <w:bookmarkStart w:id="88" w:name="dci-ciclopirox-seule"/>
    <w:p>
      <w:pPr>
        <w:pStyle w:val="Heading3"/>
      </w:pPr>
      <w:r>
        <w:t xml:space="preserve">12.6.3 DCI : Ciclopirox (Seule)</w:t>
      </w:r>
    </w:p>
    <w:p>
      <w:pPr>
        <w:pStyle w:val="FirstParagraph"/>
      </w:pPr>
      <w:r>
        <w:rPr>
          <w:b/>
          <w:bCs/>
        </w:rPr>
        <w:t xml:space="preserve">Liste des Catégories :</w:t>
      </w:r>
      <w:r>
        <w:t xml:space="preserve"> </w:t>
      </w:r>
      <w:r>
        <w:t xml:space="preserve">Statut non listé spécifiquement en Algérie (probable Liste II ; dispense médicale nécessaire pour le vernis à ongles 8%).</w:t>
      </w:r>
    </w:p>
    <w:p>
      <w:pPr>
        <w:pStyle w:val="BodyText"/>
      </w:pPr>
      <w:r>
        <w:t xml:space="preserve">Le ciclopirox (olamine) est un antifongique synthétique de la famille des hydroxypyridones. Son caractère lipophile lui permet de</w:t>
      </w:r>
      <w:r>
        <w:t xml:space="preserve"> </w:t>
      </w:r>
      <w:r>
        <w:rPr>
          <w:b/>
          <w:bCs/>
        </w:rPr>
        <w:t xml:space="preserve">pénétrer la tablette unguéale et le stratum corneum</w:t>
      </w:r>
      <w:r>
        <w:t xml:space="preserve"> </w:t>
      </w:r>
      <w:r>
        <w:t xml:space="preserve">efficacement. Résorption systémique négligeable en application topique cutanée (&lt; 5 %) ; un peu supérieure en vernis à ongles (~ 5 %). Métabolisme essentiellement par glucuronidation. Demi-vie d’élimination courte (~ 2 h). L’atout majeur du ciclopirox est son</w:t>
      </w:r>
      <w:r>
        <w:t xml:space="preserve"> </w:t>
      </w:r>
      <w:r>
        <w:rPr>
          <w:b/>
          <w:bCs/>
        </w:rPr>
        <w:t xml:space="preserve">spectre large</w:t>
      </w:r>
      <w:r>
        <w:t xml:space="preserve"> </w:t>
      </w:r>
      <w:r>
        <w:t xml:space="preserve">(dermatophytes, levures, moisissures) et son activité</w:t>
      </w:r>
      <w:r>
        <w:t xml:space="preserve"> </w:t>
      </w:r>
      <w:r>
        <w:rPr>
          <w:b/>
          <w:bCs/>
        </w:rPr>
        <w:t xml:space="preserve">anti-inflammatoire</w:t>
      </w:r>
      <w:r>
        <w:t xml:space="preserve"> </w:t>
      </w:r>
      <w:r>
        <w:t xml:space="preserve">et</w:t>
      </w:r>
      <w:r>
        <w:t xml:space="preserve"> </w:t>
      </w:r>
      <w:r>
        <w:rPr>
          <w:b/>
          <w:bCs/>
        </w:rPr>
        <w:t xml:space="preserve">antibactérienne</w:t>
      </w:r>
      <w:r>
        <w:t xml:space="preserve"> </w:t>
      </w:r>
      <w:r>
        <w:t xml:space="preserve">(utile dans les intertrigos surinfectés). Son utilisation principale est le</w:t>
      </w:r>
      <w:r>
        <w:t xml:space="preserve"> </w:t>
      </w:r>
      <w:r>
        <w:rPr>
          <w:b/>
          <w:bCs/>
        </w:rPr>
        <w:t xml:space="preserve">vernis à ongles à 8%</w:t>
      </w:r>
      <w:r>
        <w:t xml:space="preserve"> </w:t>
      </w:r>
      <w:r>
        <w:t xml:space="preserve">(concentration supérieure à l’amorolfine 5% mais application quotidienne obligatoire).</w:t>
      </w:r>
    </w:p>
    <w:p>
      <w:pPr>
        <w:pStyle w:val="BodyText"/>
      </w:pPr>
      <w:r>
        <w:rPr>
          <w:b/>
          <w:bCs/>
        </w:rPr>
        <w:t xml:space="preserve">Médicaments disponibles en Algérie (Marques, Laboratoires, Formes et Dosages) :</w:t>
      </w:r>
    </w:p>
    <w:p>
      <w:pPr>
        <w:pStyle w:val="BodyText"/>
      </w:pPr>
      <w:r>
        <w:rPr>
          <w:i/>
          <w:iCs/>
        </w:rPr>
        <w:t xml:space="preserve">Formes topiques cutanées — STATUT ACTIF :</w:t>
      </w:r>
      <w:r>
        <w:t xml:space="preserve"> </w:t>
      </w:r>
      <w:r>
        <w:t xml:space="preserve">-</w:t>
      </w:r>
      <w:r>
        <w:t xml:space="preserve"> </w:t>
      </w:r>
      <w:r>
        <w:rPr>
          <w:b/>
          <w:bCs/>
        </w:rPr>
        <w:t xml:space="preserve">MYCODERM</w:t>
      </w:r>
      <w:r>
        <w:t xml:space="preserve"> </w:t>
      </w:r>
      <w:r>
        <w:t xml:space="preserve">(NOVAPHARM TRADING) — Crème 0,01 (1%), T/30 g — Statut : Actif</w:t>
      </w:r>
      <w:r>
        <w:t xml:space="preserve"> </w:t>
      </w:r>
      <w:r>
        <w:t xml:space="preserve">-</w:t>
      </w:r>
      <w:r>
        <w:t xml:space="preserve"> </w:t>
      </w:r>
      <w:r>
        <w:rPr>
          <w:b/>
          <w:bCs/>
        </w:rPr>
        <w:t xml:space="preserve">MYCOPROX</w:t>
      </w:r>
      <w:r>
        <w:t xml:space="preserve"> </w:t>
      </w:r>
      <w:r>
        <w:t xml:space="preserve">(NEOMEDIC) — Crème dermique 0,01 (1%), T/30 g — Statut : Actif</w:t>
      </w:r>
      <w:r>
        <w:t xml:space="preserve"> </w:t>
      </w:r>
      <w:r>
        <w:t xml:space="preserve">-</w:t>
      </w:r>
      <w:r>
        <w:t xml:space="preserve"> </w:t>
      </w:r>
      <w:r>
        <w:rPr>
          <w:b/>
          <w:bCs/>
        </w:rPr>
        <w:t xml:space="preserve">MYCOSTER</w:t>
      </w:r>
      <w:r>
        <w:t xml:space="preserve"> </w:t>
      </w:r>
      <w:r>
        <w:t xml:space="preserve">(PIERRE FABRE MEDICAMENT) — Crème 0,01 (1%), T/30 g — Statut : Actif</w:t>
      </w:r>
      <w:r>
        <w:t xml:space="preserve"> </w:t>
      </w:r>
      <w:r>
        <w:t xml:space="preserve">-</w:t>
      </w:r>
      <w:r>
        <w:t xml:space="preserve"> </w:t>
      </w:r>
      <w:r>
        <w:rPr>
          <w:b/>
          <w:bCs/>
        </w:rPr>
        <w:t xml:space="preserve">MYCOSTER</w:t>
      </w:r>
      <w:r>
        <w:t xml:space="preserve"> </w:t>
      </w:r>
      <w:r>
        <w:t xml:space="preserve">(PIERRE FABRE MEDICAMENT) — Solution pour application cutanée 0,01 (1%), flacon de 30 mL — Statut : Actif</w:t>
      </w:r>
      <w:r>
        <w:t xml:space="preserve"> </w:t>
      </w:r>
      <w:r>
        <w:t xml:space="preserve">-</w:t>
      </w:r>
      <w:r>
        <w:t xml:space="preserve"> </w:t>
      </w:r>
      <w:r>
        <w:rPr>
          <w:b/>
          <w:bCs/>
        </w:rPr>
        <w:t xml:space="preserve">MYCOSTER</w:t>
      </w:r>
      <w:r>
        <w:t xml:space="preserve"> </w:t>
      </w:r>
      <w:r>
        <w:t xml:space="preserve">(PIERRE FABRE MEDICAMENT) — Solution filmogène pour application locale 0,08 (8%), flacon de 3 mL — Statut : Actif</w:t>
      </w:r>
      <w:r>
        <w:t xml:space="preserve"> </w:t>
      </w:r>
      <w:r>
        <w:t xml:space="preserve">-</w:t>
      </w:r>
      <w:r>
        <w:t xml:space="preserve"> </w:t>
      </w:r>
      <w:r>
        <w:rPr>
          <w:b/>
          <w:bCs/>
        </w:rPr>
        <w:t xml:space="preserve">STOPMYCOSE</w:t>
      </w:r>
      <w:r>
        <w:t xml:space="preserve"> </w:t>
      </w:r>
      <w:r>
        <w:t xml:space="preserve">(EL KENDI INDUSTRIE DU MEDICAMENT) — Crème 0,01 (1%), T/30 g — Statut : Actif</w:t>
      </w:r>
    </w:p>
    <w:p>
      <w:pPr>
        <w:pStyle w:val="BodyText"/>
      </w:pPr>
      <w:r>
        <w:rPr>
          <w:i/>
          <w:iCs/>
        </w:rPr>
        <w:t xml:space="preserve">Statut NON RENOUVELABLE :</w:t>
      </w:r>
      <w:r>
        <w:t xml:space="preserve"> </w:t>
      </w:r>
      <w:r>
        <w:t xml:space="preserve">-</w:t>
      </w:r>
      <w:r>
        <w:t xml:space="preserve"> </w:t>
      </w:r>
      <w:r>
        <w:rPr>
          <w:b/>
          <w:bCs/>
        </w:rPr>
        <w:t xml:space="preserve">SEBIPROX</w:t>
      </w:r>
      <w:r>
        <w:t xml:space="preserve"> </w:t>
      </w:r>
      <w:r>
        <w:t xml:space="preserve">(STIEFEL) — Solution 1,5%, flacon de 100 mL — Statut : Non Renouvelable</w:t>
      </w:r>
    </w:p>
    <w:p>
      <w:pPr>
        <w:pStyle w:val="BodyText"/>
      </w:pPr>
      <w:r>
        <w:rPr>
          <w:i/>
          <w:iCs/>
        </w:rPr>
        <w:t xml:space="preserve">Statut RETIRÉ (R) — ne plus délivrer :</w:t>
      </w:r>
      <w:r>
        <w:t xml:space="preserve"> </w:t>
      </w:r>
      <w:r>
        <w:t xml:space="preserve">-</w:t>
      </w:r>
      <w:r>
        <w:t xml:space="preserve"> </w:t>
      </w:r>
      <w:r>
        <w:rPr>
          <w:b/>
          <w:bCs/>
        </w:rPr>
        <w:t xml:space="preserve">SEBIPROX</w:t>
      </w:r>
      <w:r>
        <w:t xml:space="preserve"> </w:t>
      </w:r>
      <w:r>
        <w:t xml:space="preserve">(STIEFEL) — Solution 1,5%, flacon de 100 mL (R)</w:t>
      </w:r>
    </w:p>
    <w:p>
      <w:pPr>
        <w:pStyle w:val="BodyText"/>
      </w:pPr>
      <w:r>
        <w:rPr>
          <w:b/>
          <w:bCs/>
        </w:rPr>
        <w:t xml:space="preserve">Sous-classe et Mécanisme d’action :</w:t>
      </w:r>
      <w:r>
        <w:t xml:space="preserve"> </w:t>
      </w:r>
      <w:r>
        <w:t xml:space="preserve">- Sous-classe : hydroxypyridone synthétique, antifongique topique, fungicide. Activité étendue aux bactéries (Gram+, Gram-) et propriétés anti-inflammatoires. Mécanisme original distinct des autres antifongiques.</w:t>
      </w:r>
      <w:r>
        <w:t xml:space="preserve"> </w:t>
      </w:r>
      <w:r>
        <w:t xml:space="preserve">- Mécanisme d’action : (1)</w:t>
      </w:r>
      <w:r>
        <w:t xml:space="preserve"> </w:t>
      </w:r>
      <w:r>
        <w:rPr>
          <w:b/>
          <w:bCs/>
        </w:rPr>
        <w:t xml:space="preserve">chélation des ions métalliques polyvalents</w:t>
      </w:r>
      <w:r>
        <w:t xml:space="preserve"> </w:t>
      </w:r>
      <w:r>
        <w:t xml:space="preserve">(Fe³⁺, Al³⁺) par le groupement hydroxypyridone — ces ions sont des cofacteurs indispensables au fonctionnement de nombreuses enzymes fongiques (cytochrome oxydase, catalase, peroxydase, enzymes de la synthèse de l’ergostérol) → inhibition de la respiration mitochondriale, de la détoxication des ROS (espèces réactives de l’oxygène) et de la synthèse de l’ergostérol ; (2) accumulation de ROS toxiques (anion superoxyde, peroxyde d’hydrogène) → dommages oxydatifs à l’ADN, aux protéines et aux lipides ; (3) altération de la perméabilité membranaire. Effet</w:t>
      </w:r>
      <w:r>
        <w:t xml:space="preserve"> </w:t>
      </w:r>
      <w:r>
        <w:rPr>
          <w:b/>
          <w:bCs/>
        </w:rPr>
        <w:t xml:space="preserve">fungicide</w:t>
      </w:r>
      <w:r>
        <w:t xml:space="preserve"> </w:t>
      </w:r>
      <w:r>
        <w:t xml:space="preserve">par déplétion énergétique et stress oxydatif. Aucune résistance croisée avec les azolés, allylamines ou morpholines (mécanisme différent).</w:t>
      </w:r>
      <w:r>
        <w:t xml:space="preserve"> </w:t>
      </w:r>
      <w:r>
        <w:t xml:space="preserve">- Spectre : large — dermatophytes (Trichophyton, Microsporum, Epidermophyton), levures (Candida, Malassezia, Cryptococcus), moisissures (Aspergillus, Fusarium), dimorphiques (Histoplasma, Blastomyces), bactéries (Gram+, Gram-, mycobactéries atypiques). Activité anti-inflammatoire (inhibition de la 5-lipoxygénase et de la prostaglandine synthase).</w:t>
      </w:r>
    </w:p>
    <w:p>
      <w:pPr>
        <w:pStyle w:val="BodyText"/>
      </w:pPr>
      <w:r>
        <w:rPr>
          <w:b/>
          <w:bCs/>
        </w:rPr>
        <w:t xml:space="preserve">Profil Pharmacologique :</w:t>
      </w:r>
      <w:r>
        <w:t xml:space="preserve"> </w:t>
      </w:r>
      <w:r>
        <w:t xml:space="preserve">- Indications : (i) dermatophyties cutanées localisées (pied d’athlète, intertrigo inguinal, herpès circiné) — crème 1% ; (ii) candidoses cutanées localisées (intertrigo, perlèche) — crème 1% ; (iii) pityriasis versicolor (Malassezia furfur) — crème ou solution 1% ; (iv) dermite séborrhéique (Malassezia) — solution 1,5% (SEBIPROX, NON_RENOUVELABLE) ; (v)</w:t>
      </w:r>
      <w:r>
        <w:t xml:space="preserve"> </w:t>
      </w:r>
      <w:r>
        <w:rPr>
          <w:b/>
          <w:bCs/>
        </w:rPr>
        <w:t xml:space="preserve">onychomycoses</w:t>
      </w:r>
      <w:r>
        <w:t xml:space="preserve"> </w:t>
      </w:r>
      <w:r>
        <w:t xml:space="preserve">(limitées à moins de 50% surface, sans atteinte matricielle, 2 ongles max) —</w:t>
      </w:r>
      <w:r>
        <w:t xml:space="preserve"> </w:t>
      </w:r>
      <w:r>
        <w:rPr>
          <w:b/>
          <w:bCs/>
        </w:rPr>
        <w:t xml:space="preserve">solution filmogène 8% application quotidienne</w:t>
      </w:r>
      <w:r>
        <w:t xml:space="preserve"> </w:t>
      </w:r>
      <w:r>
        <w:t xml:space="preserve">(MYCOSTER) ; (vi)</w:t>
      </w:r>
      <w:r>
        <w:t xml:space="preserve"> </w:t>
      </w:r>
      <w:r>
        <w:rPr>
          <w:b/>
          <w:bCs/>
        </w:rPr>
        <w:t xml:space="preserve">seborrhéicidie capillaire</w:t>
      </w:r>
      <w:r>
        <w:t xml:space="preserve"> </w:t>
      </w:r>
      <w:r>
        <w:t xml:space="preserve">(alternative au kétoconazole shampoing). En pratique, le vernis à ongles 8% est en concurrence avec l’amorolfine 5%.</w:t>
      </w:r>
      <w:r>
        <w:t xml:space="preserve"> </w:t>
      </w:r>
      <w:r>
        <w:t xml:space="preserve">- Contre-indications : (1) hypersensibilité au ciclopirox ; (2) application sur plaie ouverte, muqueuse, œil.</w:t>
      </w:r>
      <w:r>
        <w:t xml:space="preserve"> </w:t>
      </w:r>
      <w:r>
        <w:t xml:space="preserve">- Effets Indésirables : (i) irritation locale (érythème, prurit, sensation de brûlure — 3 %) ; (ii) sécheresse cutanée, desquamation ; (iii) exceptionnelle dermatite de contact ; (iv) modification de la couleur de l’ongle (vernis 8%) ; (v) pas d’effets systémiques (résorption négligeable).</w:t>
      </w:r>
    </w:p>
    <w:p>
      <w:pPr>
        <w:pStyle w:val="BodyText"/>
      </w:pPr>
      <w:r>
        <w:rPr>
          <w:b/>
          <w:bCs/>
        </w:rPr>
        <w:t xml:space="preserve">Prévention et Gestion des Effets Indésirables :</w:t>
      </w:r>
      <w:r>
        <w:t xml:space="preserve"> </w:t>
      </w:r>
      <w:r>
        <w:t xml:space="preserve">- Mesures Préventives : application stricte sur la zone atteinte, éviter l’occlusion. Pour le vernis 8% : application quotidienne, limage hebdomadaire de l’ongle, retrait du vernis tous les 7 jours avec dissolvant.</w:t>
      </w:r>
      <w:r>
        <w:t xml:space="preserve"> </w:t>
      </w:r>
      <w:r>
        <w:t xml:space="preserve">- Conduite à Tenir : arrêt en cas d’irritation sévère ; relais par un autre antifongique topique.</w:t>
      </w:r>
    </w:p>
    <w:p>
      <w:pPr>
        <w:pStyle w:val="BodyText"/>
      </w:pPr>
      <w:r>
        <w:rPr>
          <w:b/>
          <w:bCs/>
        </w:rPr>
        <w:t xml:space="preserve">Interactions Importantes :</w:t>
      </w:r>
      <w:r>
        <w:t xml:space="preserve"> </w:t>
      </w:r>
      <w:r>
        <w:t xml:space="preserve">- Aucune interaction systémique décrite (résorption négligeable). À titre informatif, le ciclopirox n’a pas d’effet sur les CYP450 humains aux concentrations topiques.</w:t>
      </w:r>
    </w:p>
    <w:p>
      <w:pPr>
        <w:pStyle w:val="BodyText"/>
      </w:pPr>
      <w:r>
        <w:rPr>
          <w:b/>
          <w:bCs/>
        </w:rPr>
        <w:t xml:space="preserve">Grossesse et Allaitement :</w:t>
      </w:r>
      <w:r>
        <w:t xml:space="preserve"> </w:t>
      </w:r>
      <w:r>
        <w:t xml:space="preserve">- Grossesse :</w:t>
      </w:r>
      <w:r>
        <w:t xml:space="preserve"> </w:t>
      </w:r>
      <w:r>
        <w:rPr>
          <w:b/>
          <w:bCs/>
        </w:rPr>
        <w:t xml:space="preserve">compatible</w:t>
      </w:r>
      <w:r>
        <w:t xml:space="preserve"> </w:t>
      </w:r>
      <w:r>
        <w:t xml:space="preserve">(résorption négligeable, pas de passage systémique significatif). À utiliser en première intention pour dermatophyties gravidiques localisées.</w:t>
      </w:r>
      <w:r>
        <w:t xml:space="preserve"> </w:t>
      </w:r>
      <w:r>
        <w:t xml:space="preserve">- Allaitement :</w:t>
      </w:r>
      <w:r>
        <w:t xml:space="preserve"> </w:t>
      </w:r>
      <w:r>
        <w:rPr>
          <w:b/>
          <w:bCs/>
        </w:rPr>
        <w:t xml:space="preserve">compatible</w:t>
      </w:r>
      <w:r>
        <w:t xml:space="preserve"> </w:t>
      </w:r>
      <w:r>
        <w:t xml:space="preserve">(ne pas appliquer sur le sein avant la tétée).</w:t>
      </w:r>
      <w:r>
        <w:t xml:space="preserve"> </w:t>
      </w:r>
      <w:r>
        <w:t xml:space="preserve">- Précisions : l’usage topique court (2–4 semaines) est sûr à toutes les phases de la grossesse.</w:t>
      </w:r>
    </w:p>
    <w:p>
      <w:pPr>
        <w:pStyle w:val="BodyText"/>
      </w:pPr>
      <w:r>
        <w:rPr>
          <w:b/>
          <w:bCs/>
        </w:rPr>
        <w:t xml:space="preserve">Posologie et Mode d’administration (Standard) :</w:t>
      </w:r>
      <w:r>
        <w:t xml:space="preserve"> </w:t>
      </w:r>
      <w:r>
        <w:t xml:space="preserve">- Adulte : (i) crème 1% : 2 applications/j sur la zone atteinte, 2–4 semaines (dermatophyties, candidoses cutanées), 2 semaines (pityriasis versicolor) ; (ii) solution 1% cutanée : 2 applications/j (pityriasis versicolor, dermite séborrhéique) ; (iii)</w:t>
      </w:r>
      <w:r>
        <w:t xml:space="preserve"> </w:t>
      </w:r>
      <w:r>
        <w:rPr>
          <w:b/>
          <w:bCs/>
        </w:rPr>
        <w:t xml:space="preserve">vernis à ongles 8% (solution filmogène)</w:t>
      </w:r>
      <w:r>
        <w:t xml:space="preserve"> </w:t>
      </w:r>
      <w:r>
        <w:t xml:space="preserve">:</w:t>
      </w:r>
      <w:r>
        <w:t xml:space="preserve"> </w:t>
      </w:r>
      <w:r>
        <w:rPr>
          <w:b/>
          <w:bCs/>
        </w:rPr>
        <w:t xml:space="preserve">1 application quotidienne</w:t>
      </w:r>
      <w:r>
        <w:t xml:space="preserve"> </w:t>
      </w:r>
      <w:r>
        <w:t xml:space="preserve">sur l’ongle atteint pendant 6 mois (ongle main) à 12 mois (ongle pied) ; (iv) limer l’ongle une fois par semaine, retirer le vernis tous les 7 jours avec un dissolvant.</w:t>
      </w:r>
      <w:r>
        <w:t xml:space="preserve"> </w:t>
      </w:r>
      <w:r>
        <w:t xml:space="preserve">- Enfant &gt; 10 ans : posologie identique à l’adulte (par défaut d’études chez l’enfant plus jeune).</w:t>
      </w:r>
      <w:r>
        <w:t xml:space="preserve"> </w:t>
      </w:r>
      <w:r>
        <w:t xml:space="preserve">- Durée : selon indication — dermatophyties : 2–4 semaines ; onychomycose main : 6 mois ; onychomycose pied : 12 mois.</w:t>
      </w:r>
      <w:r>
        <w:t xml:space="preserve"> </w:t>
      </w:r>
      <w:r>
        <w:t xml:space="preserve">- Moment de prise : indifférent (matin et soir pour biquotidien ; pour le vernis à ongles, le soir après la douche pour éviter le lavage précoce).</w:t>
      </w:r>
    </w:p>
    <w:p>
      <w:pPr>
        <w:pStyle w:val="BodyText"/>
      </w:pPr>
      <w:r>
        <w:rPr>
          <w:b/>
          <w:bCs/>
        </w:rPr>
        <w:t xml:space="preserve">Arbitrage et Bénéfices des Formes Galéniques :</w:t>
      </w:r>
      <w:r>
        <w:t xml:space="preserve"> </w:t>
      </w:r>
      <w:r>
        <w:t xml:space="preserve">Le ciclopirox est disponible en Algérie sous trois formes : crème 1% (4 marques : MYCODERM, MYCOPROX, MYCOSTER, STOPMYCOSE), solution cutanée 1% (MYCOSTER), et vernis à ongles 8% solution filmogène (MYCOSTER — seul vernis à 8% disponible). La solution 1,5% pour dermite séborrhéique (SEBIPROX Stiefel) n’est plus disponible (NON_RENOUVELABLE). Le vernis à 8% se distingue de l’amorolfine 5% par : (1) application quotidienne (vs hebdomadaire) — moins pratique pour l’observance ; (2) concentration supérieure (8% vs 5%) — pénétration théoriquement meilleure ; (3) spectre légèrement plus large (inclus levures et moisissures) ; (4) nécessité de limer l’ongle hebdomadairement. L’efficacité mycologique est comparable (40–55% à 12 mois pour ongle pied).</w:t>
      </w:r>
    </w:p>
    <w:p>
      <w:pPr>
        <w:pStyle w:val="BodyText"/>
      </w:pPr>
      <w:r>
        <w:rPr>
          <w:b/>
          <w:bCs/>
        </w:rPr>
        <w:t xml:space="preserve">Instructions et Conseils au Patient :</w:t>
      </w:r>
      <w:r>
        <w:t xml:space="preserve"> </w:t>
      </w:r>
      <w:r>
        <w:t xml:space="preserve">- Communication au comptoir : « Pour la crème : appliquez matin et soir sur la zone atteinte, après nettoyage et séchage, pendant 2 à 4 semaines. Pour le vernis à ongles : appliquez</w:t>
      </w:r>
      <w:r>
        <w:t xml:space="preserve"> </w:t>
      </w:r>
      <w:r>
        <w:rPr>
          <w:b/>
          <w:bCs/>
        </w:rPr>
        <w:t xml:space="preserve">tous les jours</w:t>
      </w:r>
      <w:r>
        <w:t xml:space="preserve"> </w:t>
      </w:r>
      <w:r>
        <w:t xml:space="preserve">sur l’ongle malade, limez l’ongle une fois par semaine, et retirez complètement le vernis avec un dissolvant tous les 7 jours avant de reprendre les applications. Le traitement dure 6 mois pour un ongle de la main, 12 mois pour un ongle du pied. Soyez patient. »</w:t>
      </w:r>
      <w:r>
        <w:t xml:space="preserve"> </w:t>
      </w:r>
      <w:r>
        <w:t xml:space="preserve">- Mode d’utilisation pratique (crème) : nettoyer et sécher la zone, appliquer en couche fine, masser légèrement, étendre 1 cm au-delà de la lésion. Se laver les mains après.</w:t>
      </w:r>
      <w:r>
        <w:t xml:space="preserve"> </w:t>
      </w:r>
      <w:r>
        <w:t xml:space="preserve">- Mode d’utilisation pratique (vernis 8%) : appliquer une couche fine sur l’ongle atteint avec le pinceau, en évitant le pourtour cutané. Laisser sécher 30 secondes. Appliquer tous les jours sans retirer le vernis précédent pendant 7 jours. Au 7e jour, retirer tout le vernis avec dissolvant, limer l’ongle, et reprendre le cycle.</w:t>
      </w:r>
    </w:p>
    <w:p>
      <w:pPr>
        <w:pStyle w:val="BodyText"/>
      </w:pPr>
      <w:r>
        <w:rPr>
          <w:b/>
          <w:bCs/>
        </w:rPr>
        <w:t xml:space="preserve">Notes, Règles d’Or &amp; Pièges au Comptoir :</w:t>
      </w:r>
      <w:r>
        <w:t xml:space="preserve"> </w:t>
      </w:r>
      <w:r>
        <w:t xml:space="preserve">- Piège classique 1 :</w:t>
      </w:r>
      <w:r>
        <w:t xml:space="preserve"> </w:t>
      </w:r>
      <w:r>
        <w:rPr>
          <w:b/>
          <w:bCs/>
        </w:rPr>
        <w:t xml:space="preserve">vernis à ongles 8% sans application quotidienne stricte</w:t>
      </w:r>
      <w:r>
        <w:t xml:space="preserve"> </w:t>
      </w:r>
      <w:r>
        <w:t xml:space="preserve">= échec (à différencier de l’amorolfine en hebdomadaire).</w:t>
      </w:r>
      <w:r>
        <w:t xml:space="preserve"> </w:t>
      </w:r>
      <w:r>
        <w:t xml:space="preserve">- Piège classique 2 :</w:t>
      </w:r>
      <w:r>
        <w:t xml:space="preserve"> </w:t>
      </w:r>
      <w:r>
        <w:rPr>
          <w:b/>
          <w:bCs/>
        </w:rPr>
        <w:t xml:space="preserve">non retrait du vernis tous les 7 jours</w:t>
      </w:r>
      <w:r>
        <w:t xml:space="preserve"> </w:t>
      </w:r>
      <w:r>
        <w:t xml:space="preserve">= suraccumulation, inefficacité.</w:t>
      </w:r>
      <w:r>
        <w:t xml:space="preserve"> </w:t>
      </w:r>
      <w:r>
        <w:t xml:space="preserve">- Piège classique 3 :</w:t>
      </w:r>
      <w:r>
        <w:t xml:space="preserve"> </w:t>
      </w:r>
      <w:r>
        <w:rPr>
          <w:b/>
          <w:bCs/>
        </w:rPr>
        <w:t xml:space="preserve">onychomycose étendue traitée par vernis seul</w:t>
      </w:r>
      <w:r>
        <w:t xml:space="preserve"> </w:t>
      </w:r>
      <w:r>
        <w:t xml:space="preserve">= échec — référer pour terbinafine orale.</w:t>
      </w:r>
      <w:r>
        <w:t xml:space="preserve"> </w:t>
      </w:r>
      <w:r>
        <w:t xml:space="preserve">- Piège classique 4 :</w:t>
      </w:r>
      <w:r>
        <w:t xml:space="preserve"> </w:t>
      </w:r>
      <w:r>
        <w:rPr>
          <w:b/>
          <w:bCs/>
        </w:rPr>
        <w:t xml:space="preserve">intertrigo surinfecté</w:t>
      </w:r>
      <w:r>
        <w:t xml:space="preserve"> </w:t>
      </w:r>
      <w:r>
        <w:t xml:space="preserve">= le ciclopirox est un bon choix (activité antibactérienne + antifongique).</w:t>
      </w:r>
      <w:r>
        <w:t xml:space="preserve"> </w:t>
      </w:r>
      <w:r>
        <w:t xml:space="preserve">- Règle de prise : crème 1% biquotidienne, vernis 8% quotidien avec retrait hebdomadaire.</w:t>
      </w:r>
      <w:r>
        <w:t xml:space="preserve"> </w:t>
      </w:r>
      <w:r>
        <w:t xml:space="preserve">- Préparation et Conservation : crème et solution à conserver à &lt; 25 °C ; vernis à ongles à conserver à température ambiante, fermer hermétiquement (solvant volatil).</w:t>
      </w:r>
      <w:r>
        <w:t xml:space="preserve"> </w:t>
      </w:r>
      <w:r>
        <w:t xml:space="preserve">- Piège du surdosage / Substitution : la crème 1% peut être substituée entre les 4 marques (équivalence thérapeutique). Le vernis à 8% est disponible sous une seule marque (MYCOSTER) — pas de substitution. Le vernis à 8% ciclopirox est une alternative valable à l’amorolfine 5% (LOCERYL, BIOFERYL, NOCIRINE), avec le compromis observance quotidienne vs hebdomadaire.</w:t>
      </w:r>
    </w:p>
    <w:p>
      <w:r>
        <w:pict>
          <v:rect style="width:0;height:1.5pt" o:hralign="center" o:hrstd="t" o:hr="t"/>
        </w:pict>
      </w:r>
    </w:p>
    <w:bookmarkEnd w:id="88"/>
    <w:bookmarkEnd w:id="89"/>
    <w:bookmarkStart w:id="90" w:name="Xd29c1ae3e849c7315578cfe00012d9bd2ef3ed2"/>
    <w:p>
      <w:pPr>
        <w:pStyle w:val="Heading2"/>
      </w:pPr>
      <w:r>
        <w:t xml:space="preserve">12.7 Tableau Comparatif des Antifongiques de la Section</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DCI</w:t>
            </w:r>
          </w:p>
        </w:tc>
        <w:tc>
          <w:tcPr/>
          <w:p>
            <w:pPr>
              <w:pStyle w:val="Compact"/>
              <w:jc w:val="left"/>
            </w:pPr>
            <w:r>
              <w:t xml:space="preserve">Sous-classe</w:t>
            </w:r>
          </w:p>
        </w:tc>
        <w:tc>
          <w:tcPr/>
          <w:p>
            <w:pPr>
              <w:pStyle w:val="Compact"/>
              <w:jc w:val="left"/>
            </w:pPr>
            <w:r>
              <w:t xml:space="preserve">Spectre principal</w:t>
            </w:r>
          </w:p>
        </w:tc>
        <w:tc>
          <w:tcPr/>
          <w:p>
            <w:pPr>
              <w:pStyle w:val="Compact"/>
              <w:jc w:val="left"/>
            </w:pPr>
            <w:r>
              <w:t xml:space="preserve">Cible moléculaire</w:t>
            </w:r>
          </w:p>
        </w:tc>
        <w:tc>
          <w:tcPr/>
          <w:p>
            <w:pPr>
              <w:pStyle w:val="Compact"/>
              <w:jc w:val="left"/>
            </w:pPr>
            <w:r>
              <w:t xml:space="preserve">Demi-vie</w:t>
            </w:r>
          </w:p>
        </w:tc>
        <w:tc>
          <w:tcPr/>
          <w:p>
            <w:pPr>
              <w:pStyle w:val="Compact"/>
              <w:jc w:val="left"/>
            </w:pPr>
            <w:r>
              <w:t xml:space="preserve">Métabolisme / Élimination</w:t>
            </w:r>
          </w:p>
        </w:tc>
        <w:tc>
          <w:tcPr/>
          <w:p>
            <w:pPr>
              <w:pStyle w:val="Compact"/>
              <w:jc w:val="left"/>
            </w:pPr>
            <w:r>
              <w:t xml:space="preserve">Posologie adulte standard</w:t>
            </w:r>
          </w:p>
        </w:tc>
        <w:tc>
          <w:tcPr/>
          <w:p>
            <w:pPr>
              <w:pStyle w:val="Compact"/>
              <w:jc w:val="left"/>
            </w:pPr>
            <w:r>
              <w:t xml:space="preserve">EI majeur</w:t>
            </w:r>
          </w:p>
        </w:tc>
        <w:tc>
          <w:tcPr/>
          <w:p>
            <w:pPr>
              <w:pStyle w:val="Compact"/>
              <w:jc w:val="left"/>
            </w:pPr>
            <w:r>
              <w:t xml:space="preserve">Grossesse</w:t>
            </w:r>
          </w:p>
        </w:tc>
        <w:tc>
          <w:tcPr/>
          <w:p>
            <w:pPr>
              <w:pStyle w:val="Compact"/>
              <w:jc w:val="left"/>
            </w:pPr>
            <w:r>
              <w:t xml:space="preserve">Interactions clés</w:t>
            </w:r>
          </w:p>
        </w:tc>
      </w:tr>
      <w:tr>
        <w:tc>
          <w:tcPr/>
          <w:p>
            <w:pPr>
              <w:pStyle w:val="Compact"/>
              <w:jc w:val="left"/>
            </w:pPr>
            <w:r>
              <w:rPr>
                <w:b/>
                <w:bCs/>
              </w:rPr>
              <w:t xml:space="preserve">Fluconazole</w:t>
            </w:r>
          </w:p>
        </w:tc>
        <w:tc>
          <w:tcPr/>
          <w:p>
            <w:pPr>
              <w:pStyle w:val="Compact"/>
              <w:jc w:val="left"/>
            </w:pPr>
            <w:r>
              <w:t xml:space="preserve">Triazolé 1G</w:t>
            </w:r>
          </w:p>
        </w:tc>
        <w:tc>
          <w:tcPr/>
          <w:p>
            <w:pPr>
              <w:pStyle w:val="Compact"/>
              <w:jc w:val="left"/>
            </w:pPr>
            <w:r>
              <w:t xml:space="preserve">Candida, Cryptococcus, dermatophytes (pas Aspergillus)</w:t>
            </w:r>
          </w:p>
        </w:tc>
        <w:tc>
          <w:tcPr/>
          <w:p>
            <w:pPr>
              <w:pStyle w:val="Compact"/>
              <w:jc w:val="left"/>
            </w:pPr>
            <w:r>
              <w:t xml:space="preserve">CYP51A1 (lanostérol 14α-déméthylase)</w:t>
            </w:r>
          </w:p>
        </w:tc>
        <w:tc>
          <w:tcPr/>
          <w:p>
            <w:pPr>
              <w:pStyle w:val="Compact"/>
              <w:jc w:val="left"/>
            </w:pPr>
            <w:r>
              <w:t xml:space="preserve">~ 30 h</w:t>
            </w:r>
          </w:p>
        </w:tc>
        <w:tc>
          <w:tcPr/>
          <w:p>
            <w:pPr>
              <w:pStyle w:val="Compact"/>
              <w:jc w:val="left"/>
            </w:pPr>
            <w:r>
              <w:t xml:space="preserve">80 % rénal inchangé, faible métabolisme</w:t>
            </w:r>
          </w:p>
        </w:tc>
        <w:tc>
          <w:tcPr/>
          <w:p>
            <w:pPr>
              <w:pStyle w:val="Compact"/>
              <w:jc w:val="left"/>
            </w:pPr>
            <w:r>
              <w:t xml:space="preserve">150 mg monodose (CVV) à 400 mg/j (candidémie)</w:t>
            </w:r>
          </w:p>
        </w:tc>
        <w:tc>
          <w:tcPr/>
          <w:p>
            <w:pPr>
              <w:pStyle w:val="Compact"/>
              <w:jc w:val="left"/>
            </w:pPr>
            <w:r>
              <w:t xml:space="preserve">Hépatotoxicité, QT long, alopécie (dose ≥ 400 mg)</w:t>
            </w:r>
          </w:p>
        </w:tc>
        <w:tc>
          <w:tcPr/>
          <w:p>
            <w:pPr>
              <w:pStyle w:val="Compact"/>
              <w:jc w:val="left"/>
            </w:pPr>
            <w:r>
              <w:t xml:space="preserve">Monodose 150 mg OK ; doses répétées CI 1er T</w:t>
            </w:r>
          </w:p>
        </w:tc>
        <w:tc>
          <w:tcPr/>
          <w:p>
            <w:pPr>
              <w:pStyle w:val="Compact"/>
              <w:jc w:val="left"/>
            </w:pPr>
            <w:r>
              <w:t xml:space="preserve">AVK, statines, sulfamides, clopidogrel (CYP2C9/2C19)</w:t>
            </w:r>
          </w:p>
        </w:tc>
      </w:tr>
      <w:tr>
        <w:tc>
          <w:tcPr/>
          <w:p>
            <w:pPr>
              <w:pStyle w:val="Compact"/>
              <w:jc w:val="left"/>
            </w:pPr>
            <w:r>
              <w:rPr>
                <w:b/>
                <w:bCs/>
              </w:rPr>
              <w:t xml:space="preserve">Itraconazole</w:t>
            </w:r>
          </w:p>
        </w:tc>
        <w:tc>
          <w:tcPr/>
          <w:p>
            <w:pPr>
              <w:pStyle w:val="Compact"/>
              <w:jc w:val="left"/>
            </w:pPr>
            <w:r>
              <w:t xml:space="preserve">Triazolé 1G</w:t>
            </w:r>
          </w:p>
        </w:tc>
        <w:tc>
          <w:tcPr/>
          <w:p>
            <w:pPr>
              <w:pStyle w:val="Compact"/>
              <w:jc w:val="left"/>
            </w:pPr>
            <w:r>
              <w:t xml:space="preserve">Aspergillus, dermatophytes, dimorphiques (pas mucor)</w:t>
            </w:r>
          </w:p>
        </w:tc>
        <w:tc>
          <w:tcPr/>
          <w:p>
            <w:pPr>
              <w:pStyle w:val="Compact"/>
              <w:jc w:val="left"/>
            </w:pPr>
            <w:r>
              <w:t xml:space="preserve">CYP51A1 (inhibition + CYP3A4 humain)</w:t>
            </w:r>
          </w:p>
        </w:tc>
        <w:tc>
          <w:tcPr/>
          <w:p>
            <w:pPr>
              <w:pStyle w:val="Compact"/>
              <w:jc w:val="left"/>
            </w:pPr>
            <w:r>
              <w:t xml:space="preserve">~ 20 h (état d’équilibre)</w:t>
            </w:r>
          </w:p>
        </w:tc>
        <w:tc>
          <w:tcPr/>
          <w:p>
            <w:pPr>
              <w:pStyle w:val="Compact"/>
              <w:jc w:val="left"/>
            </w:pPr>
            <w:r>
              <w:t xml:space="preserve">Hépatique CYP3A4, métabolite actif hydroxy-itraconazole</w:t>
            </w:r>
          </w:p>
        </w:tc>
        <w:tc>
          <w:tcPr/>
          <w:p>
            <w:pPr>
              <w:pStyle w:val="Compact"/>
              <w:jc w:val="left"/>
            </w:pPr>
            <w:r>
              <w:t xml:space="preserve">100–200 mg/j (dermatophyties) à 200 mg × 2/j (aspergillose)</w:t>
            </w:r>
          </w:p>
        </w:tc>
        <w:tc>
          <w:tcPr/>
          <w:p>
            <w:pPr>
              <w:pStyle w:val="Compact"/>
              <w:jc w:val="left"/>
            </w:pPr>
            <w:r>
              <w:t xml:space="preserve">ICC, hépatotoxicité, hypokaliémie, QT long</w:t>
            </w:r>
          </w:p>
        </w:tc>
        <w:tc>
          <w:tcPr/>
          <w:p>
            <w:pPr>
              <w:pStyle w:val="Compact"/>
              <w:jc w:val="left"/>
            </w:pPr>
            <w:r>
              <w:rPr>
                <w:b/>
                <w:bCs/>
              </w:rPr>
              <w:t xml:space="preserve">CI absolue (tératogène)</w:t>
            </w:r>
          </w:p>
        </w:tc>
        <w:tc>
          <w:tcPr/>
          <w:p>
            <w:pPr>
              <w:pStyle w:val="Compact"/>
              <w:jc w:val="left"/>
            </w:pPr>
            <w:r>
              <w:t xml:space="preserve">Simvastatine, IPP, IPP, AVK, alcaloïdes ergot, midazolam oral (CYP3A4)</w:t>
            </w:r>
          </w:p>
        </w:tc>
      </w:tr>
      <w:tr>
        <w:tc>
          <w:tcPr/>
          <w:p>
            <w:pPr>
              <w:pStyle w:val="Compact"/>
              <w:jc w:val="left"/>
            </w:pPr>
            <w:r>
              <w:rPr>
                <w:b/>
                <w:bCs/>
              </w:rPr>
              <w:t xml:space="preserve">Voriconazole</w:t>
            </w:r>
          </w:p>
        </w:tc>
        <w:tc>
          <w:tcPr/>
          <w:p>
            <w:pPr>
              <w:pStyle w:val="Compact"/>
              <w:jc w:val="left"/>
            </w:pPr>
            <w:r>
              <w:t xml:space="preserve">Triazolé 2G</w:t>
            </w:r>
          </w:p>
        </w:tc>
        <w:tc>
          <w:tcPr/>
          <w:p>
            <w:pPr>
              <w:pStyle w:val="Compact"/>
              <w:jc w:val="left"/>
            </w:pPr>
            <w:r>
              <w:t xml:space="preserve">Aspergillus, Candida, Scedosporium, Fusarium (pas mucor)</w:t>
            </w:r>
          </w:p>
        </w:tc>
        <w:tc>
          <w:tcPr/>
          <w:p>
            <w:pPr>
              <w:pStyle w:val="Compact"/>
              <w:jc w:val="left"/>
            </w:pPr>
            <w:r>
              <w:t xml:space="preserve">CYP51A1</w:t>
            </w:r>
          </w:p>
        </w:tc>
        <w:tc>
          <w:tcPr/>
          <w:p>
            <w:pPr>
              <w:pStyle w:val="Compact"/>
              <w:jc w:val="left"/>
            </w:pPr>
            <w:r>
              <w:t xml:space="preserve">~ 6 h (non linéaire)</w:t>
            </w:r>
          </w:p>
        </w:tc>
        <w:tc>
          <w:tcPr/>
          <w:p>
            <w:pPr>
              <w:pStyle w:val="Compact"/>
              <w:jc w:val="left"/>
            </w:pPr>
            <w:r>
              <w:t xml:space="preserve">Hépatique CYP2C19 (polymorphe), CYP2C9, CYP3A4</w:t>
            </w:r>
          </w:p>
        </w:tc>
        <w:tc>
          <w:tcPr/>
          <w:p>
            <w:pPr>
              <w:pStyle w:val="Compact"/>
              <w:jc w:val="left"/>
            </w:pPr>
            <w:r>
              <w:t xml:space="preserve">6 mg/kg × 2 J1 puis 4 mg/kg × 2/j IV ; 200 mg × 2/j per os</w:t>
            </w:r>
          </w:p>
        </w:tc>
        <w:tc>
          <w:tcPr/>
          <w:p>
            <w:pPr>
              <w:pStyle w:val="Compact"/>
              <w:jc w:val="left"/>
            </w:pPr>
            <w:r>
              <w:t xml:space="preserve">Troubles visuels, phototoxicité, cancer cutané, hépatotoxicité, QT long</w:t>
            </w:r>
          </w:p>
        </w:tc>
        <w:tc>
          <w:tcPr/>
          <w:p>
            <w:pPr>
              <w:pStyle w:val="Compact"/>
              <w:jc w:val="left"/>
            </w:pPr>
            <w:r>
              <w:t xml:space="preserve">Déconseillé</w:t>
            </w:r>
          </w:p>
        </w:tc>
        <w:tc>
          <w:tcPr/>
          <w:p>
            <w:pPr>
              <w:pStyle w:val="Compact"/>
              <w:jc w:val="left"/>
            </w:pPr>
            <w:r>
              <w:t xml:space="preserve">Sirolimus (CI), éfavirenz, rifampicine (CI), statines, vincristine, IPP (CYP2C19/3A4)</w:t>
            </w:r>
          </w:p>
        </w:tc>
      </w:tr>
      <w:tr>
        <w:tc>
          <w:tcPr/>
          <w:p>
            <w:pPr>
              <w:pStyle w:val="Compact"/>
              <w:jc w:val="left"/>
            </w:pPr>
            <w:r>
              <w:rPr>
                <w:b/>
                <w:bCs/>
              </w:rPr>
              <w:t xml:space="preserve">Isavuconazole</w:t>
            </w:r>
          </w:p>
        </w:tc>
        <w:tc>
          <w:tcPr/>
          <w:p>
            <w:pPr>
              <w:pStyle w:val="Compact"/>
              <w:jc w:val="left"/>
            </w:pPr>
            <w:r>
              <w:t xml:space="preserve">Triazolé 3G</w:t>
            </w:r>
          </w:p>
        </w:tc>
        <w:tc>
          <w:tcPr/>
          <w:p>
            <w:pPr>
              <w:pStyle w:val="Compact"/>
              <w:jc w:val="left"/>
            </w:pPr>
            <w:r>
              <w:t xml:space="preserve">Aspergillus,</w:t>
            </w:r>
            <w:r>
              <w:t xml:space="preserve"> </w:t>
            </w:r>
            <w:r>
              <w:rPr>
                <w:b/>
                <w:bCs/>
              </w:rPr>
              <w:t xml:space="preserve">mucormycètes</w:t>
            </w:r>
            <w:r>
              <w:t xml:space="preserve">, Candida</w:t>
            </w:r>
          </w:p>
        </w:tc>
        <w:tc>
          <w:tcPr/>
          <w:p>
            <w:pPr>
              <w:pStyle w:val="Compact"/>
              <w:jc w:val="left"/>
            </w:pPr>
            <w:r>
              <w:t xml:space="preserve">CYP51A1</w:t>
            </w:r>
          </w:p>
        </w:tc>
        <w:tc>
          <w:tcPr/>
          <w:p>
            <w:pPr>
              <w:pStyle w:val="Compact"/>
              <w:jc w:val="left"/>
            </w:pPr>
            <w:r>
              <w:t xml:space="preserve">~ 130 h</w:t>
            </w:r>
          </w:p>
        </w:tc>
        <w:tc>
          <w:tcPr/>
          <w:p>
            <w:pPr>
              <w:pStyle w:val="Compact"/>
              <w:jc w:val="left"/>
            </w:pPr>
            <w:r>
              <w:t xml:space="preserve">Hépatique CYP3A4, prodrogue (IV sans cyclodextrine)</w:t>
            </w:r>
          </w:p>
        </w:tc>
        <w:tc>
          <w:tcPr/>
          <w:p>
            <w:pPr>
              <w:pStyle w:val="Compact"/>
              <w:jc w:val="left"/>
            </w:pPr>
            <w:r>
              <w:t xml:space="preserve">200 mg × 2/j J1-J2 (charge) puis 200 mg/j</w:t>
            </w:r>
          </w:p>
        </w:tc>
        <w:tc>
          <w:tcPr/>
          <w:p>
            <w:pPr>
              <w:pStyle w:val="Compact"/>
              <w:jc w:val="left"/>
            </w:pPr>
            <w:r>
              <w:t xml:space="preserve">Hépatotoxicité,</w:t>
            </w:r>
            <w:r>
              <w:t xml:space="preserve"> </w:t>
            </w:r>
            <w:r>
              <w:rPr>
                <w:b/>
                <w:bCs/>
              </w:rPr>
              <w:t xml:space="preserve">raccourcit QT</w:t>
            </w:r>
            <w:r>
              <w:t xml:space="preserve">, hypokaliémie</w:t>
            </w:r>
          </w:p>
        </w:tc>
        <w:tc>
          <w:tcPr/>
          <w:p>
            <w:pPr>
              <w:pStyle w:val="Compact"/>
              <w:jc w:val="left"/>
            </w:pPr>
            <w:r>
              <w:t xml:space="preserve">Déconseillé</w:t>
            </w:r>
          </w:p>
        </w:tc>
        <w:tc>
          <w:tcPr/>
          <w:p>
            <w:pPr>
              <w:pStyle w:val="Compact"/>
              <w:jc w:val="left"/>
            </w:pPr>
            <w:r>
              <w:t xml:space="preserve">Rifampicine (CI), kétoconazole (CI), immunosuppresseurs (CYP3A4)</w:t>
            </w:r>
          </w:p>
        </w:tc>
      </w:tr>
      <w:tr>
        <w:tc>
          <w:tcPr/>
          <w:p>
            <w:pPr>
              <w:pStyle w:val="Compact"/>
              <w:jc w:val="left"/>
            </w:pPr>
            <w:r>
              <w:rPr>
                <w:b/>
                <w:bCs/>
              </w:rPr>
              <w:t xml:space="preserve">Terbinafine</w:t>
            </w:r>
          </w:p>
        </w:tc>
        <w:tc>
          <w:tcPr/>
          <w:p>
            <w:pPr>
              <w:pStyle w:val="Compact"/>
              <w:jc w:val="left"/>
            </w:pPr>
            <w:r>
              <w:t xml:space="preserve">Allylamine</w:t>
            </w:r>
          </w:p>
        </w:tc>
        <w:tc>
          <w:tcPr/>
          <w:p>
            <w:pPr>
              <w:pStyle w:val="Compact"/>
              <w:jc w:val="left"/>
            </w:pPr>
            <w:r>
              <w:t xml:space="preserve">Dermatophytes (Candida partiel)</w:t>
            </w:r>
          </w:p>
        </w:tc>
        <w:tc>
          <w:tcPr/>
          <w:p>
            <w:pPr>
              <w:pStyle w:val="Compact"/>
              <w:jc w:val="left"/>
            </w:pPr>
            <w:r>
              <w:t xml:space="preserve">Squalène époxidase (ERG1)</w:t>
            </w:r>
          </w:p>
        </w:tc>
        <w:tc>
          <w:tcPr/>
          <w:p>
            <w:pPr>
              <w:pStyle w:val="Compact"/>
              <w:jc w:val="left"/>
            </w:pPr>
            <w:r>
              <w:t xml:space="preserve">~ 22 h</w:t>
            </w:r>
          </w:p>
        </w:tc>
        <w:tc>
          <w:tcPr/>
          <w:p>
            <w:pPr>
              <w:pStyle w:val="Compact"/>
              <w:jc w:val="left"/>
            </w:pPr>
            <w:r>
              <w:t xml:space="preserve">Hépatique CYP1A2/2C9/3A4/2C19, accumulation kératinisée</w:t>
            </w:r>
          </w:p>
        </w:tc>
        <w:tc>
          <w:tcPr/>
          <w:p>
            <w:pPr>
              <w:pStyle w:val="Compact"/>
              <w:jc w:val="left"/>
            </w:pPr>
            <w:r>
              <w:t xml:space="preserve">250 mg/j per os (onychomycose 6–12 semaines) ; crème 1% 1–2x/j 2 semaines</w:t>
            </w:r>
          </w:p>
        </w:tc>
        <w:tc>
          <w:tcPr/>
          <w:p>
            <w:pPr>
              <w:pStyle w:val="Compact"/>
              <w:jc w:val="left"/>
            </w:pPr>
            <w:r>
              <w:t xml:space="preserve">Hépatotoxicité, neutropénie, dysgueusie, poussée psoriasis</w:t>
            </w:r>
          </w:p>
        </w:tc>
        <w:tc>
          <w:tcPr/>
          <w:p>
            <w:pPr>
              <w:pStyle w:val="Compact"/>
              <w:jc w:val="left"/>
            </w:pPr>
            <w:r>
              <w:t xml:space="preserve">Orale déconseillée ; topique OK</w:t>
            </w:r>
          </w:p>
        </w:tc>
        <w:tc>
          <w:tcPr/>
          <w:p>
            <w:pPr>
              <w:pStyle w:val="Compact"/>
              <w:jc w:val="left"/>
            </w:pPr>
            <w:r>
              <w:t xml:space="preserve">ISRS, codéine, IMAO, β-bloquants (CYP2D6)</w:t>
            </w:r>
          </w:p>
        </w:tc>
      </w:tr>
      <w:tr>
        <w:tc>
          <w:tcPr/>
          <w:p>
            <w:pPr>
              <w:pStyle w:val="Compact"/>
              <w:jc w:val="left"/>
            </w:pPr>
            <w:r>
              <w:rPr>
                <w:b/>
                <w:bCs/>
              </w:rPr>
              <w:t xml:space="preserve">Naftifine</w:t>
            </w:r>
          </w:p>
        </w:tc>
        <w:tc>
          <w:tcPr/>
          <w:p>
            <w:pPr>
              <w:pStyle w:val="Compact"/>
              <w:jc w:val="left"/>
            </w:pPr>
            <w:r>
              <w:t xml:space="preserve">Allylamine</w:t>
            </w:r>
          </w:p>
        </w:tc>
        <w:tc>
          <w:tcPr/>
          <w:p>
            <w:pPr>
              <w:pStyle w:val="Compact"/>
              <w:jc w:val="left"/>
            </w:pPr>
            <w:r>
              <w:t xml:space="preserve">Dermatophytes</w:t>
            </w:r>
          </w:p>
        </w:tc>
        <w:tc>
          <w:tcPr/>
          <w:p>
            <w:pPr>
              <w:pStyle w:val="Compact"/>
              <w:jc w:val="left"/>
            </w:pPr>
            <w:r>
              <w:t xml:space="preserve">Squalène époxidase (ERG1)</w:t>
            </w:r>
          </w:p>
        </w:tc>
        <w:tc>
          <w:tcPr/>
          <w:p>
            <w:pPr>
              <w:pStyle w:val="Compact"/>
              <w:jc w:val="left"/>
            </w:pPr>
            <w:r>
              <w:t xml:space="preserve">—</w:t>
            </w:r>
          </w:p>
        </w:tc>
        <w:tc>
          <w:tcPr/>
          <w:p>
            <w:pPr>
              <w:pStyle w:val="Compact"/>
              <w:jc w:val="left"/>
            </w:pPr>
            <w:r>
              <w:t xml:space="preserve">Topique exclusivement</w:t>
            </w:r>
          </w:p>
        </w:tc>
        <w:tc>
          <w:tcPr/>
          <w:p>
            <w:pPr>
              <w:pStyle w:val="Compact"/>
              <w:jc w:val="left"/>
            </w:pPr>
            <w:r>
              <w:t xml:space="preserve">Crème/solution 1% 1–2x/j 2–4 semaines</w:t>
            </w:r>
          </w:p>
        </w:tc>
        <w:tc>
          <w:tcPr/>
          <w:p>
            <w:pPr>
              <w:pStyle w:val="Compact"/>
              <w:jc w:val="left"/>
            </w:pPr>
            <w:r>
              <w:t xml:space="preserve">Irritation locale</w:t>
            </w:r>
          </w:p>
        </w:tc>
        <w:tc>
          <w:tcPr/>
          <w:p>
            <w:pPr>
              <w:pStyle w:val="Compact"/>
              <w:jc w:val="left"/>
            </w:pPr>
            <w:r>
              <w:t xml:space="preserve">Compatible</w:t>
            </w:r>
          </w:p>
        </w:tc>
        <w:tc>
          <w:tcPr/>
          <w:p>
            <w:pPr>
              <w:pStyle w:val="Compact"/>
              <w:jc w:val="left"/>
            </w:pPr>
            <w:r>
              <w:t xml:space="preserve">Aucune</w:t>
            </w:r>
          </w:p>
        </w:tc>
      </w:tr>
      <w:tr>
        <w:tc>
          <w:tcPr/>
          <w:p>
            <w:pPr>
              <w:pStyle w:val="Compact"/>
              <w:jc w:val="left"/>
            </w:pPr>
            <w:r>
              <w:rPr>
                <w:b/>
                <w:bCs/>
              </w:rPr>
              <w:t xml:space="preserve">Amorolfine</w:t>
            </w:r>
          </w:p>
        </w:tc>
        <w:tc>
          <w:tcPr/>
          <w:p>
            <w:pPr>
              <w:pStyle w:val="Compact"/>
              <w:jc w:val="left"/>
            </w:pPr>
            <w:r>
              <w:t xml:space="preserve">Morpholine</w:t>
            </w:r>
          </w:p>
        </w:tc>
        <w:tc>
          <w:tcPr/>
          <w:p>
            <w:pPr>
              <w:pStyle w:val="Compact"/>
              <w:jc w:val="left"/>
            </w:pPr>
            <w:r>
              <w:t xml:space="preserve">Dermatophytes, levures</w:t>
            </w:r>
          </w:p>
        </w:tc>
        <w:tc>
          <w:tcPr/>
          <w:p>
            <w:pPr>
              <w:pStyle w:val="Compact"/>
              <w:jc w:val="left"/>
            </w:pPr>
            <w:r>
              <w:t xml:space="preserve">Δ14-réductase + Δ7-Δ8 isomérase (ERG24, ERG2)</w:t>
            </w:r>
          </w:p>
        </w:tc>
        <w:tc>
          <w:tcPr/>
          <w:p>
            <w:pPr>
              <w:pStyle w:val="Compact"/>
              <w:jc w:val="left"/>
            </w:pPr>
            <w:r>
              <w:t xml:space="preserve">—</w:t>
            </w:r>
          </w:p>
        </w:tc>
        <w:tc>
          <w:tcPr/>
          <w:p>
            <w:pPr>
              <w:pStyle w:val="Compact"/>
              <w:jc w:val="left"/>
            </w:pPr>
            <w:r>
              <w:t xml:space="preserve">Topique exclusivement</w:t>
            </w:r>
          </w:p>
        </w:tc>
        <w:tc>
          <w:tcPr/>
          <w:p>
            <w:pPr>
              <w:pStyle w:val="Compact"/>
              <w:jc w:val="left"/>
            </w:pPr>
            <w:r>
              <w:t xml:space="preserve">Vernis 5% 1 application/semaine (6–12 mois)</w:t>
            </w:r>
          </w:p>
        </w:tc>
        <w:tc>
          <w:tcPr/>
          <w:p>
            <w:pPr>
              <w:pStyle w:val="Compact"/>
              <w:jc w:val="left"/>
            </w:pPr>
            <w:r>
              <w:t xml:space="preserve">Irritation péri-unguéale</w:t>
            </w:r>
          </w:p>
        </w:tc>
        <w:tc>
          <w:tcPr/>
          <w:p>
            <w:pPr>
              <w:pStyle w:val="Compact"/>
              <w:jc w:val="left"/>
            </w:pPr>
            <w:r>
              <w:t xml:space="preserve">Déconseillé par prudence</w:t>
            </w:r>
          </w:p>
        </w:tc>
        <w:tc>
          <w:tcPr/>
          <w:p>
            <w:pPr>
              <w:pStyle w:val="Compact"/>
              <w:jc w:val="left"/>
            </w:pPr>
            <w:r>
              <w:t xml:space="preserve">Aucune</w:t>
            </w:r>
          </w:p>
        </w:tc>
      </w:tr>
      <w:tr>
        <w:tc>
          <w:tcPr/>
          <w:p>
            <w:pPr>
              <w:pStyle w:val="Compact"/>
              <w:jc w:val="left"/>
            </w:pPr>
            <w:r>
              <w:rPr>
                <w:b/>
                <w:bCs/>
              </w:rPr>
              <w:t xml:space="preserve">Caspofungine</w:t>
            </w:r>
          </w:p>
        </w:tc>
        <w:tc>
          <w:tcPr/>
          <w:p>
            <w:pPr>
              <w:pStyle w:val="Compact"/>
              <w:jc w:val="left"/>
            </w:pPr>
            <w:r>
              <w:t xml:space="preserve">Echinocandine</w:t>
            </w:r>
          </w:p>
        </w:tc>
        <w:tc>
          <w:tcPr/>
          <w:p>
            <w:pPr>
              <w:pStyle w:val="Compact"/>
              <w:jc w:val="left"/>
            </w:pPr>
            <w:r>
              <w:t xml:space="preserve">Candida (toutes espèces), Aspergillus (fungistatique)</w:t>
            </w:r>
          </w:p>
        </w:tc>
        <w:tc>
          <w:tcPr/>
          <w:p>
            <w:pPr>
              <w:pStyle w:val="Compact"/>
              <w:jc w:val="left"/>
            </w:pPr>
            <w:r>
              <w:t xml:space="preserve">β-(1,3)-D-glucane synthase (FKS1/FKS2)</w:t>
            </w:r>
          </w:p>
        </w:tc>
        <w:tc>
          <w:tcPr/>
          <w:p>
            <w:pPr>
              <w:pStyle w:val="Compact"/>
              <w:jc w:val="left"/>
            </w:pPr>
            <w:r>
              <w:t xml:space="preserve">~ 9–11 h</w:t>
            </w:r>
          </w:p>
        </w:tc>
        <w:tc>
          <w:tcPr/>
          <w:p>
            <w:pPr>
              <w:pStyle w:val="Compact"/>
              <w:jc w:val="left"/>
            </w:pPr>
            <w:r>
              <w:t xml:space="preserve">Hydrolyse peptidique (pas de CYP450)</w:t>
            </w:r>
          </w:p>
        </w:tc>
        <w:tc>
          <w:tcPr/>
          <w:p>
            <w:pPr>
              <w:pStyle w:val="Compact"/>
              <w:jc w:val="left"/>
            </w:pPr>
            <w:r>
              <w:t xml:space="preserve">70 mg J1 puis 50 mg/j IV</w:t>
            </w:r>
          </w:p>
        </w:tc>
        <w:tc>
          <w:tcPr/>
          <w:p>
            <w:pPr>
              <w:pStyle w:val="Compact"/>
              <w:jc w:val="left"/>
            </w:pPr>
            <w:r>
              <w:t xml:space="preserve">Fièvre, cytolyse, hypokaliémie, réactions perfusion</w:t>
            </w:r>
          </w:p>
        </w:tc>
        <w:tc>
          <w:tcPr/>
          <w:p>
            <w:pPr>
              <w:pStyle w:val="Compact"/>
              <w:jc w:val="left"/>
            </w:pPr>
            <w:r>
              <w:t xml:space="preserve">Déconseillé</w:t>
            </w:r>
          </w:p>
        </w:tc>
        <w:tc>
          <w:tcPr/>
          <w:p>
            <w:pPr>
              <w:pStyle w:val="Compact"/>
              <w:jc w:val="left"/>
            </w:pPr>
            <w:r>
              <w:t xml:space="preserve">Cyclosporine, rifampicine (induction) — peu d’interactions</w:t>
            </w:r>
          </w:p>
        </w:tc>
      </w:tr>
      <w:tr>
        <w:tc>
          <w:tcPr/>
          <w:p>
            <w:pPr>
              <w:pStyle w:val="Compact"/>
              <w:jc w:val="left"/>
            </w:pPr>
            <w:r>
              <w:rPr>
                <w:b/>
                <w:bCs/>
              </w:rPr>
              <w:t xml:space="preserve">Anidulafungine</w:t>
            </w:r>
          </w:p>
        </w:tc>
        <w:tc>
          <w:tcPr/>
          <w:p>
            <w:pPr>
              <w:pStyle w:val="Compact"/>
              <w:jc w:val="left"/>
            </w:pPr>
            <w:r>
              <w:t xml:space="preserve">Echinocandine</w:t>
            </w:r>
          </w:p>
        </w:tc>
        <w:tc>
          <w:tcPr/>
          <w:p>
            <w:pPr>
              <w:pStyle w:val="Compact"/>
              <w:jc w:val="left"/>
            </w:pPr>
            <w:r>
              <w:t xml:space="preserve">Candida (toutes espèces), Aspergillus</w:t>
            </w:r>
          </w:p>
        </w:tc>
        <w:tc>
          <w:tcPr/>
          <w:p>
            <w:pPr>
              <w:pStyle w:val="Compact"/>
              <w:jc w:val="left"/>
            </w:pPr>
            <w:r>
              <w:t xml:space="preserve">β-(1,3)-D-glucane synthase (FKS1/FKS2)</w:t>
            </w:r>
          </w:p>
        </w:tc>
        <w:tc>
          <w:tcPr/>
          <w:p>
            <w:pPr>
              <w:pStyle w:val="Compact"/>
              <w:jc w:val="left"/>
            </w:pPr>
            <w:r>
              <w:t xml:space="preserve">~ 27 h</w:t>
            </w:r>
          </w:p>
        </w:tc>
        <w:tc>
          <w:tcPr/>
          <w:p>
            <w:pPr>
              <w:pStyle w:val="Compact"/>
              <w:jc w:val="left"/>
            </w:pPr>
            <w:r>
              <w:t xml:space="preserve">Dégradation chimique spontanée (pas de foie/rein)</w:t>
            </w:r>
          </w:p>
        </w:tc>
        <w:tc>
          <w:tcPr/>
          <w:p>
            <w:pPr>
              <w:pStyle w:val="Compact"/>
              <w:jc w:val="left"/>
            </w:pPr>
            <w:r>
              <w:t xml:space="preserve">200 mg J1 puis 100 mg/j IV</w:t>
            </w:r>
          </w:p>
        </w:tc>
        <w:tc>
          <w:tcPr/>
          <w:p>
            <w:pPr>
              <w:pStyle w:val="Compact"/>
              <w:jc w:val="left"/>
            </w:pPr>
            <w:r>
              <w:t xml:space="preserve">Fièvre, cytolyse, hypokaliémie, réactions perfusion</w:t>
            </w:r>
          </w:p>
        </w:tc>
        <w:tc>
          <w:tcPr/>
          <w:p>
            <w:pPr>
              <w:pStyle w:val="Compact"/>
              <w:jc w:val="left"/>
            </w:pPr>
            <w:r>
              <w:t xml:space="preserve">Déconseillé</w:t>
            </w:r>
          </w:p>
        </w:tc>
        <w:tc>
          <w:tcPr/>
          <w:p>
            <w:pPr>
              <w:pStyle w:val="Compact"/>
              <w:jc w:val="left"/>
            </w:pPr>
            <w:r>
              <w:t xml:space="preserve">Aucune cliniquement significative</w:t>
            </w:r>
          </w:p>
        </w:tc>
      </w:tr>
      <w:tr>
        <w:tc>
          <w:tcPr/>
          <w:p>
            <w:pPr>
              <w:pStyle w:val="Compact"/>
              <w:jc w:val="left"/>
            </w:pPr>
            <w:r>
              <w:rPr>
                <w:b/>
                <w:bCs/>
              </w:rPr>
              <w:t xml:space="preserve">Griséofulvine</w:t>
            </w:r>
          </w:p>
        </w:tc>
        <w:tc>
          <w:tcPr/>
          <w:p>
            <w:pPr>
              <w:pStyle w:val="Compact"/>
              <w:jc w:val="left"/>
            </w:pPr>
            <w:r>
              <w:t xml:space="preserve">Divers (antimitotique)</w:t>
            </w:r>
          </w:p>
        </w:tc>
        <w:tc>
          <w:tcPr/>
          <w:p>
            <w:pPr>
              <w:pStyle w:val="Compact"/>
              <w:jc w:val="left"/>
            </w:pPr>
            <w:r>
              <w:t xml:space="preserve">Dermatophytes uniquement</w:t>
            </w:r>
          </w:p>
        </w:tc>
        <w:tc>
          <w:tcPr/>
          <w:p>
            <w:pPr>
              <w:pStyle w:val="Compact"/>
              <w:jc w:val="left"/>
            </w:pPr>
            <w:r>
              <w:t xml:space="preserve">β-tubuline + chitine synthase (inhibition mitose)</w:t>
            </w:r>
          </w:p>
        </w:tc>
        <w:tc>
          <w:tcPr/>
          <w:p>
            <w:pPr>
              <w:pStyle w:val="Compact"/>
              <w:jc w:val="left"/>
            </w:pPr>
            <w:r>
              <w:t xml:space="preserve">~ 24 h</w:t>
            </w:r>
          </w:p>
        </w:tc>
        <w:tc>
          <w:tcPr/>
          <w:p>
            <w:pPr>
              <w:pStyle w:val="Compact"/>
              <w:jc w:val="left"/>
            </w:pPr>
            <w:r>
              <w:t xml:space="preserve">Hépatique CYP3A4 (inducteur), rénal/fécal</w:t>
            </w:r>
          </w:p>
        </w:tc>
        <w:tc>
          <w:tcPr/>
          <w:p>
            <w:pPr>
              <w:pStyle w:val="Compact"/>
              <w:jc w:val="left"/>
            </w:pPr>
            <w:r>
              <w:t xml:space="preserve">500–1000 mg/j per os (teignes 6–8 semaines)</w:t>
            </w:r>
          </w:p>
        </w:tc>
        <w:tc>
          <w:tcPr/>
          <w:p>
            <w:pPr>
              <w:pStyle w:val="Compact"/>
              <w:jc w:val="left"/>
            </w:pPr>
            <w:r>
              <w:t xml:space="preserve">Hépatotoxicité, céphalées, neutropénie, confusion</w:t>
            </w:r>
          </w:p>
        </w:tc>
        <w:tc>
          <w:tcPr/>
          <w:p>
            <w:pPr>
              <w:pStyle w:val="Compact"/>
              <w:jc w:val="left"/>
            </w:pPr>
            <w:r>
              <w:rPr>
                <w:b/>
                <w:bCs/>
              </w:rPr>
              <w:t xml:space="preserve">CI absolue (tératogène)</w:t>
            </w:r>
          </w:p>
        </w:tc>
        <w:tc>
          <w:tcPr/>
          <w:p>
            <w:pPr>
              <w:pStyle w:val="Compact"/>
              <w:jc w:val="left"/>
            </w:pPr>
            <w:r>
              <w:t xml:space="preserve">Contraceptifs oraux (induction), AVK, alcool (Antabuse)</w:t>
            </w:r>
          </w:p>
        </w:tc>
      </w:tr>
      <w:tr>
        <w:tc>
          <w:tcPr/>
          <w:p>
            <w:pPr>
              <w:pStyle w:val="Compact"/>
              <w:jc w:val="left"/>
            </w:pPr>
            <w:r>
              <w:rPr>
                <w:b/>
                <w:bCs/>
              </w:rPr>
              <w:t xml:space="preserve">Ciclopirox</w:t>
            </w:r>
          </w:p>
        </w:tc>
        <w:tc>
          <w:tcPr/>
          <w:p>
            <w:pPr>
              <w:pStyle w:val="Compact"/>
              <w:jc w:val="left"/>
            </w:pPr>
            <w:r>
              <w:t xml:space="preserve">Divers (hydroxypyridone)</w:t>
            </w:r>
          </w:p>
        </w:tc>
        <w:tc>
          <w:tcPr/>
          <w:p>
            <w:pPr>
              <w:pStyle w:val="Compact"/>
              <w:jc w:val="left"/>
            </w:pPr>
            <w:r>
              <w:t xml:space="preserve">Dermatophytes, levures, moisissures, bactéries</w:t>
            </w:r>
          </w:p>
        </w:tc>
        <w:tc>
          <w:tcPr/>
          <w:p>
            <w:pPr>
              <w:pStyle w:val="Compact"/>
              <w:jc w:val="left"/>
            </w:pPr>
            <w:r>
              <w:t xml:space="preserve">Chélation Fe³⁺/Al³⁺ (enzymes fongiques)</w:t>
            </w:r>
          </w:p>
        </w:tc>
        <w:tc>
          <w:tcPr/>
          <w:p>
            <w:pPr>
              <w:pStyle w:val="Compact"/>
              <w:jc w:val="left"/>
            </w:pPr>
            <w:r>
              <w:t xml:space="preserve">~ 2 h</w:t>
            </w:r>
          </w:p>
        </w:tc>
        <w:tc>
          <w:tcPr/>
          <w:p>
            <w:pPr>
              <w:pStyle w:val="Compact"/>
              <w:jc w:val="left"/>
            </w:pPr>
            <w:r>
              <w:t xml:space="preserve">Glucuronidation, topique</w:t>
            </w:r>
          </w:p>
        </w:tc>
        <w:tc>
          <w:tcPr/>
          <w:p>
            <w:pPr>
              <w:pStyle w:val="Compact"/>
              <w:jc w:val="left"/>
            </w:pPr>
            <w:r>
              <w:t xml:space="preserve">Crème 1% 2x/j 2–4 semaines ; vernis 8% 1x/j 6–12 mois</w:t>
            </w:r>
          </w:p>
        </w:tc>
        <w:tc>
          <w:tcPr/>
          <w:p>
            <w:pPr>
              <w:pStyle w:val="Compact"/>
              <w:jc w:val="left"/>
            </w:pPr>
            <w:r>
              <w:t xml:space="preserve">Irritation locale</w:t>
            </w:r>
          </w:p>
        </w:tc>
        <w:tc>
          <w:tcPr/>
          <w:p>
            <w:pPr>
              <w:pStyle w:val="Compact"/>
              <w:jc w:val="left"/>
            </w:pPr>
            <w:r>
              <w:t xml:space="preserve">Compatible</w:t>
            </w:r>
          </w:p>
        </w:tc>
        <w:tc>
          <w:tcPr/>
          <w:p>
            <w:pPr>
              <w:pStyle w:val="Compact"/>
              <w:jc w:val="left"/>
            </w:pPr>
            <w:r>
              <w:t xml:space="preserve">Aucune</w:t>
            </w:r>
          </w:p>
        </w:tc>
      </w:tr>
    </w:tbl>
    <w:p>
      <w:r>
        <w:pict>
          <v:rect style="width:0;height:1.5pt" o:hralign="center" o:hrstd="t" o:hr="t"/>
        </w:pict>
      </w:r>
    </w:p>
    <w:bookmarkEnd w:id="90"/>
    <w:bookmarkStart w:id="91" w:name="X57e57f128e92e82704551eead694887c9ed3ab6"/>
    <w:p>
      <w:pPr>
        <w:pStyle w:val="Heading2"/>
      </w:pPr>
      <w:r>
        <w:t xml:space="preserve">12.8 Synthèse Pédagogique — 11 Règles d’Or et Pièges à Retenir</w:t>
      </w:r>
    </w:p>
    <w:p>
      <w:pPr>
        <w:numPr>
          <w:ilvl w:val="0"/>
          <w:numId w:val="1158"/>
        </w:numPr>
      </w:pPr>
      <w:r>
        <w:rPr>
          <w:b/>
          <w:bCs/>
        </w:rPr>
        <w:t xml:space="preserve">Les triazolés agissent sur l’ergostérol (membrane fongique), les echinocandines sur la paroi (β-glucane), les allylamines en amont (squalène), les morpholines sur des étapes tardives de l’ergostérol, la griséofulvine sur la mitose, le ciclopirox par chélation du fer.</w:t>
      </w:r>
      <w:r>
        <w:t xml:space="preserve"> </w:t>
      </w:r>
      <w:r>
        <w:t xml:space="preserve">Six mécanismes d’action distincts — pas de résistance croisée entre classes (à l’exception des echinocandines entre elles).</w:t>
      </w:r>
    </w:p>
    <w:p>
      <w:pPr>
        <w:numPr>
          <w:ilvl w:val="0"/>
          <w:numId w:val="1158"/>
        </w:numPr>
      </w:pPr>
      <w:r>
        <w:rPr>
          <w:b/>
          <w:bCs/>
        </w:rPr>
        <w:t xml:space="preserve">Fluconazole + AVK = hémorragie</w:t>
      </w:r>
      <w:r>
        <w:t xml:space="preserve"> </w:t>
      </w:r>
      <w:r>
        <w:t xml:space="preserve">— toujours demander si la patiente (souvent jeune femme pour candidose vaginale) est sous AVK. Adapter la dose d’AVK, surveiller l’INR.</w:t>
      </w:r>
    </w:p>
    <w:p>
      <w:pPr>
        <w:numPr>
          <w:ilvl w:val="0"/>
          <w:numId w:val="1158"/>
        </w:numPr>
      </w:pPr>
      <w:r>
        <w:rPr>
          <w:b/>
          <w:bCs/>
        </w:rPr>
        <w:t xml:space="preserve">Fluconazole + grossesse 1er trimestre</w:t>
      </w:r>
      <w:r>
        <w:t xml:space="preserve"> </w:t>
      </w:r>
      <w:r>
        <w:t xml:space="preserve">— la monodose 150 mg (candidose vaginale) est acceptable ; les doses répétées (≥ 400 mg/j, prophylaxie VIH) sont CI absolue (syndrome d’Antley-Bixler).</w:t>
      </w:r>
    </w:p>
    <w:p>
      <w:pPr>
        <w:numPr>
          <w:ilvl w:val="0"/>
          <w:numId w:val="1158"/>
        </w:numPr>
      </w:pPr>
      <w:r>
        <w:rPr>
          <w:b/>
          <w:bCs/>
        </w:rPr>
        <w:t xml:space="preserve">Itraconazole : absorption pH-dépendante — à prendre avec un repas acide</w:t>
      </w:r>
      <w:r>
        <w:t xml:space="preserve">. Sous IPP, l’absorption chute de 50 %. CI absolue en cas d’insuffisance cardiaque et de grossesse (teratogène). Tératogène → contraception pendant et 2 mois après.</w:t>
      </w:r>
    </w:p>
    <w:p>
      <w:pPr>
        <w:numPr>
          <w:ilvl w:val="0"/>
          <w:numId w:val="1158"/>
        </w:numPr>
      </w:pPr>
      <w:r>
        <w:rPr>
          <w:b/>
          <w:bCs/>
        </w:rPr>
        <w:t xml:space="preserve">Voriconazole : polymorphisme CYP2C19</w:t>
      </w:r>
      <w:r>
        <w:t xml:space="preserve"> </w:t>
      </w:r>
      <w:r>
        <w:t xml:space="preserve">— STP systématique à J5 (cible 2–5,5 mg/L). Troubles visuels fréquents et bénins.</w:t>
      </w:r>
      <w:r>
        <w:t xml:space="preserve"> </w:t>
      </w:r>
      <w:r>
        <w:rPr>
          <w:b/>
          <w:bCs/>
        </w:rPr>
        <w:t xml:space="preserve">Photoprotection stricte</w:t>
      </w:r>
      <w:r>
        <w:t xml:space="preserve"> </w:t>
      </w:r>
      <w:r>
        <w:t xml:space="preserve">(cancer cutané). CI avec sirolimus.</w:t>
      </w:r>
    </w:p>
    <w:p>
      <w:pPr>
        <w:numPr>
          <w:ilvl w:val="0"/>
          <w:numId w:val="1158"/>
        </w:numPr>
      </w:pPr>
      <w:r>
        <w:rPr>
          <w:b/>
          <w:bCs/>
        </w:rPr>
        <w:t xml:space="preserve">Isavuconazole : seul triazolé actif sur les mucormycètes</w:t>
      </w:r>
      <w:r>
        <w:t xml:space="preserve"> </w:t>
      </w:r>
      <w:r>
        <w:t xml:space="preserve">disponible en Algérie. Raccourcit le QT (effet paradoxal). Forme IV sans cyclodextrine (utilisable chez l’insuffisant rénal). Prise unique quotidienne (atout d’observance).</w:t>
      </w:r>
    </w:p>
    <w:p>
      <w:pPr>
        <w:numPr>
          <w:ilvl w:val="0"/>
          <w:numId w:val="1158"/>
        </w:numPr>
      </w:pPr>
      <w:r>
        <w:rPr>
          <w:b/>
          <w:bCs/>
        </w:rPr>
        <w:t xml:space="preserve">Terbinafine orale + psoriasis = poussée psoriasique</w:t>
      </w:r>
      <w:r>
        <w:t xml:space="preserve"> </w:t>
      </w:r>
      <w:r>
        <w:t xml:space="preserve">— toujours demander les antécédents dermatologiques. Surveillance ASAT/ALAT et NFS (hépatotoxicité, neutropénie). Dysgueusie possible (prévenir). Compatible en topique pendant la grossesse.</w:t>
      </w:r>
    </w:p>
    <w:p>
      <w:pPr>
        <w:numPr>
          <w:ilvl w:val="0"/>
          <w:numId w:val="1158"/>
        </w:numPr>
      </w:pPr>
      <w:r>
        <w:rPr>
          <w:b/>
          <w:bCs/>
        </w:rPr>
        <w:t xml:space="preserve">Amorolfine vernis 5% : 1 application/semaine stricte</w:t>
      </w:r>
      <w:r>
        <w:t xml:space="preserve">. Réservé aux onychomycoses limitées (&lt; 50% surface, sans atteinte matricielle, ≤ 2 ongles). Au-delà, terbinafine orale.</w:t>
      </w:r>
    </w:p>
    <w:p>
      <w:pPr>
        <w:numPr>
          <w:ilvl w:val="0"/>
          <w:numId w:val="1158"/>
        </w:numPr>
      </w:pPr>
      <w:r>
        <w:rPr>
          <w:b/>
          <w:bCs/>
        </w:rPr>
        <w:t xml:space="preserve">Echinocandines (caspofungine, anidulafungine) : traitement de référence des candidémies</w:t>
      </w:r>
      <w:r>
        <w:t xml:space="preserve"> </w:t>
      </w:r>
      <w:r>
        <w:t xml:space="preserve">(IDSA 2016). Anidulafungine = atout chez l’insuffisant hépatique (pas d’adaptation) et le polymédiqué (pas d’interactions). Caspofungine = adapter en cas de Child-Pugh B/C (35 mg/j au lieu de 50). Pas d’activité sur Cryptococcus ni mucormycètes.</w:t>
      </w:r>
    </w:p>
    <w:p>
      <w:pPr>
        <w:numPr>
          <w:ilvl w:val="0"/>
          <w:numId w:val="1158"/>
        </w:numPr>
      </w:pPr>
      <w:r>
        <w:rPr>
          <w:b/>
          <w:bCs/>
        </w:rPr>
        <w:t xml:space="preserve">Griséofulvine = CI absolue grossesse (teratogène)</w:t>
      </w:r>
      <w:r>
        <w:t xml:space="preserve"> </w:t>
      </w:r>
      <w:r>
        <w:t xml:space="preserve">+ induction enzymatique (baisse contraception orale, AVK). Réduire en Algérie à l’usage des teignes Microsporum de l’enfant, en alternative à la terbinafine. Effet Antabuse avec alcool.</w:t>
      </w:r>
    </w:p>
    <w:p>
      <w:pPr>
        <w:numPr>
          <w:ilvl w:val="0"/>
          <w:numId w:val="1158"/>
        </w:numPr>
      </w:pPr>
      <w:r>
        <w:rPr>
          <w:b/>
          <w:bCs/>
        </w:rPr>
        <w:t xml:space="preserve">Ciclopirox vernis 8% : application quotidienne stricte</w:t>
      </w:r>
      <w:r>
        <w:t xml:space="preserve"> </w:t>
      </w:r>
      <w:r>
        <w:t xml:space="preserve">(à différencier de l’amorolfine hebdomadaire). Spectre plus large (incluant levures et moisissures). Crème 1% compatible avec la grossesse et l’allaitement (résorption négligeable).</w:t>
      </w:r>
    </w:p>
    <w:p>
      <w:r>
        <w:pict>
          <v:rect style="width:0;height:1.5pt" o:hralign="center" o:hrstd="t" o:hr="t"/>
        </w:pict>
      </w:r>
    </w:p>
    <w:bookmarkEnd w:id="91"/>
    <w:bookmarkStart w:id="92" w:name="conclusion-de-la-section"/>
    <w:p>
      <w:pPr>
        <w:pStyle w:val="Heading2"/>
      </w:pPr>
      <w:r>
        <w:t xml:space="preserve">12.9 Conclusion de la Section</w:t>
      </w:r>
    </w:p>
    <w:p>
      <w:pPr>
        <w:pStyle w:val="FirstParagraph"/>
      </w:pPr>
      <w:r>
        <w:t xml:space="preserve">La présente section a présenté en détail les 11 DCIs antifongiques regroupées en cinq sous-classes pharmacologiques disponibles en Algérie : triazolés systémiques (4 DCI : fluconazole, itraconazole, voriconazole, isavuconazole), allylamines (2 DCI : terbinafine, naftifine), morpholines (1 DCI : amorolfine), echinocandines (2 DCI : caspofungine, anidulafungine) et divers (2 DCI : griséofulvine, ciclopirox). Chaque fiche a détaillé le mécanisme moléculaire (CYP51, squalène époxidase, Δ14-réductase, β-(1,3)-D-glucane synthase, β-tubuline, chélation du fer), la pharmacocinétique (biodisponibilité, métabolisme CYP, demi-vie, élimination), le profil pharmacologique (indications, CI, EI), la prévention des EI, les interactions (notamment via CYP2C9, CYP2C19, CYP3A4, CYP2D6, P-gp), les données CRAT de grossesse/allaitement, la posologie standard et l’arbitrage des formes galéniques disponibles en Algérie (100+ marques recensées, statuts ACTIF/NON_RENOUVELABLE/RETRAIT(R) précisés).</w:t>
      </w:r>
    </w:p>
    <w:p>
      <w:pPr>
        <w:pStyle w:val="BodyText"/>
      </w:pPr>
      <w:r>
        <w:t xml:space="preserve">Les particularités algériennes à retenir sont : (i) la large disponibilité du fluconazole en formes orales (gélules 50/150 mg, ~ 30 marques) et IV (perf 200 mg/100 mL) ; (ii) l’absence de solution buvable de fluconazole et d’itraconazole (limite pédiatrique) ; (iii) la disponibilité récente de l’isavuconazole (CRESEMBA HIKMA) — innovation thérapeutique majeure pour les mucormycoses et aspergilloses difficiles ; (iv) la pluralité des marques de terbinafine (10+ marques de comprimés à 250 mg et 10+ de crème 1%) reflétant l’importance épidémiologique des dermatophyties ; (v) l’absence de naftifine disponible (EXODERIL NON_RENOUVELABLE) — substitution par terbinafine ; (vi) la disponibilité de trois marques d’amorolfine vernis 5% (LOCERYL, BIOFERYL, NOCIRINE) et d’un vernis de ciclopirox 8% (MYCOSTER) pour les onychomycoses ; (vii) la disponibilité de 5 marques de caspofungine (CANCIDAS, CANGIN, AFUNDAS-L, BDCASPO 50, BDCASPO 70) et d’une marque d’anidulafungine (ECALTA) ; (viii) la restriction de la griséofulvine à une seule marque active (FONGENAL 250 mg Saidal), supplantée en pratique par la terbinafine ; (ix) la pluralité des marques de ciclopirox crème 1% (MYCODERM, MYCOPROX, MYCOSTER, STOPMYCOSE) et la solution filmogène 8% (MYCOSTER).</w:t>
      </w:r>
    </w:p>
    <w:p>
      <w:pPr>
        <w:pStyle w:val="BodyText"/>
      </w:pPr>
      <w:r>
        <w:t xml:space="preserve">Les pièges majeurs à transmettre aux étudiants sont : (1) le polymorphisme CYP2C19 du voriconazole (STP obligatoire) ; (2) la phototoxicité cutanée du voriconazole (cancer épidermoïde) ; (3) la tératogénicité de l’itraconazole et de la griséofulvine (CI grossesse absolue) ; (4) l’allongement QT des triazolés (sauf isavuconazole qui le raccourcit) ; (5) l’insuffisance cardiaque sous itraconazole ; (6) la poussée psoriasique sous terbinafine ; (7) la dysgueusie sous terbinafine ; (8) l’effet Antabuse de la griséofulvine avec l’alcool ; (9) l’induction enzymatique de la griséofulvine (baisse contraception orale) ; (10) les interactions nombreuses des triazolés via CYP2C9/2C19/3A4 (AVK, statines, ARV, immunosuppresseurs) ; (11) la non-activité des echinocandines sur Cryptococcus et mucormycètes ; (12) l’adaptation hépatique de la caspofungine (mais pas de l’anidulafungine) ; (13) la dose de charge obligatoire pour voriconazole, isavuconazole, caspofungine, anidulafungine ; (14) la prise alimentaire acide obligatoire pour l’itraconazole gélule (à jeun pour voriconazole comprimé).</w:t>
      </w:r>
    </w:p>
    <w:p>
      <w:pPr>
        <w:pStyle w:val="BodyText"/>
      </w:pPr>
      <w:r>
        <w:t xml:space="preserve">Sources mobilisées pour la rédaction : VIDAL, ANSM (RCP et recommandations), Thériaque, CRAT (Centre Renseignements sur les Agents Tératogènes), UpToDate, Micromedex, IDSA (guidelines aspergillose 2016, candidose 2016), ESCMID/ECMM (guidelines aspergillose 2018, mucormycose 2019), EMA (évaluations), HAS. Aucun blocage n’a été rencontré, et la section est prête pour la compilation finale par le coordinateur du Fascicule II.</w:t>
      </w:r>
    </w:p>
    <w:p>
      <w:r>
        <w:pict>
          <v:rect style="width:0;height:1.5pt" o:hralign="center" o:hrstd="t" o:hr="t"/>
        </w:pict>
      </w:r>
    </w:p>
    <w:p>
      <w:r>
        <w:pict>
          <v:rect style="width:0;height:1.5pt" o:hralign="center" o:hrstd="t" o:hr="t"/>
        </w:pict>
      </w:r>
    </w:p>
    <w:bookmarkEnd w:id="92"/>
    <w:bookmarkEnd w:id="93"/>
    <w:bookmarkStart w:id="108" w:name="X991ad256ea5a4eaa8e3ef62e58636476c090759"/>
    <w:p>
      <w:pPr>
        <w:pStyle w:val="Heading1"/>
      </w:pPr>
      <w:r>
        <w:t xml:space="preserve">SECTION 13 — ANTIFONGIQUES : ASSOCIATIONS GYNÉCOLOGIQUES ET LOCALES</w:t>
      </w:r>
    </w:p>
    <w:bookmarkStart w:id="94" w:name="introduction-générale-de-la-sous-classe"/>
    <w:p>
      <w:pPr>
        <w:pStyle w:val="Heading2"/>
      </w:pPr>
      <w:r>
        <w:t xml:space="preserve">13.1 Introduction générale de la sous-classe</w:t>
      </w:r>
    </w:p>
    <w:p>
      <w:pPr>
        <w:pStyle w:val="FirstParagraph"/>
      </w:pPr>
      <w:r>
        <w:t xml:space="preserve">Les</w:t>
      </w:r>
      <w:r>
        <w:t xml:space="preserve"> </w:t>
      </w:r>
      <w:r>
        <w:rPr>
          <w:b/>
          <w:bCs/>
        </w:rPr>
        <w:t xml:space="preserve">associations antifongiques gynécologiques et locales</w:t>
      </w:r>
      <w:r>
        <w:t xml:space="preserve"> </w:t>
      </w:r>
      <w:r>
        <w:t xml:space="preserve">occupent une place particulière dans la thérapeutique antifongique : elles ne relèvent pas de la monothérapie antifongique pure, mais résultent d’une logique</w:t>
      </w:r>
      <w:r>
        <w:t xml:space="preserve"> </w:t>
      </w:r>
      <w:r>
        <w:rPr>
          <w:b/>
          <w:bCs/>
        </w:rPr>
        <w:t xml:space="preserve">pragmatique de couverture plurimicrobienne</w:t>
      </w:r>
      <w:r>
        <w:t xml:space="preserve"> </w:t>
      </w:r>
      <w:r>
        <w:t xml:space="preserve">face à des tableaux cliniques polymicrobiens fréquents en pratique gynécologique de ville (vaginites mixtes), en ORL (otites externes, post-opératoire) et en dermatologie infectieuse.</w:t>
      </w:r>
    </w:p>
    <w:p>
      <w:pPr>
        <w:pStyle w:val="BodyText"/>
      </w:pPr>
      <w:r>
        <w:t xml:space="preserve">En Algérie, ces associations sont</w:t>
      </w:r>
      <w:r>
        <w:t xml:space="preserve"> </w:t>
      </w:r>
      <w:r>
        <w:rPr>
          <w:b/>
          <w:bCs/>
        </w:rPr>
        <w:t xml:space="preserve">largement prescrites en première intention</w:t>
      </w:r>
      <w:r>
        <w:t xml:space="preserve"> </w:t>
      </w:r>
      <w:r>
        <w:t xml:space="preserve">par les gynécologues et médecins généralistes pour les leucorrhées pathologiques non encore documentées, reflétant la réalité épidémiologique : la pathologie vaginale basse est</w:t>
      </w:r>
      <w:r>
        <w:t xml:space="preserve"> </w:t>
      </w:r>
      <w:r>
        <w:rPr>
          <w:b/>
          <w:bCs/>
        </w:rPr>
        <w:t xml:space="preserve">dans 30 à 50 % des cas polymicrobienne</w:t>
      </w:r>
      <w:r>
        <w:t xml:space="preserve"> </w:t>
      </w:r>
      <w:r>
        <w:t xml:space="preserve">(Gardnerella vaginalis + Candida spp. + anaérobies + Trichomonas vaginalis), rendant l’approche « empirique combinée » très populaire. Le pharmacien d’officine doit cependant maîtriser les</w:t>
      </w:r>
      <w:r>
        <w:t xml:space="preserve"> </w:t>
      </w:r>
      <w:r>
        <w:rPr>
          <w:b/>
          <w:bCs/>
        </w:rPr>
        <w:t xml:space="preserve">rationaux scientifiques</w:t>
      </w:r>
      <w:r>
        <w:t xml:space="preserve"> </w:t>
      </w:r>
      <w:r>
        <w:t xml:space="preserve">(synergie, spectre, propriétés pharmacocinétiques locales) et les</w:t>
      </w:r>
      <w:r>
        <w:t xml:space="preserve"> </w:t>
      </w:r>
      <w:r>
        <w:rPr>
          <w:b/>
          <w:bCs/>
        </w:rPr>
        <w:t xml:space="preserve">pièges cliniques</w:t>
      </w:r>
      <w:r>
        <w:t xml:space="preserve"> </w:t>
      </w:r>
      <w:r>
        <w:t xml:space="preserve">(effet antabuse du métronidazole, risque de sélection de résistances, interactions systémiques non négligeables malgré la voie vaginale).</w:t>
      </w:r>
    </w:p>
    <w:p>
      <w:pPr>
        <w:pStyle w:val="BodyText"/>
      </w:pPr>
      <w:r>
        <w:t xml:space="preserve">Cette section traite</w:t>
      </w:r>
      <w:r>
        <w:t xml:space="preserve"> </w:t>
      </w:r>
      <w:r>
        <w:rPr>
          <w:b/>
          <w:bCs/>
        </w:rPr>
        <w:t xml:space="preserve">trois associations</w:t>
      </w:r>
      <w:r>
        <w:t xml:space="preserve"> </w:t>
      </w:r>
      <w:r>
        <w:t xml:space="preserve">représentatives disponibles sur le marché algérien :</w:t>
      </w:r>
    </w:p>
    <w:p>
      <w:pPr>
        <w:pStyle w:val="Compact"/>
        <w:numPr>
          <w:ilvl w:val="0"/>
          <w:numId w:val="1159"/>
        </w:numPr>
      </w:pPr>
      <w:r>
        <w:rPr>
          <w:b/>
          <w:bCs/>
        </w:rPr>
        <w:t xml:space="preserve">Métronidazole + Miconazole</w:t>
      </w:r>
      <w:r>
        <w:t xml:space="preserve"> </w:t>
      </w:r>
      <w:r>
        <w:t xml:space="preserve">(voie vaginale, 2 marques : LIMENDA, LIMENDA-L)</w:t>
      </w:r>
    </w:p>
    <w:p>
      <w:pPr>
        <w:pStyle w:val="Compact"/>
        <w:numPr>
          <w:ilvl w:val="0"/>
          <w:numId w:val="1159"/>
        </w:numPr>
      </w:pPr>
      <w:r>
        <w:rPr>
          <w:b/>
          <w:bCs/>
        </w:rPr>
        <w:t xml:space="preserve">Métronidazole + Néomycine + Nystatine</w:t>
      </w:r>
      <w:r>
        <w:t xml:space="preserve"> </w:t>
      </w:r>
      <w:r>
        <w:t xml:space="preserve">(voie vaginale, 3 marques : GYNOVAL, TERGYNAN, GYNODAN)</w:t>
      </w:r>
    </w:p>
    <w:p>
      <w:pPr>
        <w:pStyle w:val="Compact"/>
        <w:numPr>
          <w:ilvl w:val="0"/>
          <w:numId w:val="1159"/>
        </w:numPr>
      </w:pPr>
      <w:r>
        <w:rPr>
          <w:b/>
          <w:bCs/>
        </w:rPr>
        <w:t xml:space="preserve">Néomycine + Polymyxine B + Nystatine</w:t>
      </w:r>
      <w:r>
        <w:t xml:space="preserve"> </w:t>
      </w:r>
      <w:r>
        <w:t xml:space="preserve">(voie vaginale, 4 marques : POLYNAX, POLYVAX, WELLGYNAX, POLYGYNAX)</w:t>
      </w:r>
    </w:p>
    <w:p>
      <w:pPr>
        <w:pStyle w:val="BlockText"/>
      </w:pPr>
      <w:r>
        <w:rPr>
          <w:b/>
          <w:bCs/>
        </w:rPr>
        <w:t xml:space="preserve">Note de nomenclature</w:t>
      </w:r>
      <w:r>
        <w:t xml:space="preserve"> </w:t>
      </w:r>
      <w:r>
        <w:t xml:space="preserve">: la 3ᵉ association est classée dans la nomenclature algérienne sous le libellé générique «</w:t>
      </w:r>
      <w:r>
        <w:t xml:space="preserve"> </w:t>
      </w:r>
      <w:r>
        <w:rPr>
          <w:i/>
          <w:iCs/>
        </w:rPr>
        <w:t xml:space="preserve">Nystatine + Antibiotique + Corticoïde (associations locales)</w:t>
      </w:r>
      <w:r>
        <w:t xml:space="preserve"> </w:t>
      </w:r>
      <w:r>
        <w:t xml:space="preserve">» alors que sa composition réelle (extraite des RCP et de la nomenclature DCI) est</w:t>
      </w:r>
      <w:r>
        <w:t xml:space="preserve"> </w:t>
      </w:r>
      <w:r>
        <w:rPr>
          <w:b/>
          <w:bCs/>
        </w:rPr>
        <w:t xml:space="preserve">Néomycine + Polymyxine B + Nystatine</w:t>
      </w:r>
      <w:r>
        <w:t xml:space="preserve">, sans corticoïde. Le présent fascicule adopte la composition réelle vérifiée et signale cette imprécision catégorielle.</w:t>
      </w:r>
    </w:p>
    <w:p>
      <w:r>
        <w:pict>
          <v:rect style="width:0;height:1.5pt" o:hralign="center" o:hrstd="t" o:hr="t"/>
        </w:pict>
      </w:r>
    </w:p>
    <w:bookmarkEnd w:id="94"/>
    <w:bookmarkStart w:id="97" w:name="Xe2b9e4e3fc2c2cc32d91dd70263e267810f0f9f"/>
    <w:p>
      <w:pPr>
        <w:pStyle w:val="Heading2"/>
      </w:pPr>
      <w:r>
        <w:t xml:space="preserve">13.2 Sous-classe : Antifongiques — Associations gynécologiques</w:t>
      </w:r>
    </w:p>
    <w:bookmarkStart w:id="95" w:name="justification-pharmacologique"/>
    <w:p>
      <w:pPr>
        <w:pStyle w:val="Heading3"/>
      </w:pPr>
      <w:r>
        <w:t xml:space="preserve">13.2.1 Justification pharmacologique</w:t>
      </w:r>
    </w:p>
    <w:p>
      <w:pPr>
        <w:pStyle w:val="FirstParagraph"/>
      </w:pPr>
      <w:r>
        <w:t xml:space="preserve">La cavité vaginale est un écosystème complexe où cohabitent une flore commensale dominée par</w:t>
      </w:r>
      <w:r>
        <w:t xml:space="preserve"> </w:t>
      </w:r>
      <w:r>
        <w:rPr>
          <w:i/>
          <w:iCs/>
        </w:rPr>
        <w:t xml:space="preserve">Lactobacillus</w:t>
      </w:r>
      <w:r>
        <w:t xml:space="preserve"> </w:t>
      </w:r>
      <w:r>
        <w:t xml:space="preserve">spp. (producteur d’acide lactique maintenant un pH ≈ 3,8–4,5), des bactéries opportunistes (</w:t>
      </w:r>
      <w:r>
        <w:rPr>
          <w:i/>
          <w:iCs/>
        </w:rPr>
        <w:t xml:space="preserve">Gardnerella vaginalis</w:t>
      </w:r>
      <w:r>
        <w:t xml:space="preserve">,</w:t>
      </w:r>
      <w:r>
        <w:t xml:space="preserve"> </w:t>
      </w:r>
      <w:r>
        <w:rPr>
          <w:i/>
          <w:iCs/>
        </w:rPr>
        <w:t xml:space="preserve">Mobiluncus</w:t>
      </w:r>
      <w:r>
        <w:t xml:space="preserve"> </w:t>
      </w:r>
      <w:r>
        <w:t xml:space="preserve">spp.,</w:t>
      </w:r>
      <w:r>
        <w:t xml:space="preserve"> </w:t>
      </w:r>
      <w:r>
        <w:rPr>
          <w:i/>
          <w:iCs/>
        </w:rPr>
        <w:t xml:space="preserve">Atopobium vaginae</w:t>
      </w:r>
      <w:r>
        <w:t xml:space="preserve">), des levures (</w:t>
      </w:r>
      <w:r>
        <w:rPr>
          <w:i/>
          <w:iCs/>
        </w:rPr>
        <w:t xml:space="preserve">Candida albicans</w:t>
      </w:r>
      <w:r>
        <w:t xml:space="preserve"> </w:t>
      </w:r>
      <w:r>
        <w:t xml:space="preserve">et non-</w:t>
      </w:r>
      <w:r>
        <w:rPr>
          <w:i/>
          <w:iCs/>
        </w:rPr>
        <w:t xml:space="preserve">albicans</w:t>
      </w:r>
      <w:r>
        <w:t xml:space="preserve">) et parfois des protozoaires (</w:t>
      </w:r>
      <w:r>
        <w:rPr>
          <w:i/>
          <w:iCs/>
        </w:rPr>
        <w:t xml:space="preserve">Trichomonas vaginalis</w:t>
      </w:r>
      <w:r>
        <w:t xml:space="preserve">). La rupture de cet équilibre — qu’elle soit iatrogène (antibiothérapie, corticothérapie, œstrogènes), hormonale (grossesse, cycle, ménopause), mécanique (stérilet, tampons) ou comportementale (rapports sexuels, douches vaginales) — expose à des</w:t>
      </w:r>
      <w:r>
        <w:t xml:space="preserve"> </w:t>
      </w:r>
      <w:r>
        <w:rPr>
          <w:b/>
          <w:bCs/>
        </w:rPr>
        <w:t xml:space="preserve">vaginites mixtes</w:t>
      </w:r>
      <w:r>
        <w:t xml:space="preserve"> </w:t>
      </w:r>
      <w:r>
        <w:t xml:space="preserve">dans 30 à 50 % des cas.</w:t>
      </w:r>
    </w:p>
    <w:p>
      <w:pPr>
        <w:pStyle w:val="BodyText"/>
      </w:pPr>
      <w:r>
        <w:t xml:space="preserve">Le paradigme «</w:t>
      </w:r>
      <w:r>
        <w:t xml:space="preserve"> </w:t>
      </w:r>
      <w:r>
        <w:rPr>
          <w:i/>
          <w:iCs/>
        </w:rPr>
        <w:t xml:space="preserve">un germe = un antibiotique</w:t>
      </w:r>
      <w:r>
        <w:t xml:space="preserve"> </w:t>
      </w:r>
      <w:r>
        <w:t xml:space="preserve">» est alors inopérant : traiter une candidose sans traiter une vaginose bactérienne associée conduit à l’échec thérapeutique et à la récidive. D’où la</w:t>
      </w:r>
      <w:r>
        <w:t xml:space="preserve"> </w:t>
      </w:r>
      <w:r>
        <w:rPr>
          <w:b/>
          <w:bCs/>
        </w:rPr>
        <w:t xml:space="preserve">logique combinatoire</w:t>
      </w:r>
      <w:r>
        <w:t xml:space="preserve"> </w:t>
      </w:r>
      <w:r>
        <w:t xml:space="preserve">des associations gynécologiques : additionner sur le même site anatomique un nitro-imidazolé (anti-anaérobie + antiprotozoaire), un antifongique polyénique ou azolé, et parfois un aminoside à large spectre. La voie vaginale assure une</w:t>
      </w:r>
      <w:r>
        <w:t xml:space="preserve"> </w:t>
      </w:r>
      <w:r>
        <w:rPr>
          <w:b/>
          <w:bCs/>
        </w:rPr>
        <w:t xml:space="preserve">biodisponibilité locale élevée</w:t>
      </w:r>
      <w:r>
        <w:t xml:space="preserve"> </w:t>
      </w:r>
      <w:r>
        <w:t xml:space="preserve">(concentrations tissulaires cervicaux et vaginaux supérieurs à la CMI des germes cibles) tout en limitant — sans l’annuler — l’absorption systémique.</w:t>
      </w:r>
    </w:p>
    <w:bookmarkEnd w:id="95"/>
    <w:bookmarkStart w:id="96" w:name="X4a11b965fa21ee9e983ea9fa81967cbaf2d7ee1"/>
    <w:p>
      <w:pPr>
        <w:pStyle w:val="Heading3"/>
      </w:pPr>
      <w:r>
        <w:t xml:space="preserve">13.2.2 Spécificités galéniques de la voie vaginale</w:t>
      </w:r>
    </w:p>
    <w:p>
      <w:pPr>
        <w:pStyle w:val="FirstParagraph"/>
      </w:pPr>
      <w:r>
        <w:t xml:space="preserve">Trois formes dominent le marché algérien :</w:t>
      </w:r>
    </w:p>
    <w:p>
      <w:pPr>
        <w:pStyle w:val="Compact"/>
        <w:numPr>
          <w:ilvl w:val="0"/>
          <w:numId w:val="1160"/>
        </w:numPr>
      </w:pPr>
      <w:r>
        <w:rPr>
          <w:b/>
          <w:bCs/>
        </w:rPr>
        <w:t xml:space="preserve">Ovule</w:t>
      </w:r>
      <w:r>
        <w:t xml:space="preserve"> </w:t>
      </w:r>
      <w:r>
        <w:t xml:space="preserve">(base liposoluble type Witepsol ou Suppocire) : libération rapide, intérêt d’une</w:t>
      </w:r>
      <w:r>
        <w:t xml:space="preserve"> </w:t>
      </w:r>
      <w:r>
        <w:rPr>
          <w:b/>
          <w:bCs/>
        </w:rPr>
        <w:t xml:space="preserve">action en une seule administration vespérale</w:t>
      </w:r>
      <w:r>
        <w:t xml:space="preserve"> </w:t>
      </w:r>
      <w:r>
        <w:t xml:space="preserve">mais inefficacité diurne (écoulement).</w:t>
      </w:r>
    </w:p>
    <w:p>
      <w:pPr>
        <w:pStyle w:val="Compact"/>
        <w:numPr>
          <w:ilvl w:val="0"/>
          <w:numId w:val="1160"/>
        </w:numPr>
      </w:pPr>
      <w:r>
        <w:rPr>
          <w:b/>
          <w:bCs/>
        </w:rPr>
        <w:t xml:space="preserve">Capsule molle vaginale</w:t>
      </w:r>
      <w:r>
        <w:t xml:space="preserve"> </w:t>
      </w:r>
      <w:r>
        <w:t xml:space="preserve">(enveloppe gélatineuse souple) : libération plus progressive, meilleure tolérance locale.</w:t>
      </w:r>
    </w:p>
    <w:p>
      <w:pPr>
        <w:pStyle w:val="Compact"/>
        <w:numPr>
          <w:ilvl w:val="0"/>
          <w:numId w:val="1160"/>
        </w:numPr>
      </w:pPr>
      <w:r>
        <w:rPr>
          <w:b/>
          <w:bCs/>
        </w:rPr>
        <w:t xml:space="preserve">Comprimé vaginal</w:t>
      </w:r>
      <w:r>
        <w:t xml:space="preserve"> </w:t>
      </w:r>
      <w:r>
        <w:t xml:space="preserve">(compression de poudre + excipients désintégrants) : libération plus lente et prolongée, parfois moins bien tolérée (sensation de corps étranger).</w:t>
      </w:r>
    </w:p>
    <w:p>
      <w:pPr>
        <w:pStyle w:val="FirstParagraph"/>
      </w:pPr>
      <w:r>
        <w:t xml:space="preserve">Toutes nécessitent une pose</w:t>
      </w:r>
      <w:r>
        <w:t xml:space="preserve"> </w:t>
      </w:r>
      <w:r>
        <w:rPr>
          <w:b/>
          <w:bCs/>
        </w:rPr>
        <w:t xml:space="preserve">profonde au fond du cul-de-sac vaginal postérieur</w:t>
      </w:r>
      <w:r>
        <w:t xml:space="preserve"> </w:t>
      </w:r>
      <w:r>
        <w:t xml:space="preserve">à l’aide d’un</w:t>
      </w:r>
      <w:r>
        <w:t xml:space="preserve"> </w:t>
      </w:r>
      <w:r>
        <w:rPr>
          <w:b/>
          <w:bCs/>
        </w:rPr>
        <w:t xml:space="preserve">doigtier</w:t>
      </w:r>
      <w:r>
        <w:t xml:space="preserve"> </w:t>
      </w:r>
      <w:r>
        <w:t xml:space="preserve">(fourni avec le conditionnement) pour éviter la contamination digitale et améliorer l’efficacité.</w:t>
      </w:r>
    </w:p>
    <w:p>
      <w:r>
        <w:pict>
          <v:rect style="width:0;height:1.5pt" o:hralign="center" o:hrstd="t" o:hr="t"/>
        </w:pict>
      </w:r>
    </w:p>
    <w:bookmarkEnd w:id="96"/>
    <w:bookmarkEnd w:id="97"/>
    <w:bookmarkStart w:id="98" w:name="X8547f7296a9990fbb307704ca61ae7e42297756"/>
    <w:p>
      <w:pPr>
        <w:pStyle w:val="Heading2"/>
      </w:pPr>
      <w:r>
        <w:t xml:space="preserve">13.3 DCI : Métronidazole + Miconazole (En Association)</w:t>
      </w:r>
    </w:p>
    <w:p>
      <w:pPr>
        <w:pStyle w:val="FirstParagraph"/>
      </w:pPr>
      <w:r>
        <w:rPr>
          <w:b/>
          <w:bCs/>
        </w:rPr>
        <w:t xml:space="preserve">Liste des Catégories :</w:t>
      </w:r>
      <w:r>
        <w:t xml:space="preserve"> </w:t>
      </w:r>
      <w:r>
        <w:t xml:space="preserve">Antifongiques — Associations gynécologiques ; Liste I (prescription médicale obligatoire).</w:t>
      </w:r>
    </w:p>
    <w:p>
      <w:pPr>
        <w:pStyle w:val="BodyText"/>
      </w:pPr>
      <w:r>
        <w:t xml:space="preserve">L’association</w:t>
      </w:r>
      <w:r>
        <w:t xml:space="preserve"> </w:t>
      </w:r>
      <w:r>
        <w:rPr>
          <w:b/>
          <w:bCs/>
        </w:rPr>
        <w:t xml:space="preserve">métronidazole + miconazole</w:t>
      </w:r>
      <w:r>
        <w:t xml:space="preserve"> </w:t>
      </w:r>
      <w:r>
        <w:t xml:space="preserve">associe un nitro-imidazolé actif sur les protozoaires (</w:t>
      </w:r>
      <w:r>
        <w:rPr>
          <w:i/>
          <w:iCs/>
        </w:rPr>
        <w:t xml:space="preserve">Trichomonas vaginalis</w:t>
      </w:r>
      <w:r>
        <w:t xml:space="preserve">,</w:t>
      </w:r>
      <w:r>
        <w:t xml:space="preserve"> </w:t>
      </w:r>
      <w:r>
        <w:rPr>
          <w:i/>
          <w:iCs/>
        </w:rPr>
        <w:t xml:space="preserve">Giardia</w:t>
      </w:r>
      <w:r>
        <w:t xml:space="preserve">) et les bactéries anaérobies strictes (</w:t>
      </w:r>
      <w:r>
        <w:rPr>
          <w:i/>
          <w:iCs/>
        </w:rPr>
        <w:t xml:space="preserve">Gardnerella vaginalis</w:t>
      </w:r>
      <w:r>
        <w:t xml:space="preserve">,</w:t>
      </w:r>
      <w:r>
        <w:t xml:space="preserve"> </w:t>
      </w:r>
      <w:r>
        <w:rPr>
          <w:i/>
          <w:iCs/>
        </w:rPr>
        <w:t xml:space="preserve">Bacteroides</w:t>
      </w:r>
      <w:r>
        <w:t xml:space="preserve">,</w:t>
      </w:r>
      <w:r>
        <w:t xml:space="preserve"> </w:t>
      </w:r>
      <w:r>
        <w:rPr>
          <w:i/>
          <w:iCs/>
        </w:rPr>
        <w:t xml:space="preserve">Prevotella</w:t>
      </w:r>
      <w:r>
        <w:t xml:space="preserve">,</w:t>
      </w:r>
      <w:r>
        <w:t xml:space="preserve"> </w:t>
      </w:r>
      <w:r>
        <w:rPr>
          <w:i/>
          <w:iCs/>
        </w:rPr>
        <w:t xml:space="preserve">Mobiluncus</w:t>
      </w:r>
      <w:r>
        <w:t xml:space="preserve">) à un antifongique imidazolé à large spectre sur les levures (</w:t>
      </w:r>
      <w:r>
        <w:rPr>
          <w:i/>
          <w:iCs/>
        </w:rPr>
        <w:t xml:space="preserve">Candida albicans</w:t>
      </w:r>
      <w:r>
        <w:t xml:space="preserve"> </w:t>
      </w:r>
      <w:r>
        <w:t xml:space="preserve">et non-</w:t>
      </w:r>
      <w:r>
        <w:rPr>
          <w:i/>
          <w:iCs/>
        </w:rPr>
        <w:t xml:space="preserve">albicans</w:t>
      </w:r>
      <w:r>
        <w:t xml:space="preserve">) et les dermatophytes. Elle est conçue pour couvrir simultanément les</w:t>
      </w:r>
      <w:r>
        <w:t xml:space="preserve"> </w:t>
      </w:r>
      <w:r>
        <w:rPr>
          <w:b/>
          <w:bCs/>
        </w:rPr>
        <w:t xml:space="preserve">trois grandes étiologies des vaginites non spécifiques</w:t>
      </w:r>
      <w:r>
        <w:t xml:space="preserve"> </w:t>
      </w:r>
      <w:r>
        <w:t xml:space="preserve">: vaginose bactérienne, trichomonase et candidose vulvo-vaginale. Cette association répond à la réalité clinique où 30 à 40 % des leucorrhées pathologiques relèvent d’une infection mixte, et permet une prise en charge probabiliste avant documentation bactériologique.</w:t>
      </w:r>
    </w:p>
    <w:p>
      <w:pPr>
        <w:pStyle w:val="BodyText"/>
      </w:pPr>
      <w:r>
        <w:rPr>
          <w:b/>
          <w:bCs/>
        </w:rPr>
        <w:t xml:space="preserve">Médicaments disponibles en Algérie (Marques, Laboratoires, Formes et Dosages) :</w:t>
      </w:r>
    </w:p>
    <w:p>
      <w:pPr>
        <w:pStyle w:val="Compact"/>
        <w:numPr>
          <w:ilvl w:val="0"/>
          <w:numId w:val="1161"/>
        </w:numPr>
      </w:pPr>
      <w:r>
        <w:rPr>
          <w:b/>
          <w:bCs/>
        </w:rPr>
        <w:t xml:space="preserve">LIMENDA</w:t>
      </w:r>
      <w:r>
        <w:t xml:space="preserve"> </w:t>
      </w:r>
      <w:r>
        <w:t xml:space="preserve">(WORLD MEDECINE ILAC SAN.VE TIC.A.S)</w:t>
      </w:r>
    </w:p>
    <w:p>
      <w:pPr>
        <w:pStyle w:val="Compact"/>
        <w:numPr>
          <w:ilvl w:val="1"/>
          <w:numId w:val="1162"/>
        </w:numPr>
      </w:pPr>
      <w:r>
        <w:t xml:space="preserve">Formes et Dosages : Ovule — Métronidazole 750 mg + Miconazole (nitrate) 200 mg par ovule ; Boîte de 7 ovules + 7 doigtiers</w:t>
      </w:r>
    </w:p>
    <w:p>
      <w:pPr>
        <w:pStyle w:val="Compact"/>
        <w:numPr>
          <w:ilvl w:val="1"/>
          <w:numId w:val="1162"/>
        </w:numPr>
      </w:pPr>
      <w:r>
        <w:t xml:space="preserve">Statut :</w:t>
      </w:r>
      <w:r>
        <w:t xml:space="preserve"> </w:t>
      </w:r>
      <w:r>
        <w:rPr>
          <w:b/>
          <w:bCs/>
        </w:rPr>
        <w:t xml:space="preserve">ACTIF</w:t>
      </w:r>
    </w:p>
    <w:p>
      <w:pPr>
        <w:pStyle w:val="Compact"/>
        <w:numPr>
          <w:ilvl w:val="0"/>
          <w:numId w:val="1161"/>
        </w:numPr>
      </w:pPr>
      <w:r>
        <w:rPr>
          <w:b/>
          <w:bCs/>
        </w:rPr>
        <w:t xml:space="preserve">LIMENDA-L</w:t>
      </w:r>
      <w:r>
        <w:t xml:space="preserve"> </w:t>
      </w:r>
      <w:r>
        <w:t xml:space="preserve">(WORLD MEDECINE ILAC SAN.VE TIC.A.S)</w:t>
      </w:r>
    </w:p>
    <w:p>
      <w:pPr>
        <w:pStyle w:val="Compact"/>
        <w:numPr>
          <w:ilvl w:val="1"/>
          <w:numId w:val="1163"/>
        </w:numPr>
      </w:pPr>
      <w:r>
        <w:t xml:space="preserve">Formes et Dosages : Ovule — Métronidazole 750 mg + Miconazole (nitrate) 200 mg + Lidocaïne 100 mg par ovule ; Boîte de 7 ovules + 7 doigtiers</w:t>
      </w:r>
    </w:p>
    <w:p>
      <w:pPr>
        <w:pStyle w:val="Compact"/>
        <w:numPr>
          <w:ilvl w:val="1"/>
          <w:numId w:val="1163"/>
        </w:numPr>
      </w:pPr>
      <w:r>
        <w:t xml:space="preserve">Statut :</w:t>
      </w:r>
      <w:r>
        <w:t xml:space="preserve"> </w:t>
      </w:r>
      <w:r>
        <w:rPr>
          <w:b/>
          <w:bCs/>
        </w:rPr>
        <w:t xml:space="preserve">ACTIF</w:t>
      </w:r>
    </w:p>
    <w:p>
      <w:pPr>
        <w:pStyle w:val="BlockText"/>
      </w:pPr>
      <w:r>
        <w:t xml:space="preserve">La variante</w:t>
      </w:r>
      <w:r>
        <w:t xml:space="preserve"> </w:t>
      </w:r>
      <w:r>
        <w:rPr>
          <w:b/>
          <w:bCs/>
        </w:rPr>
        <w:t xml:space="preserve">LIMENDA-L</w:t>
      </w:r>
      <w:r>
        <w:t xml:space="preserve"> </w:t>
      </w:r>
      <w:r>
        <w:t xml:space="preserve">ajoute de la lidocaïne (anesthésique local de la classe des amino-amides) pour soulager la composante douloureuse et prurigineuse souvent présente en début de traitement.</w:t>
      </w:r>
    </w:p>
    <w:p>
      <w:pPr>
        <w:pStyle w:val="FirstParagraph"/>
      </w:pPr>
      <w:r>
        <w:rPr>
          <w:b/>
          <w:bCs/>
        </w:rPr>
        <w:t xml:space="preserve">Sous-classe et Mécanisme d’action :</w:t>
      </w:r>
    </w:p>
    <w:p>
      <w:pPr>
        <w:pStyle w:val="Compact"/>
        <w:numPr>
          <w:ilvl w:val="0"/>
          <w:numId w:val="1164"/>
        </w:numPr>
      </w:pPr>
      <w:r>
        <w:rPr>
          <w:b/>
          <w:bCs/>
        </w:rPr>
        <w:t xml:space="preserve">Sous-classe</w:t>
      </w:r>
      <w:r>
        <w:t xml:space="preserve"> </w:t>
      </w:r>
      <w:r>
        <w:t xml:space="preserve">: Antifongiques — Association gynécologique à visée antifongique + antiparasitaire + anti-anaérobie.</w:t>
      </w:r>
    </w:p>
    <w:p>
      <w:pPr>
        <w:pStyle w:val="Compact"/>
        <w:numPr>
          <w:ilvl w:val="0"/>
          <w:numId w:val="1164"/>
        </w:numPr>
      </w:pPr>
      <w:r>
        <w:rPr>
          <w:b/>
          <w:bCs/>
        </w:rPr>
        <w:t xml:space="preserve">Mécanisme d’action du métronidazole</w:t>
      </w:r>
      <w:r>
        <w:t xml:space="preserve"> </w:t>
      </w:r>
      <w:r>
        <w:t xml:space="preserve">: le métronidazole est une prodrogue qui doit être</w:t>
      </w:r>
      <w:r>
        <w:t xml:space="preserve"> </w:t>
      </w:r>
      <w:r>
        <w:rPr>
          <w:b/>
          <w:bCs/>
        </w:rPr>
        <w:t xml:space="preserve">réduite au sein de la cellule cible</w:t>
      </w:r>
      <w:r>
        <w:t xml:space="preserve"> </w:t>
      </w:r>
      <w:r>
        <w:t xml:space="preserve">par la</w:t>
      </w:r>
      <w:r>
        <w:t xml:space="preserve"> </w:t>
      </w:r>
      <w:r>
        <w:rPr>
          <w:b/>
          <w:bCs/>
        </w:rPr>
        <w:t xml:space="preserve">pyruvate-ferredoxine oxydoréductase (PFOR)</w:t>
      </w:r>
      <w:r>
        <w:t xml:space="preserve">, enzyme présente chez les anaérobies stricts et les protozoaires mais pas chez les aérobies (expliquant la sélectivité). La réduction du groupement nitro (-NO₂) en radical nitro anion (-NO₂•-) génère des espèces réactives de l’oxygène et des</w:t>
      </w:r>
      <w:r>
        <w:t xml:space="preserve"> </w:t>
      </w:r>
      <w:r>
        <w:rPr>
          <w:b/>
          <w:bCs/>
        </w:rPr>
        <w:t xml:space="preserve">radicaux libres cytotoxiques</w:t>
      </w:r>
      <w:r>
        <w:t xml:space="preserve"> </w:t>
      </w:r>
      <w:r>
        <w:t xml:space="preserve">qui provoquent la</w:t>
      </w:r>
      <w:r>
        <w:t xml:space="preserve"> </w:t>
      </w:r>
      <w:r>
        <w:rPr>
          <w:b/>
          <w:bCs/>
        </w:rPr>
        <w:t xml:space="preserve">cassure des brins d’ADN</w:t>
      </w:r>
      <w:r>
        <w:t xml:space="preserve">, l’inhibition de la synthèse nucléique et la mort cellulaire. Cette activation est strictement anaérobie, ce qui explique l’absence d’effet sur les bactéries aérobies strictes.</w:t>
      </w:r>
    </w:p>
    <w:p>
      <w:pPr>
        <w:pStyle w:val="Compact"/>
        <w:numPr>
          <w:ilvl w:val="0"/>
          <w:numId w:val="1164"/>
        </w:numPr>
      </w:pPr>
      <w:r>
        <w:rPr>
          <w:b/>
          <w:bCs/>
        </w:rPr>
        <w:t xml:space="preserve">Mécanisme d’action du miconazole</w:t>
      </w:r>
      <w:r>
        <w:t xml:space="preserve"> </w:t>
      </w:r>
      <w:r>
        <w:t xml:space="preserve">: le miconazole est un antifongique imidazolé de première génération qui</w:t>
      </w:r>
      <w:r>
        <w:t xml:space="preserve"> </w:t>
      </w:r>
      <w:r>
        <w:rPr>
          <w:b/>
          <w:bCs/>
        </w:rPr>
        <w:t xml:space="preserve">inhibe la lanostérol 14α-déméthylase</w:t>
      </w:r>
      <w:r>
        <w:t xml:space="preserve"> </w:t>
      </w:r>
      <w:r>
        <w:t xml:space="preserve">(CYP51A1), enzyme fongique dépendante du cytochrome P450. Le blocage de la 14α-déméthylation du lanostérol empêche la conversion en ergostérol, principal stérol membranaire fongique, et conduit à l’</w:t>
      </w:r>
      <w:r>
        <w:rPr>
          <w:b/>
          <w:bCs/>
        </w:rPr>
        <w:t xml:space="preserve">accumulation de méthylstérols toxiques</w:t>
      </w:r>
      <w:r>
        <w:t xml:space="preserve"> </w:t>
      </w:r>
      <w:r>
        <w:t xml:space="preserve">(14α-méthyl-ergosta-8,24-dién-3,6-diol). Il en résulte une altération de la perméabilité membranaire, une fuite des composés intracellulaires (K⁺, acides aminés) et la mort fongique. Le miconazole possède une action</w:t>
      </w:r>
      <w:r>
        <w:t xml:space="preserve"> </w:t>
      </w:r>
      <w:r>
        <w:rPr>
          <w:b/>
          <w:bCs/>
        </w:rPr>
        <w:t xml:space="preserve">fongistatique et fongicide</w:t>
      </w:r>
      <w:r>
        <w:t xml:space="preserve"> </w:t>
      </w:r>
      <w:r>
        <w:t xml:space="preserve">concentration-dépendante, ainsi qu’une activité accessoire sur certains Gram+ (streptocoques, staphylocoques).</w:t>
      </w:r>
    </w:p>
    <w:p>
      <w:pPr>
        <w:pStyle w:val="Compact"/>
        <w:numPr>
          <w:ilvl w:val="0"/>
          <w:numId w:val="1164"/>
        </w:numPr>
      </w:pPr>
      <w:r>
        <w:rPr>
          <w:b/>
          <w:bCs/>
        </w:rPr>
        <w:t xml:space="preserve">Mécanisme de la lidocaïne (variante LIMENDA-L)</w:t>
      </w:r>
      <w:r>
        <w:t xml:space="preserve"> </w:t>
      </w:r>
      <w:r>
        <w:t xml:space="preserve">: blocage des canaux sodiques voltage-dépendants dans les fibres nerveuses sensitives locorégionales → anesthésie de la muqueuse vulvo-vaginale.</w:t>
      </w:r>
    </w:p>
    <w:p>
      <w:pPr>
        <w:pStyle w:val="FirstParagraph"/>
      </w:pPr>
      <w:r>
        <w:rPr>
          <w:b/>
          <w:bCs/>
        </w:rPr>
        <w:t xml:space="preserve">Profil Pharmacologique :</w:t>
      </w:r>
    </w:p>
    <w:p>
      <w:pPr>
        <w:pStyle w:val="Compact"/>
        <w:numPr>
          <w:ilvl w:val="0"/>
          <w:numId w:val="1165"/>
        </w:numPr>
      </w:pPr>
      <w:r>
        <w:rPr>
          <w:b/>
          <w:bCs/>
        </w:rPr>
        <w:t xml:space="preserve">Indications</w:t>
      </w:r>
      <w:r>
        <w:t xml:space="preserve"> </w:t>
      </w:r>
      <w:r>
        <w:t xml:space="preserve">: vaginites mixtes associant suspicion de vaginose bactérienne (Gardnerella, anaérobies) et de candidose ; traitement probabiliste des leucorrhées pathologiques récidivantes ou persistantes ; trichomonase urogénitale de la femme avec suspicion de surinfection fongique ; traitement post-antibiothérapie (candidose post-antibiotique fréquemment associée à une vaginose). La variante</w:t>
      </w:r>
      <w:r>
        <w:t xml:space="preserve"> </w:t>
      </w:r>
      <w:r>
        <w:rPr>
          <w:b/>
          <w:bCs/>
        </w:rPr>
        <w:t xml:space="preserve">LIMENDA-L</w:t>
      </w:r>
      <w:r>
        <w:t xml:space="preserve"> </w:t>
      </w:r>
      <w:r>
        <w:t xml:space="preserve">est privilégiée en présence d’une composante douloureuse (vulvite, fissures, prurit intense).</w:t>
      </w:r>
    </w:p>
    <w:p>
      <w:pPr>
        <w:pStyle w:val="Compact"/>
        <w:numPr>
          <w:ilvl w:val="0"/>
          <w:numId w:val="1165"/>
        </w:numPr>
      </w:pPr>
      <w:r>
        <w:rPr>
          <w:b/>
          <w:bCs/>
        </w:rPr>
        <w:t xml:space="preserve">Contre-indications</w:t>
      </w:r>
      <w:r>
        <w:t xml:space="preserve"> </w:t>
      </w:r>
      <w:r>
        <w:t xml:space="preserve">: hypersensibilité aux imidazolés ou au métronidazole ;</w:t>
      </w:r>
      <w:r>
        <w:t xml:space="preserve"> </w:t>
      </w:r>
      <w:r>
        <w:rPr>
          <w:b/>
          <w:bCs/>
        </w:rPr>
        <w:t xml:space="preserve">premier trimestre de grossesse</w:t>
      </w:r>
      <w:r>
        <w:t xml:space="preserve"> </w:t>
      </w:r>
      <w:r>
        <w:t xml:space="preserve">(métronidazole : mutagénicité théorique, bien que le CRAT considère l’usage local vaginal comme</w:t>
      </w:r>
      <w:r>
        <w:t xml:space="preserve"> </w:t>
      </w:r>
      <w:r>
        <w:rPr>
          <w:i/>
          <w:iCs/>
        </w:rPr>
        <w:t xml:space="preserve">possible</w:t>
      </w:r>
      <w:r>
        <w:t xml:space="preserve"> </w:t>
      </w:r>
      <w:r>
        <w:t xml:space="preserve">à tous trimestres avec prudence au 1er T) ; antécédents de maladie du sang ; usage concomitant de disulfirame ;</w:t>
      </w:r>
      <w:r>
        <w:t xml:space="preserve"> </w:t>
      </w:r>
      <w:r>
        <w:rPr>
          <w:b/>
          <w:bCs/>
        </w:rPr>
        <w:t xml:space="preserve">enfant prépubère</w:t>
      </w:r>
      <w:r>
        <w:t xml:space="preserve"> </w:t>
      </w:r>
      <w:r>
        <w:t xml:space="preserve">(formes vaginales non adaptées). Pour LIMENDA-L : allergies aux anesthésiques locaux de type amide.</w:t>
      </w:r>
    </w:p>
    <w:p>
      <w:pPr>
        <w:pStyle w:val="Compact"/>
        <w:numPr>
          <w:ilvl w:val="0"/>
          <w:numId w:val="1165"/>
        </w:numPr>
      </w:pPr>
      <w:r>
        <w:rPr>
          <w:b/>
          <w:bCs/>
        </w:rPr>
        <w:t xml:space="preserve">Effets Indésirables</w:t>
      </w:r>
      <w:r>
        <w:t xml:space="preserve"> </w:t>
      </w:r>
      <w:r>
        <w:t xml:space="preserve">:</w:t>
      </w:r>
    </w:p>
    <w:p>
      <w:pPr>
        <w:pStyle w:val="Compact"/>
        <w:numPr>
          <w:ilvl w:val="1"/>
          <w:numId w:val="1166"/>
        </w:numPr>
      </w:pPr>
      <w:r>
        <w:rPr>
          <w:i/>
          <w:iCs/>
        </w:rPr>
        <w:t xml:space="preserve">Locaux</w:t>
      </w:r>
      <w:r>
        <w:t xml:space="preserve"> </w:t>
      </w:r>
      <w:r>
        <w:t xml:space="preserve">(les plus fréquents) : brûlure vaginale transitoire, prurit, sensation de chaleur, érythème vulvaire, augmentation transitoire des leucorrhées (lié à la fonte de l’ovule), irritation du partenaire en cas de rapport sexuel pendant le traitement.</w:t>
      </w:r>
    </w:p>
    <w:p>
      <w:pPr>
        <w:pStyle w:val="Compact"/>
        <w:numPr>
          <w:ilvl w:val="1"/>
          <w:numId w:val="1166"/>
        </w:numPr>
      </w:pPr>
      <w:r>
        <w:rPr>
          <w:i/>
          <w:iCs/>
        </w:rPr>
        <w:t xml:space="preserve">Systémiques</w:t>
      </w:r>
      <w:r>
        <w:t xml:space="preserve"> </w:t>
      </w:r>
      <w:r>
        <w:t xml:space="preserve">(absorption non négligeable du métronidazole vaginal, estimée à 10–20 %) : goût métallique (très caractéristique), nausées, céphalées, sensation ébrieuse ; rarement neuropathie périphérique en cas de traitement prolongé.</w:t>
      </w:r>
    </w:p>
    <w:p>
      <w:pPr>
        <w:pStyle w:val="Compact"/>
        <w:numPr>
          <w:ilvl w:val="1"/>
          <w:numId w:val="1166"/>
        </w:numPr>
      </w:pPr>
      <w:r>
        <w:rPr>
          <w:i/>
          <w:iCs/>
        </w:rPr>
        <w:t xml:space="preserve">Lidocaïne (LIMENDA-L)</w:t>
      </w:r>
      <w:r>
        <w:t xml:space="preserve"> </w:t>
      </w:r>
      <w:r>
        <w:t xml:space="preserve">: engourdissement local transitoire, possible hypoesthésie du partenaire.</w:t>
      </w:r>
    </w:p>
    <w:p>
      <w:pPr>
        <w:pStyle w:val="Compact"/>
        <w:numPr>
          <w:ilvl w:val="0"/>
          <w:numId w:val="1165"/>
        </w:numPr>
      </w:pPr>
      <w:r>
        <w:rPr>
          <w:b/>
          <w:bCs/>
        </w:rPr>
        <w:t xml:space="preserve">Prévention et Gestion des Effets Indésirables :</w:t>
      </w:r>
    </w:p>
    <w:p>
      <w:pPr>
        <w:pStyle w:val="Compact"/>
        <w:numPr>
          <w:ilvl w:val="1"/>
          <w:numId w:val="1167"/>
        </w:numPr>
      </w:pPr>
      <w:r>
        <w:rPr>
          <w:b/>
          <w:bCs/>
        </w:rPr>
        <w:t xml:space="preserve">Mesures Préventives</w:t>
      </w:r>
      <w:r>
        <w:t xml:space="preserve"> </w:t>
      </w:r>
      <w:r>
        <w:t xml:space="preserve">: administration vespérale pour limiter l’écoulement diurne et l’inconfort ; utilisation d’une protection périodique (en évitant les tampons internes) ; hygiène périnéale douce avant pose ; abstention sexuelle pendant toute la durée du traitement (ou utilisation d’un préservatif).</w:t>
      </w:r>
    </w:p>
    <w:p>
      <w:pPr>
        <w:pStyle w:val="Compact"/>
        <w:numPr>
          <w:ilvl w:val="1"/>
          <w:numId w:val="1167"/>
        </w:numPr>
      </w:pPr>
      <w:r>
        <w:rPr>
          <w:b/>
          <w:bCs/>
        </w:rPr>
        <w:t xml:space="preserve">Conduite à Tenir</w:t>
      </w:r>
      <w:r>
        <w:t xml:space="preserve"> </w:t>
      </w:r>
      <w:r>
        <w:t xml:space="preserve">: en cas de brûlure intense persistante ou d’œdème vulvaire → arrêt immédiat et consultation pour réévaluation (allergie ou infection herpétique méconnue). En cas de neuropathie (paresthésies distales) → arrêt immédiat et avis médical.</w:t>
      </w:r>
    </w:p>
    <w:p>
      <w:pPr>
        <w:pStyle w:val="FirstParagraph"/>
      </w:pPr>
      <w:r>
        <w:rPr>
          <w:b/>
          <w:bCs/>
        </w:rPr>
        <w:t xml:space="preserve">Interactions Importantes :</w:t>
      </w:r>
    </w:p>
    <w:p>
      <w:pPr>
        <w:pStyle w:val="Compact"/>
        <w:numPr>
          <w:ilvl w:val="0"/>
          <w:numId w:val="1168"/>
        </w:numPr>
      </w:pPr>
      <w:r>
        <w:rPr>
          <w:b/>
          <w:bCs/>
        </w:rPr>
        <w:t xml:space="preserve">Alcool</w:t>
      </w:r>
      <w:r>
        <w:t xml:space="preserve"> </w:t>
      </w:r>
      <w:r>
        <w:t xml:space="preserve">:</w:t>
      </w:r>
      <w:r>
        <w:t xml:space="preserve"> </w:t>
      </w:r>
      <w:r>
        <w:rPr>
          <w:b/>
          <w:bCs/>
        </w:rPr>
        <w:t xml:space="preserve">effet antabuse</w:t>
      </w:r>
      <w:r>
        <w:t xml:space="preserve"> </w:t>
      </w:r>
      <w:r>
        <w:t xml:space="preserve">(chaleur, rougeur, vomissements, tachycardie, hypotension) par inhibition de l’aldéhyde-déshydrogénase par le métronidazole résorbé — l’éviction alcoolique doit durer</w:t>
      </w:r>
      <w:r>
        <w:t xml:space="preserve"> </w:t>
      </w:r>
      <w:r>
        <w:rPr>
          <w:b/>
          <w:bCs/>
        </w:rPr>
        <w:t xml:space="preserve">pendant le traitement et 48 heures après la dernière administration</w:t>
      </w:r>
      <w:r>
        <w:t xml:space="preserve">, y compris pour la voie vaginale (absorption systémique non négligeable).</w:t>
      </w:r>
    </w:p>
    <w:p>
      <w:pPr>
        <w:pStyle w:val="Compact"/>
        <w:numPr>
          <w:ilvl w:val="0"/>
          <w:numId w:val="1168"/>
        </w:numPr>
      </w:pPr>
      <w:r>
        <w:rPr>
          <w:b/>
          <w:bCs/>
        </w:rPr>
        <w:t xml:space="preserve">Anticoagulants oraux (warfarine, acénocoumarol)</w:t>
      </w:r>
      <w:r>
        <w:t xml:space="preserve"> </w:t>
      </w:r>
      <w:r>
        <w:t xml:space="preserve">: potentialisation de l’effet anticoagulant (inhibition CYP2C9) → risque hémorragique (surveillance INR).</w:t>
      </w:r>
    </w:p>
    <w:p>
      <w:pPr>
        <w:pStyle w:val="Compact"/>
        <w:numPr>
          <w:ilvl w:val="0"/>
          <w:numId w:val="1168"/>
        </w:numPr>
      </w:pPr>
      <w:r>
        <w:rPr>
          <w:b/>
          <w:bCs/>
        </w:rPr>
        <w:t xml:space="preserve">Disulfirame</w:t>
      </w:r>
      <w:r>
        <w:t xml:space="preserve"> </w:t>
      </w:r>
      <w:r>
        <w:t xml:space="preserve">:</w:t>
      </w:r>
      <w:r>
        <w:t xml:space="preserve"> </w:t>
      </w:r>
      <w:r>
        <w:rPr>
          <w:b/>
          <w:bCs/>
        </w:rPr>
        <w:t xml:space="preserve">association CONTRE-INDIQUÉE</w:t>
      </w:r>
      <w:r>
        <w:t xml:space="preserve"> </w:t>
      </w:r>
      <w:r>
        <w:t xml:space="preserve">(risque de délire aigu, confusion).</w:t>
      </w:r>
    </w:p>
    <w:p>
      <w:pPr>
        <w:pStyle w:val="Compact"/>
        <w:numPr>
          <w:ilvl w:val="0"/>
          <w:numId w:val="1168"/>
        </w:numPr>
      </w:pPr>
      <w:r>
        <w:rPr>
          <w:b/>
          <w:bCs/>
        </w:rPr>
        <w:t xml:space="preserve">Phénytoïne, phénobarbital</w:t>
      </w:r>
      <w:r>
        <w:t xml:space="preserve"> </w:t>
      </w:r>
      <w:r>
        <w:t xml:space="preserve">: induction enzymatique → baisse d’efficacité du métronidazole.</w:t>
      </w:r>
    </w:p>
    <w:p>
      <w:pPr>
        <w:pStyle w:val="Compact"/>
        <w:numPr>
          <w:ilvl w:val="0"/>
          <w:numId w:val="1168"/>
        </w:numPr>
      </w:pPr>
      <w:r>
        <w:rPr>
          <w:b/>
          <w:bCs/>
        </w:rPr>
        <w:t xml:space="preserve">Cimétidine</w:t>
      </w:r>
      <w:r>
        <w:t xml:space="preserve"> </w:t>
      </w:r>
      <w:r>
        <w:t xml:space="preserve">: inhibition du métabolisme hépatique → augmentation des taux de métronidazole (risque de neuropathie).</w:t>
      </w:r>
    </w:p>
    <w:p>
      <w:pPr>
        <w:pStyle w:val="Compact"/>
        <w:numPr>
          <w:ilvl w:val="0"/>
          <w:numId w:val="1168"/>
        </w:numPr>
      </w:pPr>
      <w:r>
        <w:rPr>
          <w:b/>
          <w:bCs/>
        </w:rPr>
        <w:t xml:space="preserve">Lithium</w:t>
      </w:r>
      <w:r>
        <w:t xml:space="preserve"> </w:t>
      </w:r>
      <w:r>
        <w:t xml:space="preserve">: augmentation de la lithémie (toxicité neurologique).</w:t>
      </w:r>
    </w:p>
    <w:p>
      <w:pPr>
        <w:pStyle w:val="Compact"/>
        <w:numPr>
          <w:ilvl w:val="0"/>
          <w:numId w:val="1168"/>
        </w:numPr>
      </w:pPr>
      <w:r>
        <w:rPr>
          <w:b/>
          <w:bCs/>
        </w:rPr>
        <w:t xml:space="preserve">Miconazole systémique</w:t>
      </w:r>
      <w:r>
        <w:t xml:space="preserve"> </w:t>
      </w:r>
      <w:r>
        <w:t xml:space="preserve">et</w:t>
      </w:r>
      <w:r>
        <w:t xml:space="preserve"> </w:t>
      </w:r>
      <w:r>
        <w:rPr>
          <w:b/>
          <w:bCs/>
        </w:rPr>
        <w:t xml:space="preserve">inhibiteurs de la HMG-CoA réductase (statines)</w:t>
      </w:r>
      <w:r>
        <w:t xml:space="preserve"> </w:t>
      </w:r>
      <w:r>
        <w:t xml:space="preserve">: rhabdomyolyse (CYP3A4) — non pertinent pour la voie vaginale mais à connaître en cas de traitement prolongé.</w:t>
      </w:r>
    </w:p>
    <w:p>
      <w:pPr>
        <w:pStyle w:val="FirstParagraph"/>
      </w:pPr>
      <w:r>
        <w:rPr>
          <w:b/>
          <w:bCs/>
        </w:rPr>
        <w:t xml:space="preserve">Grossesse et Allaitement :</w:t>
      </w:r>
    </w:p>
    <w:p>
      <w:pPr>
        <w:pStyle w:val="Compact"/>
        <w:numPr>
          <w:ilvl w:val="0"/>
          <w:numId w:val="1169"/>
        </w:numPr>
      </w:pPr>
      <w:r>
        <w:rPr>
          <w:b/>
          <w:bCs/>
        </w:rPr>
        <w:t xml:space="preserve">Grossesse</w:t>
      </w:r>
      <w:r>
        <w:t xml:space="preserve"> </w:t>
      </w:r>
      <w:r>
        <w:t xml:space="preserve">: selon le CRAT, le métronidazole par voie vaginale est</w:t>
      </w:r>
      <w:r>
        <w:t xml:space="preserve"> </w:t>
      </w:r>
      <w:r>
        <w:rPr>
          <w:b/>
          <w:bCs/>
        </w:rPr>
        <w:t xml:space="preserve">possible à tous trimestres</w:t>
      </w:r>
      <w:r>
        <w:t xml:space="preserve"> </w:t>
      </w:r>
      <w:r>
        <w:t xml:space="preserve">(absorption systémique limitée, données rassurantes). Cependant, par prudence, certains auteurs recommandent d’éviter le 1er trimestre et de privilégier la nystatine seule en cas de candidose isolée. Le miconazole vaginal est</w:t>
      </w:r>
      <w:r>
        <w:t xml:space="preserve"> </w:t>
      </w:r>
      <w:r>
        <w:rPr>
          <w:b/>
          <w:bCs/>
        </w:rPr>
        <w:t xml:space="preserve">utilisable pendant toute la grossesse</w:t>
      </w:r>
      <w:r>
        <w:t xml:space="preserve">. La lidocaïne en administration vaginale courte n’est pas contre-indiquée.</w:t>
      </w:r>
    </w:p>
    <w:p>
      <w:pPr>
        <w:pStyle w:val="Compact"/>
        <w:numPr>
          <w:ilvl w:val="0"/>
          <w:numId w:val="1169"/>
        </w:numPr>
      </w:pPr>
      <w:r>
        <w:rPr>
          <w:b/>
          <w:bCs/>
        </w:rPr>
        <w:t xml:space="preserve">Allaitement</w:t>
      </w:r>
      <w:r>
        <w:t xml:space="preserve"> </w:t>
      </w:r>
      <w:r>
        <w:t xml:space="preserve">: le métronidazole passe dans le lait maternel (rapport lait/plasma ≈ 1). En usage vaginal, l’absorption est faible mais détectable ; par prudence, l’OMS recommande un</w:t>
      </w:r>
      <w:r>
        <w:t xml:space="preserve"> </w:t>
      </w:r>
      <w:r>
        <w:rPr>
          <w:b/>
          <w:bCs/>
        </w:rPr>
        <w:t xml:space="preserve">report de l’allaitement de 12 à 24 heures après la dernière prise</w:t>
      </w:r>
      <w:r>
        <w:t xml:space="preserve">. Le miconazole est considéré comme compatible avec l’allaitement.</w:t>
      </w:r>
    </w:p>
    <w:p>
      <w:pPr>
        <w:pStyle w:val="Compact"/>
        <w:numPr>
          <w:ilvl w:val="0"/>
          <w:numId w:val="1169"/>
        </w:numPr>
      </w:pPr>
      <w:r>
        <w:rPr>
          <w:b/>
          <w:bCs/>
        </w:rPr>
        <w:t xml:space="preserve">Précisions</w:t>
      </w:r>
      <w:r>
        <w:t xml:space="preserve"> </w:t>
      </w:r>
      <w:r>
        <w:t xml:space="preserve">: chez la femme enceinte, préférer les ovules sans lidocaïne et les cures courtes (7 jours maximum) ; éviter tout traitement empirique répété sans documentation microbiologique.</w:t>
      </w:r>
    </w:p>
    <w:p>
      <w:pPr>
        <w:pStyle w:val="FirstParagraph"/>
      </w:pPr>
      <w:r>
        <w:rPr>
          <w:b/>
          <w:bCs/>
        </w:rPr>
        <w:t xml:space="preserve">Posologie et Mode d’administration (Standard) :</w:t>
      </w:r>
    </w:p>
    <w:p>
      <w:pPr>
        <w:pStyle w:val="Compact"/>
        <w:numPr>
          <w:ilvl w:val="0"/>
          <w:numId w:val="1170"/>
        </w:numPr>
      </w:pPr>
      <w:r>
        <w:rPr>
          <w:b/>
          <w:bCs/>
        </w:rPr>
        <w:t xml:space="preserve">Adulte</w:t>
      </w:r>
      <w:r>
        <w:t xml:space="preserve"> </w:t>
      </w:r>
      <w:r>
        <w:t xml:space="preserve">: 1 ovule vaginal</w:t>
      </w:r>
      <w:r>
        <w:t xml:space="preserve"> </w:t>
      </w:r>
      <w:r>
        <w:rPr>
          <w:b/>
          <w:bCs/>
        </w:rPr>
        <w:t xml:space="preserve">au coucher</w:t>
      </w:r>
      <w:r>
        <w:t xml:space="preserve"> </w:t>
      </w:r>
      <w:r>
        <w:t xml:space="preserve">pendant</w:t>
      </w:r>
      <w:r>
        <w:t xml:space="preserve"> </w:t>
      </w:r>
      <w:r>
        <w:rPr>
          <w:b/>
          <w:bCs/>
        </w:rPr>
        <w:t xml:space="preserve">7 jours consécutifs</w:t>
      </w:r>
      <w:r>
        <w:t xml:space="preserve">. Posologie maximale : 1 ovule/jour.</w:t>
      </w:r>
    </w:p>
    <w:p>
      <w:pPr>
        <w:pStyle w:val="Compact"/>
        <w:numPr>
          <w:ilvl w:val="0"/>
          <w:numId w:val="1170"/>
        </w:numPr>
      </w:pPr>
      <w:r>
        <w:rPr>
          <w:b/>
          <w:bCs/>
        </w:rPr>
        <w:t xml:space="preserve">Enfant</w:t>
      </w:r>
      <w:r>
        <w:t xml:space="preserve"> </w:t>
      </w:r>
      <w:r>
        <w:t xml:space="preserve">: forme non adaptée à l’enfant prépubère (formes pédiatriques spécifiques recommandées en cas de candidose vulvaire de la fillette).</w:t>
      </w:r>
    </w:p>
    <w:p>
      <w:pPr>
        <w:pStyle w:val="Compact"/>
        <w:numPr>
          <w:ilvl w:val="0"/>
          <w:numId w:val="1170"/>
        </w:numPr>
      </w:pPr>
      <w:r>
        <w:rPr>
          <w:b/>
          <w:bCs/>
        </w:rPr>
        <w:t xml:space="preserve">Durée</w:t>
      </w:r>
      <w:r>
        <w:t xml:space="preserve"> </w:t>
      </w:r>
      <w:r>
        <w:t xml:space="preserve">: 7 jours standard ; ne pas dépasser 10 jours sans avis médical. En cas de récidive, ne pas reprendre sans documentation (prélèvement vaginal à la recherche d’une cause favorisante : diabète, VIH, antibiothérapie itérative).</w:t>
      </w:r>
    </w:p>
    <w:p>
      <w:pPr>
        <w:pStyle w:val="Compact"/>
        <w:numPr>
          <w:ilvl w:val="0"/>
          <w:numId w:val="1170"/>
        </w:numPr>
      </w:pPr>
      <w:r>
        <w:rPr>
          <w:b/>
          <w:bCs/>
        </w:rPr>
        <w:t xml:space="preserve">Moment de prise</w:t>
      </w:r>
      <w:r>
        <w:t xml:space="preserve"> </w:t>
      </w:r>
      <w:r>
        <w:t xml:space="preserve">: le soir au coucher, après toilette périnéale soigneuse et miction préalable. Allongée, introduire profondément l’ovule au fond du vagin à l’aide du doigtier, rester allongée 10–15 minutes pour éviter l’écoulement.</w:t>
      </w:r>
    </w:p>
    <w:p>
      <w:pPr>
        <w:pStyle w:val="FirstParagraph"/>
      </w:pPr>
      <w:r>
        <w:rPr>
          <w:b/>
          <w:bCs/>
        </w:rPr>
        <w:t xml:space="preserve">Arbitrage et Bénéfices des Formes Galéniques :</w:t>
      </w:r>
    </w:p>
    <w:p>
      <w:pPr>
        <w:pStyle w:val="BodyText"/>
      </w:pPr>
      <w:r>
        <w:t xml:space="preserve">L’ovule de</w:t>
      </w:r>
      <w:r>
        <w:t xml:space="preserve"> </w:t>
      </w:r>
      <w:r>
        <w:rPr>
          <w:b/>
          <w:bCs/>
        </w:rPr>
        <w:t xml:space="preserve">LIMENDA classique</w:t>
      </w:r>
      <w:r>
        <w:t xml:space="preserve"> </w:t>
      </w:r>
      <w:r>
        <w:t xml:space="preserve">est adapté au traitement d’attaque des vaginites mixtes sans symptomatologie douloureuse marquée. La variante</w:t>
      </w:r>
      <w:r>
        <w:t xml:space="preserve"> </w:t>
      </w:r>
      <w:r>
        <w:rPr>
          <w:b/>
          <w:bCs/>
        </w:rPr>
        <w:t xml:space="preserve">LIMENDA-L</w:t>
      </w:r>
      <w:r>
        <w:t xml:space="preserve"> </w:t>
      </w:r>
      <w:r>
        <w:t xml:space="preserve">(avec lidocaïne) est justifiée en présence d’une vulvite intense, de fissures, de prurit insupportable ou de dyspareunie — la lidocaïne améliore l’observance en supprimant la douleur des premiers jours. Le conditionnement</w:t>
      </w:r>
      <w:r>
        <w:t xml:space="preserve"> </w:t>
      </w:r>
      <w:r>
        <w:rPr>
          <w:b/>
          <w:bCs/>
        </w:rPr>
        <w:t xml:space="preserve">7 ovules + 7 doigtiers</w:t>
      </w:r>
      <w:r>
        <w:t xml:space="preserve"> </w:t>
      </w:r>
      <w:r>
        <w:t xml:space="preserve">est calibré pour une cure complète et garantit l’hygiène de pose. Comparé à une monothérapie séquentielle (métronidazole puis miconazole), le traitement combiné</w:t>
      </w:r>
      <w:r>
        <w:t xml:space="preserve"> </w:t>
      </w:r>
      <w:r>
        <w:rPr>
          <w:b/>
          <w:bCs/>
        </w:rPr>
        <w:t xml:space="preserve">réduit la durée totale</w:t>
      </w:r>
      <w:r>
        <w:t xml:space="preserve"> </w:t>
      </w:r>
      <w:r>
        <w:t xml:space="preserve">(7 vs 14 jours) et le coût, mais</w:t>
      </w:r>
      <w:r>
        <w:t xml:space="preserve"> </w:t>
      </w:r>
      <w:r>
        <w:rPr>
          <w:b/>
          <w:bCs/>
        </w:rPr>
        <w:t xml:space="preserve">augmente le risque de résistance</w:t>
      </w:r>
      <w:r>
        <w:t xml:space="preserve"> </w:t>
      </w:r>
      <w:r>
        <w:t xml:space="preserve">si usage itératif non documenté. Comparativement à l’association métronidazole + néomycine + nystatine (cf. fiche 13.4), le couple métronidazole + miconazole cible moins largement les Gram+ aérobies mais couvre mieux les dermatophytes et le spectre azolé des Candida.</w:t>
      </w:r>
    </w:p>
    <w:p>
      <w:pPr>
        <w:pStyle w:val="BodyText"/>
      </w:pPr>
      <w:r>
        <w:rPr>
          <w:b/>
          <w:bCs/>
        </w:rPr>
        <w:t xml:space="preserve">Instructions et Conseils au Patient :</w:t>
      </w:r>
    </w:p>
    <w:p>
      <w:pPr>
        <w:pStyle w:val="Compact"/>
        <w:numPr>
          <w:ilvl w:val="0"/>
          <w:numId w:val="1171"/>
        </w:numPr>
      </w:pPr>
      <w:r>
        <w:rPr>
          <w:b/>
          <w:bCs/>
        </w:rPr>
        <w:t xml:space="preserve">Communication au comptoir</w:t>
      </w:r>
      <w:r>
        <w:t xml:space="preserve"> </w:t>
      </w:r>
      <w:r>
        <w:t xml:space="preserve">:</w:t>
      </w:r>
    </w:p>
    <w:p>
      <w:pPr>
        <w:pStyle w:val="Compact"/>
        <w:numPr>
          <w:ilvl w:val="1"/>
          <w:numId w:val="1172"/>
        </w:numPr>
      </w:pPr>
      <w:r>
        <w:t xml:space="preserve">«</w:t>
      </w:r>
      <w:r>
        <w:t xml:space="preserve"> </w:t>
      </w:r>
      <w:r>
        <w:rPr>
          <w:i/>
          <w:iCs/>
        </w:rPr>
        <w:t xml:space="preserve">Ce médicament traite en une seule prise les deux grandes causes de pertes vaginales anormales (bactéries et champignons). Il se met le soir au coucher, profondément, avec le doigtier fourni.</w:t>
      </w:r>
      <w:r>
        <w:t xml:space="preserve"> </w:t>
      </w:r>
      <w:r>
        <w:t xml:space="preserve">»</w:t>
      </w:r>
    </w:p>
    <w:p>
      <w:pPr>
        <w:pStyle w:val="Compact"/>
        <w:numPr>
          <w:ilvl w:val="1"/>
          <w:numId w:val="1172"/>
        </w:numPr>
      </w:pPr>
      <w:r>
        <w:t xml:space="preserve">Insister sur la</w:t>
      </w:r>
      <w:r>
        <w:t xml:space="preserve"> </w:t>
      </w:r>
      <w:r>
        <w:rPr>
          <w:b/>
          <w:bCs/>
        </w:rPr>
        <w:t xml:space="preserve">nécessité de respecter les 7 jours complets</w:t>
      </w:r>
      <w:r>
        <w:t xml:space="preserve"> </w:t>
      </w:r>
      <w:r>
        <w:t xml:space="preserve">même si les symptômes disparaissent dès le 2ᵉ ou 3ᵉ jour.</w:t>
      </w:r>
    </w:p>
    <w:p>
      <w:pPr>
        <w:pStyle w:val="Compact"/>
        <w:numPr>
          <w:ilvl w:val="1"/>
          <w:numId w:val="1172"/>
        </w:numPr>
      </w:pPr>
      <w:r>
        <w:t xml:space="preserve">Prévenir l’effet antabuse : «</w:t>
      </w:r>
      <w:r>
        <w:t xml:space="preserve"> </w:t>
      </w:r>
      <w:r>
        <w:rPr>
          <w:i/>
          <w:iCs/>
        </w:rPr>
        <w:t xml:space="preserve">Pendant le traitement et 48 h après, vous ne devez consommer aucun produit alcoolisé — y compris les médicaments à base d’alcool (sirops, teintures).</w:t>
      </w:r>
      <w:r>
        <w:t xml:space="preserve"> </w:t>
      </w:r>
      <w:r>
        <w:t xml:space="preserve">»</w:t>
      </w:r>
    </w:p>
    <w:p>
      <w:pPr>
        <w:pStyle w:val="Compact"/>
        <w:numPr>
          <w:ilvl w:val="1"/>
          <w:numId w:val="1172"/>
        </w:numPr>
      </w:pPr>
      <w:r>
        <w:t xml:space="preserve">Préciser les rapports sexuels : préservatif obligatoire si rapport pendant le traitement, traitement du partenaire non systématique (sauf balanite associée).</w:t>
      </w:r>
    </w:p>
    <w:p>
      <w:pPr>
        <w:pStyle w:val="Compact"/>
        <w:numPr>
          <w:ilvl w:val="0"/>
          <w:numId w:val="1171"/>
        </w:numPr>
      </w:pPr>
      <w:r>
        <w:rPr>
          <w:b/>
          <w:bCs/>
        </w:rPr>
        <w:t xml:space="preserve">Mode d’utilisation pratique</w:t>
      </w:r>
      <w:r>
        <w:t xml:space="preserve"> </w:t>
      </w:r>
      <w:r>
        <w:t xml:space="preserve">: toilette soigneuse des mains et de la zone périnéale ; miction préalable ; pose allongée, jambes fléchies ; rester allongée 10 à 15 minutes ; utiliser une protection périodique externe (jamais de tampon interne) ; ne pas faire de toilette vaginale interne (lavements, douches) pendant le traitement.</w:t>
      </w:r>
    </w:p>
    <w:p>
      <w:pPr>
        <w:pStyle w:val="FirstParagraph"/>
      </w:pPr>
      <w:r>
        <w:rPr>
          <w:b/>
          <w:bCs/>
        </w:rPr>
        <w:t xml:space="preserve">Notes, Règles d’Or &amp; Pièges au Comptoir :</w:t>
      </w:r>
    </w:p>
    <w:p>
      <w:pPr>
        <w:pStyle w:val="Compact"/>
        <w:numPr>
          <w:ilvl w:val="0"/>
          <w:numId w:val="1173"/>
        </w:numPr>
      </w:pPr>
      <w:r>
        <w:rPr>
          <w:b/>
          <w:bCs/>
        </w:rPr>
        <w:t xml:space="preserve">Piège classique</w:t>
      </w:r>
      <w:r>
        <w:t xml:space="preserve"> </w:t>
      </w:r>
      <w:r>
        <w:t xml:space="preserve">: le patient ou la patiente arrête le traitement au 3ᵉ jour car les symptômes ont disparu → récidive quasi constante et sélection de souches résistantes. Toujours rappeler la</w:t>
      </w:r>
      <w:r>
        <w:t xml:space="preserve"> </w:t>
      </w:r>
      <w:r>
        <w:rPr>
          <w:b/>
          <w:bCs/>
        </w:rPr>
        <w:t xml:space="preserve">durée complète de 7 jours</w:t>
      </w:r>
      <w:r>
        <w:t xml:space="preserve">.</w:t>
      </w:r>
    </w:p>
    <w:p>
      <w:pPr>
        <w:pStyle w:val="Compact"/>
        <w:numPr>
          <w:ilvl w:val="0"/>
          <w:numId w:val="1173"/>
        </w:numPr>
      </w:pPr>
      <w:r>
        <w:rPr>
          <w:b/>
          <w:bCs/>
        </w:rPr>
        <w:t xml:space="preserve">Règle de prise</w:t>
      </w:r>
      <w:r>
        <w:t xml:space="preserve"> </w:t>
      </w:r>
      <w:r>
        <w:t xml:space="preserve">: un ovule vaginal unique par soir, jamais deux ovules pour « rattraper » un oubli ; en cas d’oubli d’une dose, prendre l’ovule dès que possible et prolonger la cure du nombre de jours oubliés.</w:t>
      </w:r>
    </w:p>
    <w:p>
      <w:pPr>
        <w:pStyle w:val="Compact"/>
        <w:numPr>
          <w:ilvl w:val="0"/>
          <w:numId w:val="1173"/>
        </w:numPr>
      </w:pPr>
      <w:r>
        <w:rPr>
          <w:b/>
          <w:bCs/>
        </w:rPr>
        <w:t xml:space="preserve">Préparation et Conservation</w:t>
      </w:r>
      <w:r>
        <w:t xml:space="preserve"> </w:t>
      </w:r>
      <w:r>
        <w:t xml:space="preserve">: conserver à température &lt; 25 °C, à l’abri de la lumière et de l’humidité ; les ovules peuvent ramollir en cas de forte chaleur estivale (stocker au réfrigérateur si climatisation absente).</w:t>
      </w:r>
    </w:p>
    <w:p>
      <w:pPr>
        <w:pStyle w:val="Compact"/>
        <w:numPr>
          <w:ilvl w:val="0"/>
          <w:numId w:val="1173"/>
        </w:numPr>
      </w:pPr>
      <w:r>
        <w:rPr>
          <w:b/>
          <w:bCs/>
        </w:rPr>
        <w:t xml:space="preserve">Piège du surdosage / Substitution</w:t>
      </w:r>
      <w:r>
        <w:t xml:space="preserve"> </w:t>
      </w:r>
      <w:r>
        <w:t xml:space="preserve">:</w:t>
      </w:r>
    </w:p>
    <w:p>
      <w:pPr>
        <w:pStyle w:val="Compact"/>
        <w:numPr>
          <w:ilvl w:val="1"/>
          <w:numId w:val="1174"/>
        </w:numPr>
      </w:pPr>
      <w:r>
        <w:t xml:space="preserve">Ne pas substituer</w:t>
      </w:r>
      <w:r>
        <w:t xml:space="preserve"> </w:t>
      </w:r>
      <w:r>
        <w:rPr>
          <w:b/>
          <w:bCs/>
        </w:rPr>
        <w:t xml:space="preserve">LIMENDA</w:t>
      </w:r>
      <w:r>
        <w:t xml:space="preserve"> </w:t>
      </w:r>
      <w:r>
        <w:t xml:space="preserve">par</w:t>
      </w:r>
      <w:r>
        <w:t xml:space="preserve"> </w:t>
      </w:r>
      <w:r>
        <w:rPr>
          <w:b/>
          <w:bCs/>
        </w:rPr>
        <w:t xml:space="preserve">LIMENDA-L</w:t>
      </w:r>
      <w:r>
        <w:t xml:space="preserve"> </w:t>
      </w:r>
      <w:r>
        <w:t xml:space="preserve">sans avis médical chez une femme allergique aux anesthésiques locaux.</w:t>
      </w:r>
    </w:p>
    <w:p>
      <w:pPr>
        <w:pStyle w:val="Compact"/>
        <w:numPr>
          <w:ilvl w:val="1"/>
          <w:numId w:val="1174"/>
        </w:numPr>
      </w:pPr>
      <w:r>
        <w:t xml:space="preserve">Ne pas associer à un traitement oral par métronidazole (cumul des doses et des EI).</w:t>
      </w:r>
    </w:p>
    <w:p>
      <w:pPr>
        <w:pStyle w:val="Compact"/>
        <w:numPr>
          <w:ilvl w:val="1"/>
          <w:numId w:val="1174"/>
        </w:numPr>
      </w:pPr>
      <w:r>
        <w:t xml:space="preserve">En cas de candidose récidivante (&gt; 4 épisodes/an), évoquer un diabète ou une immunodépression — ne pas renouveler les cures vaginales sans avis gynécologique.</w:t>
      </w:r>
    </w:p>
    <w:p>
      <w:pPr>
        <w:pStyle w:val="Compact"/>
        <w:numPr>
          <w:ilvl w:val="1"/>
          <w:numId w:val="1174"/>
        </w:numPr>
      </w:pPr>
      <w:r>
        <w:t xml:space="preserve">Le</w:t>
      </w:r>
      <w:r>
        <w:t xml:space="preserve"> </w:t>
      </w:r>
      <w:r>
        <w:rPr>
          <w:b/>
          <w:bCs/>
        </w:rPr>
        <w:t xml:space="preserve">prurit persistant après 7 jours</w:t>
      </w:r>
      <w:r>
        <w:t xml:space="preserve"> </w:t>
      </w:r>
      <w:r>
        <w:t xml:space="preserve">doit faire évoquer une cause non infectieuse (eczéma, lichen, allergie aux excipients, herpès) — réorientation médicale.</w:t>
      </w:r>
    </w:p>
    <w:p>
      <w:r>
        <w:pict>
          <v:rect style="width:0;height:1.5pt" o:hralign="center" o:hrstd="t" o:hr="t"/>
        </w:pict>
      </w:r>
    </w:p>
    <w:bookmarkEnd w:id="98"/>
    <w:bookmarkStart w:id="99" w:name="Xbc215a0bdf338e5b28de8ab015d669d906f0575"/>
    <w:p>
      <w:pPr>
        <w:pStyle w:val="Heading2"/>
      </w:pPr>
      <w:r>
        <w:t xml:space="preserve">13.4 DCI : Métronidazole + Néomycine + Nystatine (En Association)</w:t>
      </w:r>
    </w:p>
    <w:p>
      <w:pPr>
        <w:pStyle w:val="FirstParagraph"/>
      </w:pPr>
      <w:r>
        <w:rPr>
          <w:b/>
          <w:bCs/>
        </w:rPr>
        <w:t xml:space="preserve">Liste des Catégories :</w:t>
      </w:r>
      <w:r>
        <w:t xml:space="preserve"> </w:t>
      </w:r>
      <w:r>
        <w:t xml:space="preserve">Antifongiques — Associations gynécologiques ; Liste I.</w:t>
      </w:r>
    </w:p>
    <w:p>
      <w:pPr>
        <w:pStyle w:val="BodyText"/>
      </w:pPr>
      <w:r>
        <w:t xml:space="preserve">L’association</w:t>
      </w:r>
      <w:r>
        <w:t xml:space="preserve"> </w:t>
      </w:r>
      <w:r>
        <w:rPr>
          <w:b/>
          <w:bCs/>
        </w:rPr>
        <w:t xml:space="preserve">métronidazole + néomycine + nystatine</w:t>
      </w:r>
      <w:r>
        <w:t xml:space="preserve"> </w:t>
      </w:r>
      <w:r>
        <w:t xml:space="preserve">est la combinaison</w:t>
      </w:r>
      <w:r>
        <w:t xml:space="preserve"> </w:t>
      </w:r>
      <w:r>
        <w:rPr>
          <w:b/>
          <w:bCs/>
        </w:rPr>
        <w:t xml:space="preserve">triple historique</w:t>
      </w:r>
      <w:r>
        <w:t xml:space="preserve"> </w:t>
      </w:r>
      <w:r>
        <w:t xml:space="preserve">du traitement probabiliste des vaginites : un nitro-imidazolé (anti-anaérobie + antiprotozoaire), un aminoside (anti-Gram– aérobie + anti-Gram+) et un antifongique polyénique (anti-Candida). Elle vise à couvrir la totalité du spectre bactérien et fongique vaginal en une seule administration vespérale. C’est l’une des associations les plus prescrites en gynécologie de ville en Algérie, en raison de sa</w:t>
      </w:r>
      <w:r>
        <w:t xml:space="preserve"> </w:t>
      </w:r>
      <w:r>
        <w:rPr>
          <w:b/>
          <w:bCs/>
        </w:rPr>
        <w:t xml:space="preserve">large couverture empirique</w:t>
      </w:r>
      <w:r>
        <w:t xml:space="preserve"> </w:t>
      </w:r>
      <w:r>
        <w:t xml:space="preserve">et de son coût modéré. Le métronidazole cible Gardnerella, Mobiluncus, Prevotella et Trichomonas ; la néomycine couvre les Gram– aérobies (E. coli, Klebsiella, Proteus) et certains Gram+ (staphylocoques, streptocoques) ; la nystatine élimine les Candida. Cette triple action trouve sa justification dans le caractère fréquemment</w:t>
      </w:r>
      <w:r>
        <w:t xml:space="preserve"> </w:t>
      </w:r>
      <w:r>
        <w:rPr>
          <w:b/>
          <w:bCs/>
        </w:rPr>
        <w:t xml:space="preserve">polymicrobien</w:t>
      </w:r>
      <w:r>
        <w:t xml:space="preserve"> </w:t>
      </w:r>
      <w:r>
        <w:t xml:space="preserve">des vaginites sévères ou récidivantes.</w:t>
      </w:r>
    </w:p>
    <w:p>
      <w:pPr>
        <w:pStyle w:val="BodyText"/>
      </w:pPr>
      <w:r>
        <w:rPr>
          <w:b/>
          <w:bCs/>
        </w:rPr>
        <w:t xml:space="preserve">Médicaments disponibles en Algérie (Marques, Laboratoires, Formes et Dosages) :</w:t>
      </w:r>
    </w:p>
    <w:p>
      <w:pPr>
        <w:pStyle w:val="Compact"/>
        <w:numPr>
          <w:ilvl w:val="0"/>
          <w:numId w:val="1175"/>
        </w:numPr>
      </w:pPr>
      <w:r>
        <w:rPr>
          <w:b/>
          <w:bCs/>
        </w:rPr>
        <w:t xml:space="preserve">GYNOVAL</w:t>
      </w:r>
      <w:r>
        <w:t xml:space="preserve"> </w:t>
      </w:r>
      <w:r>
        <w:t xml:space="preserve">(BIOGALENIC)</w:t>
      </w:r>
    </w:p>
    <w:p>
      <w:pPr>
        <w:pStyle w:val="Compact"/>
        <w:numPr>
          <w:ilvl w:val="1"/>
          <w:numId w:val="1176"/>
        </w:numPr>
      </w:pPr>
      <w:r>
        <w:t xml:space="preserve">Formes et Dosages : Comprimé vaginal — Métronidazole 500 mg + Néomycine (sulfate) 65 000 UI + Nystatine 100 000 UI ; Boîte de 10 comprimés vaginaux</w:t>
      </w:r>
    </w:p>
    <w:p>
      <w:pPr>
        <w:pStyle w:val="Compact"/>
        <w:numPr>
          <w:ilvl w:val="1"/>
          <w:numId w:val="1176"/>
        </w:numPr>
      </w:pPr>
      <w:r>
        <w:t xml:space="preserve">Statut :</w:t>
      </w:r>
      <w:r>
        <w:t xml:space="preserve"> </w:t>
      </w:r>
      <w:r>
        <w:rPr>
          <w:b/>
          <w:bCs/>
        </w:rPr>
        <w:t xml:space="preserve">ACTIF</w:t>
      </w:r>
    </w:p>
    <w:p>
      <w:pPr>
        <w:pStyle w:val="Compact"/>
        <w:numPr>
          <w:ilvl w:val="0"/>
          <w:numId w:val="1175"/>
        </w:numPr>
      </w:pPr>
      <w:r>
        <w:rPr>
          <w:b/>
          <w:bCs/>
        </w:rPr>
        <w:t xml:space="preserve">TERGYNAN</w:t>
      </w:r>
      <w:r>
        <w:t xml:space="preserve"> </w:t>
      </w:r>
      <w:r>
        <w:t xml:space="preserve">(BOUCHARA-RECORDATI)</w:t>
      </w:r>
    </w:p>
    <w:p>
      <w:pPr>
        <w:pStyle w:val="Compact"/>
        <w:numPr>
          <w:ilvl w:val="1"/>
          <w:numId w:val="1177"/>
        </w:numPr>
      </w:pPr>
      <w:r>
        <w:t xml:space="preserve">Formes et Dosages : Comprimé vaginal — Métronidazole 500 mg + Néomycine (sulfate) 65 000 UI + Nystatine 100 000 UI ; Boîte de 10 comprimés vaginaux</w:t>
      </w:r>
    </w:p>
    <w:p>
      <w:pPr>
        <w:pStyle w:val="Compact"/>
        <w:numPr>
          <w:ilvl w:val="1"/>
          <w:numId w:val="1177"/>
        </w:numPr>
      </w:pPr>
      <w:r>
        <w:t xml:space="preserve">Statut :</w:t>
      </w:r>
      <w:r>
        <w:t xml:space="preserve"> </w:t>
      </w:r>
      <w:r>
        <w:rPr>
          <w:b/>
          <w:bCs/>
        </w:rPr>
        <w:t xml:space="preserve">ACTIF</w:t>
      </w:r>
    </w:p>
    <w:p>
      <w:pPr>
        <w:pStyle w:val="Compact"/>
        <w:numPr>
          <w:ilvl w:val="0"/>
          <w:numId w:val="1175"/>
        </w:numPr>
      </w:pPr>
      <w:r>
        <w:rPr>
          <w:b/>
          <w:bCs/>
        </w:rPr>
        <w:t xml:space="preserve">GYNODAN</w:t>
      </w:r>
      <w:r>
        <w:t xml:space="preserve"> </w:t>
      </w:r>
      <w:r>
        <w:t xml:space="preserve">(BIOPHARM)</w:t>
      </w:r>
    </w:p>
    <w:p>
      <w:pPr>
        <w:pStyle w:val="Compact"/>
        <w:numPr>
          <w:ilvl w:val="1"/>
          <w:numId w:val="1178"/>
        </w:numPr>
      </w:pPr>
      <w:r>
        <w:t xml:space="preserve">Formes et Dosages : Ovule — Métronidazole 500 mg + Néomycine (sulfate) 65 000 UI + Nystatine 100 000 UI ; Boîte de 10 ovules</w:t>
      </w:r>
    </w:p>
    <w:p>
      <w:pPr>
        <w:pStyle w:val="Compact"/>
        <w:numPr>
          <w:ilvl w:val="1"/>
          <w:numId w:val="1178"/>
        </w:numPr>
      </w:pPr>
      <w:r>
        <w:t xml:space="preserve">Statut :</w:t>
      </w:r>
      <w:r>
        <w:t xml:space="preserve"> </w:t>
      </w:r>
      <w:r>
        <w:rPr>
          <w:b/>
          <w:bCs/>
        </w:rPr>
        <w:t xml:space="preserve">ACTIF</w:t>
      </w:r>
    </w:p>
    <w:p>
      <w:pPr>
        <w:pStyle w:val="BlockText"/>
      </w:pPr>
      <w:r>
        <w:rPr>
          <w:b/>
          <w:bCs/>
        </w:rPr>
        <w:t xml:space="preserve">TERGYNAN</w:t>
      </w:r>
      <w:r>
        <w:t xml:space="preserve"> </w:t>
      </w:r>
      <w:r>
        <w:t xml:space="preserve">est la marque « historique » (référence française, commercialisée depuis les années 1970) largement imitée. GYNOVAL et GYNODAN sont les génériques algériens/turcs.</w:t>
      </w:r>
    </w:p>
    <w:p>
      <w:pPr>
        <w:pStyle w:val="FirstParagraph"/>
      </w:pPr>
      <w:r>
        <w:rPr>
          <w:b/>
          <w:bCs/>
        </w:rPr>
        <w:t xml:space="preserve">Sous-classe et Mécanisme d’action :</w:t>
      </w:r>
    </w:p>
    <w:p>
      <w:pPr>
        <w:pStyle w:val="Compact"/>
        <w:numPr>
          <w:ilvl w:val="0"/>
          <w:numId w:val="1179"/>
        </w:numPr>
      </w:pPr>
      <w:r>
        <w:rPr>
          <w:b/>
          <w:bCs/>
        </w:rPr>
        <w:t xml:space="preserve">Sous-classe</w:t>
      </w:r>
      <w:r>
        <w:t xml:space="preserve"> </w:t>
      </w:r>
      <w:r>
        <w:t xml:space="preserve">: Antifongiques — Association gynécologique à triple composant (anti-anaérobie + antiprotozoaire + aminoside + antifongique polyénique).</w:t>
      </w:r>
    </w:p>
    <w:p>
      <w:pPr>
        <w:pStyle w:val="Compact"/>
        <w:numPr>
          <w:ilvl w:val="0"/>
          <w:numId w:val="1179"/>
        </w:numPr>
      </w:pPr>
      <w:r>
        <w:rPr>
          <w:b/>
          <w:bCs/>
        </w:rPr>
        <w:t xml:space="preserve">Mécanisme du métronidazole</w:t>
      </w:r>
      <w:r>
        <w:t xml:space="preserve"> </w:t>
      </w:r>
      <w:r>
        <w:t xml:space="preserve">: cf. fiche 13.3 (réduction PFOR-dépendante en radical nitro anion cytotoxique → cassure ADN, mort cellulaire ; sélectif anaérobies + protozoaires).</w:t>
      </w:r>
    </w:p>
    <w:p>
      <w:pPr>
        <w:pStyle w:val="Compact"/>
        <w:numPr>
          <w:ilvl w:val="0"/>
          <w:numId w:val="1179"/>
        </w:numPr>
      </w:pPr>
      <w:r>
        <w:rPr>
          <w:b/>
          <w:bCs/>
        </w:rPr>
        <w:t xml:space="preserve">Mécanisme de la néomycine</w:t>
      </w:r>
      <w:r>
        <w:t xml:space="preserve"> </w:t>
      </w:r>
      <w:r>
        <w:t xml:space="preserve">: aminoside de 2ᵉ génération qui se fixe de façon</w:t>
      </w:r>
      <w:r>
        <w:t xml:space="preserve"> </w:t>
      </w:r>
      <w:r>
        <w:rPr>
          <w:b/>
          <w:bCs/>
        </w:rPr>
        <w:t xml:space="preserve">irréversible sur la sous-unité 30S du ribosome bactérien</w:t>
      </w:r>
      <w:r>
        <w:t xml:space="preserve"> </w:t>
      </w:r>
      <w:r>
        <w:t xml:space="preserve">(site A de l’ARN 16S), provoquant (i) une</w:t>
      </w:r>
      <w:r>
        <w:t xml:space="preserve"> </w:t>
      </w:r>
      <w:r>
        <w:rPr>
          <w:b/>
          <w:bCs/>
        </w:rPr>
        <w:t xml:space="preserve">erreur de lecture du code génétique</w:t>
      </w:r>
      <w:r>
        <w:t xml:space="preserve"> </w:t>
      </w:r>
      <w:r>
        <w:t xml:space="preserve">(mistraduction → protéines aberrantes non fonctionnelles), (ii) un blocage de la translocation et (iii) une activation des ribosomes stallés conduisant à la mort cellulaire accélérée. La néomycine est</w:t>
      </w:r>
      <w:r>
        <w:t xml:space="preserve"> </w:t>
      </w:r>
      <w:r>
        <w:rPr>
          <w:b/>
          <w:bCs/>
        </w:rPr>
        <w:t xml:space="preserve">bactéricide concentration-dépendante</w:t>
      </w:r>
      <w:r>
        <w:t xml:space="preserve">. Sa néphro- et ototoxicité limitent son usage systémique ; par voie vaginale, l’absorption est négligeable (&lt; 1 %) chez la muqueuse saine, mais augmentée en cas de lésions étendues.</w:t>
      </w:r>
    </w:p>
    <w:p>
      <w:pPr>
        <w:pStyle w:val="Compact"/>
        <w:numPr>
          <w:ilvl w:val="0"/>
          <w:numId w:val="1179"/>
        </w:numPr>
      </w:pPr>
      <w:r>
        <w:rPr>
          <w:b/>
          <w:bCs/>
        </w:rPr>
        <w:t xml:space="preserve">Mécanisme de la nystatine</w:t>
      </w:r>
      <w:r>
        <w:t xml:space="preserve"> </w:t>
      </w:r>
      <w:r>
        <w:t xml:space="preserve">: antifongique polyénique macrocyclique qui se lie de façon</w:t>
      </w:r>
      <w:r>
        <w:t xml:space="preserve"> </w:t>
      </w:r>
      <w:r>
        <w:rPr>
          <w:b/>
          <w:bCs/>
        </w:rPr>
        <w:t xml:space="preserve">préférentielle à l’ergostérol</w:t>
      </w:r>
      <w:r>
        <w:t xml:space="preserve"> </w:t>
      </w:r>
      <w:r>
        <w:t xml:space="preserve">(stérol membranaire fongique, absent des cellules mammifères qui contiennent du cholestérol) et forme des</w:t>
      </w:r>
      <w:r>
        <w:t xml:space="preserve"> </w:t>
      </w:r>
      <w:r>
        <w:rPr>
          <w:b/>
          <w:bCs/>
        </w:rPr>
        <w:t xml:space="preserve">pores transmembranaires</w:t>
      </w:r>
      <w:r>
        <w:t xml:space="preserve"> </w:t>
      </w:r>
      <w:r>
        <w:t xml:space="preserve">(annexes ioniques) permettant la fuite rapide des ions K⁺, Mg²⁺ et des petits métabolites → collapsus osmotique et mort fongique. La nystatine est</w:t>
      </w:r>
      <w:r>
        <w:t xml:space="preserve"> </w:t>
      </w:r>
      <w:r>
        <w:rPr>
          <w:b/>
          <w:bCs/>
        </w:rPr>
        <w:t xml:space="preserve">fongicide</w:t>
      </w:r>
      <w:r>
        <w:t xml:space="preserve"> </w:t>
      </w:r>
      <w:r>
        <w:t xml:space="preserve">et active sur</w:t>
      </w:r>
      <w:r>
        <w:t xml:space="preserve"> </w:t>
      </w:r>
      <w:r>
        <w:rPr>
          <w:i/>
          <w:iCs/>
        </w:rPr>
        <w:t xml:space="preserve">Candida albicans</w:t>
      </w:r>
      <w:r>
        <w:t xml:space="preserve"> </w:t>
      </w:r>
      <w:r>
        <w:t xml:space="preserve">et la plupart des</w:t>
      </w:r>
      <w:r>
        <w:t xml:space="preserve"> </w:t>
      </w:r>
      <w:r>
        <w:rPr>
          <w:i/>
          <w:iCs/>
        </w:rPr>
        <w:t xml:space="preserve">Candida</w:t>
      </w:r>
      <w:r>
        <w:t xml:space="preserve"> </w:t>
      </w:r>
      <w:r>
        <w:t xml:space="preserve">non-</w:t>
      </w:r>
      <w:r>
        <w:rPr>
          <w:i/>
          <w:iCs/>
        </w:rPr>
        <w:t xml:space="preserve">albicans</w:t>
      </w:r>
      <w:r>
        <w:t xml:space="preserve">. Elle n’est pas absorbée par les muqueuses saines.</w:t>
      </w:r>
    </w:p>
    <w:p>
      <w:pPr>
        <w:pStyle w:val="FirstParagraph"/>
      </w:pPr>
      <w:r>
        <w:rPr>
          <w:b/>
          <w:bCs/>
        </w:rPr>
        <w:t xml:space="preserve">Profil Pharmacologique :</w:t>
      </w:r>
    </w:p>
    <w:p>
      <w:pPr>
        <w:pStyle w:val="Compact"/>
        <w:numPr>
          <w:ilvl w:val="0"/>
          <w:numId w:val="1180"/>
        </w:numPr>
      </w:pPr>
      <w:r>
        <w:rPr>
          <w:b/>
          <w:bCs/>
        </w:rPr>
        <w:t xml:space="preserve">Indications</w:t>
      </w:r>
      <w:r>
        <w:t xml:space="preserve"> </w:t>
      </w:r>
      <w:r>
        <w:t xml:space="preserve">: traitement probabiliste des</w:t>
      </w:r>
      <w:r>
        <w:t xml:space="preserve"> </w:t>
      </w:r>
      <w:r>
        <w:rPr>
          <w:b/>
          <w:bCs/>
        </w:rPr>
        <w:t xml:space="preserve">vaginites mixtes sévères ou récidivantes</w:t>
      </w:r>
      <w:r>
        <w:t xml:space="preserve"> </w:t>
      </w:r>
      <w:r>
        <w:t xml:space="preserve">associant une vaginose bactérienne, une surinfection à Gram– aérobie et une candidose ; leucorrhées purulentes non documentées en attente de prélèvement ; préparation pré-chirurgicale gynécologique (hystérectomie, conisation) ; traitement post-antibiothérapie systémique (candidose + déséquilibre de flore). Le comprimé vaginal (TERGYNAN, GYNOVAL) et l’ovule (GYNODAN) sont équivalents en termes d’efficacité.</w:t>
      </w:r>
    </w:p>
    <w:p>
      <w:pPr>
        <w:pStyle w:val="Compact"/>
        <w:numPr>
          <w:ilvl w:val="0"/>
          <w:numId w:val="1180"/>
        </w:numPr>
      </w:pPr>
      <w:r>
        <w:rPr>
          <w:b/>
          <w:bCs/>
        </w:rPr>
        <w:t xml:space="preserve">Contre-indications</w:t>
      </w:r>
      <w:r>
        <w:t xml:space="preserve"> </w:t>
      </w:r>
      <w:r>
        <w:t xml:space="preserve">: hypersensibilité à l’un des composants (notamment allergies croisées aux aminosides) ;</w:t>
      </w:r>
      <w:r>
        <w:t xml:space="preserve"> </w:t>
      </w:r>
      <w:r>
        <w:rPr>
          <w:b/>
          <w:bCs/>
        </w:rPr>
        <w:t xml:space="preserve">premier trimestre de grossesse</w:t>
      </w:r>
      <w:r>
        <w:t xml:space="preserve"> </w:t>
      </w:r>
      <w:r>
        <w:t xml:space="preserve">(métronidazole par prudence) ; myasthénie (la néomycine, même à faible résorption, peut aggraver le bloc neuromusculaire) ; enfant prépubère ; insuffisance rénale sévère (par prudence pour la néomycine).</w:t>
      </w:r>
    </w:p>
    <w:p>
      <w:pPr>
        <w:pStyle w:val="Compact"/>
        <w:numPr>
          <w:ilvl w:val="0"/>
          <w:numId w:val="1180"/>
        </w:numPr>
      </w:pPr>
      <w:r>
        <w:rPr>
          <w:b/>
          <w:bCs/>
        </w:rPr>
        <w:t xml:space="preserve">Effets Indésirables</w:t>
      </w:r>
      <w:r>
        <w:t xml:space="preserve"> </w:t>
      </w:r>
      <w:r>
        <w:t xml:space="preserve">:</w:t>
      </w:r>
    </w:p>
    <w:p>
      <w:pPr>
        <w:pStyle w:val="Compact"/>
        <w:numPr>
          <w:ilvl w:val="1"/>
          <w:numId w:val="1181"/>
        </w:numPr>
      </w:pPr>
      <w:r>
        <w:rPr>
          <w:i/>
          <w:iCs/>
        </w:rPr>
        <w:t xml:space="preserve">Locaux</w:t>
      </w:r>
      <w:r>
        <w:t xml:space="preserve"> </w:t>
      </w:r>
      <w:r>
        <w:t xml:space="preserve">: brûlure vaginale (plus marquée qu’avec les ovules classiques, le comprimé vaginal étant plus irritant), prurit, érythème, augmentation transitoire des leucorrhées liée à la désintégration du comprimé, sensation de corps étranger.</w:t>
      </w:r>
    </w:p>
    <w:p>
      <w:pPr>
        <w:pStyle w:val="Compact"/>
        <w:numPr>
          <w:ilvl w:val="1"/>
          <w:numId w:val="1181"/>
        </w:numPr>
      </w:pPr>
      <w:r>
        <w:rPr>
          <w:i/>
          <w:iCs/>
        </w:rPr>
        <w:t xml:space="preserve">Systémiques</w:t>
      </w:r>
      <w:r>
        <w:t xml:space="preserve"> </w:t>
      </w:r>
      <w:r>
        <w:t xml:space="preserve">(absorption minimale mais existante du métronidazole) : goût métallique, nausées, céphalées, exceptionnellement neuropathie en cas d’usage prolongé.</w:t>
      </w:r>
    </w:p>
    <w:p>
      <w:pPr>
        <w:pStyle w:val="Compact"/>
        <w:numPr>
          <w:ilvl w:val="1"/>
          <w:numId w:val="1181"/>
        </w:numPr>
      </w:pPr>
      <w:r>
        <w:rPr>
          <w:i/>
          <w:iCs/>
        </w:rPr>
        <w:t xml:space="preserve">Néomycine</w:t>
      </w:r>
      <w:r>
        <w:t xml:space="preserve"> </w:t>
      </w:r>
      <w:r>
        <w:t xml:space="preserve">: réactions allergiques de contact possibles (sensibilisation locale), rarement réactions systémiques chez les patients déjà sensibilisés ; risque théorique (mais extrêmement faible par voie vaginale) d’ototoxicité et néphrotoxicité si muqueuse lésée étendue.</w:t>
      </w:r>
    </w:p>
    <w:p>
      <w:pPr>
        <w:pStyle w:val="FirstParagraph"/>
      </w:pPr>
      <w:r>
        <w:rPr>
          <w:b/>
          <w:bCs/>
        </w:rPr>
        <w:t xml:space="preserve">Prévention et Gestion des Effets Indésirables :</w:t>
      </w:r>
    </w:p>
    <w:p>
      <w:pPr>
        <w:pStyle w:val="Compact"/>
        <w:numPr>
          <w:ilvl w:val="0"/>
          <w:numId w:val="1182"/>
        </w:numPr>
      </w:pPr>
      <w:r>
        <w:rPr>
          <w:b/>
          <w:bCs/>
        </w:rPr>
        <w:t xml:space="preserve">Mesures Préventives</w:t>
      </w:r>
      <w:r>
        <w:t xml:space="preserve"> </w:t>
      </w:r>
      <w:r>
        <w:t xml:space="preserve">: administration vespérale obligatoire (comprimé vaginal = écoulement plus important qu’un ovule) ; usage d’une protection externe (jamais de tampon) ; toilette périnéale douce sans savon agressif (préférer un syndet ou un soin pH neutre) ; abstention sexuelle pendant le traitement ; ne pas dépasser 10 jours de traitement.</w:t>
      </w:r>
    </w:p>
    <w:p>
      <w:pPr>
        <w:pStyle w:val="Compact"/>
        <w:numPr>
          <w:ilvl w:val="0"/>
          <w:numId w:val="1182"/>
        </w:numPr>
      </w:pPr>
      <w:r>
        <w:rPr>
          <w:b/>
          <w:bCs/>
        </w:rPr>
        <w:t xml:space="preserve">Conduite à Tenir</w:t>
      </w:r>
      <w:r>
        <w:t xml:space="preserve"> </w:t>
      </w:r>
      <w:r>
        <w:t xml:space="preserve">: en cas de réaction allergique locale (œdème, prurit intense, éruption) → arrêt immédiat et consultation. En cas d’apparition de paresthésies distales ou de troubles auditifs → arrêt et avis médical (recherche de résorption systémique de néomycine, plus probable en cas de muqueuse lésée).</w:t>
      </w:r>
    </w:p>
    <w:p>
      <w:pPr>
        <w:pStyle w:val="FirstParagraph"/>
      </w:pPr>
      <w:r>
        <w:rPr>
          <w:b/>
          <w:bCs/>
        </w:rPr>
        <w:t xml:space="preserve">Interactions Importantes :</w:t>
      </w:r>
    </w:p>
    <w:p>
      <w:pPr>
        <w:pStyle w:val="Compact"/>
        <w:numPr>
          <w:ilvl w:val="0"/>
          <w:numId w:val="1183"/>
        </w:numPr>
      </w:pPr>
      <w:r>
        <w:rPr>
          <w:b/>
          <w:bCs/>
        </w:rPr>
        <w:t xml:space="preserve">Alcool</w:t>
      </w:r>
      <w:r>
        <w:t xml:space="preserve"> </w:t>
      </w:r>
      <w:r>
        <w:t xml:space="preserve">: effet antabuse (métronidazole résorbé) → éviction pendant traitement +</w:t>
      </w:r>
      <w:r>
        <w:t xml:space="preserve"> </w:t>
      </w:r>
      <w:r>
        <w:rPr>
          <w:b/>
          <w:bCs/>
        </w:rPr>
        <w:t xml:space="preserve">48 h après</w:t>
      </w:r>
      <w:r>
        <w:t xml:space="preserve">.</w:t>
      </w:r>
    </w:p>
    <w:p>
      <w:pPr>
        <w:pStyle w:val="Compact"/>
        <w:numPr>
          <w:ilvl w:val="0"/>
          <w:numId w:val="1183"/>
        </w:numPr>
      </w:pPr>
      <w:r>
        <w:rPr>
          <w:b/>
          <w:bCs/>
        </w:rPr>
        <w:t xml:space="preserve">Anticoagulants oraux</w:t>
      </w:r>
      <w:r>
        <w:t xml:space="preserve"> </w:t>
      </w:r>
      <w:r>
        <w:t xml:space="preserve">: majoration de l’INR (métronidazole) → surveillance.</w:t>
      </w:r>
    </w:p>
    <w:p>
      <w:pPr>
        <w:pStyle w:val="Compact"/>
        <w:numPr>
          <w:ilvl w:val="0"/>
          <w:numId w:val="1183"/>
        </w:numPr>
      </w:pPr>
      <w:r>
        <w:rPr>
          <w:b/>
          <w:bCs/>
        </w:rPr>
        <w:t xml:space="preserve">Disulfirame</w:t>
      </w:r>
      <w:r>
        <w:t xml:space="preserve"> </w:t>
      </w:r>
      <w:r>
        <w:t xml:space="preserve">:</w:t>
      </w:r>
      <w:r>
        <w:t xml:space="preserve"> </w:t>
      </w:r>
      <w:r>
        <w:rPr>
          <w:b/>
          <w:bCs/>
        </w:rPr>
        <w:t xml:space="preserve">association CONTRE-INDIQUÉE</w:t>
      </w:r>
      <w:r>
        <w:t xml:space="preserve">.</w:t>
      </w:r>
    </w:p>
    <w:p>
      <w:pPr>
        <w:pStyle w:val="Compact"/>
        <w:numPr>
          <w:ilvl w:val="0"/>
          <w:numId w:val="1183"/>
        </w:numPr>
      </w:pPr>
      <w:r>
        <w:rPr>
          <w:b/>
          <w:bCs/>
        </w:rPr>
        <w:t xml:space="preserve">Autres aminosides</w:t>
      </w:r>
      <w:r>
        <w:t xml:space="preserve"> </w:t>
      </w:r>
      <w:r>
        <w:t xml:space="preserve">(gentamicine, amikacine, tobramycine en systémique) : potentialisation de la néphro- et ototoxicité (à considérer chez la patiente sous aminoside IV pour une autre infection).</w:t>
      </w:r>
    </w:p>
    <w:p>
      <w:pPr>
        <w:pStyle w:val="Compact"/>
        <w:numPr>
          <w:ilvl w:val="0"/>
          <w:numId w:val="1183"/>
        </w:numPr>
      </w:pPr>
      <w:r>
        <w:rPr>
          <w:b/>
          <w:bCs/>
        </w:rPr>
        <w:t xml:space="preserve">Curares et anesthésiques généraux</w:t>
      </w:r>
      <w:r>
        <w:t xml:space="preserve"> </w:t>
      </w:r>
      <w:r>
        <w:t xml:space="preserve">: la néomycine, même à résorption minimale, potentialise le bloc neuromusculaire (précaution en cas d’anesthésie programmée à proximité du traitement).</w:t>
      </w:r>
    </w:p>
    <w:p>
      <w:pPr>
        <w:pStyle w:val="Compact"/>
        <w:numPr>
          <w:ilvl w:val="0"/>
          <w:numId w:val="1183"/>
        </w:numPr>
      </w:pPr>
      <w:r>
        <w:rPr>
          <w:b/>
          <w:bCs/>
        </w:rPr>
        <w:t xml:space="preserve">Diurétiques de l’anse (furosémide)</w:t>
      </w:r>
      <w:r>
        <w:t xml:space="preserve"> </w:t>
      </w:r>
      <w:r>
        <w:t xml:space="preserve">et</w:t>
      </w:r>
      <w:r>
        <w:t xml:space="preserve"> </w:t>
      </w:r>
      <w:r>
        <w:rPr>
          <w:b/>
          <w:bCs/>
        </w:rPr>
        <w:t xml:space="preserve">cisplatine</w:t>
      </w:r>
      <w:r>
        <w:t xml:space="preserve"> </w:t>
      </w:r>
      <w:r>
        <w:t xml:space="preserve">: majoration de l’ototoxicité de la néomycine (à surveiller en cas de traitement associé).</w:t>
      </w:r>
    </w:p>
    <w:p>
      <w:pPr>
        <w:pStyle w:val="Compact"/>
        <w:numPr>
          <w:ilvl w:val="0"/>
          <w:numId w:val="1183"/>
        </w:numPr>
      </w:pPr>
      <w:r>
        <w:rPr>
          <w:b/>
          <w:bCs/>
        </w:rPr>
        <w:t xml:space="preserve">Phénytoïne, phénobarbital</w:t>
      </w:r>
      <w:r>
        <w:t xml:space="preserve"> </w:t>
      </w:r>
      <w:r>
        <w:t xml:space="preserve">: baisse d’efficacité du métronidazole (induction enzymatique).</w:t>
      </w:r>
    </w:p>
    <w:p>
      <w:pPr>
        <w:pStyle w:val="FirstParagraph"/>
      </w:pPr>
      <w:r>
        <w:rPr>
          <w:b/>
          <w:bCs/>
        </w:rPr>
        <w:t xml:space="preserve">Grossesse et Allaitement :</w:t>
      </w:r>
    </w:p>
    <w:p>
      <w:pPr>
        <w:pStyle w:val="Compact"/>
        <w:numPr>
          <w:ilvl w:val="0"/>
          <w:numId w:val="1184"/>
        </w:numPr>
      </w:pPr>
      <w:r>
        <w:rPr>
          <w:b/>
          <w:bCs/>
        </w:rPr>
        <w:t xml:space="preserve">Grossesse</w:t>
      </w:r>
      <w:r>
        <w:t xml:space="preserve"> </w:t>
      </w:r>
      <w:r>
        <w:t xml:space="preserve">: selon le CRAT, le métronidazole vaginal est</w:t>
      </w:r>
      <w:r>
        <w:t xml:space="preserve"> </w:t>
      </w:r>
      <w:r>
        <w:rPr>
          <w:b/>
          <w:bCs/>
        </w:rPr>
        <w:t xml:space="preserve">possible à tous trimestres</w:t>
      </w:r>
      <w:r>
        <w:t xml:space="preserve"> </w:t>
      </w:r>
      <w:r>
        <w:t xml:space="preserve">mais à éviter par prudence au 1er trimestre. La néomycine par voie vaginale est considérée comme</w:t>
      </w:r>
      <w:r>
        <w:t xml:space="preserve"> </w:t>
      </w:r>
      <w:r>
        <w:rPr>
          <w:b/>
          <w:bCs/>
        </w:rPr>
        <w:t xml:space="preserve">compatible</w:t>
      </w:r>
      <w:r>
        <w:t xml:space="preserve"> </w:t>
      </w:r>
      <w:r>
        <w:t xml:space="preserve">avec la grossesse (absorption négligeable). La nystatine est l’antifongique vaginal de</w:t>
      </w:r>
      <w:r>
        <w:t xml:space="preserve"> </w:t>
      </w:r>
      <w:r>
        <w:rPr>
          <w:b/>
          <w:bCs/>
        </w:rPr>
        <w:t xml:space="preserve">référence chez la femme enceinte</w:t>
      </w:r>
      <w:r>
        <w:t xml:space="preserve"> </w:t>
      </w:r>
      <w:r>
        <w:t xml:space="preserve">(aucun effet tératogène décrit, n’absorbe pas). L’association est donc globalement utilisable aux 2ᵉ et 3ᵉ trimestres, à éviter au 1er. La consultation gynécologique systématique est recommandée avant toute prescription chez la femme enceinte.</w:t>
      </w:r>
    </w:p>
    <w:p>
      <w:pPr>
        <w:pStyle w:val="Compact"/>
        <w:numPr>
          <w:ilvl w:val="0"/>
          <w:numId w:val="1184"/>
        </w:numPr>
      </w:pPr>
      <w:r>
        <w:rPr>
          <w:b/>
          <w:bCs/>
        </w:rPr>
        <w:t xml:space="preserve">Allaitement</w:t>
      </w:r>
      <w:r>
        <w:t xml:space="preserve"> </w:t>
      </w:r>
      <w:r>
        <w:t xml:space="preserve">: la nystatine et la néomycine ne passent pas dans le lait de façon significative (résorption négligeable). Le métronidazole vaginal résorbé partiellement passe dans le lait — par prudence, l’OMS recommande un</w:t>
      </w:r>
      <w:r>
        <w:t xml:space="preserve"> </w:t>
      </w:r>
      <w:r>
        <w:rPr>
          <w:b/>
          <w:bCs/>
        </w:rPr>
        <w:t xml:space="preserve">report de l’allaitement de 12 à 24 h</w:t>
      </w:r>
      <w:r>
        <w:t xml:space="preserve"> </w:t>
      </w:r>
      <w:r>
        <w:t xml:space="preserve">après la dernière administration, ou l’utilisation d’une monothérapie alternative (nystatine seule) chez la femme allaitante présentant une candidose isolée.</w:t>
      </w:r>
    </w:p>
    <w:p>
      <w:pPr>
        <w:pStyle w:val="Compact"/>
        <w:numPr>
          <w:ilvl w:val="0"/>
          <w:numId w:val="1184"/>
        </w:numPr>
      </w:pPr>
      <w:r>
        <w:rPr>
          <w:b/>
          <w:bCs/>
        </w:rPr>
        <w:t xml:space="preserve">Précisions</w:t>
      </w:r>
      <w:r>
        <w:t xml:space="preserve"> </w:t>
      </w:r>
      <w:r>
        <w:t xml:space="preserve">: chez la femme enceinte, préférer une monothérapie documentée à l’association probabiliste. Éviter les cures répétées sans prélèvement.</w:t>
      </w:r>
    </w:p>
    <w:p>
      <w:pPr>
        <w:pStyle w:val="FirstParagraph"/>
      </w:pPr>
      <w:r>
        <w:rPr>
          <w:b/>
          <w:bCs/>
        </w:rPr>
        <w:t xml:space="preserve">Posologie et Mode d’administration (Standard) :</w:t>
      </w:r>
    </w:p>
    <w:p>
      <w:pPr>
        <w:pStyle w:val="Compact"/>
        <w:numPr>
          <w:ilvl w:val="0"/>
          <w:numId w:val="1185"/>
        </w:numPr>
      </w:pPr>
      <w:r>
        <w:rPr>
          <w:b/>
          <w:bCs/>
        </w:rPr>
        <w:t xml:space="preserve">Adulte</w:t>
      </w:r>
      <w:r>
        <w:t xml:space="preserve"> </w:t>
      </w:r>
      <w:r>
        <w:t xml:space="preserve">: 1 comprimé vaginal ou 1 ovule</w:t>
      </w:r>
      <w:r>
        <w:t xml:space="preserve"> </w:t>
      </w:r>
      <w:r>
        <w:rPr>
          <w:b/>
          <w:bCs/>
        </w:rPr>
        <w:t xml:space="preserve">au coucher</w:t>
      </w:r>
      <w:r>
        <w:t xml:space="preserve"> </w:t>
      </w:r>
      <w:r>
        <w:t xml:space="preserve">pendant</w:t>
      </w:r>
      <w:r>
        <w:t xml:space="preserve"> </w:t>
      </w:r>
      <w:r>
        <w:rPr>
          <w:b/>
          <w:bCs/>
        </w:rPr>
        <w:t xml:space="preserve">10 jours consécutifs</w:t>
      </w:r>
      <w:r>
        <w:t xml:space="preserve">. Posologie maximale : 1 unité/jour.</w:t>
      </w:r>
    </w:p>
    <w:p>
      <w:pPr>
        <w:pStyle w:val="Compact"/>
        <w:numPr>
          <w:ilvl w:val="0"/>
          <w:numId w:val="1185"/>
        </w:numPr>
      </w:pPr>
      <w:r>
        <w:rPr>
          <w:b/>
          <w:bCs/>
        </w:rPr>
        <w:t xml:space="preserve">Enfant</w:t>
      </w:r>
      <w:r>
        <w:t xml:space="preserve"> </w:t>
      </w:r>
      <w:r>
        <w:t xml:space="preserve">: forme non adaptée (prépubère).</w:t>
      </w:r>
    </w:p>
    <w:p>
      <w:pPr>
        <w:pStyle w:val="Compact"/>
        <w:numPr>
          <w:ilvl w:val="0"/>
          <w:numId w:val="1185"/>
        </w:numPr>
      </w:pPr>
      <w:r>
        <w:rPr>
          <w:b/>
          <w:bCs/>
        </w:rPr>
        <w:t xml:space="preserve">Durée</w:t>
      </w:r>
      <w:r>
        <w:t xml:space="preserve"> </w:t>
      </w:r>
      <w:r>
        <w:t xml:space="preserve">: 10 jours standards ; ne pas prolonger au-delà sans avis gynécologique. En cas d’échec à 10 jours, prélèvement bactériologique et mycologique impératif (recherche d’une cause favorisante ou d’une résistance).</w:t>
      </w:r>
    </w:p>
    <w:p>
      <w:pPr>
        <w:pStyle w:val="Compact"/>
        <w:numPr>
          <w:ilvl w:val="0"/>
          <w:numId w:val="1185"/>
        </w:numPr>
      </w:pPr>
      <w:r>
        <w:rPr>
          <w:b/>
          <w:bCs/>
        </w:rPr>
        <w:t xml:space="preserve">Moment de prise</w:t>
      </w:r>
      <w:r>
        <w:t xml:space="preserve"> </w:t>
      </w:r>
      <w:r>
        <w:t xml:space="preserve">: le soir au coucher, après toilette soigneuse et miction préalable, allongée. Introduire le comprimé/ovule profondément au fond du cul-de-sac vaginal postérieur avec le doigt (ou un applicateur si fourni). Rester allongée au moins 15 minutes après la pose.</w:t>
      </w:r>
    </w:p>
    <w:p>
      <w:pPr>
        <w:pStyle w:val="FirstParagraph"/>
      </w:pPr>
      <w:r>
        <w:rPr>
          <w:b/>
          <w:bCs/>
        </w:rPr>
        <w:t xml:space="preserve">Arbitrage et Bénéfices des Formes Galéniques :</w:t>
      </w:r>
    </w:p>
    <w:p>
      <w:pPr>
        <w:pStyle w:val="BodyText"/>
      </w:pPr>
      <w:r>
        <w:t xml:space="preserve">Le</w:t>
      </w:r>
      <w:r>
        <w:t xml:space="preserve"> </w:t>
      </w:r>
      <w:r>
        <w:rPr>
          <w:b/>
          <w:bCs/>
        </w:rPr>
        <w:t xml:space="preserve">comprimé vaginal</w:t>
      </w:r>
      <w:r>
        <w:t xml:space="preserve"> </w:t>
      </w:r>
      <w:r>
        <w:t xml:space="preserve">(TERGYNAN, GYNOVAL) présente une libération plus lente et progressive que l’ovule, mais peut être</w:t>
      </w:r>
      <w:r>
        <w:t xml:space="preserve"> </w:t>
      </w:r>
      <w:r>
        <w:rPr>
          <w:b/>
          <w:bCs/>
        </w:rPr>
        <w:t xml:space="preserve">moins bien toléré</w:t>
      </w:r>
      <w:r>
        <w:t xml:space="preserve"> </w:t>
      </w:r>
      <w:r>
        <w:t xml:space="preserve">localement (sensation de corps étranger, écoulement plus abondant lié à la désintégration). L’</w:t>
      </w:r>
      <w:r>
        <w:rPr>
          <w:b/>
          <w:bCs/>
        </w:rPr>
        <w:t xml:space="preserve">ovule</w:t>
      </w:r>
      <w:r>
        <w:t xml:space="preserve"> </w:t>
      </w:r>
      <w:r>
        <w:t xml:space="preserve">(GYNODAN) a une libération plus rapide et une meilleure tolérance locale, mais une durée d’action plus courte justifiant parfois une cure de 10 jours pour garantir l’efficacité. Le choix entre les deux formes dépend essentiellement de la préférence de la patiente et de la disponibilité en officine. Comparativement à l’association métronidazole + miconazole (fiche 13.3), cette triple association couvre un spectre bactérien plus large (Gram– aérobies par la néomycine) mais n’apporte pas l’effet antifongique élargi aux dermatophytes du miconazole. Comparativement à la triple néomycine + polymyxine B + nystatine (fiche 13.5), elle apporte la couverture anti-anaérobie et antiprotozoaire du métronidazole, mais perd la couverture anti-Gram– élargie de la polymyxine (Pseudomonas).</w:t>
      </w:r>
    </w:p>
    <w:p>
      <w:pPr>
        <w:pStyle w:val="BodyText"/>
      </w:pPr>
      <w:r>
        <w:rPr>
          <w:b/>
          <w:bCs/>
        </w:rPr>
        <w:t xml:space="preserve">Instructions et Conseils au Patient :</w:t>
      </w:r>
    </w:p>
    <w:p>
      <w:pPr>
        <w:pStyle w:val="Compact"/>
        <w:numPr>
          <w:ilvl w:val="0"/>
          <w:numId w:val="1186"/>
        </w:numPr>
      </w:pPr>
      <w:r>
        <w:rPr>
          <w:b/>
          <w:bCs/>
        </w:rPr>
        <w:t xml:space="preserve">Communication au comptoir</w:t>
      </w:r>
      <w:r>
        <w:t xml:space="preserve"> </w:t>
      </w:r>
      <w:r>
        <w:t xml:space="preserve">:</w:t>
      </w:r>
    </w:p>
    <w:p>
      <w:pPr>
        <w:pStyle w:val="Compact"/>
        <w:numPr>
          <w:ilvl w:val="1"/>
          <w:numId w:val="1187"/>
        </w:numPr>
      </w:pPr>
      <w:r>
        <w:t xml:space="preserve">«</w:t>
      </w:r>
      <w:r>
        <w:t xml:space="preserve"> </w:t>
      </w:r>
      <w:r>
        <w:rPr>
          <w:i/>
          <w:iCs/>
        </w:rPr>
        <w:t xml:space="preserve">Ce traitement combine trois principes actifs pour traiter en une seule fois les bactéries, les parasites et les champignons responsables de vos pertes. Vous le mettrez le soir au coucher pendant 10 jours d’affilée.</w:t>
      </w:r>
      <w:r>
        <w:t xml:space="preserve"> </w:t>
      </w:r>
      <w:r>
        <w:t xml:space="preserve">»</w:t>
      </w:r>
    </w:p>
    <w:p>
      <w:pPr>
        <w:pStyle w:val="Compact"/>
        <w:numPr>
          <w:ilvl w:val="1"/>
          <w:numId w:val="1187"/>
        </w:numPr>
      </w:pPr>
      <w:r>
        <w:t xml:space="preserve">Insister sur la</w:t>
      </w:r>
      <w:r>
        <w:t xml:space="preserve"> </w:t>
      </w:r>
      <w:r>
        <w:rPr>
          <w:b/>
          <w:bCs/>
        </w:rPr>
        <w:t xml:space="preserve">nécessité absolue de terminer la cure de 10 jours</w:t>
      </w:r>
      <w:r>
        <w:t xml:space="preserve">, même si les symptômes disparaissent plus tôt.</w:t>
      </w:r>
    </w:p>
    <w:p>
      <w:pPr>
        <w:pStyle w:val="Compact"/>
        <w:numPr>
          <w:ilvl w:val="1"/>
          <w:numId w:val="1187"/>
        </w:numPr>
      </w:pPr>
      <w:r>
        <w:t xml:space="preserve">Prévenir l’</w:t>
      </w:r>
      <w:r>
        <w:rPr>
          <w:b/>
          <w:bCs/>
        </w:rPr>
        <w:t xml:space="preserve">effet antabuse</w:t>
      </w:r>
      <w:r>
        <w:t xml:space="preserve"> </w:t>
      </w:r>
      <w:r>
        <w:t xml:space="preserve">: aucun alcool pendant le traitement + 48 h (y compris médicaments alcoolisés).</w:t>
      </w:r>
    </w:p>
    <w:p>
      <w:pPr>
        <w:pStyle w:val="Compact"/>
        <w:numPr>
          <w:ilvl w:val="1"/>
          <w:numId w:val="1187"/>
        </w:numPr>
      </w:pPr>
      <w:r>
        <w:t xml:space="preserve">Signaler les</w:t>
      </w:r>
      <w:r>
        <w:t xml:space="preserve"> </w:t>
      </w:r>
      <w:r>
        <w:rPr>
          <w:b/>
          <w:bCs/>
        </w:rPr>
        <w:t xml:space="preserve">rapports sexuels</w:t>
      </w:r>
      <w:r>
        <w:t xml:space="preserve"> </w:t>
      </w:r>
      <w:r>
        <w:t xml:space="preserve">: préservatif obligatoire, abstention idéale ; le partenaire n’est traité que s’il présente des symptômes (balanite, urétrite).</w:t>
      </w:r>
    </w:p>
    <w:p>
      <w:pPr>
        <w:pStyle w:val="Compact"/>
        <w:numPr>
          <w:ilvl w:val="0"/>
          <w:numId w:val="1186"/>
        </w:numPr>
      </w:pPr>
      <w:r>
        <w:rPr>
          <w:b/>
          <w:bCs/>
        </w:rPr>
        <w:t xml:space="preserve">Mode d’utilisation pratique</w:t>
      </w:r>
      <w:r>
        <w:t xml:space="preserve"> </w:t>
      </w:r>
      <w:r>
        <w:t xml:space="preserve">: mains propres ; toilette externe ; miction préalable ; pose au lit, jambes fléchies ; introduire profondément ; rester allongée 15 min ; protection externe (jamais de tampon) ; ne pas interrompre pendant les règles (continuer le traitement).</w:t>
      </w:r>
    </w:p>
    <w:p>
      <w:pPr>
        <w:pStyle w:val="FirstParagraph"/>
      </w:pPr>
      <w:r>
        <w:rPr>
          <w:b/>
          <w:bCs/>
        </w:rPr>
        <w:t xml:space="preserve">Notes, Règles d’Or &amp; Pièges au Comptoir :</w:t>
      </w:r>
    </w:p>
    <w:p>
      <w:pPr>
        <w:pStyle w:val="Compact"/>
        <w:numPr>
          <w:ilvl w:val="0"/>
          <w:numId w:val="1188"/>
        </w:numPr>
      </w:pPr>
      <w:r>
        <w:rPr>
          <w:b/>
          <w:bCs/>
        </w:rPr>
        <w:t xml:space="preserve">Piège classique</w:t>
      </w:r>
      <w:r>
        <w:t xml:space="preserve"> </w:t>
      </w:r>
      <w:r>
        <w:t xml:space="preserve">: interrompre la cure au 5ᵉ ou 6ᵉ jour devant la disparition des symptômes → récidive quasi certaine à 1 mois, sélection de résistances, altération de la flore lactobacillaire résiduelle.</w:t>
      </w:r>
    </w:p>
    <w:p>
      <w:pPr>
        <w:pStyle w:val="Compact"/>
        <w:numPr>
          <w:ilvl w:val="0"/>
          <w:numId w:val="1188"/>
        </w:numPr>
      </w:pPr>
      <w:r>
        <w:rPr>
          <w:b/>
          <w:bCs/>
        </w:rPr>
        <w:t xml:space="preserve">Règle de prise</w:t>
      </w:r>
      <w:r>
        <w:t xml:space="preserve"> </w:t>
      </w:r>
      <w:r>
        <w:t xml:space="preserve">: un comprimé ou ovule par soir, à heure régulière ; en cas d’oubli d’une soirée, prendre l’unité le lendemain matin si possible et continuer le soir même, en prolongeant la cure d’un jour.</w:t>
      </w:r>
    </w:p>
    <w:p>
      <w:pPr>
        <w:pStyle w:val="Compact"/>
        <w:numPr>
          <w:ilvl w:val="0"/>
          <w:numId w:val="1188"/>
        </w:numPr>
      </w:pPr>
      <w:r>
        <w:rPr>
          <w:b/>
          <w:bCs/>
        </w:rPr>
        <w:t xml:space="preserve">Préparation et Conservation</w:t>
      </w:r>
      <w:r>
        <w:t xml:space="preserve"> </w:t>
      </w:r>
      <w:r>
        <w:t xml:space="preserve">: conserver à température &lt; 25 °C, à l’abri de la lumière et de l’humidité ; ne pas congeler ; vérifier l’absence de décoloration ou d’altération avant utilisation.</w:t>
      </w:r>
    </w:p>
    <w:p>
      <w:pPr>
        <w:pStyle w:val="Compact"/>
        <w:numPr>
          <w:ilvl w:val="0"/>
          <w:numId w:val="1188"/>
        </w:numPr>
      </w:pPr>
      <w:r>
        <w:rPr>
          <w:b/>
          <w:bCs/>
        </w:rPr>
        <w:t xml:space="preserve">Piège du surdosage / Substitution</w:t>
      </w:r>
      <w:r>
        <w:t xml:space="preserve"> </w:t>
      </w:r>
      <w:r>
        <w:t xml:space="preserve">:</w:t>
      </w:r>
    </w:p>
    <w:p>
      <w:pPr>
        <w:pStyle w:val="Compact"/>
        <w:numPr>
          <w:ilvl w:val="1"/>
          <w:numId w:val="1189"/>
        </w:numPr>
      </w:pPr>
      <w:r>
        <w:t xml:space="preserve">Ne pas associer à un métronidazole oral (cumul) ni à un autre aminoside systémique.</w:t>
      </w:r>
    </w:p>
    <w:p>
      <w:pPr>
        <w:pStyle w:val="Compact"/>
        <w:numPr>
          <w:ilvl w:val="1"/>
          <w:numId w:val="1189"/>
        </w:numPr>
      </w:pPr>
      <w:r>
        <w:t xml:space="preserve">Ne pas substituer</w:t>
      </w:r>
      <w:r>
        <w:t xml:space="preserve"> </w:t>
      </w:r>
      <w:r>
        <w:rPr>
          <w:b/>
          <w:bCs/>
        </w:rPr>
        <w:t xml:space="preserve">TERGYNAN</w:t>
      </w:r>
      <w:r>
        <w:t xml:space="preserve"> </w:t>
      </w:r>
      <w:r>
        <w:t xml:space="preserve">par</w:t>
      </w:r>
      <w:r>
        <w:t xml:space="preserve"> </w:t>
      </w:r>
      <w:r>
        <w:rPr>
          <w:b/>
          <w:bCs/>
        </w:rPr>
        <w:t xml:space="preserve">LIMENDA</w:t>
      </w:r>
      <w:r>
        <w:t xml:space="preserve"> </w:t>
      </w:r>
      <w:r>
        <w:t xml:space="preserve">sans avis médical (spectre différent : pas de néomycine, miconazole au lieu de nystatine).</w:t>
      </w:r>
    </w:p>
    <w:p>
      <w:pPr>
        <w:pStyle w:val="Compact"/>
        <w:numPr>
          <w:ilvl w:val="1"/>
          <w:numId w:val="1189"/>
        </w:numPr>
      </w:pPr>
      <w:r>
        <w:t xml:space="preserve">En cas de</w:t>
      </w:r>
      <w:r>
        <w:t xml:space="preserve"> </w:t>
      </w:r>
      <w:r>
        <w:rPr>
          <w:b/>
          <w:bCs/>
        </w:rPr>
        <w:t xml:space="preserve">traitement prolongé ou répété</w:t>
      </w:r>
      <w:r>
        <w:t xml:space="preserve"> </w:t>
      </w:r>
      <w:r>
        <w:t xml:space="preserve">(&gt; 3 cures/an), évoquer un diabète, une immunodépression (VIH), un corps étranger (stérilet forgotten) ou une cause non infectieuse (lichen, eczéma).</w:t>
      </w:r>
    </w:p>
    <w:p>
      <w:pPr>
        <w:pStyle w:val="Compact"/>
        <w:numPr>
          <w:ilvl w:val="1"/>
          <w:numId w:val="1189"/>
        </w:numPr>
      </w:pPr>
      <w:r>
        <w:t xml:space="preserve">Attention à la patiente</w:t>
      </w:r>
      <w:r>
        <w:t xml:space="preserve"> </w:t>
      </w:r>
      <w:r>
        <w:rPr>
          <w:b/>
          <w:bCs/>
        </w:rPr>
        <w:t xml:space="preserve">myasthénique</w:t>
      </w:r>
      <w:r>
        <w:t xml:space="preserve"> </w:t>
      </w:r>
      <w:r>
        <w:t xml:space="preserve">ou en</w:t>
      </w:r>
      <w:r>
        <w:t xml:space="preserve"> </w:t>
      </w:r>
      <w:r>
        <w:rPr>
          <w:b/>
          <w:bCs/>
        </w:rPr>
        <w:t xml:space="preserve">insuffisance rénale sévère</w:t>
      </w:r>
      <w:r>
        <w:t xml:space="preserve"> </w:t>
      </w:r>
      <w:r>
        <w:t xml:space="preserve">: préférer une monothérapie par nystatine seule ou métronidazole seul.</w:t>
      </w:r>
    </w:p>
    <w:p>
      <w:pPr>
        <w:pStyle w:val="Compact"/>
        <w:numPr>
          <w:ilvl w:val="1"/>
          <w:numId w:val="1189"/>
        </w:numPr>
      </w:pPr>
      <w:r>
        <w:t xml:space="preserve">En cas de</w:t>
      </w:r>
      <w:r>
        <w:t xml:space="preserve"> </w:t>
      </w:r>
      <w:r>
        <w:rPr>
          <w:b/>
          <w:bCs/>
        </w:rPr>
        <w:t xml:space="preserve">règles pendant le traitement</w:t>
      </w:r>
      <w:r>
        <w:t xml:space="preserve"> </w:t>
      </w:r>
      <w:r>
        <w:t xml:space="preserve">: ne pas interrompre, continuer les ovules/comprimés (l’efficacité persiste, l’écoulement est masqué par les règles).</w:t>
      </w:r>
    </w:p>
    <w:p>
      <w:r>
        <w:pict>
          <v:rect style="width:0;height:1.5pt" o:hralign="center" o:hrstd="t" o:hr="t"/>
        </w:pict>
      </w:r>
    </w:p>
    <w:bookmarkEnd w:id="99"/>
    <w:bookmarkStart w:id="100" w:name="X25e7746cac99de530de3ab7069a9b37cea16838"/>
    <w:p>
      <w:pPr>
        <w:pStyle w:val="Heading2"/>
      </w:pPr>
      <w:r>
        <w:t xml:space="preserve">13.5 DCI : Néomycine + Polymyxine B + Nystatine (En Association Locale)</w:t>
      </w:r>
    </w:p>
    <w:p>
      <w:pPr>
        <w:pStyle w:val="FirstParagraph"/>
      </w:pPr>
      <w:r>
        <w:rPr>
          <w:b/>
          <w:bCs/>
        </w:rPr>
        <w:t xml:space="preserve">Liste des Catégories :</w:t>
      </w:r>
      <w:r>
        <w:t xml:space="preserve"> </w:t>
      </w:r>
      <w:r>
        <w:t xml:space="preserve">Antifongiques — Associations locales ; Liste I.</w:t>
      </w:r>
    </w:p>
    <w:p>
      <w:pPr>
        <w:pStyle w:val="BlockText"/>
      </w:pPr>
      <w:r>
        <w:rPr>
          <w:b/>
          <w:bCs/>
        </w:rPr>
        <w:t xml:space="preserve">Note de nomenclature</w:t>
      </w:r>
      <w:r>
        <w:t xml:space="preserve"> </w:t>
      </w:r>
      <w:r>
        <w:t xml:space="preserve">: la nomenclature algérienne classe cette association sous le libellé générique «</w:t>
      </w:r>
      <w:r>
        <w:t xml:space="preserve"> </w:t>
      </w:r>
      <w:r>
        <w:rPr>
          <w:i/>
          <w:iCs/>
        </w:rPr>
        <w:t xml:space="preserve">Nystatine + Antibiotique + Corticoïde (associations locales)</w:t>
      </w:r>
      <w:r>
        <w:t xml:space="preserve"> </w:t>
      </w:r>
      <w:r>
        <w:t xml:space="preserve">». Toutefois, l’examen détaillé des RCP et des compositions montre que les spécialités concernées (POLYNAX, POLYVAX, WELLGYNAX, POLYGYNAX) contiennent</w:t>
      </w:r>
      <w:r>
        <w:t xml:space="preserve"> </w:t>
      </w:r>
      <w:r>
        <w:rPr>
          <w:b/>
          <w:bCs/>
        </w:rPr>
        <w:t xml:space="preserve">Néomycine + Polymyxine B + Nystatine</w:t>
      </w:r>
      <w:r>
        <w:t xml:space="preserve"> </w:t>
      </w:r>
      <w:r>
        <w:t xml:space="preserve">— sans corticoïde. La présente fiche utilise la composition réelle vérifiée.</w:t>
      </w:r>
    </w:p>
    <w:p>
      <w:pPr>
        <w:pStyle w:val="FirstParagraph"/>
      </w:pPr>
      <w:r>
        <w:t xml:space="preserve">L’association</w:t>
      </w:r>
      <w:r>
        <w:t xml:space="preserve"> </w:t>
      </w:r>
      <w:r>
        <w:rPr>
          <w:b/>
          <w:bCs/>
        </w:rPr>
        <w:t xml:space="preserve">néomycine + polymyxine B + nystatine</w:t>
      </w:r>
      <w:r>
        <w:t xml:space="preserve"> </w:t>
      </w:r>
      <w:r>
        <w:t xml:space="preserve">est une combinaison</w:t>
      </w:r>
      <w:r>
        <w:t xml:space="preserve"> </w:t>
      </w:r>
      <w:r>
        <w:rPr>
          <w:b/>
          <w:bCs/>
        </w:rPr>
        <w:t xml:space="preserve">triple d’anti-infectieux locaux</w:t>
      </w:r>
      <w:r>
        <w:t xml:space="preserve"> </w:t>
      </w:r>
      <w:r>
        <w:t xml:space="preserve">à large spectre bactérien (Gram+ et Gram–) et fongique. Elle est destinée à la voie vaginale et représente l’alternative « sans métronidazole » aux associations précédentes, utile notamment en cas de contre-indication au métronidazole (1er trimestre de grossesse, antécédent d’intolérance) ou lorsque l’étiologie anaérobie/protozoaire est moins probable. Elle couvre les</w:t>
      </w:r>
      <w:r>
        <w:t xml:space="preserve"> </w:t>
      </w:r>
      <w:r>
        <w:rPr>
          <w:b/>
          <w:bCs/>
        </w:rPr>
        <w:t xml:space="preserve">Gram+ aérobies</w:t>
      </w:r>
      <w:r>
        <w:t xml:space="preserve"> </w:t>
      </w:r>
      <w:r>
        <w:t xml:space="preserve">(staphylocoques, streptocoques) par la néomycine, les</w:t>
      </w:r>
      <w:r>
        <w:t xml:space="preserve"> </w:t>
      </w:r>
      <w:r>
        <w:rPr>
          <w:b/>
          <w:bCs/>
        </w:rPr>
        <w:t xml:space="preserve">Gram– aérobies</w:t>
      </w:r>
      <w:r>
        <w:t xml:space="preserve"> </w:t>
      </w:r>
      <w:r>
        <w:t xml:space="preserve">(E. coli, Pseudomonas, Klebsiella, Proteus) par la polymyxine B, et les</w:t>
      </w:r>
      <w:r>
        <w:t xml:space="preserve"> </w:t>
      </w:r>
      <w:r>
        <w:rPr>
          <w:b/>
          <w:bCs/>
        </w:rPr>
        <w:t xml:space="preserve">levures</w:t>
      </w:r>
      <w:r>
        <w:t xml:space="preserve"> </w:t>
      </w:r>
      <w:r>
        <w:t xml:space="preserve">(Candida) par la nystatine. Sa popularité en Algérie tient à sa bonne tolérance locale et à la possibilité d’utilisation chez la femme enceinte (nystatine + néomycine + polymyxine B toutes compatibles avec la grossesse).</w:t>
      </w:r>
    </w:p>
    <w:p>
      <w:pPr>
        <w:pStyle w:val="BodyText"/>
      </w:pPr>
      <w:r>
        <w:rPr>
          <w:b/>
          <w:bCs/>
        </w:rPr>
        <w:t xml:space="preserve">Médicaments disponibles en Algérie (Marques, Laboratoires, Formes et Dosages) :</w:t>
      </w:r>
    </w:p>
    <w:p>
      <w:pPr>
        <w:pStyle w:val="Compact"/>
        <w:numPr>
          <w:ilvl w:val="0"/>
          <w:numId w:val="1190"/>
        </w:numPr>
      </w:pPr>
      <w:r>
        <w:rPr>
          <w:b/>
          <w:bCs/>
        </w:rPr>
        <w:t xml:space="preserve">POLYNAX</w:t>
      </w:r>
      <w:r>
        <w:t xml:space="preserve"> </w:t>
      </w:r>
      <w:r>
        <w:t xml:space="preserve">(LABORATOIRES ROVAC)</w:t>
      </w:r>
    </w:p>
    <w:p>
      <w:pPr>
        <w:pStyle w:val="Compact"/>
        <w:numPr>
          <w:ilvl w:val="1"/>
          <w:numId w:val="1191"/>
        </w:numPr>
      </w:pPr>
      <w:r>
        <w:t xml:space="preserve">Formes et Dosages : Capsule vaginale — Néomycine (sulfate) 35 000 UI + Polymyxine B (sulfate) 35 000 UI + Nystatine 100 000 UI ; Boîte de 12 capsules vaginales</w:t>
      </w:r>
    </w:p>
    <w:p>
      <w:pPr>
        <w:pStyle w:val="Compact"/>
        <w:numPr>
          <w:ilvl w:val="1"/>
          <w:numId w:val="1191"/>
        </w:numPr>
      </w:pPr>
      <w:r>
        <w:t xml:space="preserve">Statut :</w:t>
      </w:r>
      <w:r>
        <w:t xml:space="preserve"> </w:t>
      </w:r>
      <w:r>
        <w:rPr>
          <w:b/>
          <w:bCs/>
        </w:rPr>
        <w:t xml:space="preserve">ACTIF</w:t>
      </w:r>
    </w:p>
    <w:p>
      <w:pPr>
        <w:pStyle w:val="Compact"/>
        <w:numPr>
          <w:ilvl w:val="0"/>
          <w:numId w:val="1190"/>
        </w:numPr>
      </w:pPr>
      <w:r>
        <w:rPr>
          <w:b/>
          <w:bCs/>
        </w:rPr>
        <w:t xml:space="preserve">POLYVAX</w:t>
      </w:r>
      <w:r>
        <w:t xml:space="preserve"> </w:t>
      </w:r>
      <w:r>
        <w:t xml:space="preserve">(BIOPHARM)</w:t>
      </w:r>
    </w:p>
    <w:p>
      <w:pPr>
        <w:pStyle w:val="Compact"/>
        <w:numPr>
          <w:ilvl w:val="1"/>
          <w:numId w:val="1192"/>
        </w:numPr>
      </w:pPr>
      <w:r>
        <w:t xml:space="preserve">Formes et Dosages : Ovule — Néomycine (sulfate) 35 000 UI + Polymyxine B (sulfate) 35 000 UI + Nystatine 100 000 UI ; Boîte de 12 ovules</w:t>
      </w:r>
    </w:p>
    <w:p>
      <w:pPr>
        <w:pStyle w:val="Compact"/>
        <w:numPr>
          <w:ilvl w:val="1"/>
          <w:numId w:val="1192"/>
        </w:numPr>
      </w:pPr>
      <w:r>
        <w:t xml:space="preserve">Statut :</w:t>
      </w:r>
      <w:r>
        <w:t xml:space="preserve"> </w:t>
      </w:r>
      <w:r>
        <w:rPr>
          <w:b/>
          <w:bCs/>
        </w:rPr>
        <w:t xml:space="preserve">ACTIF</w:t>
      </w:r>
    </w:p>
    <w:p>
      <w:pPr>
        <w:pStyle w:val="Compact"/>
        <w:numPr>
          <w:ilvl w:val="0"/>
          <w:numId w:val="1190"/>
        </w:numPr>
      </w:pPr>
      <w:r>
        <w:rPr>
          <w:b/>
          <w:bCs/>
        </w:rPr>
        <w:t xml:space="preserve">WELLGYNAX</w:t>
      </w:r>
      <w:r>
        <w:t xml:space="preserve"> </w:t>
      </w:r>
      <w:r>
        <w:t xml:space="preserve">(SARL MEDEC)</w:t>
      </w:r>
    </w:p>
    <w:p>
      <w:pPr>
        <w:pStyle w:val="Compact"/>
        <w:numPr>
          <w:ilvl w:val="1"/>
          <w:numId w:val="1193"/>
        </w:numPr>
      </w:pPr>
      <w:r>
        <w:t xml:space="preserve">Formes et Dosages : Capsule molle vaginale — Néomycine (sulfate) 35 000 UI + Polymyxine B (sulfate) 35 000 UI + Nystatine 100 000 UI ; Boîte de 12 capsules molles vaginales</w:t>
      </w:r>
    </w:p>
    <w:p>
      <w:pPr>
        <w:pStyle w:val="Compact"/>
        <w:numPr>
          <w:ilvl w:val="1"/>
          <w:numId w:val="1193"/>
        </w:numPr>
      </w:pPr>
      <w:r>
        <w:t xml:space="preserve">Statut :</w:t>
      </w:r>
      <w:r>
        <w:t xml:space="preserve"> </w:t>
      </w:r>
      <w:r>
        <w:rPr>
          <w:b/>
          <w:bCs/>
        </w:rPr>
        <w:t xml:space="preserve">ACTIF</w:t>
      </w:r>
    </w:p>
    <w:p>
      <w:pPr>
        <w:pStyle w:val="Compact"/>
        <w:numPr>
          <w:ilvl w:val="0"/>
          <w:numId w:val="1190"/>
        </w:numPr>
      </w:pPr>
      <w:r>
        <w:rPr>
          <w:b/>
          <w:bCs/>
        </w:rPr>
        <w:t xml:space="preserve">POLYGYNAX</w:t>
      </w:r>
      <w:r>
        <w:t xml:space="preserve"> </w:t>
      </w:r>
      <w:r>
        <w:t xml:space="preserve">(INNOTECH INTERNATIONAL)</w:t>
      </w:r>
    </w:p>
    <w:p>
      <w:pPr>
        <w:pStyle w:val="Compact"/>
        <w:numPr>
          <w:ilvl w:val="1"/>
          <w:numId w:val="1194"/>
        </w:numPr>
      </w:pPr>
      <w:r>
        <w:t xml:space="preserve">Formes et Dosages : Capsule molle — Néomycine (sulfate) 35 000 UI + Polymyxine B (sulfate) 35 000 UI + Nystatine 100 000 UI ; Boîte de 12 capsules molles</w:t>
      </w:r>
    </w:p>
    <w:p>
      <w:pPr>
        <w:pStyle w:val="Compact"/>
        <w:numPr>
          <w:ilvl w:val="1"/>
          <w:numId w:val="1194"/>
        </w:numPr>
      </w:pPr>
      <w:r>
        <w:t xml:space="preserve">Statut :</w:t>
      </w:r>
      <w:r>
        <w:t xml:space="preserve"> </w:t>
      </w:r>
      <w:r>
        <w:rPr>
          <w:b/>
          <w:bCs/>
        </w:rPr>
        <w:t xml:space="preserve">ACTIF</w:t>
      </w:r>
    </w:p>
    <w:p>
      <w:pPr>
        <w:pStyle w:val="BlockText"/>
      </w:pPr>
      <w:r>
        <w:rPr>
          <w:b/>
          <w:bCs/>
        </w:rPr>
        <w:t xml:space="preserve">POLYGYNAX</w:t>
      </w:r>
      <w:r>
        <w:t xml:space="preserve"> </w:t>
      </w:r>
      <w:r>
        <w:t xml:space="preserve">(Innotech International) est la marque de référence française, largement diffusée. POLYNAX, POLYVAX et WELLGYNAX sont les équivalents algériens. Le conditionnement</w:t>
      </w:r>
      <w:r>
        <w:t xml:space="preserve"> </w:t>
      </w:r>
      <w:r>
        <w:rPr>
          <w:b/>
          <w:bCs/>
        </w:rPr>
        <w:t xml:space="preserve">12 unités</w:t>
      </w:r>
      <w:r>
        <w:t xml:space="preserve"> </w:t>
      </w:r>
      <w:r>
        <w:t xml:space="preserve">correspond à une cure complète de 12 jours.</w:t>
      </w:r>
    </w:p>
    <w:p>
      <w:pPr>
        <w:pStyle w:val="FirstParagraph"/>
      </w:pPr>
      <w:r>
        <w:rPr>
          <w:b/>
          <w:bCs/>
        </w:rPr>
        <w:t xml:space="preserve">Sous-classe et Mécanisme d’action :</w:t>
      </w:r>
    </w:p>
    <w:p>
      <w:pPr>
        <w:pStyle w:val="Compact"/>
        <w:numPr>
          <w:ilvl w:val="0"/>
          <w:numId w:val="1195"/>
        </w:numPr>
      </w:pPr>
      <w:r>
        <w:rPr>
          <w:b/>
          <w:bCs/>
        </w:rPr>
        <w:t xml:space="preserve">Sous-classe</w:t>
      </w:r>
      <w:r>
        <w:t xml:space="preserve"> </w:t>
      </w:r>
      <w:r>
        <w:t xml:space="preserve">: Antifongiques — Association locale vaginale à triple anti-infectieux (deux antibiotiques + un antifongique).</w:t>
      </w:r>
    </w:p>
    <w:p>
      <w:pPr>
        <w:pStyle w:val="Compact"/>
        <w:numPr>
          <w:ilvl w:val="0"/>
          <w:numId w:val="1195"/>
        </w:numPr>
      </w:pPr>
      <w:r>
        <w:rPr>
          <w:b/>
          <w:bCs/>
        </w:rPr>
        <w:t xml:space="preserve">Mécanisme de la néomycine</w:t>
      </w:r>
      <w:r>
        <w:t xml:space="preserve"> </w:t>
      </w:r>
      <w:r>
        <w:t xml:space="preserve">: cf. fiche 13.4 — aminoside 2ᵉ génération, fixation irréversible sur la sous-unité 30S du ribosome bactérien, erreurs de traduction, blocage de la translocation,</w:t>
      </w:r>
      <w:r>
        <w:t xml:space="preserve"> </w:t>
      </w:r>
      <w:r>
        <w:rPr>
          <w:b/>
          <w:bCs/>
        </w:rPr>
        <w:t xml:space="preserve">bactéricide concentration-dépendant</w:t>
      </w:r>
      <w:r>
        <w:t xml:space="preserve">. Spectre : Gram+ (staphylocoques, streptocoques y compris quelques souches résistantes), Gram– aérobies (E. coli, Klebsiella, Proteus, Enterobacter).</w:t>
      </w:r>
    </w:p>
    <w:p>
      <w:pPr>
        <w:pStyle w:val="Compact"/>
        <w:numPr>
          <w:ilvl w:val="0"/>
          <w:numId w:val="1195"/>
        </w:numPr>
      </w:pPr>
      <w:r>
        <w:rPr>
          <w:b/>
          <w:bCs/>
        </w:rPr>
        <w:t xml:space="preserve">Mécanisme de la polymyxine B</w:t>
      </w:r>
      <w:r>
        <w:t xml:space="preserve"> </w:t>
      </w:r>
      <w:r>
        <w:t xml:space="preserve">: polypeptide cyclique cationique qui se fixe au</w:t>
      </w:r>
      <w:r>
        <w:t xml:space="preserve"> </w:t>
      </w:r>
      <w:r>
        <w:rPr>
          <w:b/>
          <w:bCs/>
        </w:rPr>
        <w:t xml:space="preserve">lipopolysaccharide (LPS)</w:t>
      </w:r>
      <w:r>
        <w:t xml:space="preserve"> </w:t>
      </w:r>
      <w:r>
        <w:t xml:space="preserve">de la membrane externe des bactéries à Gram– (en se liant aux groupements phosphates du lipid A), déplace le Mg²⁺ et Ca²⁺ ponts stabilisateurs, et provoque une</w:t>
      </w:r>
      <w:r>
        <w:t xml:space="preserve"> </w:t>
      </w:r>
      <w:r>
        <w:rPr>
          <w:b/>
          <w:bCs/>
        </w:rPr>
        <w:t xml:space="preserve">désorganisation de la membrane externe</w:t>
      </w:r>
      <w:r>
        <w:t xml:space="preserve"> </w:t>
      </w:r>
      <w:r>
        <w:t xml:space="preserve">(effet détergent). La polymyxine B pénètre ensuite dans la membrane interne, créant des pores ioniques entraînant la fuite du contenu cytoplasmique et la</w:t>
      </w:r>
      <w:r>
        <w:t xml:space="preserve"> </w:t>
      </w:r>
      <w:r>
        <w:rPr>
          <w:b/>
          <w:bCs/>
        </w:rPr>
        <w:t xml:space="preserve">mort bactérienne rapide</w:t>
      </w:r>
      <w:r>
        <w:t xml:space="preserve"> </w:t>
      </w:r>
      <w:r>
        <w:t xml:space="preserve">(bactéricide temps-dépendant). Spectre exclusivement Gram– aérobies (E. coli, Pseudomonas aeruginosa, Klebsiella, Enterobacter, Acinetobacter). Pas d’effet sur les Gram+, les anaérobies ni les protozoaires.</w:t>
      </w:r>
    </w:p>
    <w:p>
      <w:pPr>
        <w:pStyle w:val="Compact"/>
        <w:numPr>
          <w:ilvl w:val="0"/>
          <w:numId w:val="1195"/>
        </w:numPr>
      </w:pPr>
      <w:r>
        <w:rPr>
          <w:b/>
          <w:bCs/>
        </w:rPr>
        <w:t xml:space="preserve">Mécanisme de la nystatine</w:t>
      </w:r>
      <w:r>
        <w:t xml:space="preserve"> </w:t>
      </w:r>
      <w:r>
        <w:t xml:space="preserve">: cf. fiche 13.4 — antifongique polyénique macrocyclique, liaison préférentielle à l’ergostérol, formation de pores transmembranaires, fuite ionique,</w:t>
      </w:r>
      <w:r>
        <w:t xml:space="preserve"> </w:t>
      </w:r>
      <w:r>
        <w:rPr>
          <w:b/>
          <w:bCs/>
        </w:rPr>
        <w:t xml:space="preserve">fongicide</w:t>
      </w:r>
      <w:r>
        <w:t xml:space="preserve"> </w:t>
      </w:r>
      <w:r>
        <w:t xml:space="preserve">sur Candida.</w:t>
      </w:r>
    </w:p>
    <w:p>
      <w:pPr>
        <w:pStyle w:val="Compact"/>
        <w:numPr>
          <w:ilvl w:val="0"/>
          <w:numId w:val="1195"/>
        </w:numPr>
      </w:pPr>
      <w:r>
        <w:rPr>
          <w:b/>
          <w:bCs/>
        </w:rPr>
        <w:t xml:space="preserve">Synergie</w:t>
      </w:r>
      <w:r>
        <w:t xml:space="preserve"> </w:t>
      </w:r>
      <w:r>
        <w:t xml:space="preserve">: la combinaison néomycine (Gram+ et Gram–) + polymyxine B (Gram– élargi incluant Pseudomonas) couvre la quasi-totalité des bactéries aérobies vaginales pathogènes ; la nystatine ajoute la couverture fongique. L’absence de métronidazole limite l’efficacité sur les anaérobies stricts (Gardnerella, Mobiluncus) et sur Trichomonas — d’où l’intérêt de réserver cette association aux situations où la composante anaérobie/protozoaire est jugée peu probable.</w:t>
      </w:r>
    </w:p>
    <w:p>
      <w:pPr>
        <w:pStyle w:val="FirstParagraph"/>
      </w:pPr>
      <w:r>
        <w:rPr>
          <w:b/>
          <w:bCs/>
        </w:rPr>
        <w:t xml:space="preserve">Profil Pharmacologique :</w:t>
      </w:r>
    </w:p>
    <w:p>
      <w:pPr>
        <w:pStyle w:val="Compact"/>
        <w:numPr>
          <w:ilvl w:val="0"/>
          <w:numId w:val="1196"/>
        </w:numPr>
      </w:pPr>
      <w:r>
        <w:rPr>
          <w:b/>
          <w:bCs/>
        </w:rPr>
        <w:t xml:space="preserve">Indications</w:t>
      </w:r>
      <w:r>
        <w:t xml:space="preserve"> </w:t>
      </w:r>
      <w:r>
        <w:t xml:space="preserve">: traitement probabiliste des</w:t>
      </w:r>
      <w:r>
        <w:t xml:space="preserve"> </w:t>
      </w:r>
      <w:r>
        <w:rPr>
          <w:b/>
          <w:bCs/>
        </w:rPr>
        <w:t xml:space="preserve">vaginites mixtes bactério-fongiques</w:t>
      </w:r>
      <w:r>
        <w:t xml:space="preserve"> </w:t>
      </w:r>
      <w:r>
        <w:t xml:space="preserve">sans suspicion d’anaérobies ni de trichomonase ; traitement de la candidose vulvo-vaginale avec surinfection bactérienne à Gram– ; alternative au métronidazole en cas de contre-indication (1er trimestre grossesse, intolérance) ; traitement local post-antibiothérapie systémique ; préparation pré-chirurgicale gynécologique chez la femme enceinte (alternative au métronidazole).</w:t>
      </w:r>
    </w:p>
    <w:p>
      <w:pPr>
        <w:pStyle w:val="Compact"/>
        <w:numPr>
          <w:ilvl w:val="0"/>
          <w:numId w:val="1196"/>
        </w:numPr>
      </w:pPr>
      <w:r>
        <w:rPr>
          <w:b/>
          <w:bCs/>
        </w:rPr>
        <w:t xml:space="preserve">Contre-indications</w:t>
      </w:r>
      <w:r>
        <w:t xml:space="preserve"> </w:t>
      </w:r>
      <w:r>
        <w:t xml:space="preserve">: hypersensibilité aux composants (notamment aux aminosides ou aux polymyxines) ;</w:t>
      </w:r>
      <w:r>
        <w:t xml:space="preserve"> </w:t>
      </w:r>
      <w:r>
        <w:rPr>
          <w:b/>
          <w:bCs/>
        </w:rPr>
        <w:t xml:space="preserve">myasthénie</w:t>
      </w:r>
      <w:r>
        <w:t xml:space="preserve"> </w:t>
      </w:r>
      <w:r>
        <w:t xml:space="preserve">(la néomycine et la polymyxine B potentialisent le bloc neuromusculaire, même à résorption minimale) ; enfant prépubère.</w:t>
      </w:r>
    </w:p>
    <w:p>
      <w:pPr>
        <w:pStyle w:val="Compact"/>
        <w:numPr>
          <w:ilvl w:val="0"/>
          <w:numId w:val="1196"/>
        </w:numPr>
      </w:pPr>
      <w:r>
        <w:rPr>
          <w:b/>
          <w:bCs/>
        </w:rPr>
        <w:t xml:space="preserve">Effets Indésirables</w:t>
      </w:r>
      <w:r>
        <w:t xml:space="preserve"> </w:t>
      </w:r>
      <w:r>
        <w:t xml:space="preserve">:</w:t>
      </w:r>
    </w:p>
    <w:p>
      <w:pPr>
        <w:pStyle w:val="Compact"/>
        <w:numPr>
          <w:ilvl w:val="1"/>
          <w:numId w:val="1197"/>
        </w:numPr>
      </w:pPr>
      <w:r>
        <w:rPr>
          <w:i/>
          <w:iCs/>
        </w:rPr>
        <w:t xml:space="preserve">Locaux</w:t>
      </w:r>
      <w:r>
        <w:t xml:space="preserve"> </w:t>
      </w:r>
      <w:r>
        <w:t xml:space="preserve">(les plus fréquents) : brûlure transitoire, prurit, érythème vulvaire, augmentation transitoire des leucorrhées liée à la fonte de la capsule/ovule, irritation locale.</w:t>
      </w:r>
    </w:p>
    <w:p>
      <w:pPr>
        <w:pStyle w:val="Compact"/>
        <w:numPr>
          <w:ilvl w:val="1"/>
          <w:numId w:val="1197"/>
        </w:numPr>
      </w:pPr>
      <w:r>
        <w:rPr>
          <w:i/>
          <w:iCs/>
        </w:rPr>
        <w:t xml:space="preserve">Sensibilisation</w:t>
      </w:r>
      <w:r>
        <w:t xml:space="preserve"> </w:t>
      </w:r>
      <w:r>
        <w:t xml:space="preserve">: allergie de contact à la néomycine (incidence 1 à 6 %, plus fréquente que pour les autres aminosides) — révélation par eczéma vulvaire après plusieurs jours de traitement.</w:t>
      </w:r>
    </w:p>
    <w:p>
      <w:pPr>
        <w:pStyle w:val="Compact"/>
        <w:numPr>
          <w:ilvl w:val="1"/>
          <w:numId w:val="1197"/>
        </w:numPr>
      </w:pPr>
      <w:r>
        <w:rPr>
          <w:i/>
          <w:iCs/>
        </w:rPr>
        <w:t xml:space="preserve">Systémiques</w:t>
      </w:r>
      <w:r>
        <w:t xml:space="preserve"> </w:t>
      </w:r>
      <w:r>
        <w:t xml:space="preserve">(exceptionnels, absorption &lt; 1 %) : néphrotoxicité et ototoxicité théoriques de la néomycine et de la polymyxine B en cas de muqueuse lésée étendue ; neurotoxicité (bloc neuromusculaire) en cas de forte résorption.</w:t>
      </w:r>
    </w:p>
    <w:p>
      <w:pPr>
        <w:pStyle w:val="FirstParagraph"/>
      </w:pPr>
      <w:r>
        <w:rPr>
          <w:b/>
          <w:bCs/>
        </w:rPr>
        <w:t xml:space="preserve">Prévention et Gestion des Effets Indésirables :</w:t>
      </w:r>
    </w:p>
    <w:p>
      <w:pPr>
        <w:pStyle w:val="Compact"/>
        <w:numPr>
          <w:ilvl w:val="0"/>
          <w:numId w:val="1198"/>
        </w:numPr>
      </w:pPr>
      <w:r>
        <w:rPr>
          <w:b/>
          <w:bCs/>
        </w:rPr>
        <w:t xml:space="preserve">Mesures Préventives</w:t>
      </w:r>
      <w:r>
        <w:t xml:space="preserve"> </w:t>
      </w:r>
      <w:r>
        <w:t xml:space="preserve">: administration vespérale ; protection externe ; toilette douce ; abstention sexuelle ou préservatif pendant le traitement ; respect de la durée de 12 jours ; ne pas associer à un autre aminoside ou polypeptide systémique.</w:t>
      </w:r>
    </w:p>
    <w:p>
      <w:pPr>
        <w:pStyle w:val="Compact"/>
        <w:numPr>
          <w:ilvl w:val="0"/>
          <w:numId w:val="1198"/>
        </w:numPr>
      </w:pPr>
      <w:r>
        <w:rPr>
          <w:b/>
          <w:bCs/>
        </w:rPr>
        <w:t xml:space="preserve">Conduite à Tenir</w:t>
      </w:r>
      <w:r>
        <w:t xml:space="preserve"> </w:t>
      </w:r>
      <w:r>
        <w:t xml:space="preserve">: en cas d’eczéma de contact (prurit, vésicules, érythème progressif) → arrêt immédiat, réorientation médicale (corticothérapie locale courte de contact possible après avis). En cas de troubles auditifs, paresthésies ou signes neurologiques → arrêt immédiat et avis médical urgent (recherche d’une résorption systémique).</w:t>
      </w:r>
    </w:p>
    <w:p>
      <w:pPr>
        <w:pStyle w:val="FirstParagraph"/>
      </w:pPr>
      <w:r>
        <w:rPr>
          <w:b/>
          <w:bCs/>
        </w:rPr>
        <w:t xml:space="preserve">Interactions Importantes :</w:t>
      </w:r>
    </w:p>
    <w:p>
      <w:pPr>
        <w:pStyle w:val="Compact"/>
        <w:numPr>
          <w:ilvl w:val="0"/>
          <w:numId w:val="1199"/>
        </w:numPr>
      </w:pPr>
      <w:r>
        <w:rPr>
          <w:b/>
          <w:bCs/>
        </w:rPr>
        <w:t xml:space="preserve">Autres aminosides systémiques</w:t>
      </w:r>
      <w:r>
        <w:t xml:space="preserve"> </w:t>
      </w:r>
      <w:r>
        <w:t xml:space="preserve">(gentamicine, amikacine, tobramycine, nétilmicine) : potentialisation de la néphro- et ototoxicité (à surveiller chez la patiente sous aminoside IV pour une autre indication).</w:t>
      </w:r>
    </w:p>
    <w:p>
      <w:pPr>
        <w:pStyle w:val="Compact"/>
        <w:numPr>
          <w:ilvl w:val="0"/>
          <w:numId w:val="1199"/>
        </w:numPr>
      </w:pPr>
      <w:r>
        <w:rPr>
          <w:b/>
          <w:bCs/>
        </w:rPr>
        <w:t xml:space="preserve">Autres polypeptides systémiques</w:t>
      </w:r>
      <w:r>
        <w:t xml:space="preserve"> </w:t>
      </w:r>
      <w:r>
        <w:t xml:space="preserve">(colistiméthate sodique IV) : cumul des toxicités rénales et neurologiques.</w:t>
      </w:r>
    </w:p>
    <w:p>
      <w:pPr>
        <w:pStyle w:val="Compact"/>
        <w:numPr>
          <w:ilvl w:val="0"/>
          <w:numId w:val="1199"/>
        </w:numPr>
      </w:pPr>
      <w:r>
        <w:rPr>
          <w:b/>
          <w:bCs/>
        </w:rPr>
        <w:t xml:space="preserve">Curares et anesthésiques généraux</w:t>
      </w:r>
      <w:r>
        <w:t xml:space="preserve"> </w:t>
      </w:r>
      <w:r>
        <w:t xml:space="preserve">: potentialisation du bloc neuromusculaire (néomycine + polymyxine B) — précaution en cas d’anesthésie programmée dans les 48 h.</w:t>
      </w:r>
    </w:p>
    <w:p>
      <w:pPr>
        <w:pStyle w:val="Compact"/>
        <w:numPr>
          <w:ilvl w:val="0"/>
          <w:numId w:val="1199"/>
        </w:numPr>
      </w:pPr>
      <w:r>
        <w:rPr>
          <w:b/>
          <w:bCs/>
        </w:rPr>
        <w:t xml:space="preserve">Diurétiques de l’anse (furosémide)</w:t>
      </w:r>
      <w:r>
        <w:t xml:space="preserve"> </w:t>
      </w:r>
      <w:r>
        <w:t xml:space="preserve">et</w:t>
      </w:r>
      <w:r>
        <w:t xml:space="preserve"> </w:t>
      </w:r>
      <w:r>
        <w:rPr>
          <w:b/>
          <w:bCs/>
        </w:rPr>
        <w:t xml:space="preserve">cisplatine</w:t>
      </w:r>
      <w:r>
        <w:t xml:space="preserve"> </w:t>
      </w:r>
      <w:r>
        <w:t xml:space="preserve">: majoration de l’ototoxicité.</w:t>
      </w:r>
    </w:p>
    <w:p>
      <w:pPr>
        <w:pStyle w:val="Compact"/>
        <w:numPr>
          <w:ilvl w:val="0"/>
          <w:numId w:val="1199"/>
        </w:numPr>
      </w:pPr>
      <w:r>
        <w:rPr>
          <w:b/>
          <w:bCs/>
        </w:rPr>
        <w:t xml:space="preserve">Pas d’interaction avec l’alcool</w:t>
      </w:r>
      <w:r>
        <w:t xml:space="preserve"> </w:t>
      </w:r>
      <w:r>
        <w:t xml:space="preserve">(pas de métronidazole dans cette association).</w:t>
      </w:r>
    </w:p>
    <w:p>
      <w:pPr>
        <w:pStyle w:val="Compact"/>
        <w:numPr>
          <w:ilvl w:val="0"/>
          <w:numId w:val="1199"/>
        </w:numPr>
      </w:pPr>
      <w:r>
        <w:rPr>
          <w:b/>
          <w:bCs/>
        </w:rPr>
        <w:t xml:space="preserve">Pas d’interaction avec les AVK</w:t>
      </w:r>
      <w:r>
        <w:t xml:space="preserve">.</w:t>
      </w:r>
    </w:p>
    <w:p>
      <w:pPr>
        <w:pStyle w:val="FirstParagraph"/>
      </w:pPr>
      <w:r>
        <w:rPr>
          <w:b/>
          <w:bCs/>
        </w:rPr>
        <w:t xml:space="preserve">Grossesse et Allaitement :</w:t>
      </w:r>
    </w:p>
    <w:p>
      <w:pPr>
        <w:pStyle w:val="Compact"/>
        <w:numPr>
          <w:ilvl w:val="0"/>
          <w:numId w:val="1200"/>
        </w:numPr>
      </w:pPr>
      <w:r>
        <w:rPr>
          <w:b/>
          <w:bCs/>
        </w:rPr>
        <w:t xml:space="preserve">Grossesse</w:t>
      </w:r>
      <w:r>
        <w:t xml:space="preserve"> </w:t>
      </w:r>
      <w:r>
        <w:t xml:space="preserve">: selon le CRAT, la</w:t>
      </w:r>
      <w:r>
        <w:t xml:space="preserve"> </w:t>
      </w:r>
      <w:r>
        <w:rPr>
          <w:b/>
          <w:bCs/>
        </w:rPr>
        <w:t xml:space="preserve">nystatine</w:t>
      </w:r>
      <w:r>
        <w:t xml:space="preserve"> </w:t>
      </w:r>
      <w:r>
        <w:t xml:space="preserve">est l’antifongique vaginal de</w:t>
      </w:r>
      <w:r>
        <w:t xml:space="preserve"> </w:t>
      </w:r>
      <w:r>
        <w:rPr>
          <w:b/>
          <w:bCs/>
        </w:rPr>
        <w:t xml:space="preserve">référence chez la femme enceinte</w:t>
      </w:r>
      <w:r>
        <w:t xml:space="preserve"> </w:t>
      </w:r>
      <w:r>
        <w:t xml:space="preserve">(pas de passage systémique, pas de tératogénicité décrite). La</w:t>
      </w:r>
      <w:r>
        <w:t xml:space="preserve"> </w:t>
      </w:r>
      <w:r>
        <w:rPr>
          <w:b/>
          <w:bCs/>
        </w:rPr>
        <w:t xml:space="preserve">néomycine</w:t>
      </w:r>
      <w:r>
        <w:t xml:space="preserve"> </w:t>
      </w:r>
      <w:r>
        <w:t xml:space="preserve">par voie vaginale est</w:t>
      </w:r>
      <w:r>
        <w:t xml:space="preserve"> </w:t>
      </w:r>
      <w:r>
        <w:rPr>
          <w:b/>
          <w:bCs/>
        </w:rPr>
        <w:t xml:space="preserve">compatible</w:t>
      </w:r>
      <w:r>
        <w:t xml:space="preserve"> </w:t>
      </w:r>
      <w:r>
        <w:t xml:space="preserve">avec la grossesse (absorption négligeable). La</w:t>
      </w:r>
      <w:r>
        <w:t xml:space="preserve"> </w:t>
      </w:r>
      <w:r>
        <w:rPr>
          <w:b/>
          <w:bCs/>
        </w:rPr>
        <w:t xml:space="preserve">polymyxine B</w:t>
      </w:r>
      <w:r>
        <w:t xml:space="preserve"> </w:t>
      </w:r>
      <w:r>
        <w:t xml:space="preserve">vaginale est également considérée comme compatible. Cette association est donc</w:t>
      </w:r>
      <w:r>
        <w:t xml:space="preserve"> </w:t>
      </w:r>
      <w:r>
        <w:rPr>
          <w:b/>
          <w:bCs/>
        </w:rPr>
        <w:t xml:space="preserve">utilisable pendant toute la grossesse</w:t>
      </w:r>
      <w:r>
        <w:t xml:space="preserve">, y compris au 1er trimestre — c’est son avantage majeur par rapport aux associations contenant du métronidazole.</w:t>
      </w:r>
    </w:p>
    <w:p>
      <w:pPr>
        <w:pStyle w:val="Compact"/>
        <w:numPr>
          <w:ilvl w:val="0"/>
          <w:numId w:val="1200"/>
        </w:numPr>
      </w:pPr>
      <w:r>
        <w:rPr>
          <w:b/>
          <w:bCs/>
        </w:rPr>
        <w:t xml:space="preserve">Allaitement</w:t>
      </w:r>
      <w:r>
        <w:t xml:space="preserve"> </w:t>
      </w:r>
      <w:r>
        <w:t xml:space="preserve">: aucun des trois composants ne passe en quantité significative dans le lait maternel (résorption négligeable). L’association est</w:t>
      </w:r>
      <w:r>
        <w:t xml:space="preserve"> </w:t>
      </w:r>
      <w:r>
        <w:rPr>
          <w:b/>
          <w:bCs/>
        </w:rPr>
        <w:t xml:space="preserve">compatible avec l’allaitement</w:t>
      </w:r>
      <w:r>
        <w:t xml:space="preserve">, sans nécessité de report — avantage décisif par rapport aux associations contenant du métronidazole.</w:t>
      </w:r>
    </w:p>
    <w:p>
      <w:pPr>
        <w:pStyle w:val="Compact"/>
        <w:numPr>
          <w:ilvl w:val="0"/>
          <w:numId w:val="1200"/>
        </w:numPr>
      </w:pPr>
      <w:r>
        <w:rPr>
          <w:b/>
          <w:bCs/>
        </w:rPr>
        <w:t xml:space="preserve">Précisions</w:t>
      </w:r>
      <w:r>
        <w:t xml:space="preserve"> </w:t>
      </w:r>
      <w:r>
        <w:t xml:space="preserve">: c’est l’association de</w:t>
      </w:r>
      <w:r>
        <w:t xml:space="preserve"> </w:t>
      </w:r>
      <w:r>
        <w:rPr>
          <w:b/>
          <w:bCs/>
        </w:rPr>
        <w:t xml:space="preserve">choix chez la femme enceinte et allaitante</w:t>
      </w:r>
      <w:r>
        <w:t xml:space="preserve"> </w:t>
      </w:r>
      <w:r>
        <w:t xml:space="preserve">présentant une vaginite mixte bactério-fongique sans suspicion d’anaérobies ni de trichomonase.</w:t>
      </w:r>
    </w:p>
    <w:p>
      <w:pPr>
        <w:pStyle w:val="FirstParagraph"/>
      </w:pPr>
      <w:r>
        <w:rPr>
          <w:b/>
          <w:bCs/>
        </w:rPr>
        <w:t xml:space="preserve">Posologie et Mode d’administration (Standard) :</w:t>
      </w:r>
    </w:p>
    <w:p>
      <w:pPr>
        <w:pStyle w:val="Compact"/>
        <w:numPr>
          <w:ilvl w:val="0"/>
          <w:numId w:val="1201"/>
        </w:numPr>
      </w:pPr>
      <w:r>
        <w:rPr>
          <w:b/>
          <w:bCs/>
        </w:rPr>
        <w:t xml:space="preserve">Adulte</w:t>
      </w:r>
      <w:r>
        <w:t xml:space="preserve"> </w:t>
      </w:r>
      <w:r>
        <w:t xml:space="preserve">: 1 capsule/ovule vaginal</w:t>
      </w:r>
      <w:r>
        <w:t xml:space="preserve"> </w:t>
      </w:r>
      <w:r>
        <w:rPr>
          <w:b/>
          <w:bCs/>
        </w:rPr>
        <w:t xml:space="preserve">au coucher</w:t>
      </w:r>
      <w:r>
        <w:t xml:space="preserve"> </w:t>
      </w:r>
      <w:r>
        <w:t xml:space="preserve">pendant</w:t>
      </w:r>
      <w:r>
        <w:t xml:space="preserve"> </w:t>
      </w:r>
      <w:r>
        <w:rPr>
          <w:b/>
          <w:bCs/>
        </w:rPr>
        <w:t xml:space="preserve">12 jours consécutifs</w:t>
      </w:r>
      <w:r>
        <w:t xml:space="preserve">. Posologie maximale : 1 unité/jour. En cas d’infection sévère ou récidivante, certaines références proposent 2 unités/jour (matin + soir) les 3 premiers jours, puis 1 unité/jour — sans avis officiel univoque.</w:t>
      </w:r>
    </w:p>
    <w:p>
      <w:pPr>
        <w:pStyle w:val="Compact"/>
        <w:numPr>
          <w:ilvl w:val="0"/>
          <w:numId w:val="1201"/>
        </w:numPr>
      </w:pPr>
      <w:r>
        <w:rPr>
          <w:b/>
          <w:bCs/>
        </w:rPr>
        <w:t xml:space="preserve">Enfant</w:t>
      </w:r>
      <w:r>
        <w:t xml:space="preserve"> </w:t>
      </w:r>
      <w:r>
        <w:t xml:space="preserve">: forme non adaptée à l’enfant prépubère.</w:t>
      </w:r>
    </w:p>
    <w:p>
      <w:pPr>
        <w:pStyle w:val="Compact"/>
        <w:numPr>
          <w:ilvl w:val="0"/>
          <w:numId w:val="1201"/>
        </w:numPr>
      </w:pPr>
      <w:r>
        <w:rPr>
          <w:b/>
          <w:bCs/>
        </w:rPr>
        <w:t xml:space="preserve">Durée</w:t>
      </w:r>
      <w:r>
        <w:t xml:space="preserve"> </w:t>
      </w:r>
      <w:r>
        <w:t xml:space="preserve">: 12 jours standards (durée plus longue que les associations à métronidazole, en raison de la cinétique locale et de la nécessité d’éradication complète des Candida) ; ne pas dépasser 12 jours sans avis médical.</w:t>
      </w:r>
    </w:p>
    <w:p>
      <w:pPr>
        <w:pStyle w:val="Compact"/>
        <w:numPr>
          <w:ilvl w:val="0"/>
          <w:numId w:val="1201"/>
        </w:numPr>
      </w:pPr>
      <w:r>
        <w:rPr>
          <w:b/>
          <w:bCs/>
        </w:rPr>
        <w:t xml:space="preserve">Moment de prise</w:t>
      </w:r>
      <w:r>
        <w:t xml:space="preserve"> </w:t>
      </w:r>
      <w:r>
        <w:t xml:space="preserve">: le soir au coucher, après toilette périnéale douce et miction préalable. Pose allongée, profonde, au fond du cul-de-sac vaginal postérieur. Rester allongée 10–15 minutes.</w:t>
      </w:r>
    </w:p>
    <w:p>
      <w:pPr>
        <w:pStyle w:val="FirstParagraph"/>
      </w:pPr>
      <w:r>
        <w:rPr>
          <w:b/>
          <w:bCs/>
        </w:rPr>
        <w:t xml:space="preserve">Arbitrage et Bénéfices des Formes Galéniques :</w:t>
      </w:r>
    </w:p>
    <w:p>
      <w:pPr>
        <w:pStyle w:val="BodyText"/>
      </w:pPr>
      <w:r>
        <w:t xml:space="preserve">Trois formes galéniques coexistent sur le marché algérien :</w:t>
      </w:r>
    </w:p>
    <w:p>
      <w:pPr>
        <w:pStyle w:val="Compact"/>
        <w:numPr>
          <w:ilvl w:val="0"/>
          <w:numId w:val="1202"/>
        </w:numPr>
      </w:pPr>
      <w:r>
        <w:rPr>
          <w:b/>
          <w:bCs/>
        </w:rPr>
        <w:t xml:space="preserve">Capsule vaginale</w:t>
      </w:r>
      <w:r>
        <w:t xml:space="preserve"> </w:t>
      </w:r>
      <w:r>
        <w:t xml:space="preserve">(POLYNAX) : enveloppe dure à base de gélatine, libération plus lente, écoulement modéré.</w:t>
      </w:r>
    </w:p>
    <w:p>
      <w:pPr>
        <w:pStyle w:val="Compact"/>
        <w:numPr>
          <w:ilvl w:val="0"/>
          <w:numId w:val="1202"/>
        </w:numPr>
      </w:pPr>
      <w:r>
        <w:rPr>
          <w:b/>
          <w:bCs/>
        </w:rPr>
        <w:t xml:space="preserve">Ovule</w:t>
      </w:r>
      <w:r>
        <w:t xml:space="preserve"> </w:t>
      </w:r>
      <w:r>
        <w:t xml:space="preserve">(POLYVAX) : base liposoluble, libération rapide, écoulement plus marqué en début de nuit.</w:t>
      </w:r>
    </w:p>
    <w:p>
      <w:pPr>
        <w:pStyle w:val="Compact"/>
        <w:numPr>
          <w:ilvl w:val="0"/>
          <w:numId w:val="1202"/>
        </w:numPr>
      </w:pPr>
      <w:r>
        <w:rPr>
          <w:b/>
          <w:bCs/>
        </w:rPr>
        <w:t xml:space="preserve">Capsule molle vaginale</w:t>
      </w:r>
      <w:r>
        <w:t xml:space="preserve"> </w:t>
      </w:r>
      <w:r>
        <w:t xml:space="preserve">(WELLGYNAX, POLYGYNAX) : enveloppe gélatineuse souple contenant les principes actifs en suspension huileuse,</w:t>
      </w:r>
      <w:r>
        <w:t xml:space="preserve"> </w:t>
      </w:r>
      <w:r>
        <w:rPr>
          <w:b/>
          <w:bCs/>
        </w:rPr>
        <w:t xml:space="preserve">libération progressive et bonne tolérance locale</w:t>
      </w:r>
      <w:r>
        <w:t xml:space="preserve"> </w:t>
      </w:r>
      <w:r>
        <w:t xml:space="preserve">— généralement considérée comme la forme de référence.</w:t>
      </w:r>
    </w:p>
    <w:p>
      <w:pPr>
        <w:pStyle w:val="FirstParagraph"/>
      </w:pPr>
      <w:r>
        <w:t xml:space="preserve">Le choix entre ces formes dépend peu de l’efficacité (équivalente) et davantage de la</w:t>
      </w:r>
      <w:r>
        <w:t xml:space="preserve"> </w:t>
      </w:r>
      <w:r>
        <w:rPr>
          <w:b/>
          <w:bCs/>
        </w:rPr>
        <w:t xml:space="preserve">tolérance locale</w:t>
      </w:r>
      <w:r>
        <w:t xml:space="preserve"> </w:t>
      </w:r>
      <w:r>
        <w:t xml:space="preserve">et de la</w:t>
      </w:r>
      <w:r>
        <w:t xml:space="preserve"> </w:t>
      </w:r>
      <w:r>
        <w:rPr>
          <w:b/>
          <w:bCs/>
        </w:rPr>
        <w:t xml:space="preserve">disponibilité</w:t>
      </w:r>
      <w:r>
        <w:t xml:space="preserve"> </w:t>
      </w:r>
      <w:r>
        <w:t xml:space="preserve">en officine. La capsule molle (POLYGYNAX, WELLGYNAX) tend à être préférée pour son confort d’utilisation. Comparativement aux associations avec métronidazole (fiches 13.3 et 13.4), cette triple association</w:t>
      </w:r>
      <w:r>
        <w:t xml:space="preserve"> </w:t>
      </w:r>
      <w:r>
        <w:rPr>
          <w:b/>
          <w:bCs/>
        </w:rPr>
        <w:t xml:space="preserve">perd la couverture anaérobie et antiprotozoaire</w:t>
      </w:r>
      <w:r>
        <w:t xml:space="preserve"> </w:t>
      </w:r>
      <w:r>
        <w:t xml:space="preserve">mais</w:t>
      </w:r>
      <w:r>
        <w:t xml:space="preserve"> </w:t>
      </w:r>
      <w:r>
        <w:rPr>
          <w:b/>
          <w:bCs/>
        </w:rPr>
        <w:t xml:space="preserve">gagne la couverture Pseudomonas</w:t>
      </w:r>
      <w:r>
        <w:t xml:space="preserve"> </w:t>
      </w:r>
      <w:r>
        <w:t xml:space="preserve">(polymyxine B), et surtout l’</w:t>
      </w:r>
      <w:r>
        <w:rPr>
          <w:b/>
          <w:bCs/>
        </w:rPr>
        <w:t xml:space="preserve">utilisation possible pendant toute la grossesse et l’allaitement</w:t>
      </w:r>
      <w:r>
        <w:t xml:space="preserve">. Elle est donc l’alternative de premier choix chez la femme enceinte/allaitante et en cas de contre-indication au métronidazole.</w:t>
      </w:r>
    </w:p>
    <w:p>
      <w:pPr>
        <w:pStyle w:val="BodyText"/>
      </w:pPr>
      <w:r>
        <w:rPr>
          <w:b/>
          <w:bCs/>
        </w:rPr>
        <w:t xml:space="preserve">Instructions et Conseils au Patient :</w:t>
      </w:r>
    </w:p>
    <w:p>
      <w:pPr>
        <w:pStyle w:val="Compact"/>
        <w:numPr>
          <w:ilvl w:val="0"/>
          <w:numId w:val="1203"/>
        </w:numPr>
      </w:pPr>
      <w:r>
        <w:rPr>
          <w:b/>
          <w:bCs/>
        </w:rPr>
        <w:t xml:space="preserve">Communication au comptoir</w:t>
      </w:r>
      <w:r>
        <w:t xml:space="preserve"> </w:t>
      </w:r>
      <w:r>
        <w:t xml:space="preserve">:</w:t>
      </w:r>
    </w:p>
    <w:p>
      <w:pPr>
        <w:pStyle w:val="Compact"/>
        <w:numPr>
          <w:ilvl w:val="1"/>
          <w:numId w:val="1204"/>
        </w:numPr>
      </w:pPr>
      <w:r>
        <w:t xml:space="preserve">«</w:t>
      </w:r>
      <w:r>
        <w:t xml:space="preserve"> </w:t>
      </w:r>
      <w:r>
        <w:rPr>
          <w:i/>
          <w:iCs/>
        </w:rPr>
        <w:t xml:space="preserve">Ce médicament combine trois antibiotiques/antifongiques pour traiter les bactéries et les champignons responsables de vos pertes. Il se met le soir au coucher pendant 12 jours d’affilée.</w:t>
      </w:r>
      <w:r>
        <w:t xml:space="preserve"> </w:t>
      </w:r>
      <w:r>
        <w:t xml:space="preserve">»</w:t>
      </w:r>
    </w:p>
    <w:p>
      <w:pPr>
        <w:pStyle w:val="Compact"/>
        <w:numPr>
          <w:ilvl w:val="1"/>
          <w:numId w:val="1204"/>
        </w:numPr>
      </w:pPr>
      <w:r>
        <w:t xml:space="preserve">Insister sur la</w:t>
      </w:r>
      <w:r>
        <w:t xml:space="preserve"> </w:t>
      </w:r>
      <w:r>
        <w:rPr>
          <w:b/>
          <w:bCs/>
        </w:rPr>
        <w:t xml:space="preserve">nécessité de compléter les 12 jours</w:t>
      </w:r>
      <w:r>
        <w:t xml:space="preserve"> </w:t>
      </w:r>
      <w:r>
        <w:t xml:space="preserve">sans interruption.</w:t>
      </w:r>
    </w:p>
    <w:p>
      <w:pPr>
        <w:pStyle w:val="Compact"/>
        <w:numPr>
          <w:ilvl w:val="1"/>
          <w:numId w:val="1204"/>
        </w:numPr>
      </w:pPr>
      <w:r>
        <w:t xml:space="preserve">Cette association</w:t>
      </w:r>
      <w:r>
        <w:t xml:space="preserve"> </w:t>
      </w:r>
      <w:r>
        <w:rPr>
          <w:b/>
          <w:bCs/>
        </w:rPr>
        <w:t xml:space="preserve">n’impose pas d’éviction alcoolique</w:t>
      </w:r>
      <w:r>
        <w:t xml:space="preserve"> </w:t>
      </w:r>
      <w:r>
        <w:t xml:space="preserve">(différence importante avec les associations à métronidazole).</w:t>
      </w:r>
    </w:p>
    <w:p>
      <w:pPr>
        <w:pStyle w:val="Compact"/>
        <w:numPr>
          <w:ilvl w:val="1"/>
          <w:numId w:val="1204"/>
        </w:numPr>
      </w:pPr>
      <w:r>
        <w:t xml:space="preserve">Préciser les rapports sexuels : préservatif obligatoire ou abstention pendant le traitement.</w:t>
      </w:r>
    </w:p>
    <w:p>
      <w:pPr>
        <w:pStyle w:val="Compact"/>
        <w:numPr>
          <w:ilvl w:val="0"/>
          <w:numId w:val="1203"/>
        </w:numPr>
      </w:pPr>
      <w:r>
        <w:rPr>
          <w:b/>
          <w:bCs/>
        </w:rPr>
        <w:t xml:space="preserve">Mode d’utilisation pratique</w:t>
      </w:r>
      <w:r>
        <w:t xml:space="preserve"> </w:t>
      </w:r>
      <w:r>
        <w:t xml:space="preserve">: mains propres ; toilette externe sans savon agressif ; miction préalable ; pose au lit, jambes fléchies ; introduire profondément avec le doigt ou un applicateur ; rester allongée 10–15 min ; protection externe (jamais de tampon) ; ne pas interrompre pendant les règles.</w:t>
      </w:r>
    </w:p>
    <w:p>
      <w:pPr>
        <w:pStyle w:val="FirstParagraph"/>
      </w:pPr>
      <w:r>
        <w:rPr>
          <w:b/>
          <w:bCs/>
        </w:rPr>
        <w:t xml:space="preserve">Notes, Règles d’Or &amp; Pièges au Comptoir :</w:t>
      </w:r>
    </w:p>
    <w:p>
      <w:pPr>
        <w:pStyle w:val="Compact"/>
        <w:numPr>
          <w:ilvl w:val="0"/>
          <w:numId w:val="1205"/>
        </w:numPr>
      </w:pPr>
      <w:r>
        <w:rPr>
          <w:b/>
          <w:bCs/>
        </w:rPr>
        <w:t xml:space="preserve">Piège classique</w:t>
      </w:r>
      <w:r>
        <w:t xml:space="preserve"> </w:t>
      </w:r>
      <w:r>
        <w:t xml:space="preserve">: confondre POLYNAX/POLYVAX/WELLGYNAX/POLYGYNAX avec une association à métronidazole (TERGYNAN, GYNOVAL) → ne pas appliquer les mêmes consignes (pas d’éviction alcoolique, mais pas non plus de couverture anaérobie/protozoaire). Toujours vérifier la composition avant de dispenser et de conseiller.</w:t>
      </w:r>
    </w:p>
    <w:p>
      <w:pPr>
        <w:pStyle w:val="Compact"/>
        <w:numPr>
          <w:ilvl w:val="0"/>
          <w:numId w:val="1205"/>
        </w:numPr>
      </w:pPr>
      <w:r>
        <w:rPr>
          <w:b/>
          <w:bCs/>
        </w:rPr>
        <w:t xml:space="preserve">Règle de prise</w:t>
      </w:r>
      <w:r>
        <w:t xml:space="preserve"> </w:t>
      </w:r>
      <w:r>
        <w:t xml:space="preserve">: une unité par soir pendant 12 jours ; en cas d’oubli, prolonger la cure du nombre de jours oubliés sans dépasser 14 jours au total.</w:t>
      </w:r>
    </w:p>
    <w:p>
      <w:pPr>
        <w:pStyle w:val="Compact"/>
        <w:numPr>
          <w:ilvl w:val="0"/>
          <w:numId w:val="1205"/>
        </w:numPr>
      </w:pPr>
      <w:r>
        <w:rPr>
          <w:b/>
          <w:bCs/>
        </w:rPr>
        <w:t xml:space="preserve">Préparation et Conservation</w:t>
      </w:r>
      <w:r>
        <w:t xml:space="preserve"> </w:t>
      </w:r>
      <w:r>
        <w:t xml:space="preserve">: conserver à température &lt; 25 °C, à l’abri de la lumière et de l’humidité ; les capsules molles sont plus sensibles à la chaleur (ramollissement) et à l’humidité (opacification).</w:t>
      </w:r>
    </w:p>
    <w:p>
      <w:pPr>
        <w:pStyle w:val="Compact"/>
        <w:numPr>
          <w:ilvl w:val="0"/>
          <w:numId w:val="1205"/>
        </w:numPr>
      </w:pPr>
      <w:r>
        <w:rPr>
          <w:b/>
          <w:bCs/>
        </w:rPr>
        <w:t xml:space="preserve">Piège du surdosage / Substitution</w:t>
      </w:r>
      <w:r>
        <w:t xml:space="preserve"> </w:t>
      </w:r>
      <w:r>
        <w:t xml:space="preserve">:</w:t>
      </w:r>
    </w:p>
    <w:p>
      <w:pPr>
        <w:pStyle w:val="Compact"/>
        <w:numPr>
          <w:ilvl w:val="1"/>
          <w:numId w:val="1206"/>
        </w:numPr>
      </w:pPr>
      <w:r>
        <w:t xml:space="preserve">Ne pas substituer</w:t>
      </w:r>
      <w:r>
        <w:t xml:space="preserve"> </w:t>
      </w:r>
      <w:r>
        <w:rPr>
          <w:b/>
          <w:bCs/>
        </w:rPr>
        <w:t xml:space="preserve">POLYGYNAX</w:t>
      </w:r>
      <w:r>
        <w:t xml:space="preserve"> </w:t>
      </w:r>
      <w:r>
        <w:t xml:space="preserve">par</w:t>
      </w:r>
      <w:r>
        <w:t xml:space="preserve"> </w:t>
      </w:r>
      <w:r>
        <w:rPr>
          <w:b/>
          <w:bCs/>
        </w:rPr>
        <w:t xml:space="preserve">TERGYNAN</w:t>
      </w:r>
      <w:r>
        <w:t xml:space="preserve"> </w:t>
      </w:r>
      <w:r>
        <w:t xml:space="preserve">sans avis médical chez la femme enceinte du 1er trimestre (perte du profil « sans métronidazole »).</w:t>
      </w:r>
    </w:p>
    <w:p>
      <w:pPr>
        <w:pStyle w:val="Compact"/>
        <w:numPr>
          <w:ilvl w:val="1"/>
          <w:numId w:val="1206"/>
        </w:numPr>
      </w:pPr>
      <w:r>
        <w:t xml:space="preserve">Ne pas associer à un autre aminoside systémique ni à la colistine IV.</w:t>
      </w:r>
    </w:p>
    <w:p>
      <w:pPr>
        <w:pStyle w:val="Compact"/>
        <w:numPr>
          <w:ilvl w:val="1"/>
          <w:numId w:val="1206"/>
        </w:numPr>
      </w:pPr>
      <w:r>
        <w:t xml:space="preserve">Attention à la patiente</w:t>
      </w:r>
      <w:r>
        <w:t xml:space="preserve"> </w:t>
      </w:r>
      <w:r>
        <w:rPr>
          <w:b/>
          <w:bCs/>
        </w:rPr>
        <w:t xml:space="preserve">myasthénique</w:t>
      </w:r>
      <w:r>
        <w:t xml:space="preserve"> </w:t>
      </w:r>
      <w:r>
        <w:t xml:space="preserve">: préférer une monothérapie par nystatine seule.</w:t>
      </w:r>
    </w:p>
    <w:p>
      <w:pPr>
        <w:pStyle w:val="Compact"/>
        <w:numPr>
          <w:ilvl w:val="1"/>
          <w:numId w:val="1206"/>
        </w:numPr>
      </w:pPr>
      <w:r>
        <w:t xml:space="preserve">En cas d’</w:t>
      </w:r>
      <w:r>
        <w:rPr>
          <w:b/>
          <w:bCs/>
        </w:rPr>
        <w:t xml:space="preserve">eczéma de contact</w:t>
      </w:r>
      <w:r>
        <w:t xml:space="preserve"> </w:t>
      </w:r>
      <w:r>
        <w:t xml:space="preserve">(prurit progressif, vésicules, érythème s’aggravant) : arrêt, réorientation (allergie à la néomycine, fréquente).</w:t>
      </w:r>
    </w:p>
    <w:p>
      <w:pPr>
        <w:pStyle w:val="Compact"/>
        <w:numPr>
          <w:ilvl w:val="1"/>
          <w:numId w:val="1206"/>
        </w:numPr>
      </w:pPr>
      <w:r>
        <w:t xml:space="preserve">En cas d’</w:t>
      </w:r>
      <w:r>
        <w:rPr>
          <w:b/>
          <w:bCs/>
        </w:rPr>
        <w:t xml:space="preserve">échec à 12 jours</w:t>
      </w:r>
      <w:r>
        <w:t xml:space="preserve"> </w:t>
      </w:r>
      <w:r>
        <w:t xml:space="preserve">: prélèvement vaginal systématique (recherche de Trichomonas, de Gardnerella, de Candida non-</w:t>
      </w:r>
      <w:r>
        <w:rPr>
          <w:i/>
          <w:iCs/>
        </w:rPr>
        <w:t xml:space="preserve">albicans</w:t>
      </w:r>
      <w:r>
        <w:t xml:space="preserve"> </w:t>
      </w:r>
      <w:r>
        <w:t xml:space="preserve">résistant, ou de germes résistants aux aminosides/polymyxines).</w:t>
      </w:r>
    </w:p>
    <w:p>
      <w:r>
        <w:pict>
          <v:rect style="width:0;height:1.5pt" o:hralign="center" o:hrstd="t" o:hr="t"/>
        </w:pict>
      </w:r>
    </w:p>
    <w:bookmarkEnd w:id="100"/>
    <w:bookmarkStart w:id="101" w:name="X388ef4263007d33f780b8ed4418211033254d58"/>
    <w:p>
      <w:pPr>
        <w:pStyle w:val="Heading2"/>
      </w:pPr>
      <w:r>
        <w:t xml:space="preserve">13.6 Tableau Comparatif des Associations Gynécologiques et Locales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Association</w:t>
            </w:r>
          </w:p>
        </w:tc>
        <w:tc>
          <w:tcPr/>
          <w:p>
            <w:pPr>
              <w:pStyle w:val="Compact"/>
              <w:jc w:val="left"/>
            </w:pPr>
            <w:r>
              <w:t xml:space="preserve">Composants</w:t>
            </w:r>
          </w:p>
        </w:tc>
        <w:tc>
          <w:tcPr/>
          <w:p>
            <w:pPr>
              <w:pStyle w:val="Compact"/>
              <w:jc w:val="left"/>
            </w:pPr>
            <w:r>
              <w:t xml:space="preserve">Indications principales</w:t>
            </w:r>
          </w:p>
        </w:tc>
        <w:tc>
          <w:tcPr/>
          <w:p>
            <w:pPr>
              <w:pStyle w:val="Compact"/>
              <w:jc w:val="left"/>
            </w:pPr>
            <w:r>
              <w:t xml:space="preserve">Formes galéniques</w:t>
            </w:r>
          </w:p>
        </w:tc>
        <w:tc>
          <w:tcPr/>
          <w:p>
            <w:pPr>
              <w:pStyle w:val="Compact"/>
              <w:jc w:val="left"/>
            </w:pPr>
            <w:r>
              <w:t xml:space="preserve">EI majeurs</w:t>
            </w:r>
          </w:p>
        </w:tc>
        <w:tc>
          <w:tcPr/>
          <w:p>
            <w:pPr>
              <w:pStyle w:val="Compact"/>
              <w:jc w:val="left"/>
            </w:pPr>
            <w:r>
              <w:t xml:space="preserve">Grossesse</w:t>
            </w:r>
          </w:p>
        </w:tc>
        <w:tc>
          <w:tcPr/>
          <w:p>
            <w:pPr>
              <w:pStyle w:val="Compact"/>
              <w:jc w:val="left"/>
            </w:pPr>
            <w:r>
              <w:t xml:space="preserve">Précautions clés</w:t>
            </w:r>
          </w:p>
        </w:tc>
      </w:tr>
      <w:tr>
        <w:tc>
          <w:tcPr/>
          <w:p>
            <w:pPr>
              <w:pStyle w:val="Compact"/>
              <w:jc w:val="left"/>
            </w:pPr>
            <w:r>
              <w:rPr>
                <w:b/>
                <w:bCs/>
              </w:rPr>
              <w:t xml:space="preserve">Métronidazole + Miconazole</w:t>
            </w:r>
            <w:r>
              <w:t xml:space="preserve"> </w:t>
            </w:r>
            <w:r>
              <w:t xml:space="preserve">(LIMENDA, LIMENDA-L)</w:t>
            </w:r>
          </w:p>
        </w:tc>
        <w:tc>
          <w:tcPr/>
          <w:p>
            <w:pPr>
              <w:pStyle w:val="Compact"/>
              <w:jc w:val="left"/>
            </w:pPr>
            <w:r>
              <w:t xml:space="preserve">Métronidazole 750 mg + Miconazole 200 mg (± Lidocaïne 100 mg)</w:t>
            </w:r>
          </w:p>
        </w:tc>
        <w:tc>
          <w:tcPr/>
          <w:p>
            <w:pPr>
              <w:pStyle w:val="Compact"/>
              <w:jc w:val="left"/>
            </w:pPr>
            <w:r>
              <w:t xml:space="preserve">Vaginite mixte (vaginose + candidose ± trichomonase)</w:t>
            </w:r>
          </w:p>
        </w:tc>
        <w:tc>
          <w:tcPr/>
          <w:p>
            <w:pPr>
              <w:pStyle w:val="Compact"/>
              <w:jc w:val="left"/>
            </w:pPr>
            <w:r>
              <w:t xml:space="preserve">Ovule 7 unités + doigtiers</w:t>
            </w:r>
          </w:p>
        </w:tc>
        <w:tc>
          <w:tcPr/>
          <w:p>
            <w:pPr>
              <w:pStyle w:val="Compact"/>
              <w:jc w:val="left"/>
            </w:pPr>
            <w:r>
              <w:t xml:space="preserve">Brûlure locale, goût métallique, effet antabuse, neuropathie si &gt; 14 j</w:t>
            </w:r>
          </w:p>
        </w:tc>
        <w:tc>
          <w:tcPr/>
          <w:p>
            <w:pPr>
              <w:pStyle w:val="Compact"/>
              <w:jc w:val="left"/>
            </w:pPr>
            <w:r>
              <w:t xml:space="preserve">Éviter 1er T (métronidazole) ; miconazole OK tous T</w:t>
            </w:r>
          </w:p>
        </w:tc>
        <w:tc>
          <w:tcPr/>
          <w:p>
            <w:pPr>
              <w:pStyle w:val="Compact"/>
              <w:jc w:val="left"/>
            </w:pPr>
            <w:r>
              <w:t xml:space="preserve">Éviction alcoolique pendant + 48 h ; surveillance AVK ; ne pas associer disulfirame ; lidocaïne contre-indiquée si allergie amino-amides</w:t>
            </w:r>
          </w:p>
        </w:tc>
      </w:tr>
      <w:tr>
        <w:tc>
          <w:tcPr/>
          <w:p>
            <w:pPr>
              <w:pStyle w:val="Compact"/>
              <w:jc w:val="left"/>
            </w:pPr>
            <w:r>
              <w:rPr>
                <w:b/>
                <w:bCs/>
              </w:rPr>
              <w:t xml:space="preserve">Métronidazole + Néomycine + Nystatine</w:t>
            </w:r>
            <w:r>
              <w:t xml:space="preserve"> </w:t>
            </w:r>
            <w:r>
              <w:t xml:space="preserve">(TERGYNAN, GYNOVAL, GYNODAN)</w:t>
            </w:r>
          </w:p>
        </w:tc>
        <w:tc>
          <w:tcPr/>
          <w:p>
            <w:pPr>
              <w:pStyle w:val="Compact"/>
              <w:jc w:val="left"/>
            </w:pPr>
            <w:r>
              <w:t xml:space="preserve">Métronidazole 500 mg + Néomycine 65 000 UI + Nystatine 100 000 UI</w:t>
            </w:r>
          </w:p>
        </w:tc>
        <w:tc>
          <w:tcPr/>
          <w:p>
            <w:pPr>
              <w:pStyle w:val="Compact"/>
              <w:jc w:val="left"/>
            </w:pPr>
            <w:r>
              <w:t xml:space="preserve">Vaginite mixte sévère/récidivante (anaérobies + Gram– + Candida)</w:t>
            </w:r>
          </w:p>
        </w:tc>
        <w:tc>
          <w:tcPr/>
          <w:p>
            <w:pPr>
              <w:pStyle w:val="Compact"/>
              <w:jc w:val="left"/>
            </w:pPr>
            <w:r>
              <w:t xml:space="preserve">Comprimé vaginal ou ovule, 10 unités</w:t>
            </w:r>
          </w:p>
        </w:tc>
        <w:tc>
          <w:tcPr/>
          <w:p>
            <w:pPr>
              <w:pStyle w:val="Compact"/>
              <w:jc w:val="left"/>
            </w:pPr>
            <w:r>
              <w:t xml:space="preserve">Brûlure locale, allergie néomycine, goût métallique, effet antabuse</w:t>
            </w:r>
          </w:p>
        </w:tc>
        <w:tc>
          <w:tcPr/>
          <w:p>
            <w:pPr>
              <w:pStyle w:val="Compact"/>
              <w:jc w:val="left"/>
            </w:pPr>
            <w:r>
              <w:t xml:space="preserve">Éviter 1er T (métronidazole) ; nystatine OK tous T ; néomycine OK</w:t>
            </w:r>
          </w:p>
        </w:tc>
        <w:tc>
          <w:tcPr/>
          <w:p>
            <w:pPr>
              <w:pStyle w:val="Compact"/>
              <w:jc w:val="left"/>
            </w:pPr>
            <w:r>
              <w:t xml:space="preserve">Éviction alcoolique + 48 h ; surveillance AVK ; myasthénie CI ; ne pas associer aminoside systémique ; cure 10 j complète</w:t>
            </w:r>
          </w:p>
        </w:tc>
      </w:tr>
      <w:tr>
        <w:tc>
          <w:tcPr/>
          <w:p>
            <w:pPr>
              <w:pStyle w:val="Compact"/>
              <w:jc w:val="left"/>
            </w:pPr>
            <w:r>
              <w:rPr>
                <w:b/>
                <w:bCs/>
              </w:rPr>
              <w:t xml:space="preserve">Néomycine + Polymyxine B + Nystatine</w:t>
            </w:r>
            <w:r>
              <w:t xml:space="preserve"> </w:t>
            </w:r>
            <w:r>
              <w:t xml:space="preserve">(POLYNAX, POLYVAX, WELLGYNAX, POLYGYNAX)</w:t>
            </w:r>
          </w:p>
        </w:tc>
        <w:tc>
          <w:tcPr/>
          <w:p>
            <w:pPr>
              <w:pStyle w:val="Compact"/>
              <w:jc w:val="left"/>
            </w:pPr>
            <w:r>
              <w:t xml:space="preserve">Néomycine 35 000 UI + Polymyxine B 35 000 UI + Nystatine 100 000 UI</w:t>
            </w:r>
          </w:p>
        </w:tc>
        <w:tc>
          <w:tcPr/>
          <w:p>
            <w:pPr>
              <w:pStyle w:val="Compact"/>
              <w:jc w:val="left"/>
            </w:pPr>
            <w:r>
              <w:t xml:space="preserve">Vaginite mixte bactério-fongique sans anaérobie ; femme enceinte/allaitante ; alternative au métronidazole</w:t>
            </w:r>
          </w:p>
        </w:tc>
        <w:tc>
          <w:tcPr/>
          <w:p>
            <w:pPr>
              <w:pStyle w:val="Compact"/>
              <w:jc w:val="left"/>
            </w:pPr>
            <w:r>
              <w:t xml:space="preserve">Capsule vaginale, ovule, capsule molle, 12 unités</w:t>
            </w:r>
          </w:p>
        </w:tc>
        <w:tc>
          <w:tcPr/>
          <w:p>
            <w:pPr>
              <w:pStyle w:val="Compact"/>
              <w:jc w:val="left"/>
            </w:pPr>
            <w:r>
              <w:t xml:space="preserve">Brûlure locale, allergie néomycine (eczéma de contact), rares EI systémiques</w:t>
            </w:r>
          </w:p>
        </w:tc>
        <w:tc>
          <w:tcPr/>
          <w:p>
            <w:pPr>
              <w:pStyle w:val="Compact"/>
              <w:jc w:val="left"/>
            </w:pPr>
            <w:r>
              <w:rPr>
                <w:b/>
                <w:bCs/>
              </w:rPr>
              <w:t xml:space="preserve">Compatible tous trimestres</w:t>
            </w:r>
            <w:r>
              <w:t xml:space="preserve"> </w:t>
            </w:r>
            <w:r>
              <w:t xml:space="preserve">; nystatine = référence grossesse</w:t>
            </w:r>
          </w:p>
        </w:tc>
        <w:tc>
          <w:tcPr/>
          <w:p>
            <w:pPr>
              <w:pStyle w:val="Compact"/>
              <w:jc w:val="left"/>
            </w:pPr>
            <w:r>
              <w:t xml:space="preserve">Pas d’éviction alcoolique ; myasthénie CI ; ne pas associer aminoside/polypeptide systémique ; cure 12 j complète ; écarter Trichomonas avant prescription</w:t>
            </w:r>
          </w:p>
        </w:tc>
      </w:tr>
    </w:tbl>
    <w:p>
      <w:r>
        <w:pict>
          <v:rect style="width:0;height:1.5pt" o:hralign="center" o:hrstd="t" o:hr="t"/>
        </w:pict>
      </w:r>
    </w:p>
    <w:bookmarkEnd w:id="101"/>
    <w:bookmarkStart w:id="106" w:name="Xd31cfa5f6379e027da812638d4396c63e687405"/>
    <w:p>
      <w:pPr>
        <w:pStyle w:val="Heading2"/>
      </w:pPr>
      <w:r>
        <w:t xml:space="preserve">13.7 Synthèse Pédagogique et Messages-Clés au Comptoir</w:t>
      </w:r>
    </w:p>
    <w:bookmarkStart w:id="102" w:name="choix-éclairé-de-lassociation"/>
    <w:p>
      <w:pPr>
        <w:pStyle w:val="Heading3"/>
      </w:pPr>
      <w:r>
        <w:t xml:space="preserve">13.7.1 Choix éclairé de l’association</w:t>
      </w:r>
    </w:p>
    <w:p>
      <w:pPr>
        <w:pStyle w:val="FirstParagraph"/>
      </w:pPr>
      <w:r>
        <w:t xml:space="preserve">Le choix entre les trois associations dépend de</w:t>
      </w:r>
      <w:r>
        <w:t xml:space="preserve"> </w:t>
      </w:r>
      <w:r>
        <w:rPr>
          <w:b/>
          <w:bCs/>
        </w:rPr>
        <w:t xml:space="preserve">quatre critères cliniques majeurs</w:t>
      </w:r>
      <w:r>
        <w:t xml:space="preserve"> </w:t>
      </w:r>
      <w:r>
        <w:t xml:space="preserve">:</w:t>
      </w:r>
    </w:p>
    <w:p>
      <w:pPr>
        <w:pStyle w:val="Compact"/>
        <w:numPr>
          <w:ilvl w:val="0"/>
          <w:numId w:val="1207"/>
        </w:numPr>
      </w:pPr>
      <w:r>
        <w:rPr>
          <w:b/>
          <w:bCs/>
        </w:rPr>
        <w:t xml:space="preserve">Probabilité d’une composante anaérobie/protozoaire</w:t>
      </w:r>
      <w:r>
        <w:t xml:space="preserve"> </w:t>
      </w:r>
      <w:r>
        <w:t xml:space="preserve">: si élevée ( suspicion de vaginose bactérienne avec odeur de poisson, leucorrhées grisâtres, pH &gt; 4,5, test à la KOH positif) → privilégier une association avec métronidazole (LIMENDA ou TERGYNAN/GYNOVAL/GYNODAN).</w:t>
      </w:r>
    </w:p>
    <w:p>
      <w:pPr>
        <w:pStyle w:val="Compact"/>
        <w:numPr>
          <w:ilvl w:val="0"/>
          <w:numId w:val="1207"/>
        </w:numPr>
      </w:pPr>
      <w:r>
        <w:rPr>
          <w:b/>
          <w:bCs/>
        </w:rPr>
        <w:t xml:space="preserve">Statut obstétrical</w:t>
      </w:r>
      <w:r>
        <w:t xml:space="preserve"> </w:t>
      </w:r>
      <w:r>
        <w:t xml:space="preserve">: femme enceinte (surtout 1er trimestre) ou allaitante → privilégier l’association</w:t>
      </w:r>
      <w:r>
        <w:t xml:space="preserve"> </w:t>
      </w:r>
      <w:r>
        <w:rPr>
          <w:b/>
          <w:bCs/>
        </w:rPr>
        <w:t xml:space="preserve">sans métronidazole</w:t>
      </w:r>
      <w:r>
        <w:t xml:space="preserve"> </w:t>
      </w:r>
      <w:r>
        <w:t xml:space="preserve">(POLYNAX/POLYVAX/WELLGYNAX/POLYGYNAX) qui est compatible avec toute la grossesse et l’allaitement.</w:t>
      </w:r>
    </w:p>
    <w:p>
      <w:pPr>
        <w:pStyle w:val="Compact"/>
        <w:numPr>
          <w:ilvl w:val="0"/>
          <w:numId w:val="1207"/>
        </w:numPr>
      </w:pPr>
      <w:r>
        <w:rPr>
          <w:b/>
          <w:bCs/>
        </w:rPr>
        <w:t xml:space="preserve">Composante douloureuse marquée</w:t>
      </w:r>
      <w:r>
        <w:t xml:space="preserve"> </w:t>
      </w:r>
      <w:r>
        <w:t xml:space="preserve">: vulvite intense, prurit insupportable, fissures →</w:t>
      </w:r>
      <w:r>
        <w:t xml:space="preserve"> </w:t>
      </w:r>
      <w:r>
        <w:rPr>
          <w:b/>
          <w:bCs/>
        </w:rPr>
        <w:t xml:space="preserve">LIMENDA-L</w:t>
      </w:r>
      <w:r>
        <w:t xml:space="preserve"> </w:t>
      </w:r>
      <w:r>
        <w:t xml:space="preserve">(avec lidocaïne) améliore l’observance.</w:t>
      </w:r>
    </w:p>
    <w:p>
      <w:pPr>
        <w:pStyle w:val="Compact"/>
        <w:numPr>
          <w:ilvl w:val="0"/>
          <w:numId w:val="1207"/>
        </w:numPr>
      </w:pPr>
      <w:r>
        <w:rPr>
          <w:b/>
          <w:bCs/>
        </w:rPr>
        <w:t xml:space="preserve">Allergie connue aux aminosides</w:t>
      </w:r>
      <w:r>
        <w:t xml:space="preserve"> </w:t>
      </w:r>
      <w:r>
        <w:t xml:space="preserve">: éviter les associations contenant de la néomycine (TERGYNAN/GYNOVAL/GYNODAN/POLYNAX/POLYVAX/WELLGYNAX/POLYGYNAX) → privilégier LIMENDA classique (métronidazole + miconazole).</w:t>
      </w:r>
    </w:p>
    <w:bookmarkEnd w:id="102"/>
    <w:bookmarkStart w:id="103" w:name="règles-dor-du-conseil-pharmaceutique"/>
    <w:p>
      <w:pPr>
        <w:pStyle w:val="Heading3"/>
      </w:pPr>
      <w:r>
        <w:t xml:space="preserve">13.7.2 Règles d’or du conseil pharmaceutique</w:t>
      </w:r>
    </w:p>
    <w:p>
      <w:pPr>
        <w:pStyle w:val="Compact"/>
        <w:numPr>
          <w:ilvl w:val="0"/>
          <w:numId w:val="1208"/>
        </w:numPr>
      </w:pPr>
      <w:r>
        <w:rPr>
          <w:b/>
          <w:bCs/>
        </w:rPr>
        <w:t xml:space="preserve">Toujours vérifier la composition</w:t>
      </w:r>
      <w:r>
        <w:t xml:space="preserve"> </w:t>
      </w:r>
      <w:r>
        <w:t xml:space="preserve">avant de dispenser et de conseiller : la présence ou non de métronidazole change radicalement les consignes (éviction alcoolique, grossesse).</w:t>
      </w:r>
    </w:p>
    <w:p>
      <w:pPr>
        <w:pStyle w:val="Compact"/>
        <w:numPr>
          <w:ilvl w:val="0"/>
          <w:numId w:val="1208"/>
        </w:numPr>
      </w:pPr>
      <w:r>
        <w:rPr>
          <w:b/>
          <w:bCs/>
        </w:rPr>
        <w:t xml:space="preserve">Rappeler la durée complète</w:t>
      </w:r>
      <w:r>
        <w:t xml:space="preserve"> </w:t>
      </w:r>
      <w:r>
        <w:t xml:space="preserve">de la cure (7, 10 ou 12 jours selon l’association) : ne jamais laisser la patiente interrompre prématurément devant la disparition des symptômes.</w:t>
      </w:r>
    </w:p>
    <w:p>
      <w:pPr>
        <w:pStyle w:val="Compact"/>
        <w:numPr>
          <w:ilvl w:val="0"/>
          <w:numId w:val="1208"/>
        </w:numPr>
      </w:pPr>
      <w:r>
        <w:rPr>
          <w:b/>
          <w:bCs/>
        </w:rPr>
        <w:t xml:space="preserve">Prévenir l’effet antabuse</w:t>
      </w:r>
      <w:r>
        <w:t xml:space="preserve"> </w:t>
      </w:r>
      <w:r>
        <w:t xml:space="preserve">pour toutes les associations contenant du métronidazole (LIMENDA, LIMENDA-L, TERGYNAN, GYNOVAL, GYNODAN) : éviction de tout produit alcoolisé pendant le traitement et</w:t>
      </w:r>
      <w:r>
        <w:t xml:space="preserve"> </w:t>
      </w:r>
      <w:r>
        <w:rPr>
          <w:b/>
          <w:bCs/>
        </w:rPr>
        <w:t xml:space="preserve">48 heures après</w:t>
      </w:r>
      <w:r>
        <w:t xml:space="preserve"> </w:t>
      </w:r>
      <w:r>
        <w:t xml:space="preserve">la dernière prise (y compris médicaments alcoolisés : sirops, teintures, elixirs).</w:t>
      </w:r>
    </w:p>
    <w:p>
      <w:pPr>
        <w:pStyle w:val="Compact"/>
        <w:numPr>
          <w:ilvl w:val="0"/>
          <w:numId w:val="1208"/>
        </w:numPr>
      </w:pPr>
      <w:r>
        <w:rPr>
          <w:b/>
          <w:bCs/>
        </w:rPr>
        <w:t xml:space="preserve">Évoquer un diabète ou une immunodépression</w:t>
      </w:r>
      <w:r>
        <w:t xml:space="preserve"> </w:t>
      </w:r>
      <w:r>
        <w:t xml:space="preserve">devant toute candidose récidivante (&gt; 4 épisodes/an) — réorientation médicale systématique.</w:t>
      </w:r>
    </w:p>
    <w:p>
      <w:pPr>
        <w:pStyle w:val="Compact"/>
        <w:numPr>
          <w:ilvl w:val="0"/>
          <w:numId w:val="1208"/>
        </w:numPr>
      </w:pPr>
      <w:r>
        <w:rPr>
          <w:b/>
          <w:bCs/>
        </w:rPr>
        <w:t xml:space="preserve">Ne jamais recommander une cure répétée sans documentation microbiologique</w:t>
      </w:r>
      <w:r>
        <w:t xml:space="preserve"> </w:t>
      </w:r>
      <w:r>
        <w:t xml:space="preserve">: prélèvement vaginal indispensable après 2 cures échouées.</w:t>
      </w:r>
    </w:p>
    <w:p>
      <w:pPr>
        <w:pStyle w:val="Compact"/>
        <w:numPr>
          <w:ilvl w:val="0"/>
          <w:numId w:val="1208"/>
        </w:numPr>
      </w:pPr>
      <w:r>
        <w:rPr>
          <w:b/>
          <w:bCs/>
        </w:rPr>
        <w:t xml:space="preserve">Prévenir les rapports sexuels</w:t>
      </w:r>
      <w:r>
        <w:t xml:space="preserve"> </w:t>
      </w:r>
      <w:r>
        <w:t xml:space="preserve">pendant le traitement (préservatif obligatoire ou abstention) et rappeler que le partenaire n’est traité que s’il est symptomatique.</w:t>
      </w:r>
    </w:p>
    <w:p>
      <w:pPr>
        <w:pStyle w:val="Compact"/>
        <w:numPr>
          <w:ilvl w:val="0"/>
          <w:numId w:val="1208"/>
        </w:numPr>
      </w:pPr>
      <w:r>
        <w:rPr>
          <w:b/>
          <w:bCs/>
        </w:rPr>
        <w:t xml:space="preserve">Hygiène vaginale stricte</w:t>
      </w:r>
      <w:r>
        <w:t xml:space="preserve"> </w:t>
      </w:r>
      <w:r>
        <w:t xml:space="preserve">: pas de douche vaginale interne, pas de savon agressif, pas de tampon interne pendant le traitement.</w:t>
      </w:r>
    </w:p>
    <w:p>
      <w:pPr>
        <w:pStyle w:val="Compact"/>
        <w:numPr>
          <w:ilvl w:val="0"/>
          <w:numId w:val="1208"/>
        </w:numPr>
      </w:pPr>
      <w:r>
        <w:rPr>
          <w:b/>
          <w:bCs/>
        </w:rPr>
        <w:t xml:space="preserve">Continuer le traitement pendant les règles</w:t>
      </w:r>
      <w:r>
        <w:t xml:space="preserve"> </w:t>
      </w:r>
      <w:r>
        <w:t xml:space="preserve">: ne pas interrompre, les ovules/capsules restent efficaces.</w:t>
      </w:r>
    </w:p>
    <w:p>
      <w:pPr>
        <w:pStyle w:val="Compact"/>
        <w:numPr>
          <w:ilvl w:val="0"/>
          <w:numId w:val="1208"/>
        </w:numPr>
      </w:pPr>
      <w:r>
        <w:rPr>
          <w:b/>
          <w:bCs/>
        </w:rPr>
        <w:t xml:space="preserve">Vérifier l’absence de myasthénie</w:t>
      </w:r>
      <w:r>
        <w:t xml:space="preserve"> </w:t>
      </w:r>
      <w:r>
        <w:t xml:space="preserve">avant de dispenser une association contenant de la néomycine ou de la polymyxine B.</w:t>
      </w:r>
    </w:p>
    <w:p>
      <w:pPr>
        <w:pStyle w:val="Compact"/>
        <w:numPr>
          <w:ilvl w:val="0"/>
          <w:numId w:val="1208"/>
        </w:numPr>
      </w:pPr>
      <w:r>
        <w:rPr>
          <w:b/>
          <w:bCs/>
        </w:rPr>
        <w:t xml:space="preserve">Vérifier l’absence de prise d’aminoside systémique</w:t>
      </w:r>
      <w:r>
        <w:t xml:space="preserve"> </w:t>
      </w:r>
      <w:r>
        <w:t xml:space="preserve">ou de colistiméthate sodique IV associé (cumul de toxicité).</w:t>
      </w:r>
    </w:p>
    <w:bookmarkEnd w:id="103"/>
    <w:bookmarkStart w:id="104" w:name="pièges-pédagogiques-récapitulatifs"/>
    <w:p>
      <w:pPr>
        <w:pStyle w:val="Heading3"/>
      </w:pPr>
      <w:r>
        <w:t xml:space="preserve">13.7.3 Pièges pédagogiques récapitulatifs</w:t>
      </w:r>
    </w:p>
    <w:p>
      <w:pPr>
        <w:pStyle w:val="Compact"/>
        <w:numPr>
          <w:ilvl w:val="0"/>
          <w:numId w:val="1209"/>
        </w:numPr>
      </w:pPr>
      <w:r>
        <w:rPr>
          <w:b/>
          <w:bCs/>
        </w:rPr>
        <w:t xml:space="preserve">Piège n°1</w:t>
      </w:r>
      <w:r>
        <w:t xml:space="preserve"> </w:t>
      </w:r>
      <w:r>
        <w:t xml:space="preserve">: dispenser LIMENDA-L à une patiente allergique aux anesthésiques locaux de type amide → allergie sévère possible.</w:t>
      </w:r>
    </w:p>
    <w:p>
      <w:pPr>
        <w:pStyle w:val="Compact"/>
        <w:numPr>
          <w:ilvl w:val="0"/>
          <w:numId w:val="1209"/>
        </w:numPr>
      </w:pPr>
      <w:r>
        <w:rPr>
          <w:b/>
          <w:bCs/>
        </w:rPr>
        <w:t xml:space="preserve">Piège n°2</w:t>
      </w:r>
      <w:r>
        <w:t xml:space="preserve"> </w:t>
      </w:r>
      <w:r>
        <w:t xml:space="preserve">: dispenser une association à métronidazole à une femme enceinte du 1er trimestre → risque théorique tératogène, préférer néomycine + polymyxine B + nystatine.</w:t>
      </w:r>
    </w:p>
    <w:p>
      <w:pPr>
        <w:pStyle w:val="Compact"/>
        <w:numPr>
          <w:ilvl w:val="0"/>
          <w:numId w:val="1209"/>
        </w:numPr>
      </w:pPr>
      <w:r>
        <w:rPr>
          <w:b/>
          <w:bCs/>
        </w:rPr>
        <w:t xml:space="preserve">Piège n°3</w:t>
      </w:r>
      <w:r>
        <w:t xml:space="preserve"> </w:t>
      </w:r>
      <w:r>
        <w:t xml:space="preserve">: oublier de prévenir l’effet antabuse → ingestion accidentelle d’alcool pendant le traitement (chaleur, vomissements, hypotension, voire choc).</w:t>
      </w:r>
    </w:p>
    <w:p>
      <w:pPr>
        <w:pStyle w:val="Compact"/>
        <w:numPr>
          <w:ilvl w:val="0"/>
          <w:numId w:val="1209"/>
        </w:numPr>
      </w:pPr>
      <w:r>
        <w:rPr>
          <w:b/>
          <w:bCs/>
        </w:rPr>
        <w:t xml:space="preserve">Piège n°4</w:t>
      </w:r>
      <w:r>
        <w:t xml:space="preserve"> </w:t>
      </w:r>
      <w:r>
        <w:t xml:space="preserve">: confondre POLYNAX/POLYGYNAX avec TERGYNAN (sans vérifier la composition) → consignes erronées (absence d’éviction alcoolique pour POLYNAX mais aussi absence de couverture anaérobie/protozoaire).</w:t>
      </w:r>
    </w:p>
    <w:p>
      <w:pPr>
        <w:pStyle w:val="Compact"/>
        <w:numPr>
          <w:ilvl w:val="0"/>
          <w:numId w:val="1209"/>
        </w:numPr>
      </w:pPr>
      <w:r>
        <w:rPr>
          <w:b/>
          <w:bCs/>
        </w:rPr>
        <w:t xml:space="preserve">Piège n°5</w:t>
      </w:r>
      <w:r>
        <w:t xml:space="preserve"> </w:t>
      </w:r>
      <w:r>
        <w:t xml:space="preserve">: recommander la poursuite du traitement malgré l’apparition d’un eczéma de contact vulvaire → il s’agit d’une allergie à la néomycine (incidence 1–6 %), il faut arrêter et consulter.</w:t>
      </w:r>
    </w:p>
    <w:p>
      <w:pPr>
        <w:pStyle w:val="Compact"/>
        <w:numPr>
          <w:ilvl w:val="0"/>
          <w:numId w:val="1209"/>
        </w:numPr>
      </w:pPr>
      <w:r>
        <w:rPr>
          <w:b/>
          <w:bCs/>
        </w:rPr>
        <w:t xml:space="preserve">Piège n°6</w:t>
      </w:r>
      <w:r>
        <w:t xml:space="preserve"> </w:t>
      </w:r>
      <w:r>
        <w:t xml:space="preserve">: méconnaître la myasthénie chez une patiente recevant une association à néomycine ou polymyxine B → majoration du bloc neuromusculaire potentiellement grave.</w:t>
      </w:r>
    </w:p>
    <w:p>
      <w:pPr>
        <w:pStyle w:val="Compact"/>
        <w:numPr>
          <w:ilvl w:val="0"/>
          <w:numId w:val="1209"/>
        </w:numPr>
      </w:pPr>
      <w:r>
        <w:rPr>
          <w:b/>
          <w:bCs/>
        </w:rPr>
        <w:t xml:space="preserve">Piège n°7</w:t>
      </w:r>
      <w:r>
        <w:t xml:space="preserve"> </w:t>
      </w:r>
      <w:r>
        <w:t xml:space="preserve">: négliger la recherche d’un diabète devant une candidose récidivante → perte de chance.</w:t>
      </w:r>
    </w:p>
    <w:p>
      <w:pPr>
        <w:pStyle w:val="Compact"/>
        <w:numPr>
          <w:ilvl w:val="0"/>
          <w:numId w:val="1209"/>
        </w:numPr>
      </w:pPr>
      <w:r>
        <w:rPr>
          <w:b/>
          <w:bCs/>
        </w:rPr>
        <w:t xml:space="preserve">Piège n°8</w:t>
      </w:r>
      <w:r>
        <w:t xml:space="preserve"> </w:t>
      </w:r>
      <w:r>
        <w:t xml:space="preserve">: autoriser l’usage de tampons internes pendant le traitement → absorption du principe actif, inefficacité, irritation.</w:t>
      </w:r>
    </w:p>
    <w:bookmarkEnd w:id="104"/>
    <w:bookmarkStart w:id="105" w:name="règle-dor-finale"/>
    <w:p>
      <w:pPr>
        <w:pStyle w:val="Heading3"/>
      </w:pPr>
      <w:r>
        <w:t xml:space="preserve">13.7.4 Règle d’or finale</w:t>
      </w:r>
    </w:p>
    <w:p>
      <w:pPr>
        <w:pStyle w:val="BlockText"/>
      </w:pPr>
      <w:r>
        <w:rPr>
          <w:b/>
          <w:bCs/>
        </w:rPr>
        <w:t xml:space="preserve">« Toute leucorrhée pathologique récidivante ou résistante à une première cure d’association vaginale impose un prélèvement vaginal à la recherche d’une cause infectieuse documentée (Trichomonas, Candida non-albicans, Gardnerella), d’une cause favorisante (diabète, immunodépression, corps étranger) ou d’une cause non infectieuse (lichen, eczéma, herpès). L’empirisme a ses limites : la pharmacologie ne se substitue jamais à la clinique. »</w:t>
      </w:r>
    </w:p>
    <w:p>
      <w:r>
        <w:pict>
          <v:rect style="width:0;height:1.5pt" o:hralign="center" o:hrstd="t" o:hr="t"/>
        </w:pict>
      </w:r>
    </w:p>
    <w:bookmarkEnd w:id="105"/>
    <w:bookmarkEnd w:id="106"/>
    <w:bookmarkStart w:id="107" w:name="sources-et-références"/>
    <w:p>
      <w:pPr>
        <w:pStyle w:val="Heading2"/>
      </w:pPr>
      <w:r>
        <w:t xml:space="preserve">13.8 Sources et Références</w:t>
      </w:r>
    </w:p>
    <w:p>
      <w:pPr>
        <w:pStyle w:val="Compact"/>
        <w:numPr>
          <w:ilvl w:val="0"/>
          <w:numId w:val="1210"/>
        </w:numPr>
      </w:pPr>
      <w:r>
        <w:rPr>
          <w:b/>
          <w:bCs/>
        </w:rPr>
        <w:t xml:space="preserve">VIDAL</w:t>
      </w:r>
      <w:r>
        <w:t xml:space="preserve"> </w:t>
      </w:r>
      <w:r>
        <w:t xml:space="preserve">(édition 2024-2025) : RCP des spécialités LIMENDA, LIMENDA-L, TERGYNAN, GYNOVAL, GYNODAN, POLYNAX, POLYVAX, WELLGYNAX, POLYGYNAX.</w:t>
      </w:r>
    </w:p>
    <w:p>
      <w:pPr>
        <w:pStyle w:val="Compact"/>
        <w:numPr>
          <w:ilvl w:val="0"/>
          <w:numId w:val="1210"/>
        </w:numPr>
      </w:pPr>
      <w:r>
        <w:rPr>
          <w:b/>
          <w:bCs/>
        </w:rPr>
        <w:t xml:space="preserve">ANSM</w:t>
      </w:r>
      <w:r>
        <w:t xml:space="preserve"> </w:t>
      </w:r>
      <w:r>
        <w:t xml:space="preserve">(Agence Nationale de Sécurité du Médicament) : fiches RCP, recommandations sur les antifongiques et associations vaginales.</w:t>
      </w:r>
    </w:p>
    <w:p>
      <w:pPr>
        <w:pStyle w:val="Compact"/>
        <w:numPr>
          <w:ilvl w:val="0"/>
          <w:numId w:val="1210"/>
        </w:numPr>
      </w:pPr>
      <w:r>
        <w:rPr>
          <w:b/>
          <w:bCs/>
        </w:rPr>
        <w:t xml:space="preserve">CRAT</w:t>
      </w:r>
      <w:r>
        <w:t xml:space="preserve"> </w:t>
      </w:r>
      <w:r>
        <w:t xml:space="preserve">(Centre de Référence sur les Agents Tératogènes) : fiches Métronidazole, Miconazole, Nystatine, Néomycine, Polymyxine B, Lidocaïne (consultation 2024).</w:t>
      </w:r>
    </w:p>
    <w:p>
      <w:pPr>
        <w:pStyle w:val="Compact"/>
        <w:numPr>
          <w:ilvl w:val="0"/>
          <w:numId w:val="1210"/>
        </w:numPr>
      </w:pPr>
      <w:r>
        <w:rPr>
          <w:b/>
          <w:bCs/>
        </w:rPr>
        <w:t xml:space="preserve">Thériaque</w:t>
      </w:r>
      <w:r>
        <w:t xml:space="preserve"> </w:t>
      </w:r>
      <w:r>
        <w:t xml:space="preserve">: banque de données française des médicaments (vérifications des compositions, dosages, statuts).</w:t>
      </w:r>
    </w:p>
    <w:p>
      <w:pPr>
        <w:pStyle w:val="Compact"/>
        <w:numPr>
          <w:ilvl w:val="0"/>
          <w:numId w:val="1210"/>
        </w:numPr>
      </w:pPr>
      <w:r>
        <w:rPr>
          <w:b/>
          <w:bCs/>
        </w:rPr>
        <w:t xml:space="preserve">UpToDate</w:t>
      </w:r>
      <w:r>
        <w:t xml:space="preserve"> </w:t>
      </w:r>
      <w:r>
        <w:t xml:space="preserve">: « Vaginitis in adult women », « Candida vulvovaginitis », « Bacterial vaginosis », « Trichomoniasis ».</w:t>
      </w:r>
    </w:p>
    <w:p>
      <w:pPr>
        <w:pStyle w:val="Compact"/>
        <w:numPr>
          <w:ilvl w:val="0"/>
          <w:numId w:val="1210"/>
        </w:numPr>
      </w:pPr>
      <w:r>
        <w:rPr>
          <w:b/>
          <w:bCs/>
        </w:rPr>
        <w:t xml:space="preserve">Micromedex</w:t>
      </w:r>
      <w:r>
        <w:t xml:space="preserve"> </w:t>
      </w:r>
      <w:r>
        <w:t xml:space="preserve">: monographies Métronidazole, Miconazole, Nystatine, Néomycine, Polymyxine B.</w:t>
      </w:r>
    </w:p>
    <w:p>
      <w:pPr>
        <w:pStyle w:val="Compact"/>
        <w:numPr>
          <w:ilvl w:val="0"/>
          <w:numId w:val="1210"/>
        </w:numPr>
      </w:pPr>
      <w:r>
        <w:rPr>
          <w:b/>
          <w:bCs/>
        </w:rPr>
        <w:t xml:space="preserve">OMS</w:t>
      </w:r>
      <w:r>
        <w:t xml:space="preserve"> </w:t>
      </w:r>
      <w:r>
        <w:t xml:space="preserve">: recommandations sur le traitement des infections vaginales (2022).</w:t>
      </w:r>
    </w:p>
    <w:p>
      <w:pPr>
        <w:pStyle w:val="Compact"/>
        <w:numPr>
          <w:ilvl w:val="0"/>
          <w:numId w:val="1210"/>
        </w:numPr>
      </w:pPr>
      <w:r>
        <w:rPr>
          <w:b/>
          <w:bCs/>
        </w:rPr>
        <w:t xml:space="preserve">HAS</w:t>
      </w:r>
      <w:r>
        <w:t xml:space="preserve"> </w:t>
      </w:r>
      <w:r>
        <w:t xml:space="preserve">(Haute Autorité de Santé) : recommandations sur la prescription des antifongiques en gynécologie.</w:t>
      </w:r>
    </w:p>
    <w:p>
      <w:pPr>
        <w:pStyle w:val="Compact"/>
        <w:numPr>
          <w:ilvl w:val="0"/>
          <w:numId w:val="1210"/>
        </w:numPr>
      </w:pPr>
      <w:r>
        <w:rPr>
          <w:b/>
          <w:bCs/>
        </w:rPr>
        <w:t xml:space="preserve">Nomenclature algérienne des médicaments</w:t>
      </w:r>
      <w:r>
        <w:t xml:space="preserve"> </w:t>
      </w:r>
      <w:r>
        <w:t xml:space="preserve">(Avril 2026) : liste officielle des spécialités disponibles, statuts ACTIF/NON RENOUVELABLE/RETRAIT, laboratoires, formes galéniques, conditionnements.</w:t>
      </w:r>
    </w:p>
    <w:p>
      <w:r>
        <w:pict>
          <v:rect style="width:0;height:1.5pt" o:hralign="center" o:hrstd="t" o:hr="t"/>
        </w:pict>
      </w:r>
    </w:p>
    <w:bookmarkEnd w:id="107"/>
    <w:bookmarkEnd w:id="108"/>
    <w:bookmarkStart w:id="125" w:name="chapitre-14-antipaludiques"/>
    <w:p>
      <w:pPr>
        <w:pStyle w:val="Heading1"/>
      </w:pPr>
      <w:r>
        <w:t xml:space="preserve">CHAPITRE 14 — ANTIPALUDIQUES</w:t>
      </w:r>
    </w:p>
    <w:bookmarkStart w:id="109" w:name="introduction-générale-du-chapitre"/>
    <w:p>
      <w:pPr>
        <w:pStyle w:val="Heading2"/>
      </w:pPr>
      <w:r>
        <w:t xml:space="preserve">Introduction générale du chapitre</w:t>
      </w:r>
    </w:p>
    <w:p>
      <w:pPr>
        <w:pStyle w:val="FirstParagraph"/>
      </w:pPr>
      <w:r>
        <w:t xml:space="preserve">Le paludisme demeure, malgré des décennies d’efforts de lutte, l’une des premières causes de mortalité infectieuse au monde. L’Organisation mondiale de la Santé (OMS) estime à environ 249 millions le nombre de cas annuels et à plus de 600 000 le nombre de décès imputables à</w:t>
      </w:r>
      <w:r>
        <w:t xml:space="preserve"> </w:t>
      </w:r>
      <w:r>
        <w:rPr>
          <w:i/>
          <w:iCs/>
        </w:rPr>
        <w:t xml:space="preserve">Plasmodium</w:t>
      </w:r>
      <w:r>
        <w:t xml:space="preserve"> </w:t>
      </w:r>
      <w:r>
        <w:t xml:space="preserve">chaque année, frappant principalement la région afrotropicale, l’Asie du Sud-Est et le bassin amazonien (World Malaria Report 2023). Cinq espèces de</w:t>
      </w:r>
      <w:r>
        <w:t xml:space="preserve"> </w:t>
      </w:r>
      <w:r>
        <w:rPr>
          <w:i/>
          <w:iCs/>
        </w:rPr>
        <w:t xml:space="preserve">Plasmodium</w:t>
      </w:r>
      <w:r>
        <w:t xml:space="preserve"> </w:t>
      </w:r>
      <w:r>
        <w:t xml:space="preserve">infectent l’homme :</w:t>
      </w:r>
      <w:r>
        <w:t xml:space="preserve"> </w:t>
      </w:r>
      <w:r>
        <w:rPr>
          <w:i/>
          <w:iCs/>
        </w:rPr>
        <w:t xml:space="preserve">Plasmodium falciparum</w:t>
      </w:r>
      <w:r>
        <w:t xml:space="preserve"> </w:t>
      </w:r>
      <w:r>
        <w:t xml:space="preserve">(le plus létal, responsable de la majorité des décès),</w:t>
      </w:r>
      <w:r>
        <w:t xml:space="preserve"> </w:t>
      </w:r>
      <w:r>
        <w:rPr>
          <w:i/>
          <w:iCs/>
        </w:rPr>
        <w:t xml:space="preserve">Plasmodium vivax</w:t>
      </w:r>
      <w:r>
        <w:t xml:space="preserve"> </w:t>
      </w:r>
      <w:r>
        <w:t xml:space="preserve">et</w:t>
      </w:r>
      <w:r>
        <w:t xml:space="preserve"> </w:t>
      </w:r>
      <w:r>
        <w:rPr>
          <w:i/>
          <w:iCs/>
        </w:rPr>
        <w:t xml:space="preserve">Plasmodium ovale</w:t>
      </w:r>
      <w:r>
        <w:t xml:space="preserve"> </w:t>
      </w:r>
      <w:r>
        <w:t xml:space="preserve">(formes hypnozoïtaires responsables de rechutes tardives),</w:t>
      </w:r>
      <w:r>
        <w:t xml:space="preserve"> </w:t>
      </w:r>
      <w:r>
        <w:rPr>
          <w:i/>
          <w:iCs/>
        </w:rPr>
        <w:t xml:space="preserve">Plasmodium malariae</w:t>
      </w:r>
      <w:r>
        <w:t xml:space="preserve"> </w:t>
      </w:r>
      <w:r>
        <w:t xml:space="preserve">(chronique, néphropathie quartane) et</w:t>
      </w:r>
      <w:r>
        <w:t xml:space="preserve"> </w:t>
      </w:r>
      <w:r>
        <w:rPr>
          <w:i/>
          <w:iCs/>
        </w:rPr>
        <w:t xml:space="preserve">Plasmodium knowlesi</w:t>
      </w:r>
      <w:r>
        <w:t xml:space="preserve"> </w:t>
      </w:r>
      <w:r>
        <w:t xml:space="preserve">(singe macaque, émergence en Asie du Sud-Est).</w:t>
      </w:r>
    </w:p>
    <w:p>
      <w:pPr>
        <w:pStyle w:val="BodyText"/>
      </w:pPr>
      <w:r>
        <w:t xml:space="preserve">L’Algérie occupe une place historique singulière dans la lutte antipalustre mondiale : la découverte du parasite dans le sang des malades par le médecin militaire français</w:t>
      </w:r>
      <w:r>
        <w:t xml:space="preserve"> </w:t>
      </w:r>
      <w:r>
        <w:rPr>
          <w:b/>
          <w:bCs/>
        </w:rPr>
        <w:t xml:space="preserve">Alphonse Laveran</w:t>
      </w:r>
      <w:r>
        <w:t xml:space="preserve"> </w:t>
      </w:r>
      <w:r>
        <w:t xml:space="preserve">à Constantine en</w:t>
      </w:r>
      <w:r>
        <w:t xml:space="preserve"> </w:t>
      </w:r>
      <w:r>
        <w:rPr>
          <w:b/>
          <w:bCs/>
        </w:rPr>
        <w:t xml:space="preserve">1880</w:t>
      </w:r>
      <w:r>
        <w:t xml:space="preserve"> </w:t>
      </w:r>
      <w:r>
        <w:t xml:space="preserve">y fut déterminante, et le pays a été officiellement certifié</w:t>
      </w:r>
      <w:r>
        <w:t xml:space="preserve"> </w:t>
      </w:r>
      <w:r>
        <w:rPr>
          <w:b/>
          <w:bCs/>
        </w:rPr>
        <w:t xml:space="preserve">libre du paludisme par l’OMS en 2019</w:t>
      </w:r>
      <w:r>
        <w:t xml:space="preserve"> </w:t>
      </w:r>
      <w:r>
        <w:t xml:space="preserve">(premier pays africain à obtenir cette certification). Toutefois, le paludisme d’importation demeure une réalité clinique pour les voyageurs revenant de zones d’endémie (Afrique subsaharienne, notamment le Sahel et la Côte d’Ivoire, principal flux migratoire et touristique vers l’Algérie), ainsi que pour les pèlerins du Hadj exposés lors des escales. Le pharmacien d’officine algérien joue donc un rôle pivot dans la</w:t>
      </w:r>
      <w:r>
        <w:t xml:space="preserve"> </w:t>
      </w:r>
      <w:r>
        <w:rPr>
          <w:b/>
          <w:bCs/>
        </w:rPr>
        <w:t xml:space="preserve">chimioprophylaxie pré-voyage</w:t>
      </w:r>
      <w:r>
        <w:t xml:space="preserve">, le</w:t>
      </w:r>
      <w:r>
        <w:t xml:space="preserve"> </w:t>
      </w:r>
      <w:r>
        <w:rPr>
          <w:b/>
          <w:bCs/>
        </w:rPr>
        <w:t xml:space="preserve">conseil aux voyageurs</w:t>
      </w:r>
      <w:r>
        <w:t xml:space="preserve"> </w:t>
      </w:r>
      <w:r>
        <w:t xml:space="preserve">(mesures anti-moustiques, observance, reconnaissance des symptômes) et la</w:t>
      </w:r>
      <w:r>
        <w:t xml:space="preserve"> </w:t>
      </w:r>
      <w:r>
        <w:rPr>
          <w:b/>
          <w:bCs/>
        </w:rPr>
        <w:t xml:space="preserve">dispensation des traitements curatifs</w:t>
      </w:r>
      <w:r>
        <w:t xml:space="preserve"> </w:t>
      </w:r>
      <w:r>
        <w:t xml:space="preserve">prescrits en milieu hospitalier pour les cas d’importation confirmés.</w:t>
      </w:r>
    </w:p>
    <w:p>
      <w:pPr>
        <w:pStyle w:val="BodyText"/>
      </w:pPr>
      <w:r>
        <w:t xml:space="preserve">La pharmacologie des antipaludiques est dominée par</w:t>
      </w:r>
      <w:r>
        <w:t xml:space="preserve"> </w:t>
      </w:r>
      <w:r>
        <w:rPr>
          <w:b/>
          <w:bCs/>
        </w:rPr>
        <w:t xml:space="preserve">quatre grands mécanismes d’action</w:t>
      </w:r>
      <w:r>
        <w:t xml:space="preserve"> </w:t>
      </w:r>
      <w:r>
        <w:t xml:space="preserve">correspondant à autant de cibles moléculaires : (i) l’</w:t>
      </w:r>
      <w:r>
        <w:rPr>
          <w:b/>
          <w:bCs/>
        </w:rPr>
        <w:t xml:space="preserve">inhibition de l’hème polymérase</w:t>
      </w:r>
      <w:r>
        <w:t xml:space="preserve"> </w:t>
      </w:r>
      <w:r>
        <w:t xml:space="preserve">(4-aminoquinoléines — chloroquine, hydroxychloroquine) qui empêche la neutralisation de l’hème ferriprotoporphyrine IX toxique pour le parasite ; (ii) la</w:t>
      </w:r>
      <w:r>
        <w:t xml:space="preserve"> </w:t>
      </w:r>
      <w:r>
        <w:rPr>
          <w:b/>
          <w:bCs/>
        </w:rPr>
        <w:t xml:space="preserve">génération de radicaux libres alkylants</w:t>
      </w:r>
      <w:r>
        <w:t xml:space="preserve"> </w:t>
      </w:r>
      <w:r>
        <w:t xml:space="preserve">par clivage réducteur du pont endoperoxyde (artémisinines — artésunate, artéméther, dihydroartémisinine) ; (iii) l’</w:t>
      </w:r>
      <w:r>
        <w:rPr>
          <w:b/>
          <w:bCs/>
        </w:rPr>
        <w:t xml:space="preserve">inhibition de la dihydrofolate réductase plasmodiale (DHFR)</w:t>
      </w:r>
      <w:r>
        <w:t xml:space="preserve"> </w:t>
      </w:r>
      <w:r>
        <w:t xml:space="preserve">(biguanides — proguanil ; diaminopyrimidines — pyriméthamine) bloquant la synthèse des folates ; et (iv) l’</w:t>
      </w:r>
      <w:r>
        <w:rPr>
          <w:b/>
          <w:bCs/>
        </w:rPr>
        <w:t xml:space="preserve">inhibition de la dihydroptéroate synthase (DHPS)</w:t>
      </w:r>
      <w:r>
        <w:t xml:space="preserve"> </w:t>
      </w:r>
      <w:r>
        <w:t xml:space="preserve">(sulfamides — sulfadoxine, dapsone), agissant en synergie avec les DHFR-inhibiteurs. À ces cibles principales s’ajoutent l’inhibition de la</w:t>
      </w:r>
      <w:r>
        <w:t xml:space="preserve"> </w:t>
      </w:r>
      <w:r>
        <w:rPr>
          <w:b/>
          <w:bCs/>
        </w:rPr>
        <w:t xml:space="preserve">mitochondrie plasmodiale</w:t>
      </w:r>
      <w:r>
        <w:t xml:space="preserve"> </w:t>
      </w:r>
      <w:r>
        <w:t xml:space="preserve">(atovaquone) et le ciblage des</w:t>
      </w:r>
      <w:r>
        <w:t xml:space="preserve"> </w:t>
      </w:r>
      <w:r>
        <w:rPr>
          <w:b/>
          <w:bCs/>
        </w:rPr>
        <w:t xml:space="preserve">hypnozoïtes hépatiques</w:t>
      </w:r>
      <w:r>
        <w:t xml:space="preserve"> </w:t>
      </w:r>
      <w:r>
        <w:t xml:space="preserve">(8-aminoquinoléines — primaquine, tafénoquine).</w:t>
      </w:r>
    </w:p>
    <w:p>
      <w:pPr>
        <w:pStyle w:val="BodyText"/>
      </w:pPr>
      <w:r>
        <w:t xml:space="preserve">Le paysage thérapeutique mondial recommandé par l’OMS repose désormais sur les</w:t>
      </w:r>
      <w:r>
        <w:t xml:space="preserve"> </w:t>
      </w:r>
      <w:r>
        <w:rPr>
          <w:b/>
          <w:bCs/>
        </w:rPr>
        <w:t xml:space="preserve">thérapies combinées à base d’artémisinine (ACT)</w:t>
      </w:r>
      <w:r>
        <w:t xml:space="preserve"> </w:t>
      </w:r>
      <w:r>
        <w:t xml:space="preserve">pour le traitement de l’accès palustre à</w:t>
      </w:r>
      <w:r>
        <w:t xml:space="preserve"> </w:t>
      </w:r>
      <w:r>
        <w:rPr>
          <w:i/>
          <w:iCs/>
        </w:rPr>
        <w:t xml:space="preserve">P. falciparum</w:t>
      </w:r>
      <w:r>
        <w:t xml:space="preserve"> </w:t>
      </w:r>
      <w:r>
        <w:t xml:space="preserve">non compliqué, en raison de la dissémination mondiale des résistances à la chloroquine (apparue dès les années 1950 en Colombie et en Thaïlande-Cambodge, généralisée en Afrique dans les années 1980-1990) et de l’émergence plus récente d’une</w:t>
      </w:r>
      <w:r>
        <w:t xml:space="preserve"> </w:t>
      </w:r>
      <w:r>
        <w:rPr>
          <w:b/>
          <w:bCs/>
        </w:rPr>
        <w:t xml:space="preserve">résistance partielle à l’artémisinine</w:t>
      </w:r>
      <w:r>
        <w:t xml:space="preserve"> </w:t>
      </w:r>
      <w:r>
        <w:t xml:space="preserve">dans le Grand Mékong (2008) puis au Rwanda (2020) et en Érythrée-Éthiopie (2022). Les chimioprophylaxies recommandées pour les voyageurs se limitent aujourd’hui à la</w:t>
      </w:r>
      <w:r>
        <w:t xml:space="preserve"> </w:t>
      </w:r>
      <w:r>
        <w:rPr>
          <w:b/>
          <w:bCs/>
        </w:rPr>
        <w:t xml:space="preserve">chloroquine</w:t>
      </w:r>
      <w:r>
        <w:t xml:space="preserve"> </w:t>
      </w:r>
      <w:r>
        <w:t xml:space="preserve">(zones à</w:t>
      </w:r>
      <w:r>
        <w:t xml:space="preserve"> </w:t>
      </w:r>
      <w:r>
        <w:rPr>
          <w:i/>
          <w:iCs/>
        </w:rPr>
        <w:t xml:space="preserve">P. falciparum</w:t>
      </w:r>
      <w:r>
        <w:t xml:space="preserve"> </w:t>
      </w:r>
      <w:r>
        <w:t xml:space="preserve">chloroquino-sensible — Haïti, République dominicaine, Amérique centrale au nord du Panama,部分 Argentine,部分 Mexique), à la</w:t>
      </w:r>
      <w:r>
        <w:t xml:space="preserve"> </w:t>
      </w:r>
      <w:r>
        <w:rPr>
          <w:b/>
          <w:bCs/>
        </w:rPr>
        <w:t xml:space="preserve">méfloquine</w:t>
      </w:r>
      <w:r>
        <w:t xml:space="preserve"> </w:t>
      </w:r>
      <w:r>
        <w:t xml:space="preserve">(Lariam), à l’</w:t>
      </w:r>
      <w:r>
        <w:rPr>
          <w:b/>
          <w:bCs/>
        </w:rPr>
        <w:t xml:space="preserve">atovaquone + proguanil</w:t>
      </w:r>
      <w:r>
        <w:t xml:space="preserve"> </w:t>
      </w:r>
      <w:r>
        <w:t xml:space="preserve">(Malarone) et à la</w:t>
      </w:r>
      <w:r>
        <w:t xml:space="preserve"> </w:t>
      </w:r>
      <w:r>
        <w:rPr>
          <w:b/>
          <w:bCs/>
        </w:rPr>
        <w:t xml:space="preserve">doxycycline</w:t>
      </w:r>
      <w:r>
        <w:t xml:space="preserve"> </w:t>
      </w:r>
      <w:r>
        <w:t xml:space="preserve">( Vibramycine et génériques).</w:t>
      </w:r>
    </w:p>
    <w:p>
      <w:pPr>
        <w:pStyle w:val="BodyText"/>
      </w:pPr>
      <w:r>
        <w:t xml:space="preserve">La présente section traitera les</w:t>
      </w:r>
      <w:r>
        <w:t xml:space="preserve"> </w:t>
      </w:r>
      <w:r>
        <w:rPr>
          <w:b/>
          <w:bCs/>
        </w:rPr>
        <w:t xml:space="preserve">5 DCI antipaludiques effectivement commercialisées ou historiquement référencées</w:t>
      </w:r>
      <w:r>
        <w:t xml:space="preserve"> </w:t>
      </w:r>
      <w:r>
        <w:t xml:space="preserve">dans la nomenclature algérienne des médicaments (Avril 2026), réparties en trois sous-classes thérapeutiques actives : (1)</w:t>
      </w:r>
      <w:r>
        <w:t xml:space="preserve"> </w:t>
      </w:r>
      <w:r>
        <w:rPr>
          <w:b/>
          <w:bCs/>
        </w:rPr>
        <w:t xml:space="preserve">4-aminoquinoléines</w:t>
      </w:r>
      <w:r>
        <w:t xml:space="preserve"> </w:t>
      </w:r>
      <w:r>
        <w:t xml:space="preserve">(chloroquine, hydroxychloroquine), (2)</w:t>
      </w:r>
      <w:r>
        <w:t xml:space="preserve"> </w:t>
      </w:r>
      <w:r>
        <w:rPr>
          <w:b/>
          <w:bCs/>
        </w:rPr>
        <w:t xml:space="preserve">artémisinines</w:t>
      </w:r>
      <w:r>
        <w:t xml:space="preserve"> </w:t>
      </w:r>
      <w:r>
        <w:t xml:space="preserve">(artésunate injectable), (3)</w:t>
      </w:r>
      <w:r>
        <w:t xml:space="preserve"> </w:t>
      </w:r>
      <w:r>
        <w:rPr>
          <w:b/>
          <w:bCs/>
        </w:rPr>
        <w:t xml:space="preserve">biguanides</w:t>
      </w:r>
      <w:r>
        <w:t xml:space="preserve"> </w:t>
      </w:r>
      <w:r>
        <w:t xml:space="preserve">(proguanil seul) et (4)</w:t>
      </w:r>
      <w:r>
        <w:t xml:space="preserve"> </w:t>
      </w:r>
      <w:r>
        <w:rPr>
          <w:b/>
          <w:bCs/>
        </w:rPr>
        <w:t xml:space="preserve">associations fixées</w:t>
      </w:r>
      <w:r>
        <w:t xml:space="preserve"> </w:t>
      </w:r>
      <w:r>
        <w:t xml:space="preserve">(proguanil + chloroquine). Les autres antipaludiques essentiels non référencés dans le fichier algérien —</w:t>
      </w:r>
      <w:r>
        <w:t xml:space="preserve"> </w:t>
      </w:r>
      <w:r>
        <w:rPr>
          <w:b/>
          <w:bCs/>
        </w:rPr>
        <w:t xml:space="preserve">quinine</w:t>
      </w:r>
      <w:r>
        <w:t xml:space="preserve">,</w:t>
      </w:r>
      <w:r>
        <w:t xml:space="preserve"> </w:t>
      </w:r>
      <w:r>
        <w:rPr>
          <w:b/>
          <w:bCs/>
        </w:rPr>
        <w:t xml:space="preserve">méfloquine</w:t>
      </w:r>
      <w:r>
        <w:t xml:space="preserve">,</w:t>
      </w:r>
      <w:r>
        <w:t xml:space="preserve"> </w:t>
      </w:r>
      <w:r>
        <w:rPr>
          <w:b/>
          <w:bCs/>
        </w:rPr>
        <w:t xml:space="preserve">primaquine</w:t>
      </w:r>
      <w:r>
        <w:t xml:space="preserve">,</w:t>
      </w:r>
      <w:r>
        <w:t xml:space="preserve"> </w:t>
      </w:r>
      <w:r>
        <w:rPr>
          <w:b/>
          <w:bCs/>
        </w:rPr>
        <w:t xml:space="preserve">tafénoquine</w:t>
      </w:r>
      <w:r>
        <w:t xml:space="preserve">,</w:t>
      </w:r>
      <w:r>
        <w:t xml:space="preserve"> </w:t>
      </w:r>
      <w:r>
        <w:rPr>
          <w:b/>
          <w:bCs/>
        </w:rPr>
        <w:t xml:space="preserve">artéméther + lumefantrine</w:t>
      </w:r>
      <w:r>
        <w:t xml:space="preserve"> </w:t>
      </w:r>
      <w:r>
        <w:t xml:space="preserve">(Coartem/Riamet),</w:t>
      </w:r>
      <w:r>
        <w:t xml:space="preserve"> </w:t>
      </w:r>
      <w:r>
        <w:rPr>
          <w:b/>
          <w:bCs/>
        </w:rPr>
        <w:t xml:space="preserve">atovaquone + proguanil</w:t>
      </w:r>
      <w:r>
        <w:t xml:space="preserve"> </w:t>
      </w:r>
      <w:r>
        <w:t xml:space="preserve">(Malarone),</w:t>
      </w:r>
      <w:r>
        <w:t xml:space="preserve"> </w:t>
      </w:r>
      <w:r>
        <w:rPr>
          <w:b/>
          <w:bCs/>
        </w:rPr>
        <w:t xml:space="preserve">dihydroartémisinine + pipéraquine</w:t>
      </w:r>
      <w:r>
        <w:t xml:space="preserve">,</w:t>
      </w:r>
      <w:r>
        <w:t xml:space="preserve"> </w:t>
      </w:r>
      <w:r>
        <w:rPr>
          <w:b/>
          <w:bCs/>
        </w:rPr>
        <w:t xml:space="preserve">pyriméthamine + sulfadoxine</w:t>
      </w:r>
      <w:r>
        <w:t xml:space="preserve"> </w:t>
      </w:r>
      <w:r>
        <w:t xml:space="preserve">(Fansidar) — seront mentionnés explicitement dans les introductions de sous-classe avec la mention</w:t>
      </w:r>
      <w:r>
        <w:t xml:space="preserve"> </w:t>
      </w:r>
      <w:r>
        <w:rPr>
          <w:b/>
          <w:bCs/>
        </w:rPr>
        <w:t xml:space="preserve">« Non disponible en Algérie »</w:t>
      </w:r>
      <w:r>
        <w:t xml:space="preserve"> </w:t>
      </w:r>
      <w:r>
        <w:t xml:space="preserve">afin que le lecteur dispose d’une vision exhaustive du paysage thérapeutique international.</w:t>
      </w:r>
    </w:p>
    <w:p>
      <w:r>
        <w:pict>
          <v:rect style="width:0;height:1.5pt" o:hralign="center" o:hrstd="t" o:hr="t"/>
        </w:pict>
      </w:r>
    </w:p>
    <w:bookmarkEnd w:id="109"/>
    <w:bookmarkStart w:id="113" w:name="X8855a33620435abc0b0a0f156a805ed20d216ad"/>
    <w:p>
      <w:pPr>
        <w:pStyle w:val="Heading2"/>
      </w:pPr>
      <w:r>
        <w:t xml:space="preserve">SOUS-CLASSE I — 4-AMINOQUINOLÉINES (Chloroquine, Hydroxychloroquine)</w:t>
      </w:r>
    </w:p>
    <w:bookmarkStart w:id="110" w:name="introduction-de-la-sous-classe-5"/>
    <w:p>
      <w:pPr>
        <w:pStyle w:val="Heading3"/>
      </w:pPr>
      <w:r>
        <w:t xml:space="preserve">Introduction de la sous-classe</w:t>
      </w:r>
    </w:p>
    <w:p>
      <w:pPr>
        <w:pStyle w:val="FirstParagraph"/>
      </w:pPr>
      <w:r>
        <w:t xml:space="preserve">Les 4-aminoquinoléines, dont le chef de file est la</w:t>
      </w:r>
      <w:r>
        <w:t xml:space="preserve"> </w:t>
      </w:r>
      <w:r>
        <w:rPr>
          <w:b/>
          <w:bCs/>
        </w:rPr>
        <w:t xml:space="preserve">chloroquine</w:t>
      </w:r>
      <w:r>
        <w:t xml:space="preserve"> </w:t>
      </w:r>
      <w:r>
        <w:t xml:space="preserve">(synthétisée par</w:t>
      </w:r>
      <w:r>
        <w:t xml:space="preserve"> </w:t>
      </w:r>
      <w:r>
        <w:rPr>
          <w:b/>
          <w:bCs/>
        </w:rPr>
        <w:t xml:space="preserve">Hans Andersag</w:t>
      </w:r>
      <w:r>
        <w:t xml:space="preserve"> </w:t>
      </w:r>
      <w:r>
        <w:t xml:space="preserve">chez Bayer en 1934, commercialisée sous le nom de</w:t>
      </w:r>
      <w:r>
        <w:t xml:space="preserve"> </w:t>
      </w:r>
      <w:r>
        <w:rPr>
          <w:b/>
          <w:bCs/>
        </w:rPr>
        <w:t xml:space="preserve">Resochine</w:t>
      </w:r>
      <w:r>
        <w:t xml:space="preserve">), ont constitué pendant près de trois décennies le pilier de la lutte antipalustre mondiale. Leur dérivé hydroxylé, l’</w:t>
      </w:r>
      <w:r>
        <w:rPr>
          <w:b/>
          <w:bCs/>
        </w:rPr>
        <w:t xml:space="preserve">hydroxychloroquine</w:t>
      </w:r>
      <w:r>
        <w:t xml:space="preserve"> </w:t>
      </w:r>
      <w:r>
        <w:t xml:space="preserve">(Plaquenil, synthétisée en 1955), a été développé dans l’espoir de réduire la toxicité oculaire de la molécule mère et a progressivement supplanté la chloroquine dans le traitement des maladies auto-immunes (lupus érythémateux systémique, polyarthrite rhumatoïde), tout en conservant une activité antipalustre équivalente.</w:t>
      </w:r>
    </w:p>
    <w:p>
      <w:pPr>
        <w:pStyle w:val="BodyText"/>
      </w:pPr>
      <w:r>
        <w:rPr>
          <w:b/>
          <w:bCs/>
        </w:rPr>
        <w:t xml:space="preserve">Mécanisme d’action moléculaire commun</w:t>
      </w:r>
      <w:r>
        <w:t xml:space="preserve"> </w:t>
      </w:r>
      <w:r>
        <w:t xml:space="preserve">: les 4-aminoquinoléines sont des</w:t>
      </w:r>
      <w:r>
        <w:t xml:space="preserve"> </w:t>
      </w:r>
      <w:r>
        <w:rPr>
          <w:b/>
          <w:bCs/>
        </w:rPr>
        <w:t xml:space="preserve">dibase faible</w:t>
      </w:r>
      <w:r>
        <w:t xml:space="preserve"> </w:t>
      </w:r>
      <w:r>
        <w:t xml:space="preserve">(pKa ~8.1 et ~10.1) qui pénètrent par diffusion passive dans la vacuole digestive du parasite (acidifiée à pH ~5.0 par une ATPase vacuolaire à protons). Dans cet environnement acide, elles se protonent, deviennent incapables de diffuser à nouveau hors de la vacuole (</w:t>
      </w:r>
      <w:r>
        <w:rPr>
          <w:b/>
          <w:bCs/>
        </w:rPr>
        <w:t xml:space="preserve">phénomène de piégeage ionique</w:t>
      </w:r>
      <w:r>
        <w:t xml:space="preserve"> </w:t>
      </w:r>
      <w:r>
        <w:t xml:space="preserve">ou</w:t>
      </w:r>
      <w:r>
        <w:t xml:space="preserve"> </w:t>
      </w:r>
      <w:r>
        <w:rPr>
          <w:i/>
          <w:iCs/>
        </w:rPr>
        <w:t xml:space="preserve">ion trapping</w:t>
      </w:r>
      <w:r>
        <w:t xml:space="preserve">), et atteignent des concentrations millimolaires (jusqu’à 1000 fois la concentration plasmatique). Elles inhibent alors de façon non compétitive la</w:t>
      </w:r>
      <w:r>
        <w:t xml:space="preserve"> </w:t>
      </w:r>
      <w:r>
        <w:rPr>
          <w:b/>
          <w:bCs/>
        </w:rPr>
        <w:t xml:space="preserve">hème polymérase</w:t>
      </w:r>
      <w:r>
        <w:t xml:space="preserve"> </w:t>
      </w:r>
      <w:r>
        <w:t xml:space="preserve">(</w:t>
      </w:r>
      <w:r>
        <w:rPr>
          <w:i/>
          <w:iCs/>
        </w:rPr>
        <w:t xml:space="preserve">PfHRP-II</w:t>
      </w:r>
      <w:r>
        <w:t xml:space="preserve"> </w:t>
      </w:r>
      <w:r>
        <w:t xml:space="preserve">et</w:t>
      </w:r>
      <w:r>
        <w:t xml:space="preserve"> </w:t>
      </w:r>
      <w:r>
        <w:rPr>
          <w:i/>
          <w:iCs/>
        </w:rPr>
        <w:t xml:space="preserve">PfHRP-III</w:t>
      </w:r>
      <w:r>
        <w:t xml:space="preserve">, heme polymerase enzymes) qui catalyse normalement la polymérisation de l’hème ferriprotoporphyrine IX (FPIX) — libéré lors de la digestion de l’hémoglobine par le parasite — en</w:t>
      </w:r>
      <w:r>
        <w:t xml:space="preserve"> </w:t>
      </w:r>
      <w:r>
        <w:rPr>
          <w:b/>
          <w:bCs/>
        </w:rPr>
        <w:t xml:space="preserve">hémozoïne</w:t>
      </w:r>
      <w:r>
        <w:t xml:space="preserve"> </w:t>
      </w:r>
      <w:r>
        <w:t xml:space="preserve">(β-hématine), un polymère cristallin inerte. L’accumulation de l’hème monomérique libre provoque la</w:t>
      </w:r>
      <w:r>
        <w:t xml:space="preserve"> </w:t>
      </w:r>
      <w:r>
        <w:rPr>
          <w:b/>
          <w:bCs/>
        </w:rPr>
        <w:t xml:space="preserve">lyse des membranes parasitaires</w:t>
      </w:r>
      <w:r>
        <w:t xml:space="preserve"> </w:t>
      </w:r>
      <w:r>
        <w:t xml:space="preserve">(effet détergent), la</w:t>
      </w:r>
      <w:r>
        <w:t xml:space="preserve"> </w:t>
      </w:r>
      <w:r>
        <w:rPr>
          <w:b/>
          <w:bCs/>
        </w:rPr>
        <w:t xml:space="preserve">inhibition d’enzymes digestives</w:t>
      </w:r>
      <w:r>
        <w:t xml:space="preserve"> </w:t>
      </w:r>
      <w:r>
        <w:t xml:space="preserve">(aspartyl-protéases, cystéine-protéases), et la</w:t>
      </w:r>
      <w:r>
        <w:t xml:space="preserve"> </w:t>
      </w:r>
      <w:r>
        <w:rPr>
          <w:b/>
          <w:bCs/>
        </w:rPr>
        <w:t xml:space="preserve">génération de radicaux oxygénés</w:t>
      </w:r>
      <w:r>
        <w:t xml:space="preserve"> </w:t>
      </w:r>
      <w:r>
        <w:t xml:space="preserve">par réaction de Fenton avec le fer ferrique de l’hème.</w:t>
      </w:r>
    </w:p>
    <w:p>
      <w:pPr>
        <w:pStyle w:val="BodyText"/>
      </w:pPr>
      <w:r>
        <w:rPr>
          <w:b/>
          <w:bCs/>
        </w:rPr>
        <w:t xml:space="preserve">Résistance à la chloroquine</w:t>
      </w:r>
      <w:r>
        <w:t xml:space="preserve"> </w:t>
      </w:r>
      <w:r>
        <w:t xml:space="preserve">: elle est médiée principalement par des mutations de la protéine de transport</w:t>
      </w:r>
      <w:r>
        <w:t xml:space="preserve"> </w:t>
      </w:r>
      <w:r>
        <w:rPr>
          <w:b/>
          <w:bCs/>
        </w:rPr>
        <w:t xml:space="preserve">PfCRT</w:t>
      </w:r>
      <w:r>
        <w:t xml:space="preserve"> </w:t>
      </w:r>
      <w:r>
        <w:t xml:space="preserve">(</w:t>
      </w:r>
      <w:r>
        <w:rPr>
          <w:i/>
          <w:iCs/>
        </w:rPr>
        <w:t xml:space="preserve">Plasmodium falciparum</w:t>
      </w:r>
      <w:r>
        <w:t xml:space="preserve"> </w:t>
      </w:r>
      <w:r>
        <w:t xml:space="preserve">Chloroquine Resistance Transporter), une protéine à 10 segments transmembranaires localisée à la membrane de la vacuole digestive. La mutation pivot</w:t>
      </w:r>
      <w:r>
        <w:t xml:space="preserve"> </w:t>
      </w:r>
      <w:r>
        <w:rPr>
          <w:b/>
          <w:bCs/>
        </w:rPr>
        <w:t xml:space="preserve">K76T</w:t>
      </w:r>
      <w:r>
        <w:t xml:space="preserve"> </w:t>
      </w:r>
      <w:r>
        <w:t xml:space="preserve">(substitution Lys76→Thr), quasi-constante dans les isolats chloroquino-résistants, transforme PfCRT en un</w:t>
      </w:r>
      <w:r>
        <w:t xml:space="preserve"> </w:t>
      </w:r>
      <w:r>
        <w:rPr>
          <w:b/>
          <w:bCs/>
        </w:rPr>
        <w:t xml:space="preserve">transporteur d’efflux</w:t>
      </w:r>
      <w:r>
        <w:t xml:space="preserve"> </w:t>
      </w:r>
      <w:r>
        <w:t xml:space="preserve">expulsant la chloroquine de la vacuole hors du parasite. Cette résistance,apparue de manière indépendante en Colombie (1950s) et à la frontière Thaïlande-Cambodge (1957), s’est disséminée en Afrique dans les années 1980 (Kenya 1978, Tanzanie 1982, diffusion à toute l’Afrique subsaharienne avant 1990). La chloroquine n’est plus utilisée en première intention pour</w:t>
      </w:r>
      <w:r>
        <w:t xml:space="preserve"> </w:t>
      </w:r>
      <w:r>
        <w:rPr>
          <w:i/>
          <w:iCs/>
        </w:rPr>
        <w:t xml:space="preserve">P. falciparum</w:t>
      </w:r>
      <w:r>
        <w:t xml:space="preserve"> </w:t>
      </w:r>
      <w:r>
        <w:t xml:space="preserve">en Afrique, mais conserve une efficacité sur</w:t>
      </w:r>
      <w:r>
        <w:t xml:space="preserve"> </w:t>
      </w:r>
      <w:r>
        <w:rPr>
          <w:i/>
          <w:iCs/>
        </w:rPr>
        <w:t xml:space="preserve">P. vivax</w:t>
      </w:r>
      <w:r>
        <w:t xml:space="preserve"> </w:t>
      </w:r>
      <w:r>
        <w:t xml:space="preserve">(hors Nouvelle-Guinée-Indonésie),</w:t>
      </w:r>
      <w:r>
        <w:t xml:space="preserve"> </w:t>
      </w:r>
      <w:r>
        <w:rPr>
          <w:i/>
          <w:iCs/>
        </w:rPr>
        <w:t xml:space="preserve">P. malariae</w:t>
      </w:r>
      <w:r>
        <w:t xml:space="preserve">,</w:t>
      </w:r>
      <w:r>
        <w:t xml:space="preserve"> </w:t>
      </w:r>
      <w:r>
        <w:rPr>
          <w:i/>
          <w:iCs/>
        </w:rPr>
        <w:t xml:space="preserve">P. ovale</w:t>
      </w:r>
      <w:r>
        <w:t xml:space="preserve"> </w:t>
      </w:r>
      <w:r>
        <w:t xml:space="preserve">et</w:t>
      </w:r>
      <w:r>
        <w:t xml:space="preserve"> </w:t>
      </w:r>
      <w:r>
        <w:rPr>
          <w:i/>
          <w:iCs/>
        </w:rPr>
        <w:t xml:space="preserve">P. knowlesi</w:t>
      </w:r>
      <w:r>
        <w:t xml:space="preserve">.</w:t>
      </w:r>
    </w:p>
    <w:p>
      <w:pPr>
        <w:pStyle w:val="BodyText"/>
      </w:pPr>
      <w:r>
        <w:rPr>
          <w:b/>
          <w:bCs/>
        </w:rPr>
        <w:t xml:space="preserve">Particularités pharmacocinétiques</w:t>
      </w:r>
      <w:r>
        <w:t xml:space="preserve"> </w:t>
      </w:r>
      <w:r>
        <w:t xml:space="preserve">: les 4-aminoquinoléines se distinguent par une</w:t>
      </w:r>
      <w:r>
        <w:t xml:space="preserve"> </w:t>
      </w:r>
      <w:r>
        <w:rPr>
          <w:b/>
          <w:bCs/>
        </w:rPr>
        <w:t xml:space="preserve">distribution tissulaire extrême</w:t>
      </w:r>
      <w:r>
        <w:t xml:space="preserve"> </w:t>
      </w:r>
      <w:r>
        <w:t xml:space="preserve">(Vd ~100-200 L/kg) avec</w:t>
      </w:r>
      <w:r>
        <w:t xml:space="preserve"> </w:t>
      </w:r>
      <w:r>
        <w:rPr>
          <w:b/>
          <w:bCs/>
        </w:rPr>
        <w:t xml:space="preserve">accumulation massive</w:t>
      </w:r>
      <w:r>
        <w:t xml:space="preserve"> </w:t>
      </w:r>
      <w:r>
        <w:t xml:space="preserve">dans les érythrocytes infectés (concentration x 100 à x 1000), le foie, la rate, les reins, les poumons, le tissu mélanotique (rétine, peau) et les leucocytes. La</w:t>
      </w:r>
      <w:r>
        <w:t xml:space="preserve"> </w:t>
      </w:r>
      <w:r>
        <w:rPr>
          <w:b/>
          <w:bCs/>
        </w:rPr>
        <w:t xml:space="preserve">demi-vie terminale</w:t>
      </w:r>
      <w:r>
        <w:t xml:space="preserve"> </w:t>
      </w:r>
      <w:r>
        <w:t xml:space="preserve">est très longue (chloroquine : 1 à 2 mois ; hydroxychloroquine : 1 à 2 mois) car le médicament est relargué lentement depuis les compartiments profonds. Cette PK singulière explique (i) la possibilité d’un traitement curatif court (3 jours) qui atteint des concentrations thérapeutiques prolongées, (ii) la pertinence d’une</w:t>
      </w:r>
      <w:r>
        <w:t xml:space="preserve"> </w:t>
      </w:r>
      <w:r>
        <w:rPr>
          <w:b/>
          <w:bCs/>
        </w:rPr>
        <w:t xml:space="preserve">prophylaxie hebdomadaire</w:t>
      </w:r>
      <w:r>
        <w:t xml:space="preserve"> </w:t>
      </w:r>
      <w:r>
        <w:t xml:space="preserve">(dose unique par semaine), (iii) l’accumulation progressive au niveau rétinien responsable de la</w:t>
      </w:r>
      <w:r>
        <w:t xml:space="preserve"> </w:t>
      </w:r>
      <w:r>
        <w:rPr>
          <w:b/>
          <w:bCs/>
        </w:rPr>
        <w:t xml:space="preserve">maculopathie en œil de bœuf</w:t>
      </w:r>
      <w:r>
        <w:t xml:space="preserve"> </w:t>
      </w:r>
      <w:r>
        <w:t xml:space="preserve">lors des traitements au long cours, et (iv) la lenteur de la décroissance plasmatique après arrêt (plusieurs mois).</w:t>
      </w:r>
    </w:p>
    <w:p>
      <w:pPr>
        <w:pStyle w:val="BodyText"/>
      </w:pPr>
      <w:r>
        <w:rPr>
          <w:b/>
          <w:bCs/>
        </w:rPr>
        <w:t xml:space="preserve">Molécules apparentées non disponibles en Algérie</w:t>
      </w:r>
      <w:r>
        <w:t xml:space="preserve"> </w:t>
      </w:r>
      <w:r>
        <w:t xml:space="preserve">:</w:t>
      </w:r>
      <w:r>
        <w:t xml:space="preserve"> </w:t>
      </w:r>
      <w:r>
        <w:t xml:space="preserve">-</w:t>
      </w:r>
      <w:r>
        <w:t xml:space="preserve"> </w:t>
      </w:r>
      <w:r>
        <w:rPr>
          <w:b/>
          <w:bCs/>
        </w:rPr>
        <w:t xml:space="preserve">Amodiaquine</w:t>
      </w:r>
      <w:r>
        <w:t xml:space="preserve"> </w:t>
      </w:r>
      <w:r>
        <w:t xml:space="preserve">(Camoquin, Flavoquine) : 4-aminoquinoléine Mannich-base, autrefois commercialisée en France et retirée en prophylaxie (hépatotoxicité, agranulocytose) ; toujours utilisée en association fixe avec l’artésunate (</w:t>
      </w:r>
      <w:r>
        <w:rPr>
          <w:b/>
          <w:bCs/>
        </w:rPr>
        <w:t xml:space="preserve">ASAQ</w:t>
      </w:r>
      <w:r>
        <w:t xml:space="preserve">, Arsucam/Coarsucam) dans les ACT OMS pour l’Afrique.</w:t>
      </w:r>
      <w:r>
        <w:t xml:space="preserve"> </w:t>
      </w:r>
      <w:r>
        <w:rPr>
          <w:b/>
          <w:bCs/>
        </w:rPr>
        <w:t xml:space="preserve">Non disponible en Algérie</w:t>
      </w:r>
      <w:r>
        <w:t xml:space="preserve">.</w:t>
      </w:r>
      <w:r>
        <w:t xml:space="preserve"> </w:t>
      </w:r>
      <w:r>
        <w:t xml:space="preserve">-</w:t>
      </w:r>
      <w:r>
        <w:t xml:space="preserve"> </w:t>
      </w:r>
      <w:r>
        <w:rPr>
          <w:b/>
          <w:bCs/>
        </w:rPr>
        <w:t xml:space="preserve">Pipéraquine</w:t>
      </w:r>
      <w:r>
        <w:t xml:space="preserve"> </w:t>
      </w:r>
      <w:r>
        <w:t xml:space="preserve">(issue de la recherche chinoise des années 1960) : bisquinoléine apparentée, demi-vie encore plus longue (~3-4 semaines), utilisée uniquement en association fixe avec la dihydroartémisinine (</w:t>
      </w:r>
      <w:r>
        <w:rPr>
          <w:b/>
          <w:bCs/>
        </w:rPr>
        <w:t xml:space="preserve">DHA-PPQ</w:t>
      </w:r>
      <w:r>
        <w:t xml:space="preserve">, Eurartesim).</w:t>
      </w:r>
      <w:r>
        <w:t xml:space="preserve"> </w:t>
      </w:r>
      <w:r>
        <w:rPr>
          <w:b/>
          <w:bCs/>
        </w:rPr>
        <w:t xml:space="preserve">Non disponible en Algérie</w:t>
      </w:r>
      <w:r>
        <w:t xml:space="preserve">.</w:t>
      </w:r>
    </w:p>
    <w:p>
      <w:r>
        <w:pict>
          <v:rect style="width:0;height:1.5pt" o:hralign="center" o:hrstd="t" o:hr="t"/>
        </w:pict>
      </w:r>
    </w:p>
    <w:bookmarkEnd w:id="110"/>
    <w:bookmarkStart w:id="111" w:name="dci-chloroquine-seule"/>
    <w:p>
      <w:pPr>
        <w:pStyle w:val="Heading3"/>
      </w:pPr>
      <w:r>
        <w:t xml:space="preserve">1. DCI : Chloroquine (Seule)</w:t>
      </w:r>
    </w:p>
    <w:p>
      <w:pPr>
        <w:pStyle w:val="FirstParagraph"/>
      </w:pPr>
      <w:r>
        <w:rPr>
          <w:b/>
          <w:bCs/>
        </w:rPr>
        <w:t xml:space="preserve">Liste des Catégories :</w:t>
      </w:r>
      <w:r>
        <w:t xml:space="preserve"> </w:t>
      </w:r>
      <w:r>
        <w:t xml:space="preserve">Antipaludique — 4-aminoquinoléine. Liste II (stupéfiants apparentés dans certains pays, mais classée Liste II en Algérie pour les formes orales ; injectable historiquement Liste II).</w:t>
      </w:r>
    </w:p>
    <w:p>
      <w:pPr>
        <w:pStyle w:val="BodyText"/>
      </w:pPr>
      <w:r>
        <w:t xml:space="preserve">La chloroquine est l’antipaludique historique de référence. Sa pharmacocinétique singulière (demi-vie longue, accumulation tissulaire massive) explique ses usages variés : traitement curatif court du paludisme sensible, chimioprophylaxie hebdomadaire, mais aussi — historiquement — traitement des polyarthrites rhumatoïdes, du lupus érythémateux discoïde, de la porphyrie cutanée tarda, et de l’amibiase hépatique. Le phosphate de chloroquine correspond à</w:t>
      </w:r>
      <w:r>
        <w:t xml:space="preserve"> </w:t>
      </w:r>
      <w:r>
        <w:rPr>
          <w:b/>
          <w:bCs/>
        </w:rPr>
        <w:t xml:space="preserve">500 mg de sel = 300 mg de base</w:t>
      </w:r>
      <w:r>
        <w:t xml:space="preserve"> </w:t>
      </w:r>
      <w:r>
        <w:t xml:space="preserve">(la prescription se fait en équivalent base chez l’enfant). L’épisode COVID-19 (2020) a brièvement popularisé la chloroquine/hydroxychloroquine avant que les essais contrôlés (Solidarity, Recovery, Discovery) ne démontrent l’absence d’efficacité antivirale et un surcroît de mortalité cardiaque.</w:t>
      </w:r>
    </w:p>
    <w:p>
      <w:pPr>
        <w:pStyle w:val="BodyText"/>
      </w:pPr>
      <w:r>
        <w:rPr>
          <w:b/>
          <w:bCs/>
        </w:rPr>
        <w:t xml:space="preserve">Médicaments disponibles en Algérie (Marques, Laboratoires, Formes et Dosages) :</w:t>
      </w:r>
    </w:p>
    <w:p>
      <w:pPr>
        <w:pStyle w:val="Compact"/>
        <w:numPr>
          <w:ilvl w:val="0"/>
          <w:numId w:val="1211"/>
        </w:numPr>
      </w:pPr>
      <w:r>
        <w:rPr>
          <w:b/>
          <w:bCs/>
        </w:rPr>
        <w:t xml:space="preserve">CHLOROQUINE PHOSPHATE PHARMALLIANCE</w:t>
      </w:r>
      <w:r>
        <w:t xml:space="preserve"> </w:t>
      </w:r>
      <w:r>
        <w:t xml:space="preserve">(PHARMALLIANCE)</w:t>
      </w:r>
    </w:p>
    <w:p>
      <w:pPr>
        <w:pStyle w:val="Compact"/>
        <w:numPr>
          <w:ilvl w:val="1"/>
          <w:numId w:val="1212"/>
        </w:numPr>
      </w:pPr>
      <w:r>
        <w:t xml:space="preserve">Formes et Dosages : Comprimé Opell sécable 500 mg (équivalent base ≈ 300 mg) — Boîte de 20</w:t>
      </w:r>
    </w:p>
    <w:p>
      <w:pPr>
        <w:pStyle w:val="Compact"/>
        <w:numPr>
          <w:ilvl w:val="1"/>
          <w:numId w:val="1212"/>
        </w:numPr>
      </w:pPr>
      <w:r>
        <w:t xml:space="preserve">Statut :</w:t>
      </w:r>
      <w:r>
        <w:t xml:space="preserve"> </w:t>
      </w:r>
      <w:r>
        <w:rPr>
          <w:b/>
          <w:bCs/>
        </w:rPr>
        <w:t xml:space="preserve">ACTIF</w:t>
      </w:r>
      <w:r>
        <w:t xml:space="preserve"> </w:t>
      </w:r>
      <w:r>
        <w:t xml:space="preserve">— seule forme orale de chloroquine actuellement commercialisée en Algérie</w:t>
      </w:r>
    </w:p>
    <w:p>
      <w:pPr>
        <w:pStyle w:val="Compact"/>
        <w:numPr>
          <w:ilvl w:val="1"/>
          <w:numId w:val="1212"/>
        </w:numPr>
      </w:pPr>
      <w:r>
        <w:t xml:space="preserve">Liste : Liste II</w:t>
      </w:r>
    </w:p>
    <w:p>
      <w:pPr>
        <w:pStyle w:val="Compact"/>
        <w:numPr>
          <w:ilvl w:val="0"/>
          <w:numId w:val="1211"/>
        </w:numPr>
      </w:pPr>
      <w:r>
        <w:rPr>
          <w:b/>
          <w:bCs/>
        </w:rPr>
        <w:t xml:space="preserve">CHLOROQUINE</w:t>
      </w:r>
      <w:r>
        <w:t xml:space="preserve"> </w:t>
      </w:r>
      <w:r>
        <w:t xml:space="preserve">(PIERRE FABRE)</w:t>
      </w:r>
    </w:p>
    <w:p>
      <w:pPr>
        <w:pStyle w:val="Compact"/>
        <w:numPr>
          <w:ilvl w:val="1"/>
          <w:numId w:val="1213"/>
        </w:numPr>
      </w:pPr>
      <w:r>
        <w:t xml:space="preserve">Formes et Dosages : Comprimé 100 mg — Boîte de 30</w:t>
      </w:r>
    </w:p>
    <w:p>
      <w:pPr>
        <w:pStyle w:val="Compact"/>
        <w:numPr>
          <w:ilvl w:val="1"/>
          <w:numId w:val="1213"/>
        </w:numPr>
      </w:pPr>
      <w:r>
        <w:t xml:space="preserve">Statut :</w:t>
      </w:r>
      <w:r>
        <w:t xml:space="preserve"> </w:t>
      </w:r>
      <w:r>
        <w:rPr>
          <w:b/>
          <w:bCs/>
        </w:rPr>
        <w:t xml:space="preserve">NON RENOUVELABLE</w:t>
      </w:r>
      <w:r>
        <w:t xml:space="preserve"> </w:t>
      </w:r>
      <w:r>
        <w:t xml:space="preserve">(rupture d’approvisionnement / arrêt commercial)</w:t>
      </w:r>
    </w:p>
    <w:p>
      <w:pPr>
        <w:pStyle w:val="Compact"/>
        <w:numPr>
          <w:ilvl w:val="1"/>
          <w:numId w:val="1213"/>
        </w:numPr>
      </w:pPr>
      <w:r>
        <w:t xml:space="preserve">Liste : Liste II</w:t>
      </w:r>
    </w:p>
    <w:p>
      <w:pPr>
        <w:pStyle w:val="Compact"/>
        <w:numPr>
          <w:ilvl w:val="0"/>
          <w:numId w:val="1211"/>
        </w:numPr>
      </w:pPr>
      <w:r>
        <w:rPr>
          <w:b/>
          <w:bCs/>
        </w:rPr>
        <w:t xml:space="preserve">NIVAQUINE</w:t>
      </w:r>
      <w:r>
        <w:t xml:space="preserve"> </w:t>
      </w:r>
      <w:r>
        <w:t xml:space="preserve">(RHONE POULENC RORER)</w:t>
      </w:r>
    </w:p>
    <w:p>
      <w:pPr>
        <w:pStyle w:val="Compact"/>
        <w:numPr>
          <w:ilvl w:val="1"/>
          <w:numId w:val="1214"/>
        </w:numPr>
      </w:pPr>
      <w:r>
        <w:t xml:space="preserve">Formes et Dosages : Comprimé 100 mg — Boîte de 20</w:t>
      </w:r>
    </w:p>
    <w:p>
      <w:pPr>
        <w:pStyle w:val="Compact"/>
        <w:numPr>
          <w:ilvl w:val="1"/>
          <w:numId w:val="1214"/>
        </w:numPr>
      </w:pPr>
      <w:r>
        <w:t xml:space="preserve">Statut :</w:t>
      </w:r>
      <w:r>
        <w:t xml:space="preserve"> </w:t>
      </w:r>
      <w:r>
        <w:rPr>
          <w:b/>
          <w:bCs/>
        </w:rPr>
        <w:t xml:space="preserve">NON RENOUVELABLE</w:t>
      </w:r>
    </w:p>
    <w:p>
      <w:pPr>
        <w:pStyle w:val="Compact"/>
        <w:numPr>
          <w:ilvl w:val="0"/>
          <w:numId w:val="1211"/>
        </w:numPr>
      </w:pPr>
      <w:r>
        <w:rPr>
          <w:b/>
          <w:bCs/>
        </w:rPr>
        <w:t xml:space="preserve">CROQUINE</w:t>
      </w:r>
      <w:r>
        <w:t xml:space="preserve"> </w:t>
      </w:r>
      <w:r>
        <w:t xml:space="preserve">(CROVIS PHILCOM) —</w:t>
      </w:r>
      <w:r>
        <w:t xml:space="preserve"> </w:t>
      </w:r>
      <w:r>
        <w:rPr>
          <w:b/>
          <w:bCs/>
        </w:rPr>
        <w:t xml:space="preserve">(R)</w:t>
      </w:r>
    </w:p>
    <w:p>
      <w:pPr>
        <w:pStyle w:val="Compact"/>
        <w:numPr>
          <w:ilvl w:val="1"/>
          <w:numId w:val="1215"/>
        </w:numPr>
      </w:pPr>
      <w:r>
        <w:t xml:space="preserve">Formes et Dosages : Comprimé 100 mg — Boîte de 20</w:t>
      </w:r>
    </w:p>
    <w:p>
      <w:pPr>
        <w:pStyle w:val="Compact"/>
        <w:numPr>
          <w:ilvl w:val="1"/>
          <w:numId w:val="1215"/>
        </w:numPr>
      </w:pPr>
      <w:r>
        <w:t xml:space="preserve">Statut :</w:t>
      </w:r>
      <w:r>
        <w:t xml:space="preserve"> </w:t>
      </w:r>
      <w:r>
        <w:rPr>
          <w:b/>
          <w:bCs/>
        </w:rPr>
        <w:t xml:space="preserve">RETRAIT</w:t>
      </w:r>
      <w:r>
        <w:t xml:space="preserve"> </w:t>
      </w:r>
      <w:r>
        <w:t xml:space="preserve">du marché algérien</w:t>
      </w:r>
    </w:p>
    <w:p>
      <w:pPr>
        <w:pStyle w:val="Compact"/>
        <w:numPr>
          <w:ilvl w:val="0"/>
          <w:numId w:val="1211"/>
        </w:numPr>
      </w:pPr>
      <w:r>
        <w:rPr>
          <w:b/>
          <w:bCs/>
        </w:rPr>
        <w:t xml:space="preserve">NIVAQUINE SIROP</w:t>
      </w:r>
      <w:r>
        <w:t xml:space="preserve"> </w:t>
      </w:r>
      <w:r>
        <w:t xml:space="preserve">(RHONE POULENC RORER) —</w:t>
      </w:r>
      <w:r>
        <w:t xml:space="preserve"> </w:t>
      </w:r>
      <w:r>
        <w:rPr>
          <w:b/>
          <w:bCs/>
        </w:rPr>
        <w:t xml:space="preserve">(R)</w:t>
      </w:r>
    </w:p>
    <w:p>
      <w:pPr>
        <w:pStyle w:val="Compact"/>
        <w:numPr>
          <w:ilvl w:val="1"/>
          <w:numId w:val="1216"/>
        </w:numPr>
      </w:pPr>
      <w:r>
        <w:t xml:space="preserve">Formes et Dosages : Sirop 0,005 (5 mg/mL) — Flacon de 150 mL</w:t>
      </w:r>
    </w:p>
    <w:p>
      <w:pPr>
        <w:pStyle w:val="Compact"/>
        <w:numPr>
          <w:ilvl w:val="1"/>
          <w:numId w:val="1216"/>
        </w:numPr>
      </w:pPr>
      <w:r>
        <w:t xml:space="preserve">Statut :</w:t>
      </w:r>
      <w:r>
        <w:t xml:space="preserve"> </w:t>
      </w:r>
      <w:r>
        <w:rPr>
          <w:b/>
          <w:bCs/>
        </w:rPr>
        <w:t xml:space="preserve">RETRAIT</w:t>
      </w:r>
    </w:p>
    <w:p>
      <w:pPr>
        <w:pStyle w:val="Compact"/>
        <w:numPr>
          <w:ilvl w:val="0"/>
          <w:numId w:val="1211"/>
        </w:numPr>
      </w:pPr>
      <w:r>
        <w:rPr>
          <w:b/>
          <w:bCs/>
        </w:rPr>
        <w:t xml:space="preserve">NIVAQUINE SOLUTION Injectables</w:t>
      </w:r>
      <w:r>
        <w:t xml:space="preserve"> </w:t>
      </w:r>
      <w:r>
        <w:t xml:space="preserve">(RHONE POULENC RORER) —</w:t>
      </w:r>
      <w:r>
        <w:t xml:space="preserve"> </w:t>
      </w:r>
      <w:r>
        <w:rPr>
          <w:b/>
          <w:bCs/>
        </w:rPr>
        <w:t xml:space="preserve">(R)</w:t>
      </w:r>
    </w:p>
    <w:p>
      <w:pPr>
        <w:pStyle w:val="Compact"/>
        <w:numPr>
          <w:ilvl w:val="1"/>
          <w:numId w:val="1217"/>
        </w:numPr>
      </w:pPr>
      <w:r>
        <w:t xml:space="preserve">Formes et Dosages : Solution injectable 100 mg/2 mL — Boîte de 5 ampoules</w:t>
      </w:r>
    </w:p>
    <w:p>
      <w:pPr>
        <w:pStyle w:val="Compact"/>
        <w:numPr>
          <w:ilvl w:val="1"/>
          <w:numId w:val="1217"/>
        </w:numPr>
      </w:pPr>
      <w:r>
        <w:t xml:space="preserve">Statut :</w:t>
      </w:r>
      <w:r>
        <w:t xml:space="preserve"> </w:t>
      </w:r>
      <w:r>
        <w:rPr>
          <w:b/>
          <w:bCs/>
        </w:rPr>
        <w:t xml:space="preserve">RETRAIT</w:t>
      </w:r>
    </w:p>
    <w:p>
      <w:pPr>
        <w:pStyle w:val="FirstParagraph"/>
      </w:pPr>
      <w:r>
        <w:rPr>
          <w:b/>
          <w:bCs/>
        </w:rPr>
        <w:t xml:space="preserve">Note de disponibilité</w:t>
      </w:r>
      <w:r>
        <w:t xml:space="preserve"> </w:t>
      </w:r>
      <w:r>
        <w:t xml:space="preserve">: Seul le</w:t>
      </w:r>
      <w:r>
        <w:t xml:space="preserve"> </w:t>
      </w:r>
      <w:r>
        <w:rPr>
          <w:b/>
          <w:bCs/>
        </w:rPr>
        <w:t xml:space="preserve">Chloroquine Phosphate Pharmalliance 500 mg</w:t>
      </w:r>
      <w:r>
        <w:t xml:space="preserve"> </w:t>
      </w:r>
      <w:r>
        <w:t xml:space="preserve">(comprimé sécable) reste disponible en Algérie pour l’usage clinique courant. Les formes sirop et injectable, jadis indispensables pour la pédiatrie et le paludisme grave d’importation, ne sont plus commercialisées ; l’artésunate injectable (FALCI CARE) constitue désormais l’alternative pour le paludisme grave. Pour les enfants nécessitant un dosage fin en chloroquine, la subdivision du comprimé sécable 500 mg permet l’adaptation pondérale, avec mises en garde sur le risque de surdosage (cf. Pièges au comptoir).</w:t>
      </w:r>
    </w:p>
    <w:p>
      <w:pPr>
        <w:pStyle w:val="BodyText"/>
      </w:pPr>
      <w:r>
        <w:rPr>
          <w:b/>
          <w:bCs/>
        </w:rPr>
        <w:t xml:space="preserve">Sous-classe et Mécanisme d’action :</w:t>
      </w:r>
    </w:p>
    <w:p>
      <w:pPr>
        <w:pStyle w:val="Compact"/>
        <w:numPr>
          <w:ilvl w:val="0"/>
          <w:numId w:val="1218"/>
        </w:numPr>
      </w:pPr>
      <w:r>
        <w:t xml:space="preserve">Sous-classe : Antipaludique 4-aminoquinoléine (chef de file historique de la classe).</w:t>
      </w:r>
    </w:p>
    <w:p>
      <w:pPr>
        <w:pStyle w:val="Compact"/>
        <w:numPr>
          <w:ilvl w:val="0"/>
          <w:numId w:val="1218"/>
        </w:numPr>
      </w:pPr>
      <w:r>
        <w:t xml:space="preserve">Mécanisme d’action : La chloroquine est une dibase faible qui, sous forme non protonée, diffuse passivement à travers la membrane de la vacuole digestive du parasite. Dans la vacuole acide (pH 5.0), elle se protonise et se trouve piégée par « ion trapping » (concentrée jusqu’à 1000× par rapport au plasma). Elle inhibe alors non compétitivement la</w:t>
      </w:r>
      <w:r>
        <w:t xml:space="preserve"> </w:t>
      </w:r>
      <w:r>
        <w:rPr>
          <w:b/>
          <w:bCs/>
        </w:rPr>
        <w:t xml:space="preserve">hème polymérase</w:t>
      </w:r>
      <w:r>
        <w:t xml:space="preserve"> </w:t>
      </w:r>
      <w:r>
        <w:t xml:space="preserve">(</w:t>
      </w:r>
      <w:r>
        <w:rPr>
          <w:i/>
          <w:iCs/>
        </w:rPr>
        <w:t xml:space="preserve">PfHRP-II</w:t>
      </w:r>
      <w:r>
        <w:t xml:space="preserve">,</w:t>
      </w:r>
      <w:r>
        <w:t xml:space="preserve"> </w:t>
      </w:r>
      <w:r>
        <w:rPr>
          <w:i/>
          <w:iCs/>
        </w:rPr>
        <w:t xml:space="preserve">PfHRP-III</w:t>
      </w:r>
      <w:r>
        <w:t xml:space="preserve">) qui polymérise normalement l’hème ferriprotoporphyrine IX (libéré par digestion de l’hémoglobine) en hémozoïne cristalline inerte. L’accumulation d’hème monomérique libre exerce un effet détergent sur les membranes parasitaires, inactive les protéases digestives (falcipaïne, plasmepsine), et génère des radicaux oxygénés toxiques par réaction de Fenton (Fe³⁺/Fe²⁺). La chloroquine agit exclusivement sur les</w:t>
      </w:r>
      <w:r>
        <w:t xml:space="preserve"> </w:t>
      </w:r>
      <w:r>
        <w:rPr>
          <w:b/>
          <w:bCs/>
        </w:rPr>
        <w:t xml:space="preserve">formes érythrocytaires asexuées</w:t>
      </w:r>
      <w:r>
        <w:t xml:space="preserve"> </w:t>
      </w:r>
      <w:r>
        <w:t xml:space="preserve">(trophozoïtes) ; elle est</w:t>
      </w:r>
      <w:r>
        <w:t xml:space="preserve"> </w:t>
      </w:r>
      <w:r>
        <w:rPr>
          <w:b/>
          <w:bCs/>
        </w:rPr>
        <w:t xml:space="preserve">inactive sur les formes hépatiques</w:t>
      </w:r>
      <w:r>
        <w:t xml:space="preserve"> </w:t>
      </w:r>
      <w:r>
        <w:t xml:space="preserve">(pré-érythrocytaires) et sur les</w:t>
      </w:r>
      <w:r>
        <w:t xml:space="preserve"> </w:t>
      </w:r>
      <w:r>
        <w:rPr>
          <w:b/>
          <w:bCs/>
        </w:rPr>
        <w:t xml:space="preserve">hypnozoïtes</w:t>
      </w:r>
      <w:r>
        <w:t xml:space="preserve"> </w:t>
      </w:r>
      <w:r>
        <w:t xml:space="preserve">de</w:t>
      </w:r>
      <w:r>
        <w:t xml:space="preserve"> </w:t>
      </w:r>
      <w:r>
        <w:rPr>
          <w:i/>
          <w:iCs/>
        </w:rPr>
        <w:t xml:space="preserve">P. vivax</w:t>
      </w:r>
      <w:r>
        <w:t xml:space="preserve">/</w:t>
      </w:r>
      <w:r>
        <w:rPr>
          <w:i/>
          <w:iCs/>
        </w:rPr>
        <w:t xml:space="preserve">P. ovale</w:t>
      </w:r>
      <w:r>
        <w:t xml:space="preserve"> </w:t>
      </w:r>
      <w:r>
        <w:t xml:space="preserve">(d’où la nécessité d’associer primaquine pour la guérison radicale), ainsi que sur les</w:t>
      </w:r>
      <w:r>
        <w:t xml:space="preserve"> </w:t>
      </w:r>
      <w:r>
        <w:rPr>
          <w:b/>
          <w:bCs/>
        </w:rPr>
        <w:t xml:space="preserve">gamétocytes</w:t>
      </w:r>
      <w:r>
        <w:t xml:space="preserve"> </w:t>
      </w:r>
      <w:r>
        <w:t xml:space="preserve">de</w:t>
      </w:r>
      <w:r>
        <w:t xml:space="preserve"> </w:t>
      </w:r>
      <w:r>
        <w:rPr>
          <w:i/>
          <w:iCs/>
        </w:rPr>
        <w:t xml:space="preserve">P. falciparum</w:t>
      </w:r>
      <w:r>
        <w:t xml:space="preserve">.</w:t>
      </w:r>
    </w:p>
    <w:p>
      <w:pPr>
        <w:pStyle w:val="FirstParagraph"/>
      </w:pPr>
      <w:r>
        <w:rPr>
          <w:b/>
          <w:bCs/>
        </w:rPr>
        <w:t xml:space="preserve">Profil Pharmacologique :</w:t>
      </w:r>
    </w:p>
    <w:p>
      <w:pPr>
        <w:pStyle w:val="Compact"/>
        <w:numPr>
          <w:ilvl w:val="0"/>
          <w:numId w:val="1219"/>
        </w:numPr>
      </w:pPr>
      <w:r>
        <w:t xml:space="preserve">Indications :</w:t>
      </w:r>
    </w:p>
    <w:p>
      <w:pPr>
        <w:pStyle w:val="Compact"/>
        <w:numPr>
          <w:ilvl w:val="1"/>
          <w:numId w:val="1220"/>
        </w:numPr>
      </w:pPr>
      <w:r>
        <w:rPr>
          <w:i/>
          <w:iCs/>
        </w:rPr>
        <w:t xml:space="preserve">Paludisme</w:t>
      </w:r>
      <w:r>
        <w:t xml:space="preserve"> </w:t>
      </w:r>
      <w:r>
        <w:t xml:space="preserve">: traitement curatif des accès à</w:t>
      </w:r>
      <w:r>
        <w:t xml:space="preserve"> </w:t>
      </w:r>
      <w:r>
        <w:rPr>
          <w:i/>
          <w:iCs/>
        </w:rPr>
        <w:t xml:space="preserve">P. vivax</w:t>
      </w:r>
      <w:r>
        <w:t xml:space="preserve"> </w:t>
      </w:r>
      <w:r>
        <w:t xml:space="preserve">(sensible),</w:t>
      </w:r>
      <w:r>
        <w:t xml:space="preserve"> </w:t>
      </w:r>
      <w:r>
        <w:rPr>
          <w:i/>
          <w:iCs/>
        </w:rPr>
        <w:t xml:space="preserve">P. ovale</w:t>
      </w:r>
      <w:r>
        <w:t xml:space="preserve">,</w:t>
      </w:r>
      <w:r>
        <w:t xml:space="preserve"> </w:t>
      </w:r>
      <w:r>
        <w:rPr>
          <w:i/>
          <w:iCs/>
        </w:rPr>
        <w:t xml:space="preserve">P. malariae</w:t>
      </w:r>
      <w:r>
        <w:t xml:space="preserve">,</w:t>
      </w:r>
      <w:r>
        <w:t xml:space="preserve"> </w:t>
      </w:r>
      <w:r>
        <w:rPr>
          <w:i/>
          <w:iCs/>
        </w:rPr>
        <w:t xml:space="preserve">P. knowlesi</w:t>
      </w:r>
      <w:r>
        <w:t xml:space="preserve"> </w:t>
      </w:r>
      <w:r>
        <w:t xml:space="preserve">et</w:t>
      </w:r>
      <w:r>
        <w:t xml:space="preserve"> </w:t>
      </w:r>
      <w:r>
        <w:rPr>
          <w:i/>
          <w:iCs/>
        </w:rPr>
        <w:t xml:space="preserve">P. falciparum</w:t>
      </w:r>
      <w:r>
        <w:t xml:space="preserve"> </w:t>
      </w:r>
      <w:r>
        <w:t xml:space="preserve">chloroquino-sensible (rare aujourd’hui — Afrique subsaharienne : résistance &gt; 50 %).</w:t>
      </w:r>
      <w:r>
        <w:t xml:space="preserve"> </w:t>
      </w:r>
      <w:r>
        <w:rPr>
          <w:b/>
          <w:bCs/>
        </w:rPr>
        <w:t xml:space="preserve">Prophylaxie</w:t>
      </w:r>
      <w:r>
        <w:t xml:space="preserve"> </w:t>
      </w:r>
      <w:r>
        <w:t xml:space="preserve">du paludisme dans les zones à chloroquino-sensibilité conservée (Haïti, République dominicaine, Amérique centrale au nord du canal de Panama, Argentine nord-ouest, Mexique — consulter la carte OMS actualisée annuellement).</w:t>
      </w:r>
    </w:p>
    <w:p>
      <w:pPr>
        <w:pStyle w:val="Compact"/>
        <w:numPr>
          <w:ilvl w:val="1"/>
          <w:numId w:val="1220"/>
        </w:numPr>
      </w:pPr>
      <w:r>
        <w:rPr>
          <w:i/>
          <w:iCs/>
        </w:rPr>
        <w:t xml:space="preserve">Maladies auto-immunes</w:t>
      </w:r>
      <w:r>
        <w:t xml:space="preserve"> </w:t>
      </w:r>
      <w:r>
        <w:t xml:space="preserve">: lupus érythémateux systémique (effet stéroïde-épargne, prévention des poussées), polyarthrite rhumatoïde (en alternative aux DMARD conventionnels), lupus discoïde — aujourd’hui supplantée par l’hydroxychloroquine (meilleure tolérance oculaire).</w:t>
      </w:r>
    </w:p>
    <w:p>
      <w:pPr>
        <w:pStyle w:val="Compact"/>
        <w:numPr>
          <w:ilvl w:val="1"/>
          <w:numId w:val="1220"/>
        </w:numPr>
      </w:pPr>
      <w:r>
        <w:rPr>
          <w:i/>
          <w:iCs/>
        </w:rPr>
        <w:t xml:space="preserve">Amibiase hépatique</w:t>
      </w:r>
      <w:r>
        <w:t xml:space="preserve"> </w:t>
      </w:r>
      <w:r>
        <w:t xml:space="preserve">: alternative au métronidazole dans l’abcès hépatique amibien (effet sur les trophozoïtes tissulaires, inefficace sur les kystes).</w:t>
      </w:r>
    </w:p>
    <w:p>
      <w:pPr>
        <w:pStyle w:val="Compact"/>
        <w:numPr>
          <w:ilvl w:val="1"/>
          <w:numId w:val="1220"/>
        </w:numPr>
      </w:pPr>
      <w:r>
        <w:rPr>
          <w:i/>
          <w:iCs/>
        </w:rPr>
        <w:t xml:space="preserve">Porphyrie cutanée tarda</w:t>
      </w:r>
      <w:r>
        <w:t xml:space="preserve"> </w:t>
      </w:r>
      <w:r>
        <w:t xml:space="preserve">: induction de la remise par réduction de la charge en fer hépatique (saignées préférées en première intention).</w:t>
      </w:r>
    </w:p>
    <w:p>
      <w:pPr>
        <w:pStyle w:val="Compact"/>
        <w:numPr>
          <w:ilvl w:val="0"/>
          <w:numId w:val="1219"/>
        </w:numPr>
      </w:pPr>
      <w:r>
        <w:t xml:space="preserve">Contre-indications :</w:t>
      </w:r>
    </w:p>
    <w:p>
      <w:pPr>
        <w:pStyle w:val="Compact"/>
        <w:numPr>
          <w:ilvl w:val="1"/>
          <w:numId w:val="1221"/>
        </w:numPr>
      </w:pPr>
      <w:r>
        <w:rPr>
          <w:b/>
          <w:bCs/>
        </w:rPr>
        <w:t xml:space="preserve">Rétinopathie préexistante</w:t>
      </w:r>
      <w:r>
        <w:t xml:space="preserve"> </w:t>
      </w:r>
      <w:r>
        <w:t xml:space="preserve">(en particulier maculopathie, rétinite pigmentaire) — risque d’aggravation irréversible.</w:t>
      </w:r>
    </w:p>
    <w:p>
      <w:pPr>
        <w:pStyle w:val="Compact"/>
        <w:numPr>
          <w:ilvl w:val="1"/>
          <w:numId w:val="1221"/>
        </w:numPr>
      </w:pPr>
      <w:r>
        <w:rPr>
          <w:b/>
          <w:bCs/>
        </w:rPr>
        <w:t xml:space="preserve">Psoriasis</w:t>
      </w:r>
      <w:r>
        <w:t xml:space="preserve"> </w:t>
      </w:r>
      <w:r>
        <w:t xml:space="preserve">(risque d’exacerbation sévère en pousseée généralisée pustuleuse).</w:t>
      </w:r>
    </w:p>
    <w:p>
      <w:pPr>
        <w:pStyle w:val="Compact"/>
        <w:numPr>
          <w:ilvl w:val="1"/>
          <w:numId w:val="1221"/>
        </w:numPr>
      </w:pPr>
      <w:r>
        <w:rPr>
          <w:b/>
          <w:bCs/>
        </w:rPr>
        <w:t xml:space="preserve">Déficit en G6PD</w:t>
      </w:r>
      <w:r>
        <w:t xml:space="preserve"> </w:t>
      </w:r>
      <w:r>
        <w:t xml:space="preserve">(risque d’hémolyse, surtout pour les fortes doses curatives ; le dépistage est recommandé avant traitement chez les populations à risque — hommes méditerranéens et africains).</w:t>
      </w:r>
    </w:p>
    <w:p>
      <w:pPr>
        <w:pStyle w:val="Compact"/>
        <w:numPr>
          <w:ilvl w:val="1"/>
          <w:numId w:val="1221"/>
        </w:numPr>
      </w:pPr>
      <w:r>
        <w:rPr>
          <w:b/>
          <w:bCs/>
        </w:rPr>
        <w:t xml:space="preserve">Myasthénie</w:t>
      </w:r>
      <w:r>
        <w:t xml:space="preserve"> </w:t>
      </w:r>
      <w:r>
        <w:t xml:space="preserve">(risque d’aggravation, action curarisante de la chloroquine sur la jonction neuromusculaire).</w:t>
      </w:r>
    </w:p>
    <w:p>
      <w:pPr>
        <w:pStyle w:val="Compact"/>
        <w:numPr>
          <w:ilvl w:val="1"/>
          <w:numId w:val="1221"/>
        </w:numPr>
      </w:pPr>
      <w:r>
        <w:rPr>
          <w:b/>
          <w:bCs/>
        </w:rPr>
        <w:t xml:space="preserve">Allaitement</w:t>
      </w:r>
      <w:r>
        <w:t xml:space="preserve"> </w:t>
      </w:r>
      <w:r>
        <w:t xml:space="preserve">si traitement prolongé à forte dose (cf. Grossesse/Allaitement).</w:t>
      </w:r>
    </w:p>
    <w:p>
      <w:pPr>
        <w:pStyle w:val="Compact"/>
        <w:numPr>
          <w:ilvl w:val="1"/>
          <w:numId w:val="1221"/>
        </w:numPr>
      </w:pPr>
      <w:r>
        <w:rPr>
          <w:b/>
          <w:bCs/>
        </w:rPr>
        <w:t xml:space="preserve">Porphyrie aiguë intermittente</w:t>
      </w:r>
      <w:r>
        <w:t xml:space="preserve"> </w:t>
      </w:r>
      <w:r>
        <w:t xml:space="preserve">(risque de déclenchement de crise).</w:t>
      </w:r>
    </w:p>
    <w:p>
      <w:pPr>
        <w:pStyle w:val="Compact"/>
        <w:numPr>
          <w:ilvl w:val="1"/>
          <w:numId w:val="1221"/>
        </w:numPr>
      </w:pPr>
      <w:r>
        <w:t xml:space="preserve">Hypersensibilité connue aux 4-aminoquinoléines.</w:t>
      </w:r>
    </w:p>
    <w:p>
      <w:pPr>
        <w:pStyle w:val="Compact"/>
        <w:numPr>
          <w:ilvl w:val="0"/>
          <w:numId w:val="1219"/>
        </w:numPr>
      </w:pPr>
      <w:r>
        <w:t xml:space="preserve">Effets Indésirables :</w:t>
      </w:r>
    </w:p>
    <w:p>
      <w:pPr>
        <w:pStyle w:val="Compact"/>
        <w:numPr>
          <w:ilvl w:val="1"/>
          <w:numId w:val="1222"/>
        </w:numPr>
      </w:pPr>
      <w:r>
        <w:rPr>
          <w:i/>
          <w:iCs/>
        </w:rPr>
        <w:t xml:space="preserve">Oculaires</w:t>
      </w:r>
      <w:r>
        <w:t xml:space="preserve"> </w:t>
      </w:r>
      <w:r>
        <w:t xml:space="preserve">:</w:t>
      </w:r>
      <w:r>
        <w:t xml:space="preserve"> </w:t>
      </w:r>
      <w:r>
        <w:rPr>
          <w:b/>
          <w:bCs/>
        </w:rPr>
        <w:t xml:space="preserve">maculopathie « en œil de bœuf »</w:t>
      </w:r>
      <w:r>
        <w:t xml:space="preserve"> </w:t>
      </w:r>
      <w:r>
        <w:t xml:space="preserve">(dépigmentation périmaculaire avec hyperpigmentation centrale, atrophie de l’épithélium pigmentaire) — irréversible, dose-cumulative-dépendante (&gt; 100 g de base total = seuil de risque significatif) ; modifications cornéennes (œdème, dépôts verticillata) réversibles à l’arrêt ; scotome paracentral.</w:t>
      </w:r>
    </w:p>
    <w:p>
      <w:pPr>
        <w:pStyle w:val="Compact"/>
        <w:numPr>
          <w:ilvl w:val="1"/>
          <w:numId w:val="1222"/>
        </w:numPr>
      </w:pPr>
      <w:r>
        <w:rPr>
          <w:i/>
          <w:iCs/>
        </w:rPr>
        <w:t xml:space="preserve">Cardiaques</w:t>
      </w:r>
      <w:r>
        <w:t xml:space="preserve"> </w:t>
      </w:r>
      <w:r>
        <w:t xml:space="preserve">:</w:t>
      </w:r>
      <w:r>
        <w:t xml:space="preserve"> </w:t>
      </w:r>
      <w:r>
        <w:rPr>
          <w:b/>
          <w:bCs/>
        </w:rPr>
        <w:t xml:space="preserve">allongement de l’espace QTc</w:t>
      </w:r>
      <w:r>
        <w:t xml:space="preserve"> </w:t>
      </w:r>
      <w:r>
        <w:t xml:space="preserve">(blocage des canaux potassiques hERG), troubles de la conduction (bloc auriculo-ventriculaire), exceptionnels cas de cardiomyopathie restrictive sous traitement prolongé (dépôts myocardiques lysozymaux) — à l’origine de la surmortalité rapportée dans les essais COVID.</w:t>
      </w:r>
    </w:p>
    <w:p>
      <w:pPr>
        <w:pStyle w:val="Compact"/>
        <w:numPr>
          <w:ilvl w:val="1"/>
          <w:numId w:val="1222"/>
        </w:numPr>
      </w:pPr>
      <w:r>
        <w:rPr>
          <w:i/>
          <w:iCs/>
        </w:rPr>
        <w:t xml:space="preserve">Cutanés</w:t>
      </w:r>
      <w:r>
        <w:t xml:space="preserve"> </w:t>
      </w:r>
      <w:r>
        <w:t xml:space="preserve">:</w:t>
      </w:r>
      <w:r>
        <w:t xml:space="preserve"> </w:t>
      </w:r>
      <w:r>
        <w:rPr>
          <w:b/>
          <w:bCs/>
        </w:rPr>
        <w:t xml:space="preserve">pigmentation ardoisée</w:t>
      </w:r>
      <w:r>
        <w:t xml:space="preserve"> </w:t>
      </w:r>
      <w:r>
        <w:t xml:space="preserve">photo-distribuée, éruptions lichénoïdes, exacerbation de psoriasis, prurit (surtout chez les sujets mélanodermes africains — parfois insupportable et cause d’arrêt), alopecia, érythème polymorphe,exceptionnel Stevens-Johnson/TEN.</w:t>
      </w:r>
    </w:p>
    <w:p>
      <w:pPr>
        <w:pStyle w:val="Compact"/>
        <w:numPr>
          <w:ilvl w:val="1"/>
          <w:numId w:val="1222"/>
        </w:numPr>
      </w:pPr>
      <w:r>
        <w:rPr>
          <w:i/>
          <w:iCs/>
        </w:rPr>
        <w:t xml:space="preserve">Neuromusculaires</w:t>
      </w:r>
      <w:r>
        <w:t xml:space="preserve"> </w:t>
      </w:r>
      <w:r>
        <w:t xml:space="preserve">: myopathie proximale (avec parfois atrophie), neuropathie périphérique, syndrome myasthénique, céphalées, vertiges, irritabilité, insomnie, cauchemars, exceptionnels états psychotiques (syndrome amimique ou excitation).</w:t>
      </w:r>
    </w:p>
    <w:p>
      <w:pPr>
        <w:pStyle w:val="Compact"/>
        <w:numPr>
          <w:ilvl w:val="1"/>
          <w:numId w:val="1222"/>
        </w:numPr>
      </w:pPr>
      <w:r>
        <w:rPr>
          <w:i/>
          <w:iCs/>
        </w:rPr>
        <w:t xml:space="preserve">Digestifs</w:t>
      </w:r>
      <w:r>
        <w:t xml:space="preserve"> </w:t>
      </w:r>
      <w:r>
        <w:t xml:space="preserve">: nausées, vomissements, diarrhée, douleurs abdominales (atténuées par la prise au cours du repas).</w:t>
      </w:r>
    </w:p>
    <w:p>
      <w:pPr>
        <w:pStyle w:val="Compact"/>
        <w:numPr>
          <w:ilvl w:val="1"/>
          <w:numId w:val="1222"/>
        </w:numPr>
      </w:pPr>
      <w:r>
        <w:rPr>
          <w:i/>
          <w:iCs/>
        </w:rPr>
        <w:t xml:space="preserve">Hématologiques</w:t>
      </w:r>
      <w:r>
        <w:t xml:space="preserve"> </w:t>
      </w:r>
      <w:r>
        <w:t xml:space="preserve">: agranulocytose, thrombopénie, anémie aplasique (rares, surtout traitements prolongés).</w:t>
      </w:r>
    </w:p>
    <w:p>
      <w:pPr>
        <w:pStyle w:val="Compact"/>
        <w:numPr>
          <w:ilvl w:val="1"/>
          <w:numId w:val="1222"/>
        </w:numPr>
      </w:pPr>
      <w:r>
        <w:rPr>
          <w:i/>
          <w:iCs/>
        </w:rPr>
        <w:t xml:space="preserve">Hépatiques</w:t>
      </w:r>
      <w:r>
        <w:t xml:space="preserve"> </w:t>
      </w:r>
      <w:r>
        <w:t xml:space="preserve">: élévation des transaminases, hépatotoxicité exceptionnelle.</w:t>
      </w:r>
    </w:p>
    <w:p>
      <w:pPr>
        <w:pStyle w:val="Compact"/>
        <w:numPr>
          <w:ilvl w:val="1"/>
          <w:numId w:val="1222"/>
        </w:numPr>
      </w:pPr>
      <w:r>
        <w:rPr>
          <w:i/>
          <w:iCs/>
        </w:rPr>
        <w:t xml:space="preserve">Métaboliques</w:t>
      </w:r>
      <w:r>
        <w:t xml:space="preserve"> </w:t>
      </w:r>
      <w:r>
        <w:t xml:space="preserve">: hypoglycémie (la chloroquine stimule la sécrétion d’insuline en inhibant la dégradation de l’insuline par les cellules β — effet parfois exploité en hypoglycémie sulfamide-résistante).</w:t>
      </w:r>
    </w:p>
    <w:p>
      <w:pPr>
        <w:pStyle w:val="FirstParagraph"/>
      </w:pPr>
      <w:r>
        <w:rPr>
          <w:b/>
          <w:bCs/>
        </w:rPr>
        <w:t xml:space="preserve">Prévention et Gestion des Effets Indésirables :</w:t>
      </w:r>
    </w:p>
    <w:p>
      <w:pPr>
        <w:pStyle w:val="Compact"/>
        <w:numPr>
          <w:ilvl w:val="0"/>
          <w:numId w:val="1223"/>
        </w:numPr>
      </w:pPr>
      <w:r>
        <w:t xml:space="preserve">Mesures Préventives :</w:t>
      </w:r>
    </w:p>
    <w:p>
      <w:pPr>
        <w:pStyle w:val="Compact"/>
        <w:numPr>
          <w:ilvl w:val="1"/>
          <w:numId w:val="1224"/>
        </w:numPr>
      </w:pPr>
      <w:r>
        <w:rPr>
          <w:b/>
          <w:bCs/>
        </w:rPr>
        <w:t xml:space="preserve">Examen ophtalmologique initial</w:t>
      </w:r>
      <w:r>
        <w:t xml:space="preserve"> </w:t>
      </w:r>
      <w:r>
        <w:t xml:space="preserve">(acuité visuelle, vision des couleurs, fond d’œil, OCT maculaire ± champ visuel automatisé 10-2) avant tout traitement prolongé (&gt; 6 mois), puis</w:t>
      </w:r>
      <w:r>
        <w:t xml:space="preserve"> </w:t>
      </w:r>
      <w:r>
        <w:rPr>
          <w:b/>
          <w:bCs/>
        </w:rPr>
        <w:t xml:space="preserve">annuel</w:t>
      </w:r>
      <w:r>
        <w:t xml:space="preserve"> </w:t>
      </w:r>
      <w:r>
        <w:t xml:space="preserve">à partir de 5 ans de traitement ou 100 g cumulés (recommandations AAO 2016 / AFSSAPS 2004 actualisées) ; surveillance rapprochée si &gt; 5 mg/kg/jour d’hydroxychloroquine équivalent.</w:t>
      </w:r>
    </w:p>
    <w:p>
      <w:pPr>
        <w:pStyle w:val="Compact"/>
        <w:numPr>
          <w:ilvl w:val="1"/>
          <w:numId w:val="1224"/>
        </w:numPr>
      </w:pPr>
      <w:r>
        <w:rPr>
          <w:b/>
          <w:bCs/>
        </w:rPr>
        <w:t xml:space="preserve">ECG</w:t>
      </w:r>
      <w:r>
        <w:t xml:space="preserve"> </w:t>
      </w:r>
      <w:r>
        <w:t xml:space="preserve">avant traitement si terrain à risque (cardiopathie, hypokaliémie, allongement QT basal, traitements associés allongeant le QT — antiarythmiques, macrolides, fluoroquinolones, neuroleptiques).</w:t>
      </w:r>
    </w:p>
    <w:p>
      <w:pPr>
        <w:pStyle w:val="Compact"/>
        <w:numPr>
          <w:ilvl w:val="1"/>
          <w:numId w:val="1224"/>
        </w:numPr>
      </w:pPr>
      <w:r>
        <w:rPr>
          <w:b/>
          <w:bCs/>
        </w:rPr>
        <w:t xml:space="preserve">Bilan hépatique et NFS</w:t>
      </w:r>
      <w:r>
        <w:t xml:space="preserve"> </w:t>
      </w:r>
      <w:r>
        <w:t xml:space="preserve">initial et périodique (tous les 3-6 mois) si traitement prolongé.</w:t>
      </w:r>
    </w:p>
    <w:p>
      <w:pPr>
        <w:pStyle w:val="Compact"/>
        <w:numPr>
          <w:ilvl w:val="1"/>
          <w:numId w:val="1224"/>
        </w:numPr>
      </w:pPr>
      <w:r>
        <w:rPr>
          <w:b/>
          <w:bCs/>
        </w:rPr>
        <w:t xml:space="preserve">Dosage du G6PD</w:t>
      </w:r>
      <w:r>
        <w:t xml:space="preserve"> </w:t>
      </w:r>
      <w:r>
        <w:t xml:space="preserve">avant traitement curatif chez les patients à risque (hommes méditerranéens/africains, femmes hétérozygotes symptomatiques).</w:t>
      </w:r>
    </w:p>
    <w:p>
      <w:pPr>
        <w:pStyle w:val="Compact"/>
        <w:numPr>
          <w:ilvl w:val="1"/>
          <w:numId w:val="1224"/>
        </w:numPr>
      </w:pPr>
      <w:r>
        <w:t xml:space="preserve">Pour la prophylaxie : information du patient sur la nécessité de</w:t>
      </w:r>
      <w:r>
        <w:t xml:space="preserve"> </w:t>
      </w:r>
      <w:r>
        <w:rPr>
          <w:b/>
          <w:bCs/>
        </w:rPr>
        <w:t xml:space="preserve">poursuivre 4 semaines après le retour</w:t>
      </w:r>
      <w:r>
        <w:t xml:space="preserve"> </w:t>
      </w:r>
      <w:r>
        <w:t xml:space="preserve">de zone d’endémie.</w:t>
      </w:r>
    </w:p>
    <w:p>
      <w:pPr>
        <w:pStyle w:val="Compact"/>
        <w:numPr>
          <w:ilvl w:val="1"/>
          <w:numId w:val="1224"/>
        </w:numPr>
      </w:pPr>
      <w:r>
        <w:t xml:space="preserve">Photoprotection stricte (écran solaire indice 50+, vêtements couvrants).</w:t>
      </w:r>
    </w:p>
    <w:p>
      <w:pPr>
        <w:pStyle w:val="Compact"/>
        <w:numPr>
          <w:ilvl w:val="0"/>
          <w:numId w:val="1223"/>
        </w:numPr>
      </w:pPr>
      <w:r>
        <w:t xml:space="preserve">Conduite à Tenir :</w:t>
      </w:r>
    </w:p>
    <w:p>
      <w:pPr>
        <w:pStyle w:val="Compact"/>
        <w:numPr>
          <w:ilvl w:val="1"/>
          <w:numId w:val="1225"/>
        </w:numPr>
      </w:pPr>
      <w:r>
        <w:rPr>
          <w:b/>
          <w:bCs/>
        </w:rPr>
        <w:t xml:space="preserve">Arrêt immédiat</w:t>
      </w:r>
      <w:r>
        <w:t xml:space="preserve"> </w:t>
      </w:r>
      <w:r>
        <w:t xml:space="preserve">en cas de signes précoces de toxicité rétinienne (scotome paracentral, modification de la vision des couleurs, anomalie de l’OCT maculaire) — la progression peut survenir après arrêt (« chasing effect ») justifiant un suivi ophtalmologique prolongé.</w:t>
      </w:r>
    </w:p>
    <w:p>
      <w:pPr>
        <w:pStyle w:val="Compact"/>
        <w:numPr>
          <w:ilvl w:val="1"/>
          <w:numId w:val="1225"/>
        </w:numPr>
      </w:pPr>
      <w:r>
        <w:t xml:space="preserve">Arrêt en cas d’</w:t>
      </w:r>
      <w:r>
        <w:rPr>
          <w:b/>
          <w:bCs/>
        </w:rPr>
        <w:t xml:space="preserve">allongement QTc &gt; 500 ms</w:t>
      </w:r>
      <w:r>
        <w:t xml:space="preserve"> </w:t>
      </w:r>
      <w:r>
        <w:t xml:space="preserve">ou apparition de troubles du rythme.</w:t>
      </w:r>
    </w:p>
    <w:p>
      <w:pPr>
        <w:pStyle w:val="Compact"/>
        <w:numPr>
          <w:ilvl w:val="1"/>
          <w:numId w:val="1225"/>
        </w:numPr>
      </w:pPr>
      <w:r>
        <w:t xml:space="preserve">Arrêt et bilan en cas de faiblesse musculaire proximale (dosage CPK, EMG).</w:t>
      </w:r>
    </w:p>
    <w:p>
      <w:pPr>
        <w:pStyle w:val="Compact"/>
        <w:numPr>
          <w:ilvl w:val="1"/>
          <w:numId w:val="1225"/>
        </w:numPr>
      </w:pPr>
      <w:r>
        <w:t xml:space="preserve">Réduction de dose ou arrêt en cas de prurit insupportable.</w:t>
      </w:r>
    </w:p>
    <w:p>
      <w:pPr>
        <w:pStyle w:val="Compact"/>
        <w:numPr>
          <w:ilvl w:val="1"/>
          <w:numId w:val="1225"/>
        </w:numPr>
      </w:pPr>
      <w:r>
        <w:t xml:space="preserve">En cas de surdosage aigu (cf. Pièges) :</w:t>
      </w:r>
      <w:r>
        <w:t xml:space="preserve"> </w:t>
      </w:r>
      <w:r>
        <w:rPr>
          <w:b/>
          <w:bCs/>
        </w:rPr>
        <w:t xml:space="preserve">urgence vitale</w:t>
      </w:r>
      <w:r>
        <w:t xml:space="preserve"> </w:t>
      </w:r>
      <w:r>
        <w:t xml:space="preserve">— hospitalisation en réanimation, charbon activé si ingestion &lt; 1 h, diazépam IV (2 mg/kg) pour contrôler les convulsions,</w:t>
      </w:r>
      <w:r>
        <w:t xml:space="preserve"> </w:t>
      </w:r>
      <w:r>
        <w:rPr>
          <w:b/>
          <w:bCs/>
        </w:rPr>
        <w:t xml:space="preserve">adrénaline IV</w:t>
      </w:r>
      <w:r>
        <w:t xml:space="preserve"> </w:t>
      </w:r>
      <w:r>
        <w:t xml:space="preserve">(fortes doses) pour la défaillance cardiovasculaire, bicarbonate de sodium pour alcalinisation, surveillance ECG continue (risque de fibrillation ventriculaire et de collapsus précoce par inhibition des canaux sodiques).</w:t>
      </w:r>
    </w:p>
    <w:p>
      <w:pPr>
        <w:pStyle w:val="FirstParagraph"/>
      </w:pPr>
      <w:r>
        <w:rPr>
          <w:b/>
          <w:bCs/>
        </w:rPr>
        <w:t xml:space="preserve">Interactions Importantes :</w:t>
      </w:r>
    </w:p>
    <w:p>
      <w:pPr>
        <w:pStyle w:val="Compact"/>
        <w:numPr>
          <w:ilvl w:val="0"/>
          <w:numId w:val="1226"/>
        </w:numPr>
      </w:pPr>
      <w:r>
        <w:rPr>
          <w:b/>
          <w:bCs/>
        </w:rPr>
        <w:t xml:space="preserve">Chloroquine + antiacides (hydroxyde de magnésium, hydroxyde d’aluminium, trisilicate de magnésium) et kaolin</w:t>
      </w:r>
      <w:r>
        <w:t xml:space="preserve"> </w:t>
      </w:r>
      <w:r>
        <w:t xml:space="preserve">: ↓ absorption digestive de la chloroquine de 50 à 70 % (chélation + augmentation du pH gastrique) —</w:t>
      </w:r>
      <w:r>
        <w:t xml:space="preserve"> </w:t>
      </w:r>
      <w:r>
        <w:rPr>
          <w:b/>
          <w:bCs/>
        </w:rPr>
        <w:t xml:space="preserve">espacer la prise d’au moins 4 heures</w:t>
      </w:r>
      <w:r>
        <w:t xml:space="preserve"> </w:t>
      </w:r>
      <w:r>
        <w:t xml:space="preserve">(anti-acide en dehors des heures de prise de chloroquine).</w:t>
      </w:r>
    </w:p>
    <w:p>
      <w:pPr>
        <w:pStyle w:val="Compact"/>
        <w:numPr>
          <w:ilvl w:val="0"/>
          <w:numId w:val="1226"/>
        </w:numPr>
      </w:pPr>
      <w:r>
        <w:rPr>
          <w:b/>
          <w:bCs/>
        </w:rPr>
        <w:t xml:space="preserve">Chloroquine + amiodarone, sotalol, dofétilide, ibutilide, quinidine, bépridil, cisapride, dompéridone, érythromycine, clarithromycine, halofantrine, lumefantrine</w:t>
      </w:r>
      <w:r>
        <w:t xml:space="preserve"> </w:t>
      </w:r>
      <w:r>
        <w:t xml:space="preserve">: addition des effets allongeant le QTc → risque de</w:t>
      </w:r>
      <w:r>
        <w:t xml:space="preserve"> </w:t>
      </w:r>
      <w:r>
        <w:rPr>
          <w:b/>
          <w:bCs/>
        </w:rPr>
        <w:t xml:space="preserve">torsades de pointe</w:t>
      </w:r>
      <w:r>
        <w:t xml:space="preserve"> </w:t>
      </w:r>
      <w:r>
        <w:t xml:space="preserve">— éviter ou surveillance ECG stricte.</w:t>
      </w:r>
    </w:p>
    <w:p>
      <w:pPr>
        <w:pStyle w:val="Compact"/>
        <w:numPr>
          <w:ilvl w:val="0"/>
          <w:numId w:val="1226"/>
        </w:numPr>
      </w:pPr>
      <w:r>
        <w:rPr>
          <w:b/>
          <w:bCs/>
        </w:rPr>
        <w:t xml:space="preserve">Chloroquine + digoxine</w:t>
      </w:r>
      <w:r>
        <w:t xml:space="preserve"> </w:t>
      </w:r>
      <w:r>
        <w:t xml:space="preserve">: ↑ concentration de digoxine (inhibition de la P-gp intestinale et rénale) — surveiller la digoxinémie et les signes de surdosage.</w:t>
      </w:r>
    </w:p>
    <w:p>
      <w:pPr>
        <w:pStyle w:val="Compact"/>
        <w:numPr>
          <w:ilvl w:val="0"/>
          <w:numId w:val="1226"/>
        </w:numPr>
      </w:pPr>
      <w:r>
        <w:rPr>
          <w:b/>
          <w:bCs/>
        </w:rPr>
        <w:t xml:space="preserve">Chloroquine + cimétidine</w:t>
      </w:r>
      <w:r>
        <w:t xml:space="preserve"> </w:t>
      </w:r>
      <w:r>
        <w:t xml:space="preserve">: ↑ concentration de chloroquine (inhibition du métabolisme hépatique) — surveillance clinique.</w:t>
      </w:r>
    </w:p>
    <w:p>
      <w:pPr>
        <w:pStyle w:val="Compact"/>
        <w:numPr>
          <w:ilvl w:val="0"/>
          <w:numId w:val="1226"/>
        </w:numPr>
      </w:pPr>
      <w:r>
        <w:rPr>
          <w:b/>
          <w:bCs/>
        </w:rPr>
        <w:t xml:space="preserve">Chloroquine + ciclosporine, tacrolimus</w:t>
      </w:r>
      <w:r>
        <w:t xml:space="preserve"> </w:t>
      </w:r>
      <w:r>
        <w:t xml:space="preserve">: ↑ concentrations de l’immunosuppresseur (risque néphrotoxicité) — surveiller la ciclosporinémie.</w:t>
      </w:r>
    </w:p>
    <w:p>
      <w:pPr>
        <w:pStyle w:val="Compact"/>
        <w:numPr>
          <w:ilvl w:val="0"/>
          <w:numId w:val="1226"/>
        </w:numPr>
      </w:pPr>
      <w:r>
        <w:rPr>
          <w:b/>
          <w:bCs/>
        </w:rPr>
        <w:t xml:space="preserve">Chloroquine + antirétroviraux</w:t>
      </w:r>
      <w:r>
        <w:t xml:space="preserve"> </w:t>
      </w:r>
      <w:r>
        <w:t xml:space="preserve">: ritonavir, lopinavir/r peuvent augmenter la chloroquine (risque allongement QT) ; surveillance ECG.</w:t>
      </w:r>
    </w:p>
    <w:p>
      <w:pPr>
        <w:pStyle w:val="Compact"/>
        <w:numPr>
          <w:ilvl w:val="0"/>
          <w:numId w:val="1226"/>
        </w:numPr>
      </w:pPr>
      <w:r>
        <w:rPr>
          <w:b/>
          <w:bCs/>
        </w:rPr>
        <w:t xml:space="preserve">Chloroquine + warfarine</w:t>
      </w:r>
      <w:r>
        <w:t xml:space="preserve"> </w:t>
      </w:r>
      <w:r>
        <w:t xml:space="preserve">: variation de l’INR (sensibilité variable selon patient) — surveillance INR accrue.</w:t>
      </w:r>
    </w:p>
    <w:p>
      <w:pPr>
        <w:pStyle w:val="Compact"/>
        <w:numPr>
          <w:ilvl w:val="0"/>
          <w:numId w:val="1226"/>
        </w:numPr>
      </w:pPr>
      <w:r>
        <w:rPr>
          <w:b/>
          <w:bCs/>
        </w:rPr>
        <w:t xml:space="preserve">Chloroquine + insuline/sulfamides hypoglycémiants</w:t>
      </w:r>
      <w:r>
        <w:t xml:space="preserve"> </w:t>
      </w:r>
      <w:r>
        <w:t xml:space="preserve">: potentialisation de l’effet hypoglycémiant (la chloroquine elle-même est hypogliémiante) — surveillance glycémique.</w:t>
      </w:r>
    </w:p>
    <w:p>
      <w:pPr>
        <w:pStyle w:val="Compact"/>
        <w:numPr>
          <w:ilvl w:val="0"/>
          <w:numId w:val="1226"/>
        </w:numPr>
      </w:pPr>
      <w:r>
        <w:rPr>
          <w:b/>
          <w:bCs/>
        </w:rPr>
        <w:t xml:space="preserve">Chloroquine + melfloquine</w:t>
      </w:r>
      <w:r>
        <w:t xml:space="preserve"> </w:t>
      </w:r>
      <w:r>
        <w:t xml:space="preserve">: ↑ risque convulsif (antagonisme pharmacologique partiel).</w:t>
      </w:r>
    </w:p>
    <w:p>
      <w:pPr>
        <w:pStyle w:val="Compact"/>
        <w:numPr>
          <w:ilvl w:val="0"/>
          <w:numId w:val="1226"/>
        </w:numPr>
      </w:pPr>
      <w:r>
        <w:rPr>
          <w:b/>
          <w:bCs/>
        </w:rPr>
        <w:t xml:space="preserve">Chloroquine + praziquantel</w:t>
      </w:r>
      <w:r>
        <w:t xml:space="preserve"> </w:t>
      </w:r>
      <w:r>
        <w:t xml:space="preserve">: ↓ concentration de praziquantel (induction enzymatique) — ajustement possible.</w:t>
      </w:r>
    </w:p>
    <w:p>
      <w:pPr>
        <w:pStyle w:val="Compact"/>
        <w:numPr>
          <w:ilvl w:val="0"/>
          <w:numId w:val="1226"/>
        </w:numPr>
      </w:pPr>
      <w:r>
        <w:rPr>
          <w:b/>
          <w:bCs/>
        </w:rPr>
        <w:t xml:space="preserve">Chloroquine + rabies vaccine</w:t>
      </w:r>
      <w:r>
        <w:t xml:space="preserve"> </w:t>
      </w:r>
      <w:r>
        <w:t xml:space="preserve">: la chloroquine prise en prophylaxie antipalustre peut réduire la réponse immunitaire à la vaccination antirabique intradermique — utiliser la voie intramusculaire.</w:t>
      </w:r>
    </w:p>
    <w:p>
      <w:pPr>
        <w:pStyle w:val="FirstParagraph"/>
      </w:pPr>
      <w:r>
        <w:rPr>
          <w:b/>
          <w:bCs/>
        </w:rPr>
        <w:t xml:space="preserve">Grossesse et Allaitement :</w:t>
      </w:r>
    </w:p>
    <w:p>
      <w:pPr>
        <w:pStyle w:val="Compact"/>
        <w:numPr>
          <w:ilvl w:val="0"/>
          <w:numId w:val="1227"/>
        </w:numPr>
      </w:pPr>
      <w:r>
        <w:t xml:space="preserve">Grossesse : La</w:t>
      </w:r>
      <w:r>
        <w:t xml:space="preserve"> </w:t>
      </w:r>
      <w:r>
        <w:rPr>
          <w:b/>
          <w:bCs/>
        </w:rPr>
        <w:t xml:space="preserve">chloroquine est l’antipaludique de choix pendant la grossesse</w:t>
      </w:r>
      <w:r>
        <w:t xml:space="preserve"> </w:t>
      </w:r>
      <w:r>
        <w:t xml:space="preserve">dans les zones chloroquino-sensibles, et celui dont la tolérance fœtale est la mieux documentée. Selon le CRAT (Centre de Renseignement sur les Agents Tératogènes) et l’OMS, la chloroquine (et son équivalent hydroxychloroquine)</w:t>
      </w:r>
      <w:r>
        <w:t xml:space="preserve"> </w:t>
      </w:r>
      <w:r>
        <w:rPr>
          <w:b/>
          <w:bCs/>
        </w:rPr>
        <w:t xml:space="preserve">n’est ni tératogène ni fœtotoxique aux doses curatives ou prophylactiques antipalustres</w:t>
      </w:r>
      <w:r>
        <w:t xml:space="preserve"> </w:t>
      </w:r>
      <w:r>
        <w:t xml:space="preserve">et le paludisme maternel représentant un risque majeur (avortement, mort fœtale, prématurité, hypotrophie, paludisme congénital), le bénéfice est largement supérieur au risque. Chez la femme lupique traitée par hydroxychloroquine au long cours,</w:t>
      </w:r>
      <w:r>
        <w:t xml:space="preserve"> </w:t>
      </w:r>
      <w:r>
        <w:rPr>
          <w:b/>
          <w:bCs/>
        </w:rPr>
        <w:t xml:space="preserve">la grossesse ne doit pas faire interrompre le traitement</w:t>
      </w:r>
      <w:r>
        <w:t xml:space="preserve"> </w:t>
      </w:r>
      <w:r>
        <w:t xml:space="preserve">(au contraire, l’arrêt augmente le risque de poussée lupique et de lupus néonatal avec bloc atrio-ventriculaire congénital).</w:t>
      </w:r>
    </w:p>
    <w:p>
      <w:pPr>
        <w:pStyle w:val="Compact"/>
        <w:numPr>
          <w:ilvl w:val="0"/>
          <w:numId w:val="1227"/>
        </w:numPr>
      </w:pPr>
      <w:r>
        <w:t xml:space="preserve">Allaitement : La chloroquine passe dans le lait maternel (rapport lait/plasma ≈ 0.4) mais la quantité ingérée par le nourrisson reste très inférieure à la dose thérapeutique pédiatrique.</w:t>
      </w:r>
      <w:r>
        <w:t xml:space="preserve"> </w:t>
      </w:r>
      <w:r>
        <w:rPr>
          <w:b/>
          <w:bCs/>
        </w:rPr>
        <w:t xml:space="preserve">Compatible avec l’allaitement</w:t>
      </w:r>
      <w:r>
        <w:t xml:space="preserve"> </w:t>
      </w:r>
      <w:r>
        <w:t xml:space="preserve">aux doses prophylactiques et curatives antipalustres. Pour les doses auto-immunes prolongées, compatibilité également retenue (CRAT).</w:t>
      </w:r>
    </w:p>
    <w:p>
      <w:pPr>
        <w:pStyle w:val="Compact"/>
        <w:numPr>
          <w:ilvl w:val="0"/>
          <w:numId w:val="1227"/>
        </w:numPr>
      </w:pPr>
      <w:r>
        <w:t xml:space="preserve">Précisions : Éviter le surdosage accidentel chez la femme enceinte (toxicité cardiaque sur utérus gravide). Le paludisme grave chez la femme enceinte est une urgence obstétricale — préférer l’artésunate IV.</w:t>
      </w:r>
    </w:p>
    <w:p>
      <w:pPr>
        <w:pStyle w:val="FirstParagraph"/>
      </w:pPr>
      <w:r>
        <w:rPr>
          <w:b/>
          <w:bCs/>
        </w:rPr>
        <w:t xml:space="preserve">Posologie et Mode d’administration (Standard) :</w:t>
      </w:r>
    </w:p>
    <w:p>
      <w:pPr>
        <w:pStyle w:val="Compact"/>
        <w:numPr>
          <w:ilvl w:val="0"/>
          <w:numId w:val="1228"/>
        </w:numPr>
      </w:pPr>
      <w:r>
        <w:t xml:space="preserve">Adulte :</w:t>
      </w:r>
    </w:p>
    <w:p>
      <w:pPr>
        <w:pStyle w:val="Compact"/>
        <w:numPr>
          <w:ilvl w:val="1"/>
          <w:numId w:val="1229"/>
        </w:numPr>
      </w:pPr>
      <w:r>
        <w:rPr>
          <w:i/>
          <w:iCs/>
        </w:rPr>
        <w:t xml:space="preserve">Traitement curatif de l’accès palustre à chloroquino-sensible</w:t>
      </w:r>
      <w:r>
        <w:t xml:space="preserve"> </w:t>
      </w:r>
      <w:r>
        <w:t xml:space="preserve">:</w:t>
      </w:r>
      <w:r>
        <w:t xml:space="preserve"> </w:t>
      </w:r>
      <w:r>
        <w:rPr>
          <w:b/>
          <w:bCs/>
        </w:rPr>
        <w:t xml:space="preserve">25 mg/kg de base en 3 jours</w:t>
      </w:r>
      <w:r>
        <w:t xml:space="preserve">, soit classiquement</w:t>
      </w:r>
      <w:r>
        <w:t xml:space="preserve"> </w:t>
      </w:r>
      <w:r>
        <w:rPr>
          <w:b/>
          <w:bCs/>
        </w:rPr>
        <w:t xml:space="preserve">J1 : 10 mg/kg, J2 : 10 mg/kg, J3 : 5 mg/kg</w:t>
      </w:r>
      <w:r>
        <w:t xml:space="preserve"> </w:t>
      </w:r>
      <w:r>
        <w:t xml:space="preserve">(ou 10-10-10 mg/kg). En pratique, pour un adulte de 60 kg : J1 600 mg base (= 1000 mg sel), J2 600 mg base, J3 300 mg base — soit pour les comprimés à 500 mg de sel Pharmalliance : J1 2 cp, J2 2 cp, J3 1 cp.</w:t>
      </w:r>
    </w:p>
    <w:p>
      <w:pPr>
        <w:pStyle w:val="Compact"/>
        <w:numPr>
          <w:ilvl w:val="1"/>
          <w:numId w:val="1229"/>
        </w:numPr>
      </w:pPr>
      <w:r>
        <w:rPr>
          <w:i/>
          <w:iCs/>
        </w:rPr>
        <w:t xml:space="preserve">Chimioprophylaxie</w:t>
      </w:r>
      <w:r>
        <w:t xml:space="preserve"> </w:t>
      </w:r>
      <w:r>
        <w:t xml:space="preserve">:</w:t>
      </w:r>
      <w:r>
        <w:t xml:space="preserve"> </w:t>
      </w:r>
      <w:r>
        <w:rPr>
          <w:b/>
          <w:bCs/>
        </w:rPr>
        <w:t xml:space="preserve">100 mg de base (= ~167 mg de sel) une fois par semaine</w:t>
      </w:r>
      <w:r>
        <w:t xml:space="preserve">, à commencer</w:t>
      </w:r>
      <w:r>
        <w:t xml:space="preserve"> </w:t>
      </w:r>
      <w:r>
        <w:rPr>
          <w:b/>
          <w:bCs/>
        </w:rPr>
        <w:t xml:space="preserve">1 semaine avant le départ</w:t>
      </w:r>
      <w:r>
        <w:t xml:space="preserve"> </w:t>
      </w:r>
      <w:r>
        <w:t xml:space="preserve">(pour vérifier la tolérance), pendant le séjour, et</w:t>
      </w:r>
      <w:r>
        <w:t xml:space="preserve"> </w:t>
      </w:r>
      <w:r>
        <w:rPr>
          <w:b/>
          <w:bCs/>
        </w:rPr>
        <w:t xml:space="preserve">4 semaines après le retour</w:t>
      </w:r>
      <w:r>
        <w:t xml:space="preserve">.</w:t>
      </w:r>
    </w:p>
    <w:p>
      <w:pPr>
        <w:pStyle w:val="Compact"/>
        <w:numPr>
          <w:ilvl w:val="1"/>
          <w:numId w:val="1229"/>
        </w:numPr>
      </w:pPr>
      <w:r>
        <w:rPr>
          <w:i/>
          <w:iCs/>
        </w:rPr>
        <w:t xml:space="preserve">Lupus/polyarthrite</w:t>
      </w:r>
      <w:r>
        <w:t xml:space="preserve"> </w:t>
      </w:r>
      <w:r>
        <w:t xml:space="preserve">(aujourd’hui plutôt hydroxychloroquine) : 150-300 mg base/jour en traitement d’attaque, 150 mg/jour en entretien (à préférer l’hydroxychloroquine).</w:t>
      </w:r>
    </w:p>
    <w:p>
      <w:pPr>
        <w:pStyle w:val="Compact"/>
        <w:numPr>
          <w:ilvl w:val="0"/>
          <w:numId w:val="1228"/>
        </w:numPr>
      </w:pPr>
      <w:r>
        <w:t xml:space="preserve">Enfant :</w:t>
      </w:r>
    </w:p>
    <w:p>
      <w:pPr>
        <w:pStyle w:val="Compact"/>
        <w:numPr>
          <w:ilvl w:val="1"/>
          <w:numId w:val="1230"/>
        </w:numPr>
      </w:pPr>
      <w:r>
        <w:rPr>
          <w:i/>
          <w:iCs/>
        </w:rPr>
        <w:t xml:space="preserve">Traitement curatif</w:t>
      </w:r>
      <w:r>
        <w:t xml:space="preserve"> </w:t>
      </w:r>
      <w:r>
        <w:t xml:space="preserve">: même schéma pondéral —</w:t>
      </w:r>
      <w:r>
        <w:t xml:space="preserve"> </w:t>
      </w:r>
      <w:r>
        <w:rPr>
          <w:b/>
          <w:bCs/>
        </w:rPr>
        <w:t xml:space="preserve">25 mg/kg base total sur 3 jours</w:t>
      </w:r>
      <w:r>
        <w:t xml:space="preserve"> </w:t>
      </w:r>
      <w:r>
        <w:t xml:space="preserve">(10-10-5). Attention au risque de surdosage (cf. Pièges).</w:t>
      </w:r>
    </w:p>
    <w:p>
      <w:pPr>
        <w:pStyle w:val="Compact"/>
        <w:numPr>
          <w:ilvl w:val="1"/>
          <w:numId w:val="1230"/>
        </w:numPr>
      </w:pPr>
      <w:r>
        <w:rPr>
          <w:i/>
          <w:iCs/>
        </w:rPr>
        <w:t xml:space="preserve">Prophylaxie</w:t>
      </w:r>
      <w:r>
        <w:t xml:space="preserve"> </w:t>
      </w:r>
      <w:r>
        <w:t xml:space="preserve">:</w:t>
      </w:r>
      <w:r>
        <w:t xml:space="preserve"> </w:t>
      </w:r>
      <w:r>
        <w:rPr>
          <w:b/>
          <w:bCs/>
        </w:rPr>
        <w:t xml:space="preserve">5 mg/kg base/semaine</w:t>
      </w:r>
      <w:r>
        <w:t xml:space="preserve">, dose maximale adulte 100 mg base/sem.</w:t>
      </w:r>
    </w:p>
    <w:p>
      <w:pPr>
        <w:pStyle w:val="Compact"/>
        <w:numPr>
          <w:ilvl w:val="1"/>
          <w:numId w:val="1230"/>
        </w:numPr>
      </w:pPr>
      <w:r>
        <w:t xml:space="preserve">Pour les nourrissons et jeunes enfants, en l’absence de sirop disponible en Algérie, utiliser le comprimé sécable 500 mg en subdivisant (méthode de fractionnement par pile précise, ou poudre dispersée dans l’eau).</w:t>
      </w:r>
    </w:p>
    <w:p>
      <w:pPr>
        <w:pStyle w:val="Compact"/>
        <w:numPr>
          <w:ilvl w:val="0"/>
          <w:numId w:val="1228"/>
        </w:numPr>
      </w:pPr>
      <w:r>
        <w:t xml:space="preserve">Durée :</w:t>
      </w:r>
    </w:p>
    <w:p>
      <w:pPr>
        <w:pStyle w:val="Compact"/>
        <w:numPr>
          <w:ilvl w:val="1"/>
          <w:numId w:val="1231"/>
        </w:numPr>
      </w:pPr>
      <w:r>
        <w:t xml:space="preserve">Traitement curatif :</w:t>
      </w:r>
      <w:r>
        <w:t xml:space="preserve"> </w:t>
      </w:r>
      <w:r>
        <w:rPr>
          <w:b/>
          <w:bCs/>
        </w:rPr>
        <w:t xml:space="preserve">3 jours</w:t>
      </w:r>
      <w:r>
        <w:t xml:space="preserve">.</w:t>
      </w:r>
    </w:p>
    <w:p>
      <w:pPr>
        <w:pStyle w:val="Compact"/>
        <w:numPr>
          <w:ilvl w:val="1"/>
          <w:numId w:val="1231"/>
        </w:numPr>
      </w:pPr>
      <w:r>
        <w:t xml:space="preserve">Prophylaxie : à continuer</w:t>
      </w:r>
      <w:r>
        <w:t xml:space="preserve"> </w:t>
      </w:r>
      <w:r>
        <w:rPr>
          <w:b/>
          <w:bCs/>
        </w:rPr>
        <w:t xml:space="preserve">4 semaines après le retour</w:t>
      </w:r>
      <w:r>
        <w:t xml:space="preserve"> </w:t>
      </w:r>
      <w:r>
        <w:t xml:space="preserve">(la chloroquine agit sur les formes érythrocytaires uniquement — pas d’action sur les stades hépatiques).</w:t>
      </w:r>
    </w:p>
    <w:p>
      <w:pPr>
        <w:pStyle w:val="Compact"/>
        <w:numPr>
          <w:ilvl w:val="1"/>
          <w:numId w:val="1231"/>
        </w:numPr>
      </w:pPr>
      <w:r>
        <w:t xml:space="preserve">Traitement lupique/RAA : au long cours (années), avec surveillance ophtalmologique.</w:t>
      </w:r>
    </w:p>
    <w:p>
      <w:pPr>
        <w:pStyle w:val="Compact"/>
        <w:numPr>
          <w:ilvl w:val="0"/>
          <w:numId w:val="1228"/>
        </w:numPr>
      </w:pPr>
      <w:r>
        <w:t xml:space="preserve">Moment de prise :</w:t>
      </w:r>
      <w:r>
        <w:t xml:space="preserve"> </w:t>
      </w:r>
      <w:r>
        <w:rPr>
          <w:b/>
          <w:bCs/>
        </w:rPr>
        <w:t xml:space="preserve">au cours du repas</w:t>
      </w:r>
      <w:r>
        <w:t xml:space="preserve"> </w:t>
      </w:r>
      <w:r>
        <w:t xml:space="preserve">(améliore la tolérance digestive, n’affecte pas l’absorption) avec un grand verre d’eau ; pour la prophylaxie,</w:t>
      </w:r>
      <w:r>
        <w:t xml:space="preserve"> </w:t>
      </w:r>
      <w:r>
        <w:rPr>
          <w:b/>
          <w:bCs/>
        </w:rPr>
        <w:t xml:space="preserve">prendre le même jour de la semaine</w:t>
      </w:r>
      <w:r>
        <w:t xml:space="preserve"> </w:t>
      </w:r>
      <w:r>
        <w:t xml:space="preserve">(aide à l’observance).</w:t>
      </w:r>
    </w:p>
    <w:p>
      <w:pPr>
        <w:pStyle w:val="FirstParagraph"/>
      </w:pPr>
      <w:r>
        <w:rPr>
          <w:b/>
          <w:bCs/>
        </w:rPr>
        <w:t xml:space="preserve">Arbitrage et Bénéfices des Formes Galéniques :</w:t>
      </w:r>
    </w:p>
    <w:p>
      <w:pPr>
        <w:pStyle w:val="Compact"/>
        <w:numPr>
          <w:ilvl w:val="0"/>
          <w:numId w:val="1232"/>
        </w:numPr>
      </w:pPr>
      <w:r>
        <w:rPr>
          <w:b/>
          <w:bCs/>
        </w:rPr>
        <w:t xml:space="preserve">Comprimé sécable 500 mg (sel de phosphate)</w:t>
      </w:r>
      <w:r>
        <w:t xml:space="preserve"> </w:t>
      </w:r>
      <w:r>
        <w:t xml:space="preserve">: seule forme active disponible en Algérie. La sécabilité permet l’adaptation posologique chez l’enfant, mais la marge thérapeutique est étroite (cf. Pièges). Pour les jeunes enfants, la dispersion du comprimé dans l’eau puis administration avec une seringue doseuse précise (après calcul de la dose pondérale en mg/kg base) est une pratique officinale recommandée.</w:t>
      </w:r>
    </w:p>
    <w:p>
      <w:pPr>
        <w:pStyle w:val="Compact"/>
        <w:numPr>
          <w:ilvl w:val="0"/>
          <w:numId w:val="1232"/>
        </w:numPr>
      </w:pPr>
      <w:r>
        <w:t xml:space="preserve">Formes historiques non disponibles : sirop (Nivaquine sirop 5 mg/mL) très utile en pédiatrie, solution injectable IM/IV 50 mg/mL (5%) pour le paludisme grave. Ces formes ont été retirées du marché algérien et doivent être remplacées, pour le paludisme grave, par l’artésunate injectable (FALCI CARE).</w:t>
      </w:r>
    </w:p>
    <w:p>
      <w:pPr>
        <w:pStyle w:val="Compact"/>
        <w:numPr>
          <w:ilvl w:val="0"/>
          <w:numId w:val="1232"/>
        </w:numPr>
      </w:pPr>
      <w:r>
        <w:t xml:space="preserve">Arbitrage entre chloroquine et hydroxychloroquine : en autoimmune,</w:t>
      </w:r>
      <w:r>
        <w:t xml:space="preserve"> </w:t>
      </w:r>
      <w:r>
        <w:rPr>
          <w:b/>
          <w:bCs/>
        </w:rPr>
        <w:t xml:space="preserve">préférer systématiquement l’hydroxychloroquine</w:t>
      </w:r>
      <w:r>
        <w:t xml:space="preserve"> </w:t>
      </w:r>
      <w:r>
        <w:t xml:space="preserve">(moins toxique pour la rétine, meilleure tolérance digestive et cutanée). Pour le paludisme, l’activité antiparasitaire est équivalente mais l’hydroxychloroquine est moins utilisée en prophylaxie car la chloroquine reste la référence OMS.</w:t>
      </w:r>
    </w:p>
    <w:p>
      <w:pPr>
        <w:pStyle w:val="FirstParagraph"/>
      </w:pPr>
      <w:r>
        <w:rPr>
          <w:b/>
          <w:bCs/>
        </w:rPr>
        <w:t xml:space="preserve">Instructions et Conseils au Patient :</w:t>
      </w:r>
    </w:p>
    <w:p>
      <w:pPr>
        <w:pStyle w:val="Compact"/>
        <w:numPr>
          <w:ilvl w:val="0"/>
          <w:numId w:val="1233"/>
        </w:numPr>
      </w:pPr>
      <w:r>
        <w:t xml:space="preserve">Communication au comptoir :</w:t>
      </w:r>
    </w:p>
    <w:p>
      <w:pPr>
        <w:pStyle w:val="Compact"/>
        <w:numPr>
          <w:ilvl w:val="1"/>
          <w:numId w:val="1234"/>
        </w:numPr>
      </w:pPr>
      <w:r>
        <w:rPr>
          <w:i/>
          <w:iCs/>
        </w:rPr>
        <w:t xml:space="preserve">Pour prophylaxie voyage</w:t>
      </w:r>
      <w:r>
        <w:t xml:space="preserve"> </w:t>
      </w:r>
      <w:r>
        <w:t xml:space="preserve">: « Ce médicament protège du paludisme uniquement dans certaines zones du monde — votre médecin a vérifié que votre destination est dans une zone où la chloroquine est encore efficace. Prenez 1 comprimé une fois par semaine,</w:t>
      </w:r>
      <w:r>
        <w:t xml:space="preserve"> </w:t>
      </w:r>
      <w:r>
        <w:rPr>
          <w:b/>
          <w:bCs/>
        </w:rPr>
        <w:t xml:space="preserve">toujours le même jour</w:t>
      </w:r>
      <w:r>
        <w:t xml:space="preserve"> </w:t>
      </w:r>
      <w:r>
        <w:t xml:space="preserve">(par exemple le dimanche matin au petit-déjeuner). Commencez 1 semaine avant le départ, prenez-le pendant tout le séjour et</w:t>
      </w:r>
      <w:r>
        <w:t xml:space="preserve"> </w:t>
      </w:r>
      <w:r>
        <w:rPr>
          <w:b/>
          <w:bCs/>
        </w:rPr>
        <w:t xml:space="preserve">continuez 4 semaines après votre retour</w:t>
      </w:r>
      <w:r>
        <w:t xml:space="preserve">. Aucun antipaludique ne protégeant à 100 %, vous devez</w:t>
      </w:r>
      <w:r>
        <w:t xml:space="preserve"> </w:t>
      </w:r>
      <w:r>
        <w:rPr>
          <w:b/>
          <w:bCs/>
        </w:rPr>
        <w:t xml:space="preserve">also utiliser des moustiquaires imprégnées de pyréthrinoïdes, des répulsifs cutanés (DEET 20-50 %, IR3535) et porter des vêtements longs et clairs au crépuscule</w:t>
      </w:r>
      <w:r>
        <w:t xml:space="preserve">. Consultez en urgence si fièvre &gt; 38 °C dans les 3 mois suivant le retour. »</w:t>
      </w:r>
    </w:p>
    <w:p>
      <w:pPr>
        <w:pStyle w:val="Compact"/>
        <w:numPr>
          <w:ilvl w:val="1"/>
          <w:numId w:val="1234"/>
        </w:numPr>
      </w:pPr>
      <w:r>
        <w:rPr>
          <w:i/>
          <w:iCs/>
        </w:rPr>
        <w:t xml:space="preserve">Pour traitement curatif</w:t>
      </w:r>
      <w:r>
        <w:t xml:space="preserve"> </w:t>
      </w:r>
      <w:r>
        <w:t xml:space="preserve">: « Prenez les comprimés au cours des repas. La fièvre doit baisser en 48-72 h ; si elle persiste ou réapparaît, consultez en urgence. »</w:t>
      </w:r>
    </w:p>
    <w:p>
      <w:pPr>
        <w:pStyle w:val="Compact"/>
        <w:numPr>
          <w:ilvl w:val="1"/>
          <w:numId w:val="1234"/>
        </w:numPr>
      </w:pPr>
      <w:r>
        <w:rPr>
          <w:i/>
          <w:iCs/>
        </w:rPr>
        <w:t xml:space="preserve">Pour autoimmune</w:t>
      </w:r>
      <w:r>
        <w:t xml:space="preserve"> </w:t>
      </w:r>
      <w:r>
        <w:t xml:space="preserve">: « Prenez le traitement régulièrement, sans oubli. Une surveillance annuelle de vos yeux chez l’ophtalmologiste est indispensable. Signalez tout trouble visuel (lumière décalée, scotome, modification de la vision des couleurs) immédiatement. »</w:t>
      </w:r>
    </w:p>
    <w:p>
      <w:pPr>
        <w:pStyle w:val="Compact"/>
        <w:numPr>
          <w:ilvl w:val="0"/>
          <w:numId w:val="1233"/>
        </w:numPr>
      </w:pPr>
      <w:r>
        <w:t xml:space="preserve">Mode d’utilisation pratique :</w:t>
      </w:r>
    </w:p>
    <w:p>
      <w:pPr>
        <w:pStyle w:val="Compact"/>
        <w:numPr>
          <w:ilvl w:val="1"/>
          <w:numId w:val="1235"/>
        </w:numPr>
      </w:pPr>
      <w:r>
        <w:t xml:space="preserve">Insister sur la</w:t>
      </w:r>
      <w:r>
        <w:t xml:space="preserve"> </w:t>
      </w:r>
      <w:r>
        <w:rPr>
          <w:b/>
          <w:bCs/>
        </w:rPr>
        <w:t xml:space="preserve">prise hebdomadaire stricte</w:t>
      </w:r>
      <w:r>
        <w:t xml:space="preserve"> </w:t>
      </w:r>
      <w:r>
        <w:t xml:space="preserve">en prophylaxie (alarme téléphone, calendrier).</w:t>
      </w:r>
    </w:p>
    <w:p>
      <w:pPr>
        <w:pStyle w:val="Compact"/>
        <w:numPr>
          <w:ilvl w:val="1"/>
          <w:numId w:val="1235"/>
        </w:numPr>
      </w:pPr>
      <w:r>
        <w:t xml:space="preserve">En cas d’oubli &lt; 2 jours en prophylaxie : prendre dès que possible puis reprendre le rythme hebdomadaire.</w:t>
      </w:r>
    </w:p>
    <w:p>
      <w:pPr>
        <w:pStyle w:val="Compact"/>
        <w:numPr>
          <w:ilvl w:val="1"/>
          <w:numId w:val="1235"/>
        </w:numPr>
      </w:pPr>
      <w:r>
        <w:t xml:space="preserve">En cas de vomissement dans l’heure suivant la prise : reprendre la dose (le médicament n’a pas été absorbé).</w:t>
      </w:r>
    </w:p>
    <w:p>
      <w:pPr>
        <w:pStyle w:val="Compact"/>
        <w:numPr>
          <w:ilvl w:val="1"/>
          <w:numId w:val="1235"/>
        </w:numPr>
      </w:pPr>
      <w:r>
        <w:t xml:space="preserve">Conserver les comprimés à température ambiante (&lt; 25 °C), à l’abri de l’humidité et de la lumière, hors de portée des enfants (la chloroquine est une cause classique d’intoxication accidentelle mortelle chez l’enfant — cf. Pièges).</w:t>
      </w:r>
    </w:p>
    <w:p>
      <w:pPr>
        <w:pStyle w:val="FirstParagraph"/>
      </w:pPr>
      <w:r>
        <w:rPr>
          <w:b/>
          <w:bCs/>
        </w:rPr>
        <w:t xml:space="preserve">Notes, Règles d’Or &amp; Pièges au Comptoir :</w:t>
      </w:r>
    </w:p>
    <w:p>
      <w:pPr>
        <w:pStyle w:val="Compact"/>
        <w:numPr>
          <w:ilvl w:val="0"/>
          <w:numId w:val="1236"/>
        </w:numPr>
      </w:pPr>
      <w:r>
        <w:rPr>
          <w:b/>
          <w:bCs/>
        </w:rPr>
        <w:t xml:space="preserve">Piège classique n°1 — surdosage pédiatrique accidentel</w:t>
      </w:r>
      <w:r>
        <w:t xml:space="preserve"> </w:t>
      </w:r>
      <w:r>
        <w:t xml:space="preserve">: la chloroquine a une</w:t>
      </w:r>
      <w:r>
        <w:t xml:space="preserve"> </w:t>
      </w:r>
      <w:r>
        <w:rPr>
          <w:b/>
          <w:bCs/>
        </w:rPr>
        <w:t xml:space="preserve">marge thérapeutique étroite chez l’enfant</w:t>
      </w:r>
      <w:r>
        <w:t xml:space="preserve">, avec une dose potentiellement létale estimée à</w:t>
      </w:r>
      <w:r>
        <w:t xml:space="preserve"> </w:t>
      </w:r>
      <w:r>
        <w:rPr>
          <w:b/>
          <w:bCs/>
        </w:rPr>
        <w:t xml:space="preserve">20 mg/kg de base en une prise</w:t>
      </w:r>
      <w:r>
        <w:t xml:space="preserve"> </w:t>
      </w:r>
      <w:r>
        <w:t xml:space="preserve">(soit 30 mg/kg de sel). Un seul comprimé de 500 mg (300 mg base) peut être mortel chez un enfant de 10 kg. Prévenir les parents de la nécessité de stocker hors de portée, en emballage sécurisé.</w:t>
      </w:r>
    </w:p>
    <w:p>
      <w:pPr>
        <w:pStyle w:val="Compact"/>
        <w:numPr>
          <w:ilvl w:val="0"/>
          <w:numId w:val="1236"/>
        </w:numPr>
      </w:pPr>
      <w:r>
        <w:rPr>
          <w:b/>
          <w:bCs/>
        </w:rPr>
        <w:t xml:space="preserve">Piège n°2 — chloroquine pour paludisme résistant</w:t>
      </w:r>
      <w:r>
        <w:t xml:space="preserve"> </w:t>
      </w:r>
      <w:r>
        <w:t xml:space="preserve">: prescrire de la chloroquine pour un paludisme à</w:t>
      </w:r>
      <w:r>
        <w:t xml:space="preserve"> </w:t>
      </w:r>
      <w:r>
        <w:rPr>
          <w:i/>
          <w:iCs/>
        </w:rPr>
        <w:t xml:space="preserve">P. falciparum</w:t>
      </w:r>
      <w:r>
        <w:t xml:space="preserve"> </w:t>
      </w:r>
      <w:r>
        <w:t xml:space="preserve">contracté en Afrique subsaharienne expose à un</w:t>
      </w:r>
      <w:r>
        <w:t xml:space="preserve"> </w:t>
      </w:r>
      <w:r>
        <w:rPr>
          <w:b/>
          <w:bCs/>
        </w:rPr>
        <w:t xml:space="preserve">échec thérapeutique précoce (J3)</w:t>
      </w:r>
      <w:r>
        <w:t xml:space="preserve"> </w:t>
      </w:r>
      <w:r>
        <w:t xml:space="preserve">avec risque d’évolution vers le paludisme grave. Vérifier la zone de contamination et se référer à la carte OMS actualisée. Pour l’Afrique, l’ACT (artéméther + lumefantrine ou artésunate + amodiaquine) est le traitement recommandé — mais</w:t>
      </w:r>
      <w:r>
        <w:t xml:space="preserve"> </w:t>
      </w:r>
      <w:r>
        <w:rPr>
          <w:b/>
          <w:bCs/>
        </w:rPr>
        <w:t xml:space="preserve">non disponible en Algérie</w:t>
      </w:r>
      <w:r>
        <w:t xml:space="preserve"> </w:t>
      </w:r>
      <w:r>
        <w:t xml:space="preserve">: le patient doit être référé à l’étranger ou traité en milieu hospitalier par artésunate injectable si forme grave, ou par l’association atovaquone + proguanil (à importer).</w:t>
      </w:r>
    </w:p>
    <w:p>
      <w:pPr>
        <w:pStyle w:val="Compact"/>
        <w:numPr>
          <w:ilvl w:val="0"/>
          <w:numId w:val="1236"/>
        </w:numPr>
      </w:pPr>
      <w:r>
        <w:rPr>
          <w:b/>
          <w:bCs/>
        </w:rPr>
        <w:t xml:space="preserve">Piège n°3 — hydroxychloroquine sans examen ophtalmo annuel</w:t>
      </w:r>
      <w:r>
        <w:t xml:space="preserve"> </w:t>
      </w:r>
      <w:r>
        <w:t xml:space="preserve">: pour un traitement lupique prolongé, l’absence de surveillance ophtalmologique annuelle (à partir de 5 ans de traitement, plus précocement si terrain à risque) fait courir un risque de</w:t>
      </w:r>
      <w:r>
        <w:t xml:space="preserve"> </w:t>
      </w:r>
      <w:r>
        <w:rPr>
          <w:b/>
          <w:bCs/>
        </w:rPr>
        <w:t xml:space="preserve">maculopathie en œil de bœuf irréversible</w:t>
      </w:r>
      <w:r>
        <w:t xml:space="preserve"> </w:t>
      </w:r>
      <w:r>
        <w:t xml:space="preserve">pouvant évoluer vers la cécité légale.</w:t>
      </w:r>
    </w:p>
    <w:p>
      <w:pPr>
        <w:pStyle w:val="Compact"/>
        <w:numPr>
          <w:ilvl w:val="0"/>
          <w:numId w:val="1236"/>
        </w:numPr>
      </w:pPr>
      <w:r>
        <w:t xml:space="preserve">Règle de prise : la</w:t>
      </w:r>
      <w:r>
        <w:t xml:space="preserve"> </w:t>
      </w:r>
      <w:r>
        <w:rPr>
          <w:b/>
          <w:bCs/>
        </w:rPr>
        <w:t xml:space="preserve">dose hebdomadaire prophylactique ne doit jamais être doublée</w:t>
      </w:r>
      <w:r>
        <w:t xml:space="preserve"> </w:t>
      </w:r>
      <w:r>
        <w:t xml:space="preserve">en cas d’oubli (risque cardiaque et neurologique) ; espacer les prises de 7 jours exactement.</w:t>
      </w:r>
    </w:p>
    <w:p>
      <w:pPr>
        <w:pStyle w:val="Compact"/>
        <w:numPr>
          <w:ilvl w:val="0"/>
          <w:numId w:val="1236"/>
        </w:numPr>
      </w:pPr>
      <w:r>
        <w:t xml:space="preserve">Préparation et Conservation : comprimés à conserver à température &lt; 25 °C, à l’abri de l’humidité et de la lumière (la chloroquine se dégrade à la lumière). Ne pas utiliser si décoloration.</w:t>
      </w:r>
    </w:p>
    <w:p>
      <w:pPr>
        <w:pStyle w:val="Compact"/>
        <w:numPr>
          <w:ilvl w:val="0"/>
          <w:numId w:val="1236"/>
        </w:numPr>
      </w:pPr>
      <w:r>
        <w:t xml:space="preserve">Piège du surdosage / Substitution : en cas d’intoxication aiguë volontaire ou accidentelle, l’</w:t>
      </w:r>
      <w:r>
        <w:rPr>
          <w:b/>
          <w:bCs/>
        </w:rPr>
        <w:t xml:space="preserve">antidote spécifique n’existe pas</w:t>
      </w:r>
      <w:r>
        <w:t xml:space="preserve"> </w:t>
      </w:r>
      <w:r>
        <w:t xml:space="preserve">; la prise en charge repose sur le diazépam IV (anti-convulsivant et antagoniste partiel de la toxicité cardiaque), l’adrénaline à forte dose, le bicarbonate de sodium et la surveillance en réanimation — mortalité élevée (30-50 %).</w:t>
      </w:r>
    </w:p>
    <w:p>
      <w:r>
        <w:pict>
          <v:rect style="width:0;height:1.5pt" o:hralign="center" o:hrstd="t" o:hr="t"/>
        </w:pict>
      </w:r>
    </w:p>
    <w:bookmarkEnd w:id="111"/>
    <w:bookmarkStart w:id="112" w:name="dci-hydroxychloroquine-seule"/>
    <w:p>
      <w:pPr>
        <w:pStyle w:val="Heading3"/>
      </w:pPr>
      <w:r>
        <w:t xml:space="preserve">2. DCI : Hydroxychloroquine (Seule)</w:t>
      </w:r>
    </w:p>
    <w:p>
      <w:pPr>
        <w:pStyle w:val="FirstParagraph"/>
      </w:pPr>
      <w:r>
        <w:rPr>
          <w:b/>
          <w:bCs/>
        </w:rPr>
        <w:t xml:space="preserve">Liste des Catégories :</w:t>
      </w:r>
      <w:r>
        <w:t xml:space="preserve"> </w:t>
      </w:r>
      <w:r>
        <w:t xml:space="preserve">Antipaludique — 4-aminoquinoléine (dérivé hydroxylé de la chloroquine). Liste II (Plaquenil), Liste I (Beker). Antirhumatismal modificateur de la maladie (DMARD) conventionnel synthétique.</w:t>
      </w:r>
    </w:p>
    <w:p>
      <w:pPr>
        <w:pStyle w:val="BodyText"/>
      </w:pPr>
      <w:r>
        <w:t xml:space="preserve">L’hydroxychloroquine (Plaquenil), commercialisée en 1955, diffère de la chloroquine par l’adjonction d’un</w:t>
      </w:r>
      <w:r>
        <w:t xml:space="preserve"> </w:t>
      </w:r>
      <w:r>
        <w:rPr>
          <w:b/>
          <w:bCs/>
        </w:rPr>
        <w:t xml:space="preserve">groupement hydroxyle en position 2 de la chaîne latérale</w:t>
      </w:r>
      <w:r>
        <w:t xml:space="preserve"> </w:t>
      </w:r>
      <w:r>
        <w:t xml:space="preserve">(–OH sur le carbone terminal de la chaîne amino-latérale), modification qui réduit légèrement l’activité antipalustre mais améliore considérablement la tolérance, notamment oculaire (réduction d’environ 50 % du risque de maculopathie par rapport à la chloroquine pour une même dose cumulée). Devenue la molécule de référence pour les maladies auto-immunes (lupus érythémateux systémique, polyarthrite rhumatoïde, syndrome de Gougerot-Sjögren), elle conserve aussi son AMM dans le traitement et la prophylaxie du paludisme. L’épisode COVID-19 a fait l’objet d’une prescription massive « off-label » en 2020 avant que les essais contrôlés ne démontrent l’absence d’efficacité et un surcroît de mortalité cardiaque (allongement QT, troubles du rythme).</w:t>
      </w:r>
    </w:p>
    <w:p>
      <w:pPr>
        <w:pStyle w:val="BodyText"/>
      </w:pPr>
      <w:r>
        <w:rPr>
          <w:b/>
          <w:bCs/>
        </w:rPr>
        <w:t xml:space="preserve">Médicaments disponibles en Algérie (Marques, Laboratoires, Formes et Dosages) :</w:t>
      </w:r>
    </w:p>
    <w:p>
      <w:pPr>
        <w:pStyle w:val="Compact"/>
        <w:numPr>
          <w:ilvl w:val="0"/>
          <w:numId w:val="1237"/>
        </w:numPr>
      </w:pPr>
      <w:r>
        <w:rPr>
          <w:b/>
          <w:bCs/>
        </w:rPr>
        <w:t xml:space="preserve">HCQ-SAIDAL</w:t>
      </w:r>
      <w:r>
        <w:t xml:space="preserve"> </w:t>
      </w:r>
      <w:r>
        <w:t xml:space="preserve">(GROUPE SAIDAL)</w:t>
      </w:r>
    </w:p>
    <w:p>
      <w:pPr>
        <w:pStyle w:val="Compact"/>
        <w:numPr>
          <w:ilvl w:val="1"/>
          <w:numId w:val="1238"/>
        </w:numPr>
      </w:pPr>
      <w:r>
        <w:t xml:space="preserve">Formes et Dosages : Comprimé pelliculé 200 mg — Boîte de 30</w:t>
      </w:r>
    </w:p>
    <w:p>
      <w:pPr>
        <w:pStyle w:val="Compact"/>
        <w:numPr>
          <w:ilvl w:val="1"/>
          <w:numId w:val="1238"/>
        </w:numPr>
      </w:pPr>
      <w:r>
        <w:t xml:space="preserve">Statut :</w:t>
      </w:r>
      <w:r>
        <w:t xml:space="preserve"> </w:t>
      </w:r>
      <w:r>
        <w:rPr>
          <w:b/>
          <w:bCs/>
        </w:rPr>
        <w:t xml:space="preserve">ACTIF</w:t>
      </w:r>
      <w:r>
        <w:t xml:space="preserve"> </w:t>
      </w:r>
      <w:r>
        <w:t xml:space="preserve">— production locale algérienne</w:t>
      </w:r>
    </w:p>
    <w:p>
      <w:pPr>
        <w:pStyle w:val="Compact"/>
        <w:numPr>
          <w:ilvl w:val="1"/>
          <w:numId w:val="1238"/>
        </w:numPr>
      </w:pPr>
      <w:r>
        <w:t xml:space="preserve">Liste : Liste II</w:t>
      </w:r>
    </w:p>
    <w:p>
      <w:pPr>
        <w:pStyle w:val="Compact"/>
        <w:numPr>
          <w:ilvl w:val="0"/>
          <w:numId w:val="1237"/>
        </w:numPr>
      </w:pPr>
      <w:r>
        <w:rPr>
          <w:b/>
          <w:bCs/>
        </w:rPr>
        <w:t xml:space="preserve">HYDROXYCHLOROQUINE BEKER</w:t>
      </w:r>
      <w:r>
        <w:t xml:space="preserve"> </w:t>
      </w:r>
      <w:r>
        <w:t xml:space="preserve">(LABORATOIRES BEKER)</w:t>
      </w:r>
    </w:p>
    <w:p>
      <w:pPr>
        <w:pStyle w:val="Compact"/>
        <w:numPr>
          <w:ilvl w:val="1"/>
          <w:numId w:val="1239"/>
        </w:numPr>
      </w:pPr>
      <w:r>
        <w:t xml:space="preserve">Formes et Dosages : Comprimé pelliculé 200 mg — Boîte de 30</w:t>
      </w:r>
    </w:p>
    <w:p>
      <w:pPr>
        <w:pStyle w:val="Compact"/>
        <w:numPr>
          <w:ilvl w:val="1"/>
          <w:numId w:val="1239"/>
        </w:numPr>
      </w:pPr>
      <w:r>
        <w:t xml:space="preserve">Statut :</w:t>
      </w:r>
      <w:r>
        <w:t xml:space="preserve"> </w:t>
      </w:r>
      <w:r>
        <w:rPr>
          <w:b/>
          <w:bCs/>
        </w:rPr>
        <w:t xml:space="preserve">ACTIF</w:t>
      </w:r>
    </w:p>
    <w:p>
      <w:pPr>
        <w:pStyle w:val="Compact"/>
        <w:numPr>
          <w:ilvl w:val="1"/>
          <w:numId w:val="1239"/>
        </w:numPr>
      </w:pPr>
      <w:r>
        <w:t xml:space="preserve">Liste : Liste I</w:t>
      </w:r>
    </w:p>
    <w:p>
      <w:pPr>
        <w:pStyle w:val="Compact"/>
        <w:numPr>
          <w:ilvl w:val="0"/>
          <w:numId w:val="1237"/>
        </w:numPr>
      </w:pPr>
      <w:r>
        <w:rPr>
          <w:b/>
          <w:bCs/>
        </w:rPr>
        <w:t xml:space="preserve">PLAQUENIL</w:t>
      </w:r>
      <w:r>
        <w:t xml:space="preserve"> </w:t>
      </w:r>
      <w:r>
        <w:t xml:space="preserve">(SANOFI SYNTHELABO FRANCE)</w:t>
      </w:r>
    </w:p>
    <w:p>
      <w:pPr>
        <w:pStyle w:val="Compact"/>
        <w:numPr>
          <w:ilvl w:val="1"/>
          <w:numId w:val="1240"/>
        </w:numPr>
      </w:pPr>
      <w:r>
        <w:t xml:space="preserve">Formes et Dosages : Comprimé enrobé 200 mg — Boîte de 30</w:t>
      </w:r>
    </w:p>
    <w:p>
      <w:pPr>
        <w:pStyle w:val="Compact"/>
        <w:numPr>
          <w:ilvl w:val="1"/>
          <w:numId w:val="1240"/>
        </w:numPr>
      </w:pPr>
      <w:r>
        <w:t xml:space="preserve">Statut :</w:t>
      </w:r>
      <w:r>
        <w:t xml:space="preserve"> </w:t>
      </w:r>
      <w:r>
        <w:rPr>
          <w:b/>
          <w:bCs/>
        </w:rPr>
        <w:t xml:space="preserve">ACTIF</w:t>
      </w:r>
      <w:r>
        <w:t xml:space="preserve"> </w:t>
      </w:r>
      <w:r>
        <w:t xml:space="preserve">— marque historique de référence internationale</w:t>
      </w:r>
    </w:p>
    <w:p>
      <w:pPr>
        <w:pStyle w:val="Compact"/>
        <w:numPr>
          <w:ilvl w:val="1"/>
          <w:numId w:val="1240"/>
        </w:numPr>
      </w:pPr>
      <w:r>
        <w:t xml:space="preserve">Liste : non spécifiée (Liste I en France)</w:t>
      </w:r>
    </w:p>
    <w:p>
      <w:pPr>
        <w:pStyle w:val="Compact"/>
        <w:numPr>
          <w:ilvl w:val="0"/>
          <w:numId w:val="1237"/>
        </w:numPr>
      </w:pPr>
      <w:r>
        <w:rPr>
          <w:b/>
          <w:bCs/>
        </w:rPr>
        <w:t xml:space="preserve">XARIA</w:t>
      </w:r>
      <w:r>
        <w:t xml:space="preserve"> </w:t>
      </w:r>
      <w:r>
        <w:t xml:space="preserve">(CHIMIE PHARMACIE COMMERCE MULTIPLE — CPCM)</w:t>
      </w:r>
    </w:p>
    <w:p>
      <w:pPr>
        <w:pStyle w:val="Compact"/>
        <w:numPr>
          <w:ilvl w:val="1"/>
          <w:numId w:val="1241"/>
        </w:numPr>
      </w:pPr>
      <w:r>
        <w:t xml:space="preserve">Formes et Dosages : Comprimé pelliculé 200 mg — Boîte de 30</w:t>
      </w:r>
    </w:p>
    <w:p>
      <w:pPr>
        <w:pStyle w:val="Compact"/>
        <w:numPr>
          <w:ilvl w:val="1"/>
          <w:numId w:val="1241"/>
        </w:numPr>
      </w:pPr>
      <w:r>
        <w:t xml:space="preserve">Statut :</w:t>
      </w:r>
      <w:r>
        <w:t xml:space="preserve"> </w:t>
      </w:r>
      <w:r>
        <w:rPr>
          <w:b/>
          <w:bCs/>
        </w:rPr>
        <w:t xml:space="preserve">ACTIF</w:t>
      </w:r>
    </w:p>
    <w:p>
      <w:pPr>
        <w:pStyle w:val="Compact"/>
        <w:numPr>
          <w:ilvl w:val="1"/>
          <w:numId w:val="1241"/>
        </w:numPr>
      </w:pPr>
      <w:r>
        <w:t xml:space="preserve">Liste : Liste II</w:t>
      </w:r>
    </w:p>
    <w:p>
      <w:pPr>
        <w:pStyle w:val="Compact"/>
        <w:numPr>
          <w:ilvl w:val="0"/>
          <w:numId w:val="1237"/>
        </w:numPr>
      </w:pPr>
      <w:r>
        <w:rPr>
          <w:b/>
          <w:bCs/>
        </w:rPr>
        <w:t xml:space="preserve">NAQUINE</w:t>
      </w:r>
      <w:r>
        <w:t xml:space="preserve"> </w:t>
      </w:r>
      <w:r>
        <w:t xml:space="preserve">(NOVA ARGENTIA) — Non renouvelable</w:t>
      </w:r>
    </w:p>
    <w:p>
      <w:pPr>
        <w:pStyle w:val="Compact"/>
        <w:numPr>
          <w:ilvl w:val="1"/>
          <w:numId w:val="1242"/>
        </w:numPr>
      </w:pPr>
      <w:r>
        <w:t xml:space="preserve">Formes et Dosages : Dragées 200 mg — Boîte de 30</w:t>
      </w:r>
    </w:p>
    <w:p>
      <w:pPr>
        <w:pStyle w:val="Compact"/>
        <w:numPr>
          <w:ilvl w:val="1"/>
          <w:numId w:val="1242"/>
        </w:numPr>
      </w:pPr>
      <w:r>
        <w:t xml:space="preserve">Statut :</w:t>
      </w:r>
      <w:r>
        <w:t xml:space="preserve"> </w:t>
      </w:r>
      <w:r>
        <w:rPr>
          <w:b/>
          <w:bCs/>
        </w:rPr>
        <w:t xml:space="preserve">NON RENOUVELABLE</w:t>
      </w:r>
    </w:p>
    <w:p>
      <w:pPr>
        <w:pStyle w:val="FirstParagraph"/>
      </w:pPr>
      <w:r>
        <w:rPr>
          <w:b/>
          <w:bCs/>
        </w:rPr>
        <w:t xml:space="preserve">Note de disponibilité</w:t>
      </w:r>
      <w:r>
        <w:t xml:space="preserve"> </w:t>
      </w:r>
      <w:r>
        <w:t xml:space="preserve">: L’hydroxychloroquine est</w:t>
      </w:r>
      <w:r>
        <w:t xml:space="preserve"> </w:t>
      </w:r>
      <w:r>
        <w:rPr>
          <w:b/>
          <w:bCs/>
        </w:rPr>
        <w:t xml:space="preserve">l’antipaludique/auto-immun le mieux couvert sur le marché algérien</w:t>
      </w:r>
      <w:r>
        <w:t xml:space="preserve">, avec 4 spécialités actives (dont une production locale Saidal). La spécialité de référence internationale</w:t>
      </w:r>
      <w:r>
        <w:t xml:space="preserve"> </w:t>
      </w:r>
      <w:r>
        <w:rPr>
          <w:b/>
          <w:bCs/>
        </w:rPr>
        <w:t xml:space="preserve">Plaquenil</w:t>
      </w:r>
      <w:r>
        <w:t xml:space="preserve"> </w:t>
      </w:r>
      <w:r>
        <w:t xml:space="preserve">(Sanofi) est disponible, ainsi que trois génériques algériens (HCQ-SAIDAL, Beker, Xaria) assurant une bonne accessibilité économique. Tous les comprimés dosés à 200 mg de sulfate d’hydroxychloroquine correspondent à</w:t>
      </w:r>
      <w:r>
        <w:t xml:space="preserve"> </w:t>
      </w:r>
      <w:r>
        <w:rPr>
          <w:b/>
          <w:bCs/>
        </w:rPr>
        <w:t xml:space="preserve">155 mg de base</w:t>
      </w:r>
      <w:r>
        <w:t xml:space="preserve"> </w:t>
      </w:r>
      <w:r>
        <w:t xml:space="preserve">(ratio sel/base 1.29).</w:t>
      </w:r>
    </w:p>
    <w:p>
      <w:pPr>
        <w:pStyle w:val="BodyText"/>
      </w:pPr>
      <w:r>
        <w:rPr>
          <w:b/>
          <w:bCs/>
        </w:rPr>
        <w:t xml:space="preserve">Sous-classe et Mécanisme d’action :</w:t>
      </w:r>
    </w:p>
    <w:p>
      <w:pPr>
        <w:pStyle w:val="Compact"/>
        <w:numPr>
          <w:ilvl w:val="0"/>
          <w:numId w:val="1243"/>
        </w:numPr>
      </w:pPr>
      <w:r>
        <w:t xml:space="preserve">Sous-classe : 4-aminoquinoléine, dérivé hydroxylé de la chloroquine ; DMARD conventionnel synthétique pour les maladies auto-immunes.</w:t>
      </w:r>
    </w:p>
    <w:p>
      <w:pPr>
        <w:pStyle w:val="Compact"/>
        <w:numPr>
          <w:ilvl w:val="0"/>
          <w:numId w:val="1243"/>
        </w:numPr>
      </w:pPr>
      <w:r>
        <w:t xml:space="preserve">Mécanisme d’action :</w:t>
      </w:r>
    </w:p>
    <w:p>
      <w:pPr>
        <w:pStyle w:val="Compact"/>
        <w:numPr>
          <w:ilvl w:val="1"/>
          <w:numId w:val="1244"/>
        </w:numPr>
      </w:pPr>
      <w:r>
        <w:rPr>
          <w:i/>
          <w:iCs/>
        </w:rPr>
        <w:t xml:space="preserve">Antipalustre</w:t>
      </w:r>
      <w:r>
        <w:t xml:space="preserve"> </w:t>
      </w:r>
      <w:r>
        <w:t xml:space="preserve">: identique à la chloroquine — piégeage ionique dans la vacuole digestive acide du parasite, inhibition de la</w:t>
      </w:r>
      <w:r>
        <w:t xml:space="preserve"> </w:t>
      </w:r>
      <w:r>
        <w:rPr>
          <w:b/>
          <w:bCs/>
        </w:rPr>
        <w:t xml:space="preserve">hème polymérase</w:t>
      </w:r>
      <w:r>
        <w:t xml:space="preserve"> </w:t>
      </w:r>
      <w:r>
        <w:t xml:space="preserve">(</w:t>
      </w:r>
      <w:r>
        <w:rPr>
          <w:i/>
          <w:iCs/>
        </w:rPr>
        <w:t xml:space="preserve">PfHRP-II/III</w:t>
      </w:r>
      <w:r>
        <w:t xml:space="preserve">), accumulation d’hème monomérique toxique (effet détergent membranaire, inactivation des protéases, génération de radicaux oxydés par réaction de Fenton). Actif sur les trophozoïtes érythrocytaires de</w:t>
      </w:r>
      <w:r>
        <w:t xml:space="preserve"> </w:t>
      </w:r>
      <w:r>
        <w:rPr>
          <w:i/>
          <w:iCs/>
        </w:rPr>
        <w:t xml:space="preserve">P. vivax</w:t>
      </w:r>
      <w:r>
        <w:t xml:space="preserve"> </w:t>
      </w:r>
      <w:r>
        <w:t xml:space="preserve">(sensible),</w:t>
      </w:r>
      <w:r>
        <w:t xml:space="preserve"> </w:t>
      </w:r>
      <w:r>
        <w:rPr>
          <w:i/>
          <w:iCs/>
        </w:rPr>
        <w:t xml:space="preserve">P. ovale</w:t>
      </w:r>
      <w:r>
        <w:t xml:space="preserve">,</w:t>
      </w:r>
      <w:r>
        <w:t xml:space="preserve"> </w:t>
      </w:r>
      <w:r>
        <w:rPr>
          <w:i/>
          <w:iCs/>
        </w:rPr>
        <w:t xml:space="preserve">P. malariae</w:t>
      </w:r>
      <w:r>
        <w:t xml:space="preserve">,</w:t>
      </w:r>
      <w:r>
        <w:t xml:space="preserve"> </w:t>
      </w:r>
      <w:r>
        <w:rPr>
          <w:i/>
          <w:iCs/>
        </w:rPr>
        <w:t xml:space="preserve">P. knowlesi</w:t>
      </w:r>
      <w:r>
        <w:t xml:space="preserve"> </w:t>
      </w:r>
      <w:r>
        <w:t xml:space="preserve">et</w:t>
      </w:r>
      <w:r>
        <w:t xml:space="preserve"> </w:t>
      </w:r>
      <w:r>
        <w:rPr>
          <w:i/>
          <w:iCs/>
        </w:rPr>
        <w:t xml:space="preserve">P. falciparum</w:t>
      </w:r>
      <w:r>
        <w:t xml:space="preserve"> </w:t>
      </w:r>
      <w:r>
        <w:t xml:space="preserve">chloroquino-sensible. Inactif sur hypnozoïtes hépatiques et gamétocytes de</w:t>
      </w:r>
      <w:r>
        <w:t xml:space="preserve"> </w:t>
      </w:r>
      <w:r>
        <w:rPr>
          <w:i/>
          <w:iCs/>
        </w:rPr>
        <w:t xml:space="preserve">P. falciparum</w:t>
      </w:r>
      <w:r>
        <w:t xml:space="preserve">.</w:t>
      </w:r>
    </w:p>
    <w:p>
      <w:pPr>
        <w:pStyle w:val="Compact"/>
        <w:numPr>
          <w:ilvl w:val="1"/>
          <w:numId w:val="1244"/>
        </w:numPr>
      </w:pPr>
      <w:r>
        <w:rPr>
          <w:i/>
          <w:iCs/>
        </w:rPr>
        <w:t xml:space="preserve">Anti-inflammatoire/immunomodulateur</w:t>
      </w:r>
      <w:r>
        <w:t xml:space="preserve"> </w:t>
      </w:r>
      <w:r>
        <w:t xml:space="preserve">: plusieurs mécanismes complémentaires — (i) élévation du pH lysosomal des cellules présentatrices d’antigène → inhibition de la présentation antigénique par CMH II ; (ii) inhibition de l’</w:t>
      </w:r>
      <w:r>
        <w:rPr>
          <w:b/>
          <w:bCs/>
        </w:rPr>
        <w:t xml:space="preserve">endocytose des complexes immuns</w:t>
      </w:r>
      <w:r>
        <w:t xml:space="preserve"> </w:t>
      </w:r>
      <w:r>
        <w:t xml:space="preserve">et de l’activation du complément ; (iii) inhibition du</w:t>
      </w:r>
      <w:r>
        <w:t xml:space="preserve"> </w:t>
      </w:r>
      <w:r>
        <w:rPr>
          <w:b/>
          <w:bCs/>
        </w:rPr>
        <w:t xml:space="preserve">toll-like receptor 7/9 (TLR7/9)</w:t>
      </w:r>
      <w:r>
        <w:t xml:space="preserve"> </w:t>
      </w:r>
      <w:r>
        <w:t xml:space="preserve">endosomal (reconnaissance des acides nucléiques viraux et des complexes immuns — cœur de l’action dans le lupus) ; (iv) inhibition de la</w:t>
      </w:r>
      <w:r>
        <w:t xml:space="preserve"> </w:t>
      </w:r>
      <w:r>
        <w:rPr>
          <w:b/>
          <w:bCs/>
        </w:rPr>
        <w:t xml:space="preserve">cyclooxygénase</w:t>
      </w:r>
      <w:r>
        <w:t xml:space="preserve"> </w:t>
      </w:r>
      <w:r>
        <w:t xml:space="preserve">et de la phospholipase A2 ; (v) inhibition de la</w:t>
      </w:r>
      <w:r>
        <w:t xml:space="preserve"> </w:t>
      </w:r>
      <w:r>
        <w:rPr>
          <w:b/>
          <w:bCs/>
        </w:rPr>
        <w:t xml:space="preserve">caspase-1</w:t>
      </w:r>
      <w:r>
        <w:t xml:space="preserve"> </w:t>
      </w:r>
      <w:r>
        <w:t xml:space="preserve">et de l’inflammasome NLRP3 ; (vi) diminution de la production d’IL-1, IL-6, TNF-α ; (vii) inhibition de l’expression des molécules d’adhésion et de la migration leucocytaire. La concentration intracellulaire élevée dans les cellules immunitaires (jusqu’à 100× la concentration plasmatique, par piégeage lysosomal) explique l’efficacité immunomodulatrice à doses modérées.</w:t>
      </w:r>
    </w:p>
    <w:p>
      <w:pPr>
        <w:pStyle w:val="FirstParagraph"/>
      </w:pPr>
      <w:r>
        <w:rPr>
          <w:b/>
          <w:bCs/>
        </w:rPr>
        <w:t xml:space="preserve">Profil Pharmacologique :</w:t>
      </w:r>
    </w:p>
    <w:p>
      <w:pPr>
        <w:pStyle w:val="Compact"/>
        <w:numPr>
          <w:ilvl w:val="0"/>
          <w:numId w:val="1245"/>
        </w:numPr>
      </w:pPr>
      <w:r>
        <w:t xml:space="preserve">Indications :</w:t>
      </w:r>
    </w:p>
    <w:p>
      <w:pPr>
        <w:pStyle w:val="Compact"/>
        <w:numPr>
          <w:ilvl w:val="1"/>
          <w:numId w:val="1246"/>
        </w:numPr>
      </w:pPr>
      <w:r>
        <w:rPr>
          <w:i/>
          <w:iCs/>
        </w:rPr>
        <w:t xml:space="preserve">Lupus érythémateux systémique (LES)</w:t>
      </w:r>
      <w:r>
        <w:t xml:space="preserve"> </w:t>
      </w:r>
      <w:r>
        <w:t xml:space="preserve">: traitement de fond au long cours — réduction des poussées, épargne cortisonique, prévention du lupus néonatal et des thromboses (effet antiplaquettaire modéré), amélioration de la survie globale (la cohorte LUMINA a démontré une réduction de la mortalité).</w:t>
      </w:r>
      <w:r>
        <w:t xml:space="preserve"> </w:t>
      </w:r>
      <w:r>
        <w:rPr>
          <w:b/>
          <w:bCs/>
        </w:rPr>
        <w:t xml:space="preserve">À ne pas interrompre pendant la grossesse</w:t>
      </w:r>
      <w:r>
        <w:t xml:space="preserve"> </w:t>
      </w:r>
      <w:r>
        <w:t xml:space="preserve">(prévention du bloc atrio-ventriculaire congénital du lupus néonatal).</w:t>
      </w:r>
    </w:p>
    <w:p>
      <w:pPr>
        <w:pStyle w:val="Compact"/>
        <w:numPr>
          <w:ilvl w:val="1"/>
          <w:numId w:val="1246"/>
        </w:numPr>
      </w:pPr>
      <w:r>
        <w:rPr>
          <w:i/>
          <w:iCs/>
        </w:rPr>
        <w:t xml:space="preserve">Polyarthrite rhumatoïde</w:t>
      </w:r>
      <w:r>
        <w:t xml:space="preserve"> </w:t>
      </w:r>
      <w:r>
        <w:t xml:space="preserve">: DMARD de première intention (en alternative au méthotrexate) ou en association avec le méthotrexate ; utilisation en cas d’intolérance ou contre-indication au méthotrexate.</w:t>
      </w:r>
    </w:p>
    <w:p>
      <w:pPr>
        <w:pStyle w:val="Compact"/>
        <w:numPr>
          <w:ilvl w:val="1"/>
          <w:numId w:val="1246"/>
        </w:numPr>
      </w:pPr>
      <w:r>
        <w:rPr>
          <w:i/>
          <w:iCs/>
        </w:rPr>
        <w:t xml:space="preserve">Syndrome de Gougerot-Sjögren</w:t>
      </w:r>
      <w:r>
        <w:t xml:space="preserve"> </w:t>
      </w:r>
      <w:r>
        <w:t xml:space="preserve">: amélioration des symptômes articulaires et de la sécheresse (effet modeste).</w:t>
      </w:r>
    </w:p>
    <w:p>
      <w:pPr>
        <w:pStyle w:val="Compact"/>
        <w:numPr>
          <w:ilvl w:val="1"/>
          <w:numId w:val="1246"/>
        </w:numPr>
      </w:pPr>
      <w:r>
        <w:rPr>
          <w:i/>
          <w:iCs/>
        </w:rPr>
        <w:t xml:space="preserve">Paludisme</w:t>
      </w:r>
      <w:r>
        <w:t xml:space="preserve"> </w:t>
      </w:r>
      <w:r>
        <w:t xml:space="preserve">: traitement curatif et prophylaxie dans les zones à chloroquino-sensibilité conservée — indication historique conservée dans l’AMM mais aujourd’hui supplantée par la chloroquine en prophylaxie (meilleure documentation et moindre coût) ; utilisé lorsque la chloroquine n’est pas disponible.</w:t>
      </w:r>
    </w:p>
    <w:p>
      <w:pPr>
        <w:pStyle w:val="Compact"/>
        <w:numPr>
          <w:ilvl w:val="1"/>
          <w:numId w:val="1246"/>
        </w:numPr>
      </w:pPr>
      <w:r>
        <w:rPr>
          <w:i/>
          <w:iCs/>
        </w:rPr>
        <w:t xml:space="preserve">Q fever chronique</w:t>
      </w:r>
      <w:r>
        <w:t xml:space="preserve"> </w:t>
      </w:r>
      <w:r>
        <w:t xml:space="preserve">(Coxiella burnetii) : alternative à la doxycycline + hydroxychloroquine (pH lysosomal alcalinisant — coxiella se multiplie en milieu acide) — protocole Raoult.</w:t>
      </w:r>
    </w:p>
    <w:p>
      <w:pPr>
        <w:pStyle w:val="Compact"/>
        <w:numPr>
          <w:ilvl w:val="1"/>
          <w:numId w:val="1246"/>
        </w:numPr>
      </w:pPr>
      <w:r>
        <w:rPr>
          <w:i/>
          <w:iCs/>
        </w:rPr>
        <w:t xml:space="preserve">Sarcoïdose cutanée</w:t>
      </w:r>
      <w:r>
        <w:t xml:space="preserve"> </w:t>
      </w:r>
      <w:r>
        <w:t xml:space="preserve">(off-label).</w:t>
      </w:r>
    </w:p>
    <w:p>
      <w:pPr>
        <w:pStyle w:val="Compact"/>
        <w:numPr>
          <w:ilvl w:val="0"/>
          <w:numId w:val="1245"/>
        </w:numPr>
      </w:pPr>
      <w:r>
        <w:t xml:space="preserve">Contre-indications :</w:t>
      </w:r>
    </w:p>
    <w:p>
      <w:pPr>
        <w:pStyle w:val="Compact"/>
        <w:numPr>
          <w:ilvl w:val="1"/>
          <w:numId w:val="1247"/>
        </w:numPr>
      </w:pPr>
      <w:r>
        <w:rPr>
          <w:b/>
          <w:bCs/>
        </w:rPr>
        <w:t xml:space="preserve">Rétinopathie préexistante</w:t>
      </w:r>
      <w:r>
        <w:t xml:space="preserve"> </w:t>
      </w:r>
      <w:r>
        <w:t xml:space="preserve">(maculopathie, rétinite pigmentaire, atrophie géographique).</w:t>
      </w:r>
    </w:p>
    <w:p>
      <w:pPr>
        <w:pStyle w:val="Compact"/>
        <w:numPr>
          <w:ilvl w:val="1"/>
          <w:numId w:val="1247"/>
        </w:numPr>
      </w:pPr>
      <w:r>
        <w:rPr>
          <w:b/>
          <w:bCs/>
        </w:rPr>
        <w:t xml:space="preserve">Allaitement</w:t>
      </w:r>
      <w:r>
        <w:t xml:space="preserve"> </w:t>
      </w:r>
      <w:r>
        <w:t xml:space="preserve">(cf. ci-dessous).</w:t>
      </w:r>
    </w:p>
    <w:p>
      <w:pPr>
        <w:pStyle w:val="Compact"/>
        <w:numPr>
          <w:ilvl w:val="1"/>
          <w:numId w:val="1247"/>
        </w:numPr>
      </w:pPr>
      <w:r>
        <w:rPr>
          <w:b/>
          <w:bCs/>
        </w:rPr>
        <w:t xml:space="preserve">Hypersensibilité aux 4-aminoquinoléines</w:t>
      </w:r>
      <w:r>
        <w:t xml:space="preserve">.</w:t>
      </w:r>
    </w:p>
    <w:p>
      <w:pPr>
        <w:pStyle w:val="Compact"/>
        <w:numPr>
          <w:ilvl w:val="1"/>
          <w:numId w:val="1247"/>
        </w:numPr>
      </w:pPr>
      <w:r>
        <w:rPr>
          <w:b/>
          <w:bCs/>
        </w:rPr>
        <w:t xml:space="preserve">Déficit en G6PD</w:t>
      </w:r>
      <w:r>
        <w:t xml:space="preserve"> </w:t>
      </w:r>
      <w:r>
        <w:t xml:space="preserve">pour traitement curatif antipalustre (risque hémolyse).</w:t>
      </w:r>
    </w:p>
    <w:p>
      <w:pPr>
        <w:pStyle w:val="Compact"/>
        <w:numPr>
          <w:ilvl w:val="1"/>
          <w:numId w:val="1247"/>
        </w:numPr>
      </w:pPr>
      <w:r>
        <w:rPr>
          <w:b/>
          <w:bCs/>
        </w:rPr>
        <w:t xml:space="preserve">Psoriasis</w:t>
      </w:r>
      <w:r>
        <w:t xml:space="preserve"> </w:t>
      </w:r>
      <w:r>
        <w:t xml:space="preserve">(risque exacerbation).</w:t>
      </w:r>
    </w:p>
    <w:p>
      <w:pPr>
        <w:pStyle w:val="Compact"/>
        <w:numPr>
          <w:ilvl w:val="1"/>
          <w:numId w:val="1247"/>
        </w:numPr>
      </w:pPr>
      <w:r>
        <w:rPr>
          <w:b/>
          <w:bCs/>
        </w:rPr>
        <w:t xml:space="preserve">Porphyrie cutanée tarda</w:t>
      </w:r>
      <w:r>
        <w:t xml:space="preserve"> </w:t>
      </w:r>
      <w:r>
        <w:t xml:space="preserve">(paradoxalement, car l’hydroxychloroquine peut être utilisée à faible dose dans la PCT — prudence).</w:t>
      </w:r>
    </w:p>
    <w:p>
      <w:pPr>
        <w:pStyle w:val="Compact"/>
        <w:numPr>
          <w:ilvl w:val="1"/>
          <w:numId w:val="1247"/>
        </w:numPr>
      </w:pPr>
      <w:r>
        <w:rPr>
          <w:b/>
          <w:bCs/>
        </w:rPr>
        <w:t xml:space="preserve">Myasthénie</w:t>
      </w:r>
      <w:r>
        <w:t xml:space="preserve"> </w:t>
      </w:r>
      <w:r>
        <w:t xml:space="preserve">(risque d’aggravation, effet curarisant).</w:t>
      </w:r>
    </w:p>
    <w:p>
      <w:pPr>
        <w:pStyle w:val="Compact"/>
        <w:numPr>
          <w:ilvl w:val="1"/>
          <w:numId w:val="1247"/>
        </w:numPr>
      </w:pPr>
      <w:r>
        <w:t xml:space="preserve">Enfants &lt; 6 ans ou &lt; 35 kg (impossibilité d’adapter la dose avec le comprimé 200 mg — surdosage pédiatrique).</w:t>
      </w:r>
    </w:p>
    <w:p>
      <w:pPr>
        <w:pStyle w:val="Compact"/>
        <w:numPr>
          <w:ilvl w:val="0"/>
          <w:numId w:val="1245"/>
        </w:numPr>
      </w:pPr>
      <w:r>
        <w:t xml:space="preserve">Effets Indésirables : profil superposable à la chloroquine mais avec une</w:t>
      </w:r>
      <w:r>
        <w:t xml:space="preserve"> </w:t>
      </w:r>
      <w:r>
        <w:rPr>
          <w:b/>
          <w:bCs/>
        </w:rPr>
        <w:t xml:space="preserve">incidence et une sévérité moindres</w:t>
      </w:r>
      <w:r>
        <w:t xml:space="preserve"> </w:t>
      </w:r>
      <w:r>
        <w:t xml:space="preserve">(notamment oculaire) :</w:t>
      </w:r>
    </w:p>
    <w:p>
      <w:pPr>
        <w:pStyle w:val="Compact"/>
        <w:numPr>
          <w:ilvl w:val="1"/>
          <w:numId w:val="1248"/>
        </w:numPr>
      </w:pPr>
      <w:r>
        <w:rPr>
          <w:i/>
          <w:iCs/>
        </w:rPr>
        <w:t xml:space="preserve">Oculaires</w:t>
      </w:r>
      <w:r>
        <w:t xml:space="preserve"> </w:t>
      </w:r>
      <w:r>
        <w:t xml:space="preserve">: maculopathie en œil de bœuf (incidence 0.5-1 % à 5 ans, jusqu’à 4 % à 10 ans, ~20 % à 20 ans selon les études récentes — sous-estimée par les anciennes recommandations), atteinte cornéenne réversible (dépôts verticillata), scotome paracentral précoce (souvent asymptomatique — d’où l’importance du dépistage par OCT et champ visuel 10-2).</w:t>
      </w:r>
    </w:p>
    <w:p>
      <w:pPr>
        <w:pStyle w:val="Compact"/>
        <w:numPr>
          <w:ilvl w:val="1"/>
          <w:numId w:val="1248"/>
        </w:numPr>
      </w:pPr>
      <w:r>
        <w:rPr>
          <w:i/>
          <w:iCs/>
        </w:rPr>
        <w:t xml:space="preserve">Cardiaques</w:t>
      </w:r>
      <w:r>
        <w:t xml:space="preserve"> </w:t>
      </w:r>
      <w:r>
        <w:t xml:space="preserve">: allongement QTc, troubles de conduction (bloc AV), cardiomyopathie de surcharge (exceptionnelle, traitement &gt; 10 ans) — surmortalité rapportée dans les essais COVID-19 (Solidarity, Recovery).</w:t>
      </w:r>
    </w:p>
    <w:p>
      <w:pPr>
        <w:pStyle w:val="Compact"/>
        <w:numPr>
          <w:ilvl w:val="1"/>
          <w:numId w:val="1248"/>
        </w:numPr>
      </w:pPr>
      <w:r>
        <w:rPr>
          <w:i/>
          <w:iCs/>
        </w:rPr>
        <w:t xml:space="preserve">Cutanés</w:t>
      </w:r>
      <w:r>
        <w:t xml:space="preserve"> </w:t>
      </w:r>
      <w:r>
        <w:t xml:space="preserve">: éruptions diverses (morphée, érythème polymorphe, éruption lichénoïde), pigmentation ardoisée (surtout tibias et palais), exacerbation de psoriasis, prurit, alopécie.</w:t>
      </w:r>
    </w:p>
    <w:p>
      <w:pPr>
        <w:pStyle w:val="Compact"/>
        <w:numPr>
          <w:ilvl w:val="1"/>
          <w:numId w:val="1248"/>
        </w:numPr>
      </w:pPr>
      <w:r>
        <w:rPr>
          <w:i/>
          <w:iCs/>
        </w:rPr>
        <w:t xml:space="preserve">Neuromusculaires</w:t>
      </w:r>
      <w:r>
        <w:t xml:space="preserve"> </w:t>
      </w:r>
      <w:r>
        <w:t xml:space="preserve">: myopathie proximale (rare, dose-cumulative-dépendante, réversible à l’arrêt), neuropathie périphérique, céphalées, vertiges, insomnie, irritabilité, syndromes psychotiques exceptionnels.</w:t>
      </w:r>
    </w:p>
    <w:p>
      <w:pPr>
        <w:pStyle w:val="Compact"/>
        <w:numPr>
          <w:ilvl w:val="1"/>
          <w:numId w:val="1248"/>
        </w:numPr>
      </w:pPr>
      <w:r>
        <w:rPr>
          <w:i/>
          <w:iCs/>
        </w:rPr>
        <w:t xml:space="preserve">Digestifs</w:t>
      </w:r>
      <w:r>
        <w:t xml:space="preserve"> </w:t>
      </w:r>
      <w:r>
        <w:t xml:space="preserve">: nausées, vomissements, douleurs abdominales, anorexie (moins fréquents qu’avec la chloroquine).</w:t>
      </w:r>
    </w:p>
    <w:p>
      <w:pPr>
        <w:pStyle w:val="Compact"/>
        <w:numPr>
          <w:ilvl w:val="1"/>
          <w:numId w:val="1248"/>
        </w:numPr>
      </w:pPr>
      <w:r>
        <w:rPr>
          <w:i/>
          <w:iCs/>
        </w:rPr>
        <w:t xml:space="preserve">Hématologiques</w:t>
      </w:r>
      <w:r>
        <w:t xml:space="preserve"> </w:t>
      </w:r>
      <w:r>
        <w:t xml:space="preserve">: agranulocytose, anémie aplasique, thrombopénie (rares).</w:t>
      </w:r>
    </w:p>
    <w:p>
      <w:pPr>
        <w:pStyle w:val="Compact"/>
        <w:numPr>
          <w:ilvl w:val="1"/>
          <w:numId w:val="1248"/>
        </w:numPr>
      </w:pPr>
      <w:r>
        <w:rPr>
          <w:i/>
          <w:iCs/>
        </w:rPr>
        <w:t xml:space="preserve">Hépatiques</w:t>
      </w:r>
      <w:r>
        <w:t xml:space="preserve"> </w:t>
      </w:r>
      <w:r>
        <w:t xml:space="preserve">: cytolyse modérée transitoire.</w:t>
      </w:r>
    </w:p>
    <w:p>
      <w:pPr>
        <w:pStyle w:val="Compact"/>
        <w:numPr>
          <w:ilvl w:val="1"/>
          <w:numId w:val="1248"/>
        </w:numPr>
      </w:pPr>
      <w:r>
        <w:rPr>
          <w:i/>
          <w:iCs/>
        </w:rPr>
        <w:t xml:space="preserve">Métaboliques</w:t>
      </w:r>
      <w:r>
        <w:t xml:space="preserve"> </w:t>
      </w:r>
      <w:r>
        <w:t xml:space="preserve">: hypoglycémie (effet insulino-sécréteur et insulino-sensibilisant — parfois utilisé dans le diabète de type 2 sulfamide-résistant).</w:t>
      </w:r>
    </w:p>
    <w:p>
      <w:pPr>
        <w:pStyle w:val="Compact"/>
        <w:numPr>
          <w:ilvl w:val="1"/>
          <w:numId w:val="1248"/>
        </w:numPr>
      </w:pPr>
      <w:r>
        <w:rPr>
          <w:i/>
          <w:iCs/>
        </w:rPr>
        <w:t xml:space="preserve">Congénital</w:t>
      </w:r>
      <w:r>
        <w:t xml:space="preserve"> </w:t>
      </w:r>
      <w:r>
        <w:t xml:space="preserve">: aucune tératogénicité démontrée aux doses thérapeutiques (le seul effet fœtal rapporté est une modification transitoire de l’EEG néonatal).</w:t>
      </w:r>
    </w:p>
    <w:p>
      <w:pPr>
        <w:pStyle w:val="FirstParagraph"/>
      </w:pPr>
      <w:r>
        <w:rPr>
          <w:b/>
          <w:bCs/>
        </w:rPr>
        <w:t xml:space="preserve">Prévention et Gestion des Effets Indésirables :</w:t>
      </w:r>
    </w:p>
    <w:p>
      <w:pPr>
        <w:pStyle w:val="Compact"/>
        <w:numPr>
          <w:ilvl w:val="0"/>
          <w:numId w:val="1249"/>
        </w:numPr>
      </w:pPr>
      <w:r>
        <w:t xml:space="preserve">Mesures Préventives :</w:t>
      </w:r>
    </w:p>
    <w:p>
      <w:pPr>
        <w:pStyle w:val="Compact"/>
        <w:numPr>
          <w:ilvl w:val="1"/>
          <w:numId w:val="1250"/>
        </w:numPr>
      </w:pPr>
      <w:r>
        <w:rPr>
          <w:b/>
          <w:bCs/>
        </w:rPr>
        <w:t xml:space="preserve">Examen ophtalmologique initial</w:t>
      </w:r>
      <w:r>
        <w:t xml:space="preserve"> </w:t>
      </w:r>
      <w:r>
        <w:t xml:space="preserve">(acuité visuelle de loin et de près, vision des couleurs test d’Ishihara, fond d’œil avec macula, OCT maculaire en spectral-domain, champ visuel automatisé 10-2 ou 30-2) avant traitement ou dans la première année. Puis</w:t>
      </w:r>
      <w:r>
        <w:t xml:space="preserve"> </w:t>
      </w:r>
      <w:r>
        <w:rPr>
          <w:b/>
          <w:bCs/>
        </w:rPr>
        <w:t xml:space="preserve">surveillance annuelle à partir de 5 ans de traitement</w:t>
      </w:r>
      <w:r>
        <w:t xml:space="preserve"> </w:t>
      </w:r>
      <w:r>
        <w:t xml:space="preserve">(recommandations réactualisées AAO 2016 — anciennes recommandations à 5 ans, désormais surveillance annuelle d’emblée si facteurs de risque : dose &gt; 5 mg/kg/jour réel, durée &gt; 5 ans, insuffisance rénale, insuffisance hépatique, âge &gt; 60 ans, obésité, rétinopathie préexistante).</w:t>
      </w:r>
    </w:p>
    <w:p>
      <w:pPr>
        <w:pStyle w:val="Compact"/>
        <w:numPr>
          <w:ilvl w:val="1"/>
          <w:numId w:val="1250"/>
        </w:numPr>
      </w:pPr>
      <w:r>
        <w:t xml:space="preserve">Calcul de la dose en</w:t>
      </w:r>
      <w:r>
        <w:t xml:space="preserve"> </w:t>
      </w:r>
      <w:r>
        <w:rPr>
          <w:b/>
          <w:bCs/>
        </w:rPr>
        <w:t xml:space="preserve">mg/kg de poids réel</w:t>
      </w:r>
      <w:r>
        <w:t xml:space="preserve"> </w:t>
      </w:r>
      <w:r>
        <w:t xml:space="preserve">(et non poids idéal) — ne pas dépasser</w:t>
      </w:r>
      <w:r>
        <w:t xml:space="preserve"> </w:t>
      </w:r>
      <w:r>
        <w:rPr>
          <w:b/>
          <w:bCs/>
        </w:rPr>
        <w:t xml:space="preserve">5 mg/kg/jour de base</w:t>
      </w:r>
      <w:r>
        <w:t xml:space="preserve"> </w:t>
      </w:r>
      <w:r>
        <w:t xml:space="preserve">(= 6.5 mg/kg/jour de sel) — pour un patient de 60 kg, dose max 300 mg base/jour = 400 mg sel/jour (soit 2 cp/jour).</w:t>
      </w:r>
    </w:p>
    <w:p>
      <w:pPr>
        <w:pStyle w:val="Compact"/>
        <w:numPr>
          <w:ilvl w:val="1"/>
          <w:numId w:val="1250"/>
        </w:numPr>
      </w:pPr>
      <w:r>
        <w:rPr>
          <w:b/>
          <w:bCs/>
        </w:rPr>
        <w:t xml:space="preserve">ECG</w:t>
      </w:r>
      <w:r>
        <w:t xml:space="preserve"> </w:t>
      </w:r>
      <w:r>
        <w:t xml:space="preserve">avant traitement si terrain à risque cardiaque ou traitement associé allongeant le QT ; surveillance ECG si traitement prolongé.</w:t>
      </w:r>
    </w:p>
    <w:p>
      <w:pPr>
        <w:pStyle w:val="Compact"/>
        <w:numPr>
          <w:ilvl w:val="1"/>
          <w:numId w:val="1250"/>
        </w:numPr>
      </w:pPr>
      <w:r>
        <w:rPr>
          <w:b/>
          <w:bCs/>
        </w:rPr>
        <w:t xml:space="preserve">NFS et bilan hépatique</w:t>
      </w:r>
      <w:r>
        <w:t xml:space="preserve"> </w:t>
      </w:r>
      <w:r>
        <w:t xml:space="preserve">initial et semestriel.</w:t>
      </w:r>
    </w:p>
    <w:p>
      <w:pPr>
        <w:pStyle w:val="Compact"/>
        <w:numPr>
          <w:ilvl w:val="1"/>
          <w:numId w:val="1250"/>
        </w:numPr>
      </w:pPr>
      <w:r>
        <w:rPr>
          <w:b/>
          <w:bCs/>
        </w:rPr>
        <w:t xml:space="preserve">G6PD</w:t>
      </w:r>
      <w:r>
        <w:t xml:space="preserve"> </w:t>
      </w:r>
      <w:r>
        <w:t xml:space="preserve">avant traitement antipalustre curatif.</w:t>
      </w:r>
    </w:p>
    <w:p>
      <w:pPr>
        <w:pStyle w:val="Compact"/>
        <w:numPr>
          <w:ilvl w:val="1"/>
          <w:numId w:val="1250"/>
        </w:numPr>
      </w:pPr>
      <w:r>
        <w:t xml:space="preserve">Information du patient : ne pas arrêter brutalement en cas de grossesse lupique.</w:t>
      </w:r>
    </w:p>
    <w:p>
      <w:pPr>
        <w:pStyle w:val="Compact"/>
        <w:numPr>
          <w:ilvl w:val="0"/>
          <w:numId w:val="1249"/>
        </w:numPr>
      </w:pPr>
      <w:r>
        <w:t xml:space="preserve">Conduite à Tenir :</w:t>
      </w:r>
    </w:p>
    <w:p>
      <w:pPr>
        <w:pStyle w:val="Compact"/>
        <w:numPr>
          <w:ilvl w:val="1"/>
          <w:numId w:val="1251"/>
        </w:numPr>
      </w:pPr>
      <w:r>
        <w:rPr>
          <w:b/>
          <w:bCs/>
        </w:rPr>
        <w:t xml:space="preserve">Arrêt immédiat</w:t>
      </w:r>
      <w:r>
        <w:t xml:space="preserve"> </w:t>
      </w:r>
      <w:r>
        <w:t xml:space="preserve">en cas de signe précoce de toxicité rétinienne (OCT anormal, scotome paracentral, anomalie du champ visuel) — le risque de progression après arrêt (« chasing effect ») impose un suivi ophtalmologique à long terme.</w:t>
      </w:r>
    </w:p>
    <w:p>
      <w:pPr>
        <w:pStyle w:val="Compact"/>
        <w:numPr>
          <w:ilvl w:val="1"/>
          <w:numId w:val="1251"/>
        </w:numPr>
      </w:pPr>
      <w:r>
        <w:t xml:space="preserve">Arrêt en cas d’allongement QTc &gt; 500 ms, de trouble conductif ou de trouble du rythme.</w:t>
      </w:r>
    </w:p>
    <w:p>
      <w:pPr>
        <w:pStyle w:val="Compact"/>
        <w:numPr>
          <w:ilvl w:val="1"/>
          <w:numId w:val="1251"/>
        </w:numPr>
      </w:pPr>
      <w:r>
        <w:t xml:space="preserve">Réduction de dose ou arrêt en cas de faiblesse musculaire (CPK, EMG).</w:t>
      </w:r>
    </w:p>
    <w:p>
      <w:pPr>
        <w:pStyle w:val="Compact"/>
        <w:numPr>
          <w:ilvl w:val="1"/>
          <w:numId w:val="1251"/>
        </w:numPr>
      </w:pPr>
      <w:r>
        <w:t xml:space="preserve">En cas de grossesse lupique :</w:t>
      </w:r>
      <w:r>
        <w:t xml:space="preserve"> </w:t>
      </w:r>
      <w:r>
        <w:rPr>
          <w:b/>
          <w:bCs/>
        </w:rPr>
        <w:t xml:space="preserve">maintien du traitement</w:t>
      </w:r>
      <w:r>
        <w:t xml:space="preserve"> </w:t>
      </w:r>
      <w:r>
        <w:t xml:space="preserve">(la poursuite réduit le risque de poussée maternelle et de lupus néonatal avec bloc AV congénital).</w:t>
      </w:r>
    </w:p>
    <w:p>
      <w:pPr>
        <w:pStyle w:val="FirstParagraph"/>
      </w:pPr>
      <w:r>
        <w:rPr>
          <w:b/>
          <w:bCs/>
        </w:rPr>
        <w:t xml:space="preserve">Interactions Importantes :</w:t>
      </w:r>
    </w:p>
    <w:p>
      <w:pPr>
        <w:pStyle w:val="Compact"/>
        <w:numPr>
          <w:ilvl w:val="0"/>
          <w:numId w:val="1252"/>
        </w:numPr>
      </w:pPr>
      <w:r>
        <w:rPr>
          <w:b/>
          <w:bCs/>
        </w:rPr>
        <w:t xml:space="preserve">Hydroxychloroquine + antiacides (Mg/Al OH)</w:t>
      </w:r>
      <w:r>
        <w:t xml:space="preserve"> </w:t>
      </w:r>
      <w:r>
        <w:t xml:space="preserve">: ↓ absorption —</w:t>
      </w:r>
      <w:r>
        <w:t xml:space="preserve"> </w:t>
      </w:r>
      <w:r>
        <w:rPr>
          <w:b/>
          <w:bCs/>
        </w:rPr>
        <w:t xml:space="preserve">espacer de 4 heures</w:t>
      </w:r>
      <w:r>
        <w:t xml:space="preserve">.</w:t>
      </w:r>
    </w:p>
    <w:p>
      <w:pPr>
        <w:pStyle w:val="Compact"/>
        <w:numPr>
          <w:ilvl w:val="0"/>
          <w:numId w:val="1252"/>
        </w:numPr>
      </w:pPr>
      <w:r>
        <w:rPr>
          <w:b/>
          <w:bCs/>
        </w:rPr>
        <w:t xml:space="preserve">Hydroxychloroquine + amiodarone, sotalol, quinidine, dompéridone, cisapride, macrolides, fluoroquinolones</w:t>
      </w:r>
      <w:r>
        <w:t xml:space="preserve"> </w:t>
      </w:r>
      <w:r>
        <w:t xml:space="preserve">: allongement QT additif → risque de torsades de pointe.</w:t>
      </w:r>
    </w:p>
    <w:p>
      <w:pPr>
        <w:pStyle w:val="Compact"/>
        <w:numPr>
          <w:ilvl w:val="0"/>
          <w:numId w:val="1252"/>
        </w:numPr>
      </w:pPr>
      <w:r>
        <w:rPr>
          <w:b/>
          <w:bCs/>
        </w:rPr>
        <w:t xml:space="preserve">Hydroxychloroquine + digoxine</w:t>
      </w:r>
      <w:r>
        <w:t xml:space="preserve"> </w:t>
      </w:r>
      <w:r>
        <w:t xml:space="preserve">: ↑ concentration de digoxine (inhibition P-gp) — surveiller.</w:t>
      </w:r>
    </w:p>
    <w:p>
      <w:pPr>
        <w:pStyle w:val="Compact"/>
        <w:numPr>
          <w:ilvl w:val="0"/>
          <w:numId w:val="1252"/>
        </w:numPr>
      </w:pPr>
      <w:r>
        <w:rPr>
          <w:b/>
          <w:bCs/>
        </w:rPr>
        <w:t xml:space="preserve">Hydroxychloroquine + cimétidine</w:t>
      </w:r>
      <w:r>
        <w:t xml:space="preserve"> </w:t>
      </w:r>
      <w:r>
        <w:t xml:space="preserve">: ↑ hydroxychloroquine (inhibition métabolique).</w:t>
      </w:r>
    </w:p>
    <w:p>
      <w:pPr>
        <w:pStyle w:val="Compact"/>
        <w:numPr>
          <w:ilvl w:val="0"/>
          <w:numId w:val="1252"/>
        </w:numPr>
      </w:pPr>
      <w:r>
        <w:rPr>
          <w:b/>
          <w:bCs/>
        </w:rPr>
        <w:t xml:space="preserve">Hydroxychloroquine + ciclosporine/tacrolimus</w:t>
      </w:r>
      <w:r>
        <w:t xml:space="preserve"> </w:t>
      </w:r>
      <w:r>
        <w:t xml:space="preserve">: ↑ immunosuppresseur — surveillance concentrations.</w:t>
      </w:r>
    </w:p>
    <w:p>
      <w:pPr>
        <w:pStyle w:val="Compact"/>
        <w:numPr>
          <w:ilvl w:val="0"/>
          <w:numId w:val="1252"/>
        </w:numPr>
      </w:pPr>
      <w:r>
        <w:rPr>
          <w:b/>
          <w:bCs/>
        </w:rPr>
        <w:t xml:space="preserve">Hydroxychloroquine + méfloquine, halofantrine, lumefantrine</w:t>
      </w:r>
      <w:r>
        <w:t xml:space="preserve"> </w:t>
      </w:r>
      <w:r>
        <w:t xml:space="preserve">: ↑ toxicité cardiaque et convulsivante.</w:t>
      </w:r>
    </w:p>
    <w:p>
      <w:pPr>
        <w:pStyle w:val="Compact"/>
        <w:numPr>
          <w:ilvl w:val="0"/>
          <w:numId w:val="1252"/>
        </w:numPr>
      </w:pPr>
      <w:r>
        <w:rPr>
          <w:b/>
          <w:bCs/>
        </w:rPr>
        <w:t xml:space="preserve">Hydroxychloroquine + insuline/sulfamides</w:t>
      </w:r>
      <w:r>
        <w:t xml:space="preserve"> </w:t>
      </w:r>
      <w:r>
        <w:t xml:space="preserve">: potentialisation hypoglycémie — surveillance glycémie.</w:t>
      </w:r>
    </w:p>
    <w:p>
      <w:pPr>
        <w:pStyle w:val="Compact"/>
        <w:numPr>
          <w:ilvl w:val="0"/>
          <w:numId w:val="1252"/>
        </w:numPr>
      </w:pPr>
      <w:r>
        <w:rPr>
          <w:b/>
          <w:bCs/>
        </w:rPr>
        <w:t xml:space="preserve">Hydroxychloroquine + dabigatran, rivaroxaban, apixaban</w:t>
      </w:r>
      <w:r>
        <w:t xml:space="preserve"> </w:t>
      </w:r>
      <w:r>
        <w:t xml:space="preserve">: variation de l’INR/anti-Xa — surveillance hémorragique.</w:t>
      </w:r>
    </w:p>
    <w:p>
      <w:pPr>
        <w:pStyle w:val="Compact"/>
        <w:numPr>
          <w:ilvl w:val="0"/>
          <w:numId w:val="1252"/>
        </w:numPr>
      </w:pPr>
      <w:r>
        <w:rPr>
          <w:b/>
          <w:bCs/>
        </w:rPr>
        <w:t xml:space="preserve">Hydroxychloroquine + agalsidase</w:t>
      </w:r>
      <w:r>
        <w:t xml:space="preserve"> </w:t>
      </w:r>
      <w:r>
        <w:t xml:space="preserve">(enzymothérapie maladie de Fabry) : ↓ efficacité de l’agalsidase (inhibition de l’internalisation).</w:t>
      </w:r>
    </w:p>
    <w:p>
      <w:pPr>
        <w:pStyle w:val="FirstParagraph"/>
      </w:pPr>
      <w:r>
        <w:rPr>
          <w:b/>
          <w:bCs/>
        </w:rPr>
        <w:t xml:space="preserve">Grossesse et Allaitement :</w:t>
      </w:r>
    </w:p>
    <w:p>
      <w:pPr>
        <w:pStyle w:val="Compact"/>
        <w:numPr>
          <w:ilvl w:val="0"/>
          <w:numId w:val="1253"/>
        </w:numPr>
      </w:pPr>
      <w:r>
        <w:t xml:space="preserve">Grossesse :</w:t>
      </w:r>
      <w:r>
        <w:t xml:space="preserve"> </w:t>
      </w:r>
      <w:r>
        <w:rPr>
          <w:b/>
          <w:bCs/>
        </w:rPr>
        <w:t xml:space="preserve">Compatible à toutes les phases de la grossesse</w:t>
      </w:r>
      <w:r>
        <w:t xml:space="preserve"> </w:t>
      </w:r>
      <w:r>
        <w:t xml:space="preserve">aux doses antipalustres et autoimmune (CRAT, OMS, ACR 2020). Aucune tératogénicité démontrée (l’analyse de plus de 1500 grossesses exposées n’a pas montré d’excès de malformations). Pour la femme lupique,</w:t>
      </w:r>
      <w:r>
        <w:t xml:space="preserve"> </w:t>
      </w:r>
      <w:r>
        <w:rPr>
          <w:b/>
          <w:bCs/>
        </w:rPr>
        <w:t xml:space="preserve">le traitement doit être maintenu pendant toute la grossesse</w:t>
      </w:r>
      <w:r>
        <w:t xml:space="preserve"> </w:t>
      </w:r>
      <w:r>
        <w:t xml:space="preserve">car il réduit le risque de poussée maternelle (poussée lupique pendant la grossesse = risque de prématurité, mort fœtale, prééclampsie) et le risque de</w:t>
      </w:r>
      <w:r>
        <w:t xml:space="preserve"> </w:t>
      </w:r>
      <w:r>
        <w:rPr>
          <w:b/>
          <w:bCs/>
        </w:rPr>
        <w:t xml:space="preserve">lupus néonatal avec bloc atrio-ventriculaire congénital complet</w:t>
      </w:r>
      <w:r>
        <w:t xml:space="preserve"> </w:t>
      </w:r>
      <w:r>
        <w:t xml:space="preserve">(BAVCC) — l’hydroxychloroquine réduit de moitié le risque de récidive de BAVCC chez les mères anti-Ro/SSA+ ayant déjà eu un enfant atteint. L’allaitement est possible (cf. ci-dessous).</w:t>
      </w:r>
    </w:p>
    <w:p>
      <w:pPr>
        <w:pStyle w:val="Compact"/>
        <w:numPr>
          <w:ilvl w:val="0"/>
          <w:numId w:val="1253"/>
        </w:numPr>
      </w:pPr>
      <w:r>
        <w:t xml:space="preserve">Allaitement :</w:t>
      </w:r>
      <w:r>
        <w:t xml:space="preserve"> </w:t>
      </w:r>
      <w:r>
        <w:rPr>
          <w:b/>
          <w:bCs/>
        </w:rPr>
        <w:t xml:space="preserve">Compatible</w:t>
      </w:r>
      <w:r>
        <w:t xml:space="preserve"> </w:t>
      </w:r>
      <w:r>
        <w:t xml:space="preserve">(CRAT) — l’hydroxychloroquine passe dans le lait (rapport lait/plasma ≈ 0.4-1.0) mais la quantité ingérée par le nourrisson est très inférieure à la dose thérapeutique pédiatrique (estimation ~1 % de la dose maternelle par kg). Aucun effet indésirable décrit chez le nourrisson allaité (y compris à long terme) dans les séries publiées. Néanmoins, par mesure de précaution, l’AMM française mentionne l’allaitement comme CI en raison de la demi-vie longue et de l’accumulation tissulaire possible — la pratique clinique (CRAT, ACR, EULAR) retient la compatibilité.</w:t>
      </w:r>
    </w:p>
    <w:p>
      <w:pPr>
        <w:pStyle w:val="Compact"/>
        <w:numPr>
          <w:ilvl w:val="0"/>
          <w:numId w:val="1253"/>
        </w:numPr>
      </w:pPr>
      <w:r>
        <w:t xml:space="preserve">Précisions : pour une femme envisageant une grossesse lupique,</w:t>
      </w:r>
      <w:r>
        <w:t xml:space="preserve"> </w:t>
      </w:r>
      <w:r>
        <w:rPr>
          <w:b/>
          <w:bCs/>
        </w:rPr>
        <w:t xml:space="preserve">ne pas arrêter l’hydroxychloroquine</w:t>
      </w:r>
      <w:r>
        <w:t xml:space="preserve"> </w:t>
      </w:r>
      <w:r>
        <w:t xml:space="preserve">; au contraire, débuter ou maintenir le traitement avant la conception réduit les complications obstétricales.</w:t>
      </w:r>
    </w:p>
    <w:p>
      <w:pPr>
        <w:pStyle w:val="FirstParagraph"/>
      </w:pPr>
      <w:r>
        <w:rPr>
          <w:b/>
          <w:bCs/>
        </w:rPr>
        <w:t xml:space="preserve">Posologie et Mode d’administration (Standard) :</w:t>
      </w:r>
    </w:p>
    <w:p>
      <w:pPr>
        <w:pStyle w:val="Compact"/>
        <w:numPr>
          <w:ilvl w:val="0"/>
          <w:numId w:val="1254"/>
        </w:numPr>
      </w:pPr>
      <w:r>
        <w:t xml:space="preserve">Adulte :</w:t>
      </w:r>
    </w:p>
    <w:p>
      <w:pPr>
        <w:pStyle w:val="Compact"/>
        <w:numPr>
          <w:ilvl w:val="1"/>
          <w:numId w:val="1255"/>
        </w:numPr>
      </w:pPr>
      <w:r>
        <w:rPr>
          <w:i/>
          <w:iCs/>
        </w:rPr>
        <w:t xml:space="preserve">Auto-immune (lupus, PR, Gougerot-Sjögren)</w:t>
      </w:r>
      <w:r>
        <w:t xml:space="preserve"> </w:t>
      </w:r>
      <w:r>
        <w:t xml:space="preserve">:</w:t>
      </w:r>
      <w:r>
        <w:t xml:space="preserve"> </w:t>
      </w:r>
      <w:r>
        <w:rPr>
          <w:b/>
          <w:bCs/>
        </w:rPr>
        <w:t xml:space="preserve">200 à 400 mg de sel/jour (= 155 à 310 mg base/jour)</w:t>
      </w:r>
      <w:r>
        <w:t xml:space="preserve">, soit 1 à 2 comprimés par jour, en une ou deux prises au cours des repas. Dose maximale recommandée :</w:t>
      </w:r>
      <w:r>
        <w:t xml:space="preserve"> </w:t>
      </w:r>
      <w:r>
        <w:rPr>
          <w:b/>
          <w:bCs/>
        </w:rPr>
        <w:t xml:space="preserve">≤ 5 mg/kg/jour de base</w:t>
      </w:r>
      <w:r>
        <w:t xml:space="preserve"> </w:t>
      </w:r>
      <w:r>
        <w:t xml:space="preserve">(calcul sur poids réel), soit en pratique 400 mg sel/jour max pour un patient ≥ 65 kg. Effet retardé — évaluer l’efficacité après</w:t>
      </w:r>
      <w:r>
        <w:t xml:space="preserve"> </w:t>
      </w:r>
      <w:r>
        <w:rPr>
          <w:b/>
          <w:bCs/>
        </w:rPr>
        <w:t xml:space="preserve">3 à 6 mois</w:t>
      </w:r>
      <w:r>
        <w:t xml:space="preserve"> </w:t>
      </w:r>
      <w:r>
        <w:t xml:space="preserve">avant de conclure à un échec.</w:t>
      </w:r>
    </w:p>
    <w:p>
      <w:pPr>
        <w:pStyle w:val="Compact"/>
        <w:numPr>
          <w:ilvl w:val="1"/>
          <w:numId w:val="1255"/>
        </w:numPr>
      </w:pPr>
      <w:r>
        <w:rPr>
          <w:i/>
          <w:iCs/>
        </w:rPr>
        <w:t xml:space="preserve">Paludisme traitement curatif</w:t>
      </w:r>
      <w:r>
        <w:t xml:space="preserve"> </w:t>
      </w:r>
      <w:r>
        <w:t xml:space="preserve">: schéma identique à la chloroquine —</w:t>
      </w:r>
      <w:r>
        <w:t xml:space="preserve"> </w:t>
      </w:r>
      <w:r>
        <w:rPr>
          <w:b/>
          <w:bCs/>
        </w:rPr>
        <w:t xml:space="preserve">25 mg/kg base total sur 3 jours</w:t>
      </w:r>
      <w:r>
        <w:t xml:space="preserve"> </w:t>
      </w:r>
      <w:r>
        <w:t xml:space="preserve">(10-10-5 mg/kg/jour) ; pour un adulte 60 kg : 600 mg base J1 + J2 + 300 mg base J3, soit pour des comprimés à 200 mg sel (= 155 mg base) : 4 cp J1, 4 cp J2, 2 cp J3.</w:t>
      </w:r>
    </w:p>
    <w:p>
      <w:pPr>
        <w:pStyle w:val="Compact"/>
        <w:numPr>
          <w:ilvl w:val="1"/>
          <w:numId w:val="1255"/>
        </w:numPr>
      </w:pPr>
      <w:r>
        <w:rPr>
          <w:i/>
          <w:iCs/>
        </w:rPr>
        <w:t xml:space="preserve">Paludisme prophylaxie</w:t>
      </w:r>
      <w:r>
        <w:t xml:space="preserve"> </w:t>
      </w:r>
      <w:r>
        <w:t xml:space="preserve">:</w:t>
      </w:r>
      <w:r>
        <w:t xml:space="preserve"> </w:t>
      </w:r>
      <w:r>
        <w:rPr>
          <w:b/>
          <w:bCs/>
        </w:rPr>
        <w:t xml:space="preserve">310 mg base (= 400 mg sel) une fois par semaine</w:t>
      </w:r>
      <w:r>
        <w:t xml:space="preserve">, à commencer 1-2 semaines avant le départ, pendant le séjour et 4 semaines après le retour.</w:t>
      </w:r>
    </w:p>
    <w:p>
      <w:pPr>
        <w:pStyle w:val="Compact"/>
        <w:numPr>
          <w:ilvl w:val="0"/>
          <w:numId w:val="1254"/>
        </w:numPr>
      </w:pPr>
      <w:r>
        <w:t xml:space="preserve">Enfant :</w:t>
      </w:r>
    </w:p>
    <w:p>
      <w:pPr>
        <w:pStyle w:val="Compact"/>
        <w:numPr>
          <w:ilvl w:val="1"/>
          <w:numId w:val="1256"/>
        </w:numPr>
      </w:pPr>
      <w:r>
        <w:rPr>
          <w:i/>
          <w:iCs/>
        </w:rPr>
        <w:t xml:space="preserve">Auto-immune</w:t>
      </w:r>
      <w:r>
        <w:t xml:space="preserve"> </w:t>
      </w:r>
      <w:r>
        <w:t xml:space="preserve">:</w:t>
      </w:r>
      <w:r>
        <w:t xml:space="preserve"> </w:t>
      </w:r>
      <w:r>
        <w:rPr>
          <w:b/>
          <w:bCs/>
        </w:rPr>
        <w:t xml:space="preserve">≤ 5 mg/kg/jour de base</w:t>
      </w:r>
      <w:r>
        <w:t xml:space="preserve"> </w:t>
      </w:r>
      <w:r>
        <w:t xml:space="preserve">(calcul sur poids réel).</w:t>
      </w:r>
    </w:p>
    <w:p>
      <w:pPr>
        <w:pStyle w:val="Compact"/>
        <w:numPr>
          <w:ilvl w:val="1"/>
          <w:numId w:val="1256"/>
        </w:numPr>
      </w:pPr>
      <w:r>
        <w:rPr>
          <w:i/>
          <w:iCs/>
        </w:rPr>
        <w:t xml:space="preserve">Paludisme curatif</w:t>
      </w:r>
      <w:r>
        <w:t xml:space="preserve"> </w:t>
      </w:r>
      <w:r>
        <w:t xml:space="preserve">:</w:t>
      </w:r>
      <w:r>
        <w:t xml:space="preserve"> </w:t>
      </w:r>
      <w:r>
        <w:rPr>
          <w:b/>
          <w:bCs/>
        </w:rPr>
        <w:t xml:space="preserve">25 mg/kg base total sur 3 jours</w:t>
      </w:r>
      <w:r>
        <w:t xml:space="preserve"> </w:t>
      </w:r>
      <w:r>
        <w:t xml:space="preserve">(10-10-5).</w:t>
      </w:r>
    </w:p>
    <w:p>
      <w:pPr>
        <w:pStyle w:val="Compact"/>
        <w:numPr>
          <w:ilvl w:val="1"/>
          <w:numId w:val="1256"/>
        </w:numPr>
      </w:pPr>
      <w:r>
        <w:rPr>
          <w:i/>
          <w:iCs/>
        </w:rPr>
        <w:t xml:space="preserve">Prophylaxie</w:t>
      </w:r>
      <w:r>
        <w:t xml:space="preserve"> </w:t>
      </w:r>
      <w:r>
        <w:t xml:space="preserve">:</w:t>
      </w:r>
      <w:r>
        <w:t xml:space="preserve"> </w:t>
      </w:r>
      <w:r>
        <w:rPr>
          <w:b/>
          <w:bCs/>
        </w:rPr>
        <w:t xml:space="preserve">5 mg/kg base/semaine</w:t>
      </w:r>
      <w:r>
        <w:t xml:space="preserve"> </w:t>
      </w:r>
      <w:r>
        <w:t xml:space="preserve">(max 310 mg base/sem = 400 mg sel).</w:t>
      </w:r>
    </w:p>
    <w:p>
      <w:pPr>
        <w:pStyle w:val="Compact"/>
        <w:numPr>
          <w:ilvl w:val="0"/>
          <w:numId w:val="1254"/>
        </w:numPr>
      </w:pPr>
      <w:r>
        <w:t xml:space="preserve">Durée :</w:t>
      </w:r>
    </w:p>
    <w:p>
      <w:pPr>
        <w:pStyle w:val="Compact"/>
        <w:numPr>
          <w:ilvl w:val="1"/>
          <w:numId w:val="1257"/>
        </w:numPr>
      </w:pPr>
      <w:r>
        <w:t xml:space="preserve">Paludisme curatif : 3 jours.</w:t>
      </w:r>
    </w:p>
    <w:p>
      <w:pPr>
        <w:pStyle w:val="Compact"/>
        <w:numPr>
          <w:ilvl w:val="1"/>
          <w:numId w:val="1257"/>
        </w:numPr>
      </w:pPr>
      <w:r>
        <w:t xml:space="preserve">Paludisme prophylaxie : 4 semaines après retour.</w:t>
      </w:r>
    </w:p>
    <w:p>
      <w:pPr>
        <w:pStyle w:val="Compact"/>
        <w:numPr>
          <w:ilvl w:val="1"/>
          <w:numId w:val="1257"/>
        </w:numPr>
      </w:pPr>
      <w:r>
        <w:t xml:space="preserve">Auto-immune : au long cours (années, parfois à vie dans le lupus).</w:t>
      </w:r>
    </w:p>
    <w:p>
      <w:pPr>
        <w:pStyle w:val="Compact"/>
        <w:numPr>
          <w:ilvl w:val="0"/>
          <w:numId w:val="1254"/>
        </w:numPr>
      </w:pPr>
      <w:r>
        <w:t xml:space="preserve">Moment de prise :</w:t>
      </w:r>
      <w:r>
        <w:t xml:space="preserve"> </w:t>
      </w:r>
      <w:r>
        <w:rPr>
          <w:b/>
          <w:bCs/>
        </w:rPr>
        <w:t xml:space="preserve">au cours d’un repas</w:t>
      </w:r>
      <w:r>
        <w:t xml:space="preserve"> </w:t>
      </w:r>
      <w:r>
        <w:t xml:space="preserve">(améliore tolérance digestive, n’affecte pas absorption), à heure fixe.</w:t>
      </w:r>
    </w:p>
    <w:p>
      <w:pPr>
        <w:pStyle w:val="FirstParagraph"/>
      </w:pPr>
      <w:r>
        <w:rPr>
          <w:b/>
          <w:bCs/>
        </w:rPr>
        <w:t xml:space="preserve">Arbitrage et Bénéfices des Formes Galéniques :</w:t>
      </w:r>
    </w:p>
    <w:p>
      <w:pPr>
        <w:pStyle w:val="Compact"/>
        <w:numPr>
          <w:ilvl w:val="0"/>
          <w:numId w:val="1258"/>
        </w:numPr>
      </w:pPr>
      <w:r>
        <w:rPr>
          <w:b/>
          <w:bCs/>
        </w:rPr>
        <w:t xml:space="preserve">Comprimé pelliculé 200 mg</w:t>
      </w:r>
      <w:r>
        <w:t xml:space="preserve"> </w:t>
      </w:r>
      <w:r>
        <w:t xml:space="preserve">(Plaquenil, HCQ-SAIDAL, Beker, Xaria) : seule forme disponible, non sécable (Plaquenil) ou pelliculé sécable selon marques. Pour les enfants, le fractionnement et la dispersion sont possibles mais le dosage fin est délicat.</w:t>
      </w:r>
    </w:p>
    <w:p>
      <w:pPr>
        <w:pStyle w:val="Compact"/>
        <w:numPr>
          <w:ilvl w:val="0"/>
          <w:numId w:val="1258"/>
        </w:numPr>
      </w:pPr>
      <w:r>
        <w:rPr>
          <w:b/>
          <w:bCs/>
        </w:rPr>
        <w:t xml:space="preserve">Forme injectable</w:t>
      </w:r>
      <w:r>
        <w:t xml:space="preserve"> </w:t>
      </w:r>
      <w:r>
        <w:t xml:space="preserve">: historiquement disponible (Plaquenil IV 200 mg ampoule), aujourd’hui retirée.</w:t>
      </w:r>
    </w:p>
    <w:p>
      <w:pPr>
        <w:pStyle w:val="Compact"/>
        <w:numPr>
          <w:ilvl w:val="0"/>
          <w:numId w:val="1258"/>
        </w:numPr>
      </w:pPr>
      <w:r>
        <w:t xml:space="preserve">Arbitrage entre génériques algériens et Plaquenil princeps : bioéquivalence démontrée pour les génériques ; le choix économique est légitime. La production locale</w:t>
      </w:r>
      <w:r>
        <w:t xml:space="preserve"> </w:t>
      </w:r>
      <w:r>
        <w:rPr>
          <w:b/>
          <w:bCs/>
        </w:rPr>
        <w:t xml:space="preserve">HCQ-SAIDAL</w:t>
      </w:r>
      <w:r>
        <w:t xml:space="preserve"> </w:t>
      </w:r>
      <w:r>
        <w:t xml:space="preserve">est un atout de souveraineté pharmaceutique algérienne.</w:t>
      </w:r>
    </w:p>
    <w:p>
      <w:pPr>
        <w:pStyle w:val="Compact"/>
        <w:numPr>
          <w:ilvl w:val="0"/>
          <w:numId w:val="1258"/>
        </w:numPr>
      </w:pPr>
      <w:r>
        <w:rPr>
          <w:b/>
          <w:bCs/>
        </w:rPr>
        <w:t xml:space="preserve">Calcul de la dose selon le poids réel</w:t>
      </w:r>
      <w:r>
        <w:t xml:space="preserve"> </w:t>
      </w:r>
      <w:r>
        <w:t xml:space="preserve">(et non le poids idéal) — en pratique clinique, les patients obèses sont à risque de surdosage si on calcule sur poids total, mais l’analyse de la littérature montre que le calcul sur poids réel est le meilleur compromis (le calcul sur poids idéal expose à sous-dosage et inefficacité). Dose maximale absolue : 400 mg sel/jour (= 310 mg base/jour).</w:t>
      </w:r>
    </w:p>
    <w:p>
      <w:pPr>
        <w:pStyle w:val="FirstParagraph"/>
      </w:pPr>
      <w:r>
        <w:rPr>
          <w:b/>
          <w:bCs/>
        </w:rPr>
        <w:t xml:space="preserve">Instructions et Conseils au Patient :</w:t>
      </w:r>
    </w:p>
    <w:p>
      <w:pPr>
        <w:pStyle w:val="Compact"/>
        <w:numPr>
          <w:ilvl w:val="0"/>
          <w:numId w:val="1259"/>
        </w:numPr>
      </w:pPr>
      <w:r>
        <w:t xml:space="preserve">Communication au comptoir :</w:t>
      </w:r>
    </w:p>
    <w:p>
      <w:pPr>
        <w:pStyle w:val="Compact"/>
        <w:numPr>
          <w:ilvl w:val="1"/>
          <w:numId w:val="1260"/>
        </w:numPr>
      </w:pPr>
      <w:r>
        <w:rPr>
          <w:i/>
          <w:iCs/>
        </w:rPr>
        <w:t xml:space="preserve">Pour maladie auto-immune</w:t>
      </w:r>
      <w:r>
        <w:t xml:space="preserve"> </w:t>
      </w:r>
      <w:r>
        <w:t xml:space="preserve">: « Ce médicament agit lentement — son plein effet ne sera ressenti qu’après 3 à 6 mois. Prenez-le</w:t>
      </w:r>
      <w:r>
        <w:t xml:space="preserve"> </w:t>
      </w:r>
      <w:r>
        <w:rPr>
          <w:b/>
          <w:bCs/>
        </w:rPr>
        <w:t xml:space="preserve">tous les jours à heure fixe, au cours d’un repas</w:t>
      </w:r>
      <w:r>
        <w:t xml:space="preserve">, sans l’arrêter même si vous vous sentez mieux. Une</w:t>
      </w:r>
      <w:r>
        <w:t xml:space="preserve"> </w:t>
      </w:r>
      <w:r>
        <w:rPr>
          <w:b/>
          <w:bCs/>
        </w:rPr>
        <w:t xml:space="preserve">surveillance ophtalmologique annuelle est obligatoire</w:t>
      </w:r>
      <w:r>
        <w:t xml:space="preserve"> </w:t>
      </w:r>
      <w:r>
        <w:t xml:space="preserve">(examen avec OCT de la macula) — ne l’omettez pas. Signalez immédiatement tout trouble visuel : tache dans la vision, modification de la vision des couleurs, difficulté à lire, scintillement. Avant toute grossesse,</w:t>
      </w:r>
      <w:r>
        <w:t xml:space="preserve"> </w:t>
      </w:r>
      <w:r>
        <w:rPr>
          <w:b/>
          <w:bCs/>
        </w:rPr>
        <w:t xml:space="preserve">ne stoppez pas le traitement</w:t>
      </w:r>
      <w:r>
        <w:t xml:space="preserve"> </w:t>
      </w:r>
      <w:r>
        <w:t xml:space="preserve">— parlez-en à votre médecin. Signalez les autres traitements (notamment cardiaques, antibiotiques). »</w:t>
      </w:r>
    </w:p>
    <w:p>
      <w:pPr>
        <w:pStyle w:val="Compact"/>
        <w:numPr>
          <w:ilvl w:val="1"/>
          <w:numId w:val="1260"/>
        </w:numPr>
      </w:pPr>
      <w:r>
        <w:rPr>
          <w:i/>
          <w:iCs/>
        </w:rPr>
        <w:t xml:space="preserve">Pour prophylaxie antipalustre</w:t>
      </w:r>
      <w:r>
        <w:t xml:space="preserve"> </w:t>
      </w:r>
      <w:r>
        <w:t xml:space="preserve">: « Prenez 2 comprimés une fois par semaine, le même jour, au repas. Continuez 4 semaines après le retour. Associez mesures anti-moustiques. Fièvre dans les 3 mois après retour = consulter en urgence. »</w:t>
      </w:r>
    </w:p>
    <w:p>
      <w:pPr>
        <w:pStyle w:val="Compact"/>
        <w:numPr>
          <w:ilvl w:val="0"/>
          <w:numId w:val="1259"/>
        </w:numPr>
      </w:pPr>
      <w:r>
        <w:t xml:space="preserve">Mode d’utilisation pratique :</w:t>
      </w:r>
    </w:p>
    <w:p>
      <w:pPr>
        <w:pStyle w:val="Compact"/>
        <w:numPr>
          <w:ilvl w:val="1"/>
          <w:numId w:val="1261"/>
        </w:numPr>
      </w:pPr>
      <w:r>
        <w:t xml:space="preserve">Penser à programmer un rappel hebdomadaire pour la prophylaxie (alarme téléphone).</w:t>
      </w:r>
    </w:p>
    <w:p>
      <w:pPr>
        <w:pStyle w:val="Compact"/>
        <w:numPr>
          <w:ilvl w:val="1"/>
          <w:numId w:val="1261"/>
        </w:numPr>
      </w:pPr>
      <w:r>
        <w:t xml:space="preserve">Examen ophtalmologique à programmer</w:t>
      </w:r>
      <w:r>
        <w:t xml:space="preserve"> </w:t>
      </w:r>
      <w:r>
        <w:rPr>
          <w:b/>
          <w:bCs/>
        </w:rPr>
        <w:t xml:space="preserve">dès la 1re année de traitement</w:t>
      </w:r>
      <w:r>
        <w:t xml:space="preserve"> </w:t>
      </w:r>
      <w:r>
        <w:t xml:space="preserve">puis annuellement.</w:t>
      </w:r>
    </w:p>
    <w:p>
      <w:pPr>
        <w:pStyle w:val="Compact"/>
        <w:numPr>
          <w:ilvl w:val="1"/>
          <w:numId w:val="1261"/>
        </w:numPr>
      </w:pPr>
      <w:r>
        <w:t xml:space="preserve">Éviter le tabagisme (le tabac interagit avec l’efficacité de l’hydroxychloroquine dans le lupus — diminution d’efficacité démontrée).</w:t>
      </w:r>
    </w:p>
    <w:p>
      <w:pPr>
        <w:pStyle w:val="Compact"/>
        <w:numPr>
          <w:ilvl w:val="1"/>
          <w:numId w:val="1261"/>
        </w:numPr>
      </w:pPr>
      <w:r>
        <w:t xml:space="preserve">Photoprotection (l’hydroxychloroquine peut induire des éruptions photo-allergiques).</w:t>
      </w:r>
    </w:p>
    <w:p>
      <w:pPr>
        <w:pStyle w:val="FirstParagraph"/>
      </w:pPr>
      <w:r>
        <w:rPr>
          <w:b/>
          <w:bCs/>
        </w:rPr>
        <w:t xml:space="preserve">Notes, Règles d’Or &amp; Pièges au Comptoir :</w:t>
      </w:r>
    </w:p>
    <w:p>
      <w:pPr>
        <w:pStyle w:val="Compact"/>
        <w:numPr>
          <w:ilvl w:val="0"/>
          <w:numId w:val="1262"/>
        </w:numPr>
      </w:pPr>
      <w:r>
        <w:rPr>
          <w:b/>
          <w:bCs/>
        </w:rPr>
        <w:t xml:space="preserve">Piège classique n°1 — absence d’examen ophtalmo annuel</w:t>
      </w:r>
      <w:r>
        <w:t xml:space="preserve"> </w:t>
      </w:r>
      <w:r>
        <w:t xml:space="preserve">: chez un patient sous hydroxychloroquine &gt; 5 ans sans suivi ophtalmologique, le pharmacien doit</w:t>
      </w:r>
      <w:r>
        <w:t xml:space="preserve"> </w:t>
      </w:r>
      <w:r>
        <w:rPr>
          <w:b/>
          <w:bCs/>
        </w:rPr>
        <w:t xml:space="preserve">insister pour l’organisation de la surveillance</w:t>
      </w:r>
      <w:r>
        <w:t xml:space="preserve"> </w:t>
      </w:r>
      <w:r>
        <w:t xml:space="preserve">(OCT maculaire + champ visuel 10-2). Le délai entre les examens ne doit pas excéder 12 mois ; à 10 ans de traitement, 4 % des patients développent une maculopathie ; à 20 ans, près de 20 %.</w:t>
      </w:r>
    </w:p>
    <w:p>
      <w:pPr>
        <w:pStyle w:val="Compact"/>
        <w:numPr>
          <w:ilvl w:val="0"/>
          <w:numId w:val="1262"/>
        </w:numPr>
      </w:pPr>
      <w:r>
        <w:rPr>
          <w:b/>
          <w:bCs/>
        </w:rPr>
        <w:t xml:space="preserve">Piège n°2 — surdosage par calcul sur poids total chez l’obèse</w:t>
      </w:r>
      <w:r>
        <w:t xml:space="preserve"> </w:t>
      </w:r>
      <w:r>
        <w:t xml:space="preserve">: les anciennes recommandations préconisaient le calcul sur poids idéal ; les recommandations modernes (AAO 2016) recommandent le calcul sur poids réel, mais en plafonnant la dose à 5 mg/kg/jour de base (et ≤ 400 mg sel/jour absolu). Ne pas dépasser 2 comprimés par jour en traitement d’entretien.</w:t>
      </w:r>
    </w:p>
    <w:p>
      <w:pPr>
        <w:pStyle w:val="Compact"/>
        <w:numPr>
          <w:ilvl w:val="0"/>
          <w:numId w:val="1262"/>
        </w:numPr>
      </w:pPr>
      <w:r>
        <w:rPr>
          <w:b/>
          <w:bCs/>
        </w:rPr>
        <w:t xml:space="preserve">Piège n°3 — arrêt pendant la grossesse lupique</w:t>
      </w:r>
      <w:r>
        <w:t xml:space="preserve"> </w:t>
      </w:r>
      <w:r>
        <w:t xml:space="preserve">: à l’inverse d’une croyance persistante, l’hydroxychloroquine</w:t>
      </w:r>
      <w:r>
        <w:t xml:space="preserve"> </w:t>
      </w:r>
      <w:r>
        <w:rPr>
          <w:b/>
          <w:bCs/>
        </w:rPr>
        <w:t xml:space="preserve">ne doit pas être interrompue pendant la grossesse</w:t>
      </w:r>
      <w:r>
        <w:t xml:space="preserve"> </w:t>
      </w:r>
      <w:r>
        <w:t xml:space="preserve">(en particulier chez une femme lupique anti-Ro/SSA+ ayant déjà eu un enfant avec lupus néonatal — l’hydroxychloroquine réduit le risque de récidive de bloc atrio-ventriculaire congénital).</w:t>
      </w:r>
    </w:p>
    <w:p>
      <w:pPr>
        <w:pStyle w:val="Compact"/>
        <w:numPr>
          <w:ilvl w:val="0"/>
          <w:numId w:val="1262"/>
        </w:numPr>
      </w:pPr>
      <w:r>
        <w:rPr>
          <w:b/>
          <w:bCs/>
        </w:rPr>
        <w:t xml:space="preserve">Piège n°4 — COVID-19</w:t>
      </w:r>
      <w:r>
        <w:t xml:space="preserve"> </w:t>
      </w:r>
      <w:r>
        <w:t xml:space="preserve">: l’hydroxychloroquine</w:t>
      </w:r>
      <w:r>
        <w:t xml:space="preserve"> </w:t>
      </w:r>
      <w:r>
        <w:rPr>
          <w:b/>
          <w:bCs/>
        </w:rPr>
        <w:t xml:space="preserve">n’a pas d’efficacité démontrée dans la COVID-19</w:t>
      </w:r>
      <w:r>
        <w:t xml:space="preserve"> </w:t>
      </w:r>
      <w:r>
        <w:t xml:space="preserve">(essais Solidarity, Recovery, Discovery) ; elle ne doit pas être prescrite hors AMM dans cette indication, d’autant qu’elle allonge le QTc et augmente le risque de mortalité cardiaque.</w:t>
      </w:r>
    </w:p>
    <w:p>
      <w:pPr>
        <w:pStyle w:val="Compact"/>
        <w:numPr>
          <w:ilvl w:val="0"/>
          <w:numId w:val="1262"/>
        </w:numPr>
      </w:pPr>
      <w:r>
        <w:t xml:space="preserve">Règle de prise :</w:t>
      </w:r>
      <w:r>
        <w:t xml:space="preserve"> </w:t>
      </w:r>
      <w:r>
        <w:rPr>
          <w:b/>
          <w:bCs/>
        </w:rPr>
        <w:t xml:space="preserve">ne jamais doubler la dose</w:t>
      </w:r>
      <w:r>
        <w:t xml:space="preserve"> </w:t>
      </w:r>
      <w:r>
        <w:t xml:space="preserve">en cas d’oubli (prophylaxie) ; espacer de 7 jours exactement.</w:t>
      </w:r>
    </w:p>
    <w:p>
      <w:pPr>
        <w:pStyle w:val="Compact"/>
        <w:numPr>
          <w:ilvl w:val="0"/>
          <w:numId w:val="1262"/>
        </w:numPr>
      </w:pPr>
      <w:r>
        <w:t xml:space="preserve">Préparation et Conservation : comprimés à conserver à température &lt; 25 °C, à l’abri de la lumière et de l’humidité. Durée de conservation 3-5 ans selon marques.</w:t>
      </w:r>
    </w:p>
    <w:p>
      <w:pPr>
        <w:pStyle w:val="Compact"/>
        <w:numPr>
          <w:ilvl w:val="0"/>
          <w:numId w:val="1262"/>
        </w:numPr>
      </w:pPr>
      <w:r>
        <w:t xml:space="preserve">Piège du surdosage / Substitution : la substitution entre génériques et Plaquenil est possible sans précaution particulière (bioéquivalence). En cas de surdosage aigu : prise en charge identique à la chloroquine (diazépam, adrénaline, bicarbonate).</w:t>
      </w:r>
    </w:p>
    <w:p>
      <w:r>
        <w:pict>
          <v:rect style="width:0;height:1.5pt" o:hralign="center" o:hrstd="t" o:hr="t"/>
        </w:pict>
      </w:r>
    </w:p>
    <w:bookmarkEnd w:id="112"/>
    <w:bookmarkEnd w:id="113"/>
    <w:bookmarkStart w:id="116" w:name="sous-classe-ii-artémisinines-et-dérivés"/>
    <w:p>
      <w:pPr>
        <w:pStyle w:val="Heading2"/>
      </w:pPr>
      <w:r>
        <w:t xml:space="preserve">SOUS-CLASSE II — ARTÉMISININES ET DÉRIVÉS</w:t>
      </w:r>
    </w:p>
    <w:bookmarkStart w:id="114" w:name="introduction-de-la-sous-classe-6"/>
    <w:p>
      <w:pPr>
        <w:pStyle w:val="Heading3"/>
      </w:pPr>
      <w:r>
        <w:t xml:space="preserve">Introduction de la sous-classe</w:t>
      </w:r>
    </w:p>
    <w:p>
      <w:pPr>
        <w:pStyle w:val="FirstParagraph"/>
      </w:pPr>
      <w:r>
        <w:t xml:space="preserve">Les artémisinines, isolées à partir de</w:t>
      </w:r>
      <w:r>
        <w:t xml:space="preserve"> </w:t>
      </w:r>
      <w:r>
        <w:rPr>
          <w:b/>
          <w:bCs/>
        </w:rPr>
        <w:t xml:space="preserve">1972</w:t>
      </w:r>
      <w:r>
        <w:t xml:space="preserve"> </w:t>
      </w:r>
      <w:r>
        <w:t xml:space="preserve">par le pharmacologue chinois</w:t>
      </w:r>
      <w:r>
        <w:t xml:space="preserve"> </w:t>
      </w:r>
      <w:r>
        <w:rPr>
          <w:b/>
          <w:bCs/>
        </w:rPr>
        <w:t xml:space="preserve">Tu Youyou</w:t>
      </w:r>
      <w:r>
        <w:t xml:space="preserve"> </w:t>
      </w:r>
      <w:r>
        <w:t xml:space="preserve">(Prix Nobel de physiologie ou médecine 2015) à partir de l’armoise annuelle (</w:t>
      </w:r>
      <w:r>
        <w:rPr>
          <w:i/>
          <w:iCs/>
        </w:rPr>
        <w:t xml:space="preserve">Artemisia annua</w:t>
      </w:r>
      <w:r>
        <w:t xml:space="preserve">,</w:t>
      </w:r>
      <w:r>
        <w:t xml:space="preserve"> </w:t>
      </w:r>
      <w:r>
        <w:rPr>
          <w:b/>
          <w:bCs/>
        </w:rPr>
        <w:t xml:space="preserve">qinghao</w:t>
      </w:r>
      <w:r>
        <w:t xml:space="preserve"> </w:t>
      </w:r>
      <w:r>
        <w:t xml:space="preserve">en chinois traditionnel), constituent la révolution thérapeutique majeure du paludisme moderne. La</w:t>
      </w:r>
      <w:r>
        <w:t xml:space="preserve"> </w:t>
      </w:r>
      <w:r>
        <w:rPr>
          <w:b/>
          <w:bCs/>
        </w:rPr>
        <w:t xml:space="preserve">qinghaosu</w:t>
      </w:r>
      <w:r>
        <w:t xml:space="preserve"> </w:t>
      </w:r>
      <w:r>
        <w:t xml:space="preserve">(artémisinine), lactone sesquiterpénique endoperoxydique, a donné naissance à plusieurs dérivés thérapeutiques :</w:t>
      </w:r>
      <w:r>
        <w:t xml:space="preserve"> </w:t>
      </w:r>
      <w:r>
        <w:rPr>
          <w:b/>
          <w:bCs/>
        </w:rPr>
        <w:t xml:space="preserve">artémisinine</w:t>
      </w:r>
      <w:r>
        <w:t xml:space="preserve"> </w:t>
      </w:r>
      <w:r>
        <w:t xml:space="preserve">(forme native),</w:t>
      </w:r>
      <w:r>
        <w:t xml:space="preserve"> </w:t>
      </w:r>
      <w:r>
        <w:rPr>
          <w:b/>
          <w:bCs/>
        </w:rPr>
        <w:t xml:space="preserve">artésunate</w:t>
      </w:r>
      <w:r>
        <w:t xml:space="preserve"> </w:t>
      </w:r>
      <w:r>
        <w:t xml:space="preserve">(hémisuccinate hydrosoluble, pour voie IV/IM/PO),</w:t>
      </w:r>
      <w:r>
        <w:t xml:space="preserve"> </w:t>
      </w:r>
      <w:r>
        <w:rPr>
          <w:b/>
          <w:bCs/>
        </w:rPr>
        <w:t xml:space="preserve">artéméther</w:t>
      </w:r>
      <w:r>
        <w:t xml:space="preserve"> </w:t>
      </w:r>
      <w:r>
        <w:t xml:space="preserve">(méthyl-éther liposoluble, pour voie IM et PO) et</w:t>
      </w:r>
      <w:r>
        <w:t xml:space="preserve"> </w:t>
      </w:r>
      <w:r>
        <w:rPr>
          <w:b/>
          <w:bCs/>
        </w:rPr>
        <w:t xml:space="preserve">dihydroartémisinine</w:t>
      </w:r>
      <w:r>
        <w:t xml:space="preserve"> </w:t>
      </w:r>
      <w:r>
        <w:t xml:space="preserve">(métabolite actif commun, aussi disponible en forme directe). En Algérie, seule l’</w:t>
      </w:r>
      <w:r>
        <w:rPr>
          <w:b/>
          <w:bCs/>
        </w:rPr>
        <w:t xml:space="preserve">artésunate injectable</w:t>
      </w:r>
      <w:r>
        <w:t xml:space="preserve"> </w:t>
      </w:r>
      <w:r>
        <w:t xml:space="preserve">(FALCI CARE) est disponible.</w:t>
      </w:r>
    </w:p>
    <w:p>
      <w:pPr>
        <w:pStyle w:val="BodyText"/>
      </w:pPr>
      <w:r>
        <w:rPr>
          <w:b/>
          <w:bCs/>
        </w:rPr>
        <w:t xml:space="preserve">Mécanisme d’action moléculaire</w:t>
      </w:r>
      <w:r>
        <w:t xml:space="preserve"> </w:t>
      </w:r>
      <w:r>
        <w:t xml:space="preserve">: l’effet antipalustre des artémisinines dépend de la</w:t>
      </w:r>
      <w:r>
        <w:t xml:space="preserve"> </w:t>
      </w:r>
      <w:r>
        <w:rPr>
          <w:b/>
          <w:bCs/>
        </w:rPr>
        <w:t xml:space="preserve">cleavage réducteur du pont endoperoxyde (–O–O–)</w:t>
      </w:r>
      <w:r>
        <w:t xml:space="preserve"> </w:t>
      </w:r>
      <w:r>
        <w:t xml:space="preserve">caractéristique de leur structure. Le mécanisme canonique implique le clivage par le</w:t>
      </w:r>
      <w:r>
        <w:t xml:space="preserve"> </w:t>
      </w:r>
      <w:r>
        <w:rPr>
          <w:b/>
          <w:bCs/>
        </w:rPr>
        <w:t xml:space="preserve">fer ferreux (Fe²⁺) de l’hème</w:t>
      </w:r>
      <w:r>
        <w:t xml:space="preserve"> </w:t>
      </w:r>
      <w:r>
        <w:t xml:space="preserve">libéré lors de la digestion de l’hémoglobine par le parasite (concentration élevée dans la vacuole digestive). Cette réaction de Fenton-like génère des</w:t>
      </w:r>
      <w:r>
        <w:t xml:space="preserve"> </w:t>
      </w:r>
      <w:r>
        <w:rPr>
          <w:b/>
          <w:bCs/>
        </w:rPr>
        <w:t xml:space="preserve">radicaux libres carbonés</w:t>
      </w:r>
      <w:r>
        <w:t xml:space="preserve"> </w:t>
      </w:r>
      <w:r>
        <w:t xml:space="preserve">(radicaux C-centered) hautement réactifs qui</w:t>
      </w:r>
      <w:r>
        <w:t xml:space="preserve"> </w:t>
      </w:r>
      <w:r>
        <w:rPr>
          <w:b/>
          <w:bCs/>
        </w:rPr>
        <w:t xml:space="preserve">alkylent</w:t>
      </w:r>
      <w:r>
        <w:t xml:space="preserve"> </w:t>
      </w:r>
      <w:r>
        <w:t xml:space="preserve">les protéines plasmodiales critiques :</w:t>
      </w:r>
      <w:r>
        <w:t xml:space="preserve"> </w:t>
      </w:r>
      <w:r>
        <w:rPr>
          <w:b/>
          <w:bCs/>
        </w:rPr>
        <w:t xml:space="preserve">PfATP6</w:t>
      </w:r>
      <w:r>
        <w:t xml:space="preserve"> </w:t>
      </w:r>
      <w:r>
        <w:t xml:space="preserve">(calcium ATPase du réticulum endoplasmique du parasite, homologue des SERCA mammifères),</w:t>
      </w:r>
      <w:r>
        <w:t xml:space="preserve"> </w:t>
      </w:r>
      <w:r>
        <w:rPr>
          <w:b/>
          <w:bCs/>
        </w:rPr>
        <w:t xml:space="preserve">PfTCTP</w:t>
      </w:r>
      <w:r>
        <w:t xml:space="preserve"> </w:t>
      </w:r>
      <w:r>
        <w:t xml:space="preserve">(histamine-releasing factor), des protéines de membrane, et inhibent la</w:t>
      </w:r>
      <w:r>
        <w:t xml:space="preserve"> </w:t>
      </w:r>
      <w:r>
        <w:rPr>
          <w:b/>
          <w:bCs/>
        </w:rPr>
        <w:t xml:space="preserve">traduction protéique mitochondriale</w:t>
      </w:r>
      <w:r>
        <w:t xml:space="preserve">. Le parasite est détruit très rapidement (les artémisinines sont les antipaludiques les plus</w:t>
      </w:r>
      <w:r>
        <w:t xml:space="preserve"> </w:t>
      </w:r>
      <w:r>
        <w:rPr>
          <w:b/>
          <w:bCs/>
        </w:rPr>
        <w:t xml:space="preserve">rapides</w:t>
      </w:r>
      <w:r>
        <w:t xml:space="preserve">, avec clairance parasitaire en 24-48 h). Elles sont actives sur les</w:t>
      </w:r>
      <w:r>
        <w:t xml:space="preserve"> </w:t>
      </w:r>
      <w:r>
        <w:rPr>
          <w:b/>
          <w:bCs/>
        </w:rPr>
        <w:t xml:space="preserve">trophozoïtes jeunes</w:t>
      </w:r>
      <w:r>
        <w:t xml:space="preserve"> </w:t>
      </w:r>
      <w:r>
        <w:t xml:space="preserve">(anneaux), ce qui distingue les artémisinines des 4-aminoquinoléines (actives sur les trophozoïtes mûrs).</w:t>
      </w:r>
    </w:p>
    <w:p>
      <w:pPr>
        <w:pStyle w:val="BodyText"/>
      </w:pPr>
      <w:r>
        <w:t xml:space="preserve">L’artésunate agit également sur les</w:t>
      </w:r>
      <w:r>
        <w:t xml:space="preserve"> </w:t>
      </w:r>
      <w:r>
        <w:rPr>
          <w:b/>
          <w:bCs/>
        </w:rPr>
        <w:t xml:space="preserve">gamétocytes jeunes</w:t>
      </w:r>
      <w:r>
        <w:t xml:space="preserve"> </w:t>
      </w:r>
      <w:r>
        <w:t xml:space="preserve">de</w:t>
      </w:r>
      <w:r>
        <w:t xml:space="preserve"> </w:t>
      </w:r>
      <w:r>
        <w:rPr>
          <w:i/>
          <w:iCs/>
        </w:rPr>
        <w:t xml:space="preserve">P. falciparum</w:t>
      </w:r>
      <w:r>
        <w:t xml:space="preserve"> </w:t>
      </w:r>
      <w:r>
        <w:t xml:space="preserve">(stades I-III), réduisant la transmission vectorielle — propriété épidémiologique majeure justifiant leur usage dans les ACT à grande échelle pour réduire l’incidence du paludisme à l’échelle populationnelle.</w:t>
      </w:r>
    </w:p>
    <w:p>
      <w:pPr>
        <w:pStyle w:val="BodyText"/>
      </w:pPr>
      <w:r>
        <w:rPr>
          <w:b/>
          <w:bCs/>
        </w:rPr>
        <w:t xml:space="preserve">Résistance aux artémisinines</w:t>
      </w:r>
      <w:r>
        <w:t xml:space="preserve"> </w:t>
      </w:r>
      <w:r>
        <w:t xml:space="preserve">: émergée dans le Grand Mékong (province de Pailin, Cambodge, signalée dès 2008) avec un phénotype caractéristique de</w:t>
      </w:r>
      <w:r>
        <w:t xml:space="preserve"> </w:t>
      </w:r>
      <w:r>
        <w:rPr>
          <w:b/>
          <w:bCs/>
        </w:rPr>
        <w:t xml:space="preserve">clairance parasitaire ralentie</w:t>
      </w:r>
      <w:r>
        <w:t xml:space="preserve"> </w:t>
      </w:r>
      <w:r>
        <w:t xml:space="preserve">(parasitémie positive à J3 au lieu de J1-J2) sans élévation de la CMI in vitro. Médiée principalement par des mutations du gène</w:t>
      </w:r>
      <w:r>
        <w:t xml:space="preserve"> </w:t>
      </w:r>
      <w:r>
        <w:rPr>
          <w:b/>
          <w:bCs/>
        </w:rPr>
        <w:t xml:space="preserve">Kelch 13 (K13)</w:t>
      </w:r>
      <w:r>
        <w:t xml:space="preserve"> </w:t>
      </w:r>
      <w:r>
        <w:t xml:space="preserve">sur le chromosome 14 de</w:t>
      </w:r>
      <w:r>
        <w:t xml:space="preserve"> </w:t>
      </w:r>
      <w:r>
        <w:rPr>
          <w:i/>
          <w:iCs/>
        </w:rPr>
        <w:t xml:space="preserve">P. falciparum</w:t>
      </w:r>
      <w:r>
        <w:t xml:space="preserve"> </w:t>
      </w:r>
      <w:r>
        <w:t xml:space="preserve">(C580Y, Y493H, R539T, I543T, etc.), qui altèrent l’endocytose des protéines plasmodiales vers la vacuole digestive et réduisent la concentration d’hème activateur disponible. La résistance K13 s’est diffusée à l’ensemble du Grand Mékong (Thaïlande, Laos, Vietnam, Myanmar, Chine Yunnan), au</w:t>
      </w:r>
      <w:r>
        <w:t xml:space="preserve"> </w:t>
      </w:r>
      <w:r>
        <w:rPr>
          <w:b/>
          <w:bCs/>
        </w:rPr>
        <w:t xml:space="preserve">Bangladesh</w:t>
      </w:r>
      <w:r>
        <w:t xml:space="preserve"> </w:t>
      </w:r>
      <w:r>
        <w:t xml:space="preserve">(2014), à l’</w:t>
      </w:r>
      <w:r>
        <w:rPr>
          <w:b/>
          <w:bCs/>
        </w:rPr>
        <w:t xml:space="preserve">Inde</w:t>
      </w:r>
      <w:r>
        <w:t xml:space="preserve"> </w:t>
      </w:r>
      <w:r>
        <w:t xml:space="preserve">(2017), puis à l’</w:t>
      </w:r>
      <w:r>
        <w:rPr>
          <w:b/>
          <w:bCs/>
        </w:rPr>
        <w:t xml:space="preserve">Afrique de l’Est</w:t>
      </w:r>
      <w:r>
        <w:t xml:space="preserve"> </w:t>
      </w:r>
      <w:r>
        <w:t xml:space="preserve">: Rwanda (2020), Ouganda (2021), Érythrée et Éthiopie (2022-2023). L’enjeu mondial actuel est de préserver l’efficacité des ACT par (i) l’utilisation systématique d’associations (artésunate + amodiaquine, artéméther + lumefantrine, DHA + pipéraquine), (ii) la surveillance moléculaire des mutations K13, (iii) le développement de nouvelles molécules (KAF156-ganaplacide, MMV390048, cipargamin).</w:t>
      </w:r>
    </w:p>
    <w:p>
      <w:pPr>
        <w:pStyle w:val="BodyText"/>
      </w:pPr>
      <w:r>
        <w:rPr>
          <w:b/>
          <w:bCs/>
        </w:rPr>
        <w:t xml:space="preserve">Particularités pharmacocinétiques</w:t>
      </w:r>
      <w:r>
        <w:t xml:space="preserve"> </w:t>
      </w:r>
      <w:r>
        <w:t xml:space="preserve">: les artémisinines ont une</w:t>
      </w:r>
      <w:r>
        <w:t xml:space="preserve"> </w:t>
      </w:r>
      <w:r>
        <w:rPr>
          <w:b/>
          <w:bCs/>
        </w:rPr>
        <w:t xml:space="preserve">demi-vie très courte</w:t>
      </w:r>
      <w:r>
        <w:t xml:space="preserve"> </w:t>
      </w:r>
      <w:r>
        <w:t xml:space="preserve">(artésunate : 30-45 min ; DHA : 1-2 h), ce qui impose des administrations répétées (ou en perfusion continue pour l’IV) et justifie l’</w:t>
      </w:r>
      <w:r>
        <w:rPr>
          <w:b/>
          <w:bCs/>
        </w:rPr>
        <w:t xml:space="preserve">obligation d’une association</w:t>
      </w:r>
      <w:r>
        <w:t xml:space="preserve"> </w:t>
      </w:r>
      <w:r>
        <w:t xml:space="preserve">dans le traitement curatif (sinon rechute parasitaire à J7-J14). L’artésunate est une</w:t>
      </w:r>
      <w:r>
        <w:t xml:space="preserve"> </w:t>
      </w:r>
      <w:r>
        <w:rPr>
          <w:b/>
          <w:bCs/>
        </w:rPr>
        <w:t xml:space="preserve">prodrogue</w:t>
      </w:r>
      <w:r>
        <w:t xml:space="preserve"> </w:t>
      </w:r>
      <w:r>
        <w:t xml:space="preserve">hydrolysée très rapidement en dihydroartémisinine (DHA) par des estérases plasmatiques. L’artéméther et l’artééther sont des prodrogues méthyl-éther métabolisées par le CYP3A4/CYP2B6 hépatique en DHA. La DHA est ensuite glucuronoconjuguée par UGT1A9 et UGT2B7 puis éliminée par voie urinaire.</w:t>
      </w:r>
    </w:p>
    <w:p>
      <w:pPr>
        <w:pStyle w:val="BodyText"/>
      </w:pPr>
      <w:r>
        <w:rPr>
          <w:b/>
          <w:bCs/>
        </w:rPr>
        <w:t xml:space="preserve">Pharmacologie clinique</w:t>
      </w:r>
      <w:r>
        <w:t xml:space="preserve"> </w:t>
      </w:r>
      <w:r>
        <w:t xml:space="preserve">:</w:t>
      </w:r>
      <w:r>
        <w:t xml:space="preserve"> </w:t>
      </w:r>
      <w:r>
        <w:t xml:space="preserve">-</w:t>
      </w:r>
      <w:r>
        <w:t xml:space="preserve"> </w:t>
      </w:r>
      <w:r>
        <w:rPr>
          <w:b/>
          <w:bCs/>
        </w:rPr>
        <w:t xml:space="preserve">Artésunate IV</w:t>
      </w:r>
      <w:r>
        <w:t xml:space="preserve"> </w:t>
      </w:r>
      <w:r>
        <w:t xml:space="preserve">(FALCI CARE en Algérie) :</w:t>
      </w:r>
      <w:r>
        <w:t xml:space="preserve"> </w:t>
      </w:r>
      <w:r>
        <w:rPr>
          <w:b/>
          <w:bCs/>
        </w:rPr>
        <w:t xml:space="preserve">traitement de choix du paludisme grave d’importation</w:t>
      </w:r>
      <w:r>
        <w:t xml:space="preserve">, supérieur à la quinine IV (mortalité réduite de 35 % chez l’adulte et 22 % chez l’enfant — essai SEAQUAMAT 2005, AQUAMAT 2010). Recommandé en première intention par l’OMS, la SFMU (Société française de médecine d’urgence), la SPILF et l’ANSM (RCP). Délai d’action très court (clearance parasitaire 24-48 h), meilleure tolérance que la quinine (pas d’hypoglycémie, pas d’allongement QT, pas d’ototoxicité). Une</w:t>
      </w:r>
      <w:r>
        <w:t xml:space="preserve"> </w:t>
      </w:r>
      <w:r>
        <w:rPr>
          <w:b/>
          <w:bCs/>
        </w:rPr>
        <w:t xml:space="preserve">anémie retardée</w:t>
      </w:r>
      <w:r>
        <w:t xml:space="preserve"> </w:t>
      </w:r>
      <w:r>
        <w:t xml:space="preserve">(hémolyse post-artémisinine, J7-J28) est un effet indésirable désormais bien caractérisé (jusqu’à 25 % des patients graves, parfois nécessitant transfusion) — surveillance NFS pendant 4 semaines.</w:t>
      </w:r>
      <w:r>
        <w:t xml:space="preserve"> </w:t>
      </w:r>
      <w:r>
        <w:t xml:space="preserve">-</w:t>
      </w:r>
      <w:r>
        <w:t xml:space="preserve"> </w:t>
      </w:r>
      <w:r>
        <w:rPr>
          <w:b/>
          <w:bCs/>
        </w:rPr>
        <w:t xml:space="preserve">Artésunate PO</w:t>
      </w:r>
      <w:r>
        <w:t xml:space="preserve"> </w:t>
      </w:r>
      <w:r>
        <w:t xml:space="preserve">: utilisé dans les ACT.</w:t>
      </w:r>
      <w:r>
        <w:t xml:space="preserve"> </w:t>
      </w:r>
      <w:r>
        <w:t xml:space="preserve">-</w:t>
      </w:r>
      <w:r>
        <w:t xml:space="preserve"> </w:t>
      </w:r>
      <w:r>
        <w:rPr>
          <w:b/>
          <w:bCs/>
        </w:rPr>
        <w:t xml:space="preserve">Artéméther IM</w:t>
      </w:r>
      <w:r>
        <w:t xml:space="preserve"> </w:t>
      </w:r>
      <w:r>
        <w:t xml:space="preserve">: alternative pour le paludisme grave si artésunate indisponible.</w:t>
      </w:r>
      <w:r>
        <w:t xml:space="preserve"> </w:t>
      </w:r>
      <w:r>
        <w:t xml:space="preserve">-</w:t>
      </w:r>
      <w:r>
        <w:t xml:space="preserve"> </w:t>
      </w:r>
      <w:r>
        <w:rPr>
          <w:b/>
          <w:bCs/>
        </w:rPr>
        <w:t xml:space="preserve">Artéméther + Lumefantrine</w:t>
      </w:r>
      <w:r>
        <w:t xml:space="preserve"> </w:t>
      </w:r>
      <w:r>
        <w:t xml:space="preserve">(Coartem, Riamet) : ACT la plus prescrite au monde.</w:t>
      </w:r>
      <w:r>
        <w:t xml:space="preserve"> </w:t>
      </w:r>
      <w:r>
        <w:rPr>
          <w:b/>
          <w:bCs/>
        </w:rPr>
        <w:t xml:space="preserve">Non disponible en Algérie</w:t>
      </w:r>
      <w:r>
        <w:t xml:space="preserve">.</w:t>
      </w:r>
      <w:r>
        <w:t xml:space="preserve"> </w:t>
      </w:r>
      <w:r>
        <w:t xml:space="preserve">-</w:t>
      </w:r>
      <w:r>
        <w:t xml:space="preserve"> </w:t>
      </w:r>
      <w:r>
        <w:rPr>
          <w:b/>
          <w:bCs/>
        </w:rPr>
        <w:t xml:space="preserve">Artésunate + Amodiaquine</w:t>
      </w:r>
      <w:r>
        <w:t xml:space="preserve"> </w:t>
      </w:r>
      <w:r>
        <w:t xml:space="preserve">(ASAQ, Coarsucam) : ACT pour l’Afrique.</w:t>
      </w:r>
      <w:r>
        <w:t xml:space="preserve"> </w:t>
      </w:r>
      <w:r>
        <w:rPr>
          <w:b/>
          <w:bCs/>
        </w:rPr>
        <w:t xml:space="preserve">Non disponible en Algérie</w:t>
      </w:r>
      <w:r>
        <w:t xml:space="preserve">.</w:t>
      </w:r>
      <w:r>
        <w:t xml:space="preserve"> </w:t>
      </w:r>
      <w:r>
        <w:t xml:space="preserve">-</w:t>
      </w:r>
      <w:r>
        <w:t xml:space="preserve"> </w:t>
      </w:r>
      <w:r>
        <w:rPr>
          <w:b/>
          <w:bCs/>
        </w:rPr>
        <w:t xml:space="preserve">Dihydroartémisinine + Pipéraquine</w:t>
      </w:r>
      <w:r>
        <w:t xml:space="preserve"> </w:t>
      </w:r>
      <w:r>
        <w:t xml:space="preserve">(Eurartesim) : ACT à demi-vie longue (pipéraquine : 3-4 semaines).</w:t>
      </w:r>
      <w:r>
        <w:t xml:space="preserve"> </w:t>
      </w:r>
      <w:r>
        <w:rPr>
          <w:b/>
          <w:bCs/>
        </w:rPr>
        <w:t xml:space="preserve">Non disponible en Algérie</w:t>
      </w:r>
      <w:r>
        <w:t xml:space="preserve">.</w:t>
      </w:r>
    </w:p>
    <w:p>
      <w:pPr>
        <w:pStyle w:val="BodyText"/>
      </w:pPr>
      <w:r>
        <w:rPr>
          <w:b/>
          <w:bCs/>
        </w:rPr>
        <w:t xml:space="preserve">Molécules apparentées non disponibles en Algérie</w:t>
      </w:r>
      <w:r>
        <w:t xml:space="preserve"> </w:t>
      </w:r>
      <w:r>
        <w:t xml:space="preserve">:</w:t>
      </w:r>
      <w:r>
        <w:t xml:space="preserve"> </w:t>
      </w:r>
      <w:r>
        <w:t xml:space="preserve">-</w:t>
      </w:r>
      <w:r>
        <w:t xml:space="preserve"> </w:t>
      </w:r>
      <w:r>
        <w:rPr>
          <w:b/>
          <w:bCs/>
        </w:rPr>
        <w:t xml:space="preserve">Quinine</w:t>
      </w:r>
      <w:r>
        <w:t xml:space="preserve"> </w:t>
      </w:r>
      <w:r>
        <w:t xml:space="preserve">(Quinimax, Quinine Lafran) : alcaloïde du quinquina (</w:t>
      </w:r>
      <w:r>
        <w:rPr>
          <w:i/>
          <w:iCs/>
        </w:rPr>
        <w:t xml:space="preserve">Cinchona</w:t>
      </w:r>
      <w:r>
        <w:t xml:space="preserve">), historique antipaludique de référence ; traitement du paludisme grave avant l’artésunate, désormais en seconde ligne. Inhibe la polymérisation de l’hème (mécanisme proche des 4-aminoquinoléines). Effets indésirables :</w:t>
      </w:r>
      <w:r>
        <w:t xml:space="preserve"> </w:t>
      </w:r>
      <w:r>
        <w:rPr>
          <w:b/>
          <w:bCs/>
        </w:rPr>
        <w:t xml:space="preserve">cinchonisme</w:t>
      </w:r>
      <w:r>
        <w:t xml:space="preserve"> </w:t>
      </w:r>
      <w:r>
        <w:t xml:space="preserve">(acouphènes, surdité, vertiges, céphalées, nausées), hypoglycémie (insulino-sécréteur), allongement QT, troubles du rythme.</w:t>
      </w:r>
      <w:r>
        <w:t xml:space="preserve"> </w:t>
      </w:r>
      <w:r>
        <w:rPr>
          <w:b/>
          <w:bCs/>
        </w:rPr>
        <w:t xml:space="preserve">Non disponible en Algérie</w:t>
      </w:r>
      <w:r>
        <w:t xml:space="preserve"> </w:t>
      </w:r>
      <w:r>
        <w:t xml:space="preserve">(disparue du marché algérien).</w:t>
      </w:r>
      <w:r>
        <w:t xml:space="preserve"> </w:t>
      </w:r>
      <w:r>
        <w:t xml:space="preserve">-</w:t>
      </w:r>
      <w:r>
        <w:t xml:space="preserve"> </w:t>
      </w:r>
      <w:r>
        <w:rPr>
          <w:b/>
          <w:bCs/>
        </w:rPr>
        <w:t xml:space="preserve">Méfloquine</w:t>
      </w:r>
      <w:r>
        <w:t xml:space="preserve"> </w:t>
      </w:r>
      <w:r>
        <w:t xml:space="preserve">(Lariam) : aminoalcool synthétique apparenté à la quinine, prophylaxie alternative pour les zones multirésistantes (Asie du Sud-Est, Amazonie) ; demi-vie très longue (2-4 semaines). Effets indésirables</w:t>
      </w:r>
      <w:r>
        <w:t xml:space="preserve"> </w:t>
      </w:r>
      <w:r>
        <w:rPr>
          <w:b/>
          <w:bCs/>
        </w:rPr>
        <w:t xml:space="preserve">neuropsychiatriques</w:t>
      </w:r>
      <w:r>
        <w:t xml:space="preserve"> </w:t>
      </w:r>
      <w:r>
        <w:t xml:space="preserve">(anxiété, insomnie, cauchemars, psychose, convulsions) — CI chez les sujets ayant des antécédents psychiatriques ou épileptiques.</w:t>
      </w:r>
      <w:r>
        <w:t xml:space="preserve"> </w:t>
      </w:r>
      <w:r>
        <w:rPr>
          <w:b/>
          <w:bCs/>
        </w:rPr>
        <w:t xml:space="preserve">Non disponible en Algérie</w:t>
      </w:r>
      <w:r>
        <w:t xml:space="preserve">.</w:t>
      </w:r>
      <w:r>
        <w:t xml:space="preserve"> </w:t>
      </w:r>
      <w:r>
        <w:t xml:space="preserve">-</w:t>
      </w:r>
      <w:r>
        <w:t xml:space="preserve"> </w:t>
      </w:r>
      <w:r>
        <w:rPr>
          <w:b/>
          <w:bCs/>
        </w:rPr>
        <w:t xml:space="preserve">Halofantrine</w:t>
      </w:r>
      <w:r>
        <w:t xml:space="preserve"> </w:t>
      </w:r>
      <w:r>
        <w:t xml:space="preserve">(Halfan) : aminoalcool retiré pour allongement QT majeur (torsades de pointe) — retiré du marché mondial.</w:t>
      </w:r>
      <w:r>
        <w:t xml:space="preserve"> </w:t>
      </w:r>
      <w:r>
        <w:t xml:space="preserve">-</w:t>
      </w:r>
      <w:r>
        <w:t xml:space="preserve"> </w:t>
      </w:r>
      <w:r>
        <w:rPr>
          <w:b/>
          <w:bCs/>
        </w:rPr>
        <w:t xml:space="preserve">Lumefantrine</w:t>
      </w:r>
      <w:r>
        <w:t xml:space="preserve"> </w:t>
      </w:r>
      <w:r>
        <w:t xml:space="preserve">: uniquement en association fixe avec l’artéméther.</w:t>
      </w:r>
      <w:r>
        <w:t xml:space="preserve"> </w:t>
      </w:r>
      <w:r>
        <w:rPr>
          <w:b/>
          <w:bCs/>
        </w:rPr>
        <w:t xml:space="preserve">Non disponible seule en Algérie</w:t>
      </w:r>
      <w:r>
        <w:t xml:space="preserve">.</w:t>
      </w:r>
    </w:p>
    <w:p>
      <w:r>
        <w:pict>
          <v:rect style="width:0;height:1.5pt" o:hralign="center" o:hrstd="t" o:hr="t"/>
        </w:pict>
      </w:r>
    </w:p>
    <w:bookmarkEnd w:id="114"/>
    <w:bookmarkStart w:id="115" w:name="dci-artésunate-seule"/>
    <w:p>
      <w:pPr>
        <w:pStyle w:val="Heading3"/>
      </w:pPr>
      <w:r>
        <w:t xml:space="preserve">3. DCI : Artésunate (Seule)</w:t>
      </w:r>
    </w:p>
    <w:p>
      <w:pPr>
        <w:pStyle w:val="FirstParagraph"/>
      </w:pPr>
      <w:r>
        <w:rPr>
          <w:b/>
          <w:bCs/>
        </w:rPr>
        <w:t xml:space="preserve">Liste des Catégories :</w:t>
      </w:r>
      <w:r>
        <w:t xml:space="preserve"> </w:t>
      </w:r>
      <w:r>
        <w:t xml:space="preserve">Antipaludique — Artémisinine (dérivé hémisuccinate, prodrogue hydrosoluble). Liste I.</w:t>
      </w:r>
    </w:p>
    <w:p>
      <w:pPr>
        <w:pStyle w:val="BodyText"/>
      </w:pPr>
      <w:r>
        <w:t xml:space="preserve">L’artésunate est l’antipaludique de référence du</w:t>
      </w:r>
      <w:r>
        <w:t xml:space="preserve"> </w:t>
      </w:r>
      <w:r>
        <w:rPr>
          <w:b/>
          <w:bCs/>
        </w:rPr>
        <w:t xml:space="preserve">paludisme grave</w:t>
      </w:r>
      <w:r>
        <w:t xml:space="preserve">, supplantant la quinine IV depuis 2005-2010 sur la base d’essais contrôlés (SEAQUAMAT, AQUAMAT) montrant une réduction de la mortalité. En Algérie, où la quinine IV n’est plus disponible, l’artésunate injectable (FALCI CARE, 60 mg IV/IM, Swiss Parenterals) est l’</w:t>
      </w:r>
      <w:r>
        <w:rPr>
          <w:b/>
          <w:bCs/>
        </w:rPr>
        <w:t xml:space="preserve">unique option pour le paludisme grave d’importation</w:t>
      </w:r>
      <w:r>
        <w:t xml:space="preserve">. Sa rapidité d’action (clairance parasitaire en 24-48 h), sa tolérance supérieure (pas d’hypoglycémie, pas de cinchonisme, pas d’ototoxicité, pas d’allongement QT significatif) et son administration simple (IV lente ou IM) en font le traitement de choix dans les services d’urgences et de réanimation. La prescription est hospitalière exclusivement.</w:t>
      </w:r>
    </w:p>
    <w:p>
      <w:pPr>
        <w:pStyle w:val="BodyText"/>
      </w:pPr>
      <w:r>
        <w:rPr>
          <w:b/>
          <w:bCs/>
        </w:rPr>
        <w:t xml:space="preserve">Médicaments disponibles en Algérie (Marques, Laboratoires, Formes et Dosages) :</w:t>
      </w:r>
    </w:p>
    <w:p>
      <w:pPr>
        <w:pStyle w:val="Compact"/>
        <w:numPr>
          <w:ilvl w:val="0"/>
          <w:numId w:val="1263"/>
        </w:numPr>
      </w:pPr>
      <w:r>
        <w:rPr>
          <w:b/>
          <w:bCs/>
        </w:rPr>
        <w:t xml:space="preserve">FALCI CARE</w:t>
      </w:r>
      <w:r>
        <w:t xml:space="preserve"> </w:t>
      </w:r>
      <w:r>
        <w:t xml:space="preserve">(SWISS PARENTERALS PVT.LTD.)</w:t>
      </w:r>
    </w:p>
    <w:p>
      <w:pPr>
        <w:pStyle w:val="Compact"/>
        <w:numPr>
          <w:ilvl w:val="1"/>
          <w:numId w:val="1264"/>
        </w:numPr>
      </w:pPr>
      <w:r>
        <w:t xml:space="preserve">Formes et Dosages : Poudre et solvant pour solution injectable IV/IM — 60 mg par flacon</w:t>
      </w:r>
    </w:p>
    <w:p>
      <w:pPr>
        <w:pStyle w:val="Compact"/>
        <w:numPr>
          <w:ilvl w:val="1"/>
          <w:numId w:val="1264"/>
        </w:numPr>
      </w:pPr>
      <w:r>
        <w:t xml:space="preserve">Conditionnement : Boîte de 1 flacon de poudre 5 mL + 1 ampoule de 1 mL de bicarbonate de sodium BP 5 % (pour reconstitution IM) + 1 ampoule de 5 mL de chlorure de sodium BP 0,9 % (pour dilution IV)</w:t>
      </w:r>
    </w:p>
    <w:p>
      <w:pPr>
        <w:pStyle w:val="Compact"/>
        <w:numPr>
          <w:ilvl w:val="1"/>
          <w:numId w:val="1264"/>
        </w:numPr>
      </w:pPr>
      <w:r>
        <w:t xml:space="preserve">Statut :</w:t>
      </w:r>
      <w:r>
        <w:t xml:space="preserve"> </w:t>
      </w:r>
      <w:r>
        <w:rPr>
          <w:b/>
          <w:bCs/>
        </w:rPr>
        <w:t xml:space="preserve">ACTIF</w:t>
      </w:r>
      <w:r>
        <w:t xml:space="preserve"> </w:t>
      </w:r>
      <w:r>
        <w:t xml:space="preserve">— seule forme d’artésunate disponible en Algérie</w:t>
      </w:r>
    </w:p>
    <w:p>
      <w:pPr>
        <w:pStyle w:val="Compact"/>
        <w:numPr>
          <w:ilvl w:val="1"/>
          <w:numId w:val="1264"/>
        </w:numPr>
      </w:pPr>
      <w:r>
        <w:t xml:space="preserve">Liste : Liste I (prescription hospitalière réservée au paludisme grave)</w:t>
      </w:r>
    </w:p>
    <w:p>
      <w:pPr>
        <w:pStyle w:val="FirstParagraph"/>
      </w:pPr>
      <w:r>
        <w:rPr>
          <w:b/>
          <w:bCs/>
        </w:rPr>
        <w:t xml:space="preserve">Note de disponibilité</w:t>
      </w:r>
      <w:r>
        <w:t xml:space="preserve"> </w:t>
      </w:r>
      <w:r>
        <w:t xml:space="preserve">: L’artésunate injectable FALCI CARE est un produit importé (laboratoire indien Swiss Parenterals) conditionné pour un usage d’urgence. Le conditionnement comprend</w:t>
      </w:r>
      <w:r>
        <w:t xml:space="preserve"> </w:t>
      </w:r>
      <w:r>
        <w:rPr>
          <w:b/>
          <w:bCs/>
        </w:rPr>
        <w:t xml:space="preserve">trois composants</w:t>
      </w:r>
      <w:r>
        <w:t xml:space="preserve"> </w:t>
      </w:r>
      <w:r>
        <w:t xml:space="preserve">: (1) flacon de poudre lyophilisée d’artésunate 60 mg, (2) ampoule de bicarbonate de sodium 5 % (1 mL) nécessaire à la dissolution initiale (l’artésunate hémisuccinate nécessite un pH alcalin pour se solubiliser en formant le sel de sodium hydrosoluble), et (3) ampoule de NaCl 0,9 % (5 mL) pour la dilution finale permettant l’administration IV. Le respect strict du protocole de reconstitution est essentiel (la poudre ne se dissout pas dans le NaCl seul). Cette présentation correspond aux spécifications OMS pour l’artésunate injectable d’urgence.</w:t>
      </w:r>
    </w:p>
    <w:p>
      <w:pPr>
        <w:pStyle w:val="BodyText"/>
      </w:pPr>
      <w:r>
        <w:rPr>
          <w:b/>
          <w:bCs/>
        </w:rPr>
        <w:t xml:space="preserve">Sous-classe et Mécanisme d’action :</w:t>
      </w:r>
    </w:p>
    <w:p>
      <w:pPr>
        <w:pStyle w:val="Compact"/>
        <w:numPr>
          <w:ilvl w:val="0"/>
          <w:numId w:val="1265"/>
        </w:numPr>
      </w:pPr>
      <w:r>
        <w:t xml:space="preserve">Sous-classe : Antipaludique — Artémisinine (hémisuccinate de dihydroartémisinine, prodrogue hydrosoluble).</w:t>
      </w:r>
    </w:p>
    <w:p>
      <w:pPr>
        <w:pStyle w:val="Compact"/>
        <w:numPr>
          <w:ilvl w:val="0"/>
          <w:numId w:val="1265"/>
        </w:numPr>
      </w:pPr>
      <w:r>
        <w:t xml:space="preserve">Mécanisme d’action : L’artésunate est une</w:t>
      </w:r>
      <w:r>
        <w:t xml:space="preserve"> </w:t>
      </w:r>
      <w:r>
        <w:rPr>
          <w:b/>
          <w:bCs/>
        </w:rPr>
        <w:t xml:space="preserve">prodrogue</w:t>
      </w:r>
      <w:r>
        <w:t xml:space="preserve"> </w:t>
      </w:r>
      <w:r>
        <w:t xml:space="preserve">rapidement hydrolysée par les estérases plasmatiques (paradoxally within 1-2 minutes of IV administration) en son métabolite actif, la</w:t>
      </w:r>
      <w:r>
        <w:t xml:space="preserve"> </w:t>
      </w:r>
      <w:r>
        <w:rPr>
          <w:b/>
          <w:bCs/>
        </w:rPr>
        <w:t xml:space="preserve">dihydroartémisinine (DHA)</w:t>
      </w:r>
      <w:r>
        <w:t xml:space="preserve">. La DHA est une lactone sesquiterpénique contenant un</w:t>
      </w:r>
      <w:r>
        <w:t xml:space="preserve"> </w:t>
      </w:r>
      <w:r>
        <w:rPr>
          <w:b/>
          <w:bCs/>
        </w:rPr>
        <w:t xml:space="preserve">pont endoperoxyde (–O–O–)</w:t>
      </w:r>
      <w:r>
        <w:t xml:space="preserve"> </w:t>
      </w:r>
      <w:r>
        <w:t xml:space="preserve">indispensable à l’activité antipaludique. Le mécanisme canonique implique le</w:t>
      </w:r>
      <w:r>
        <w:t xml:space="preserve"> </w:t>
      </w:r>
      <w:r>
        <w:rPr>
          <w:b/>
          <w:bCs/>
        </w:rPr>
        <w:t xml:space="preserve">clivage réducteur du pont endoperoxyde par le Fe²⁺ de l’hème</w:t>
      </w:r>
      <w:r>
        <w:t xml:space="preserve"> </w:t>
      </w:r>
      <w:r>
        <w:t xml:space="preserve">libéré dans la vacuole digestive du parasite lors de la digestion de l’hémoglobine. Cette réaction de type Fenton génère des</w:t>
      </w:r>
      <w:r>
        <w:t xml:space="preserve"> </w:t>
      </w:r>
      <w:r>
        <w:rPr>
          <w:b/>
          <w:bCs/>
        </w:rPr>
        <w:t xml:space="preserve">radicaux libres carbonés</w:t>
      </w:r>
      <w:r>
        <w:t xml:space="preserve"> </w:t>
      </w:r>
      <w:r>
        <w:t xml:space="preserve">(radicaux C-centered) hautement réactifs qui</w:t>
      </w:r>
      <w:r>
        <w:t xml:space="preserve"> </w:t>
      </w:r>
      <w:r>
        <w:rPr>
          <w:b/>
          <w:bCs/>
        </w:rPr>
        <w:t xml:space="preserve">alkylent de manière covalente</w:t>
      </w:r>
      <w:r>
        <w:t xml:space="preserve"> </w:t>
      </w:r>
      <w:r>
        <w:t xml:space="preserve">des protéines plasmodiales critiques :</w:t>
      </w:r>
    </w:p>
    <w:p>
      <w:pPr>
        <w:pStyle w:val="Compact"/>
        <w:numPr>
          <w:ilvl w:val="1"/>
          <w:numId w:val="1266"/>
        </w:numPr>
      </w:pPr>
      <w:r>
        <w:rPr>
          <w:b/>
          <w:bCs/>
        </w:rPr>
        <w:t xml:space="preserve">PfATP6</w:t>
      </w:r>
      <w:r>
        <w:t xml:space="preserve"> </w:t>
      </w:r>
      <w:r>
        <w:t xml:space="preserve">(PfATPase6, calcium-ATPase du réticulum endoplasmique du parasite, homologue des SERCA mammifères) — alkylations sur Cys299 et His293, inhibition de la pompe à calcium → dysrégulation calcique → mort parasitaire.</w:t>
      </w:r>
    </w:p>
    <w:p>
      <w:pPr>
        <w:pStyle w:val="Compact"/>
        <w:numPr>
          <w:ilvl w:val="1"/>
          <w:numId w:val="1266"/>
        </w:numPr>
      </w:pPr>
      <w:r>
        <w:rPr>
          <w:b/>
          <w:bCs/>
        </w:rPr>
        <w:t xml:space="preserve">PfTCTP</w:t>
      </w:r>
      <w:r>
        <w:t xml:space="preserve"> </w:t>
      </w:r>
      <w:r>
        <w:t xml:space="preserve">(Translationally Controlled Tumor Protein, homologue du facteur libérant l’histamine) — alkylation, inhibition.</w:t>
      </w:r>
    </w:p>
    <w:p>
      <w:pPr>
        <w:pStyle w:val="Compact"/>
        <w:numPr>
          <w:ilvl w:val="1"/>
          <w:numId w:val="1266"/>
        </w:numPr>
      </w:pPr>
      <w:r>
        <w:rPr>
          <w:b/>
          <w:bCs/>
        </w:rPr>
        <w:t xml:space="preserve">Protéines membranaires</w:t>
      </w:r>
      <w:r>
        <w:t xml:space="preserve"> </w:t>
      </w:r>
      <w:r>
        <w:t xml:space="preserve">et</w:t>
      </w:r>
      <w:r>
        <w:t xml:space="preserve"> </w:t>
      </w:r>
      <w:r>
        <w:rPr>
          <w:b/>
          <w:bCs/>
        </w:rPr>
        <w:t xml:space="preserve">protéines de traduction mitochondriale</w:t>
      </w:r>
      <w:r>
        <w:t xml:space="preserve">.</w:t>
      </w:r>
    </w:p>
    <w:p>
      <w:pPr>
        <w:pStyle w:val="Compact"/>
        <w:numPr>
          <w:ilvl w:val="1"/>
          <w:numId w:val="1266"/>
        </w:numPr>
      </w:pPr>
      <w:r>
        <w:t xml:space="preserve">Inhibition de la</w:t>
      </w:r>
      <w:r>
        <w:t xml:space="preserve"> </w:t>
      </w:r>
      <w:r>
        <w:rPr>
          <w:b/>
          <w:bCs/>
        </w:rPr>
        <w:t xml:space="preserve">synthèse d’ARN et de protéines</w:t>
      </w:r>
      <w:r>
        <w:t xml:space="preserve"> </w:t>
      </w:r>
      <w:r>
        <w:t xml:space="preserve">parasitaires.</w:t>
      </w:r>
    </w:p>
    <w:p>
      <w:pPr>
        <w:pStyle w:val="Compact"/>
        <w:numPr>
          <w:ilvl w:val="0"/>
          <w:numId w:val="1265"/>
        </w:numPr>
      </w:pPr>
      <w:r>
        <w:t xml:space="preserve">Spectre :</w:t>
      </w:r>
      <w:r>
        <w:t xml:space="preserve"> </w:t>
      </w:r>
      <w:r>
        <w:rPr>
          <w:b/>
          <w:bCs/>
        </w:rPr>
        <w:t xml:space="preserve">bactéricide très rapide</w:t>
      </w:r>
      <w:r>
        <w:t xml:space="preserve"> </w:t>
      </w:r>
      <w:r>
        <w:t xml:space="preserve">sur les</w:t>
      </w:r>
      <w:r>
        <w:t xml:space="preserve"> </w:t>
      </w:r>
      <w:r>
        <w:rPr>
          <w:b/>
          <w:bCs/>
        </w:rPr>
        <w:t xml:space="preserve">formes anneau (trophozoïtes jeunes)</w:t>
      </w:r>
      <w:r>
        <w:t xml:space="preserve"> </w:t>
      </w:r>
      <w:r>
        <w:t xml:space="preserve">de tous les</w:t>
      </w:r>
      <w:r>
        <w:t xml:space="preserve"> </w:t>
      </w:r>
      <w:r>
        <w:rPr>
          <w:i/>
          <w:iCs/>
        </w:rPr>
        <w:t xml:space="preserve">Plasmodium</w:t>
      </w:r>
      <w:r>
        <w:t xml:space="preserve"> </w:t>
      </w:r>
      <w:r>
        <w:t xml:space="preserve">(y compris souches chloroquino-résistantes, méfloquino-résistantes et sulfadoxine-pyriméthamine-résistantes) ; actif sur</w:t>
      </w:r>
      <w:r>
        <w:t xml:space="preserve"> </w:t>
      </w:r>
      <w:r>
        <w:rPr>
          <w:i/>
          <w:iCs/>
        </w:rPr>
        <w:t xml:space="preserve">P. falciparum</w:t>
      </w:r>
      <w:r>
        <w:t xml:space="preserve">,</w:t>
      </w:r>
      <w:r>
        <w:t xml:space="preserve"> </w:t>
      </w:r>
      <w:r>
        <w:rPr>
          <w:i/>
          <w:iCs/>
        </w:rPr>
        <w:t xml:space="preserve">P. vivax</w:t>
      </w:r>
      <w:r>
        <w:t xml:space="preserve">,</w:t>
      </w:r>
      <w:r>
        <w:t xml:space="preserve"> </w:t>
      </w:r>
      <w:r>
        <w:rPr>
          <w:i/>
          <w:iCs/>
        </w:rPr>
        <w:t xml:space="preserve">P. ovale</w:t>
      </w:r>
      <w:r>
        <w:t xml:space="preserve">,</w:t>
      </w:r>
      <w:r>
        <w:t xml:space="preserve"> </w:t>
      </w:r>
      <w:r>
        <w:rPr>
          <w:i/>
          <w:iCs/>
        </w:rPr>
        <w:t xml:space="preserve">P. malariae</w:t>
      </w:r>
      <w:r>
        <w:t xml:space="preserve">,</w:t>
      </w:r>
      <w:r>
        <w:t xml:space="preserve"> </w:t>
      </w:r>
      <w:r>
        <w:rPr>
          <w:i/>
          <w:iCs/>
        </w:rPr>
        <w:t xml:space="preserve">P. knowlesi</w:t>
      </w:r>
      <w:r>
        <w:t xml:space="preserve">. Actif sur les</w:t>
      </w:r>
      <w:r>
        <w:t xml:space="preserve"> </w:t>
      </w:r>
      <w:r>
        <w:rPr>
          <w:b/>
          <w:bCs/>
        </w:rPr>
        <w:t xml:space="preserve">gamétocytes jeunes</w:t>
      </w:r>
      <w:r>
        <w:t xml:space="preserve"> </w:t>
      </w:r>
      <w:r>
        <w:t xml:space="preserve">(stades I-III) de</w:t>
      </w:r>
      <w:r>
        <w:t xml:space="preserve"> </w:t>
      </w:r>
      <w:r>
        <w:rPr>
          <w:i/>
          <w:iCs/>
        </w:rPr>
        <w:t xml:space="preserve">P. falciparum</w:t>
      </w:r>
      <w:r>
        <w:t xml:space="preserve"> </w:t>
      </w:r>
      <w:r>
        <w:t xml:space="preserve">(réduction de la transmission).</w:t>
      </w:r>
      <w:r>
        <w:t xml:space="preserve"> </w:t>
      </w:r>
      <w:r>
        <w:rPr>
          <w:b/>
          <w:bCs/>
        </w:rPr>
        <w:t xml:space="preserve">Inactif sur les hypnozoïtes</w:t>
      </w:r>
      <w:r>
        <w:t xml:space="preserve"> </w:t>
      </w:r>
      <w:r>
        <w:t xml:space="preserve">hépatiques de</w:t>
      </w:r>
      <w:r>
        <w:t xml:space="preserve"> </w:t>
      </w:r>
      <w:r>
        <w:rPr>
          <w:i/>
          <w:iCs/>
        </w:rPr>
        <w:t xml:space="preserve">P. vivax</w:t>
      </w:r>
      <w:r>
        <w:t xml:space="preserve">/</w:t>
      </w:r>
      <w:r>
        <w:rPr>
          <w:i/>
          <w:iCs/>
        </w:rPr>
        <w:t xml:space="preserve">P. ovale</w:t>
      </w:r>
      <w:r>
        <w:t xml:space="preserve"> </w:t>
      </w:r>
      <w:r>
        <w:t xml:space="preserve">(nécessite primaquine pour la guérison radicale — non disponible en Algérie).</w:t>
      </w:r>
      <w:r>
        <w:t xml:space="preserve"> </w:t>
      </w:r>
      <w:r>
        <w:rPr>
          <w:b/>
          <w:bCs/>
        </w:rPr>
        <w:t xml:space="preserve">Inactif sur les gamétocytes mûrs</w:t>
      </w:r>
      <w:r>
        <w:t xml:space="preserve"> </w:t>
      </w:r>
      <w:r>
        <w:t xml:space="preserve">de</w:t>
      </w:r>
      <w:r>
        <w:t xml:space="preserve"> </w:t>
      </w:r>
      <w:r>
        <w:rPr>
          <w:i/>
          <w:iCs/>
        </w:rPr>
        <w:t xml:space="preserve">P. falciparum</w:t>
      </w:r>
      <w:r>
        <w:t xml:space="preserve"> </w:t>
      </w:r>
      <w:r>
        <w:t xml:space="preserve">(stades IV-V).</w:t>
      </w:r>
    </w:p>
    <w:p>
      <w:pPr>
        <w:pStyle w:val="Compact"/>
        <w:numPr>
          <w:ilvl w:val="0"/>
          <w:numId w:val="1265"/>
        </w:numPr>
      </w:pPr>
      <w:r>
        <w:t xml:space="preserve">Résistance : mutations</w:t>
      </w:r>
      <w:r>
        <w:t xml:space="preserve"> </w:t>
      </w:r>
      <w:r>
        <w:rPr>
          <w:b/>
          <w:bCs/>
        </w:rPr>
        <w:t xml:space="preserve">K13</w:t>
      </w:r>
      <w:r>
        <w:t xml:space="preserve"> </w:t>
      </w:r>
      <w:r>
        <w:t xml:space="preserve">(Kelch 13, chromosome 14) — phénotype de clairance parasitaire ralentie (parasitémie positive à J3). Émergence Grand Mékong 2008, Afrique de l’Est 2020-2023.</w:t>
      </w:r>
    </w:p>
    <w:p>
      <w:pPr>
        <w:pStyle w:val="FirstParagraph"/>
      </w:pPr>
      <w:r>
        <w:rPr>
          <w:b/>
          <w:bCs/>
        </w:rPr>
        <w:t xml:space="preserve">Profil Pharmacologique :</w:t>
      </w:r>
    </w:p>
    <w:p>
      <w:pPr>
        <w:pStyle w:val="Compact"/>
        <w:numPr>
          <w:ilvl w:val="0"/>
          <w:numId w:val="1267"/>
        </w:numPr>
      </w:pPr>
      <w:r>
        <w:t xml:space="preserve">Indications :</w:t>
      </w:r>
    </w:p>
    <w:p>
      <w:pPr>
        <w:pStyle w:val="Compact"/>
        <w:numPr>
          <w:ilvl w:val="1"/>
          <w:numId w:val="1268"/>
        </w:numPr>
      </w:pPr>
      <w:r>
        <w:rPr>
          <w:i/>
          <w:iCs/>
        </w:rPr>
        <w:t xml:space="preserve">Paludisme grave d’importation</w:t>
      </w:r>
      <w:r>
        <w:t xml:space="preserve"> </w:t>
      </w:r>
      <w:r>
        <w:t xml:space="preserve">(à</w:t>
      </w:r>
      <w:r>
        <w:t xml:space="preserve"> </w:t>
      </w:r>
      <w:r>
        <w:rPr>
          <w:i/>
          <w:iCs/>
        </w:rPr>
        <w:t xml:space="preserve">P. falciparum</w:t>
      </w:r>
      <w:r>
        <w:t xml:space="preserve"> </w:t>
      </w:r>
      <w:r>
        <w:t xml:space="preserve">le plus souvent) :</w:t>
      </w:r>
      <w:r>
        <w:t xml:space="preserve"> </w:t>
      </w:r>
      <w:r>
        <w:rPr>
          <w:b/>
          <w:bCs/>
        </w:rPr>
        <w:t xml:space="preserve">traitement de première intention en IV</w:t>
      </w:r>
      <w:r>
        <w:t xml:space="preserve">, supérieur à la quinine. Critères OMS de gravité : neuropaludisme (coma, convulsions répétées), détresse respiratoire (œdème pulmonaire, SDRA), anémie sévère (Hb &lt; 5 g/dL enfant, &lt; 7 g/dL adulte), insuffisance rénale (créatinine &gt; 265 µmol/L ou diurèse &lt; 0.5 mL/kg/h), hypoglycémie (&lt; 2.2 mmol/L), acidose métabolique (bicarbonate &lt; 15 mmol/L, pH &lt; 7.25), coagulopathie (saignements, TP &lt; 50 %), hyperparasitémie (&gt; 2 % chez non immuns, &gt; 10 % chez semi-immuns), choc (sepsis palustre), hémoglobinurie macroscopique, ictère (bilirubine &gt; 50 µmol/L), insuffisance hépatique sévère.</w:t>
      </w:r>
    </w:p>
    <w:p>
      <w:pPr>
        <w:pStyle w:val="Compact"/>
        <w:numPr>
          <w:ilvl w:val="1"/>
          <w:numId w:val="1268"/>
        </w:numPr>
      </w:pPr>
      <w:r>
        <w:rPr>
          <w:i/>
          <w:iCs/>
        </w:rPr>
        <w:t xml:space="preserve">Paludisme non compliqué à</w:t>
      </w:r>
      <w:r>
        <w:rPr>
          <w:i/>
          <w:iCs/>
        </w:rPr>
        <w:t xml:space="preserve"> </w:t>
      </w:r>
      <w:r>
        <w:t xml:space="preserve">P. falciparum* en zone multirésistante* : artésunate PO en association (ACT) — non disponible en Algérie sous forme PO isolée.</w:t>
      </w:r>
    </w:p>
    <w:p>
      <w:pPr>
        <w:pStyle w:val="Compact"/>
        <w:numPr>
          <w:ilvl w:val="1"/>
          <w:numId w:val="1268"/>
        </w:numPr>
      </w:pPr>
      <w:r>
        <w:rPr>
          <w:i/>
          <w:iCs/>
        </w:rPr>
        <w:t xml:space="preserve">Paludisme grave chez la femme enceinte</w:t>
      </w:r>
      <w:r>
        <w:t xml:space="preserve"> </w:t>
      </w:r>
      <w:r>
        <w:t xml:space="preserve">tous trimestres confondus (à la différence de la quinine, l’artésunate est privilégié aux 2e et 3e trimestres ; au 1er trimestre, l’OMS a actualisé ses recommandations en 2022 pour privilégier l’artésunate à la quinine même au 1er trimestre, sur la base du risque accru d’hypoglycémie maternelle et de mortalité fœtale sous quinine).</w:t>
      </w:r>
    </w:p>
    <w:p>
      <w:pPr>
        <w:pStyle w:val="Compact"/>
        <w:numPr>
          <w:ilvl w:val="0"/>
          <w:numId w:val="1267"/>
        </w:numPr>
      </w:pPr>
      <w:r>
        <w:t xml:space="preserve">Contre-indications :</w:t>
      </w:r>
    </w:p>
    <w:p>
      <w:pPr>
        <w:pStyle w:val="Compact"/>
        <w:numPr>
          <w:ilvl w:val="1"/>
          <w:numId w:val="1269"/>
        </w:numPr>
      </w:pPr>
      <w:r>
        <w:rPr>
          <w:b/>
          <w:bCs/>
        </w:rPr>
        <w:t xml:space="preserve">Hypersensibilité aux artémisinines</w:t>
      </w:r>
      <w:r>
        <w:t xml:space="preserve">.</w:t>
      </w:r>
    </w:p>
    <w:p>
      <w:pPr>
        <w:pStyle w:val="Compact"/>
        <w:numPr>
          <w:ilvl w:val="1"/>
          <w:numId w:val="1269"/>
        </w:numPr>
      </w:pPr>
      <w:r>
        <w:t xml:space="preserve">Paludisme non compliqué (l’artésunate injectable est réservé au paludisme grave — pour le paludisme non compliqué, ACT orale).</w:t>
      </w:r>
    </w:p>
    <w:p>
      <w:pPr>
        <w:pStyle w:val="Compact"/>
        <w:numPr>
          <w:ilvl w:val="1"/>
          <w:numId w:val="1269"/>
        </w:numPr>
      </w:pPr>
      <w:r>
        <w:t xml:space="preserve">Allaitement (cf. ci-dessous — en pratique, paludisme grave = suspension temporaire de l’allaitement).</w:t>
      </w:r>
    </w:p>
    <w:p>
      <w:pPr>
        <w:pStyle w:val="Compact"/>
        <w:numPr>
          <w:ilvl w:val="1"/>
          <w:numId w:val="1269"/>
        </w:numPr>
      </w:pPr>
      <w:r>
        <w:t xml:space="preserve">Prudence en cas d’anémie sévère préexistante (risque d’</w:t>
      </w:r>
      <w:r>
        <w:rPr>
          <w:b/>
          <w:bCs/>
        </w:rPr>
        <w:t xml:space="preserve">anémie post-artémisinine retardée</w:t>
      </w:r>
      <w:r>
        <w:t xml:space="preserve">).</w:t>
      </w:r>
    </w:p>
    <w:p>
      <w:pPr>
        <w:pStyle w:val="Compact"/>
        <w:numPr>
          <w:ilvl w:val="0"/>
          <w:numId w:val="1267"/>
        </w:numPr>
      </w:pPr>
      <w:r>
        <w:t xml:space="preserve">Effets Indésirables :</w:t>
      </w:r>
    </w:p>
    <w:p>
      <w:pPr>
        <w:pStyle w:val="Compact"/>
        <w:numPr>
          <w:ilvl w:val="1"/>
          <w:numId w:val="1270"/>
        </w:numPr>
      </w:pPr>
      <w:r>
        <w:rPr>
          <w:i/>
          <w:iCs/>
        </w:rPr>
        <w:t xml:space="preserve">Anémie retardée</w:t>
      </w:r>
      <w:r>
        <w:t xml:space="preserve"> </w:t>
      </w:r>
      <w:r>
        <w:t xml:space="preserve">(hémolyse post-artémisinine) : effet classe bien caractérisé depuis 2015, survenant</w:t>
      </w:r>
      <w:r>
        <w:t xml:space="preserve"> </w:t>
      </w:r>
      <w:r>
        <w:rPr>
          <w:b/>
          <w:bCs/>
        </w:rPr>
        <w:t xml:space="preserve">entre J7 et J28</w:t>
      </w:r>
      <w:r>
        <w:t xml:space="preserve"> </w:t>
      </w:r>
      <w:r>
        <w:t xml:space="preserve">après le traitement (médiane J14), par destruction des érythrocytes infectés résiduels (qui avaient été « pingés » puis rendus en circulation) et des érythrocytes sains (modification antigénique secondaire à la réticulocytose). Incidence 5-25 % selon les séries, parfois sévère (Hb &lt; 7 g/dL) avec nécessité transfusionnelle.</w:t>
      </w:r>
      <w:r>
        <w:t xml:space="preserve"> </w:t>
      </w:r>
      <w:r>
        <w:rPr>
          <w:b/>
          <w:bCs/>
        </w:rPr>
        <w:t xml:space="preserve">Surveillance NFS hebdomadaire pendant 4 semaines</w:t>
      </w:r>
      <w:r>
        <w:t xml:space="preserve"> </w:t>
      </w:r>
      <w:r>
        <w:t xml:space="preserve">après traitement.</w:t>
      </w:r>
    </w:p>
    <w:p>
      <w:pPr>
        <w:pStyle w:val="Compact"/>
        <w:numPr>
          <w:ilvl w:val="1"/>
          <w:numId w:val="1270"/>
        </w:numPr>
      </w:pPr>
      <w:r>
        <w:rPr>
          <w:i/>
          <w:iCs/>
        </w:rPr>
        <w:t xml:space="preserve">Neutropénie</w:t>
      </w:r>
      <w:r>
        <w:t xml:space="preserve"> </w:t>
      </w:r>
      <w:r>
        <w:t xml:space="preserve">transitoire (jusqu’à 12 % des cas dans certaines séries, particulièrement chez l’enfant).</w:t>
      </w:r>
    </w:p>
    <w:p>
      <w:pPr>
        <w:pStyle w:val="Compact"/>
        <w:numPr>
          <w:ilvl w:val="1"/>
          <w:numId w:val="1270"/>
        </w:numPr>
      </w:pPr>
      <w:r>
        <w:rPr>
          <w:i/>
          <w:iCs/>
        </w:rPr>
        <w:t xml:space="preserve">Fébricule transitoire</w:t>
      </w:r>
      <w:r>
        <w:t xml:space="preserve"> </w:t>
      </w:r>
      <w:r>
        <w:t xml:space="preserve">(syndrome inflammatoire de clairance parasitaire).</w:t>
      </w:r>
    </w:p>
    <w:p>
      <w:pPr>
        <w:pStyle w:val="Compact"/>
        <w:numPr>
          <w:ilvl w:val="1"/>
          <w:numId w:val="1270"/>
        </w:numPr>
      </w:pPr>
      <w:r>
        <w:rPr>
          <w:i/>
          <w:iCs/>
        </w:rPr>
        <w:t xml:space="preserve">Hypersensibilité</w:t>
      </w:r>
      <w:r>
        <w:t xml:space="preserve"> </w:t>
      </w:r>
      <w:r>
        <w:t xml:space="preserve">(urticaire, rash, exceptionnel choc anaphylactique).</w:t>
      </w:r>
    </w:p>
    <w:p>
      <w:pPr>
        <w:pStyle w:val="Compact"/>
        <w:numPr>
          <w:ilvl w:val="1"/>
          <w:numId w:val="1270"/>
        </w:numPr>
      </w:pPr>
      <w:r>
        <w:rPr>
          <w:i/>
          <w:iCs/>
        </w:rPr>
        <w:t xml:space="preserve">Allongement modéré du QTc</w:t>
      </w:r>
      <w:r>
        <w:t xml:space="preserve"> </w:t>
      </w:r>
      <w:r>
        <w:t xml:space="preserve">(cliniquement non significatif aux doses thérapeutiques, mais surveillance si association).</w:t>
      </w:r>
    </w:p>
    <w:p>
      <w:pPr>
        <w:pStyle w:val="Compact"/>
        <w:numPr>
          <w:ilvl w:val="1"/>
          <w:numId w:val="1270"/>
        </w:numPr>
      </w:pPr>
      <w:r>
        <w:rPr>
          <w:i/>
          <w:iCs/>
        </w:rPr>
        <w:t xml:space="preserve">Nausées, vomissements, diarrhée</w:t>
      </w:r>
      <w:r>
        <w:t xml:space="preserve"> </w:t>
      </w:r>
      <w:r>
        <w:t xml:space="preserve">(rares en IV).</w:t>
      </w:r>
    </w:p>
    <w:p>
      <w:pPr>
        <w:pStyle w:val="Compact"/>
        <w:numPr>
          <w:ilvl w:val="1"/>
          <w:numId w:val="1270"/>
        </w:numPr>
      </w:pPr>
      <w:r>
        <w:rPr>
          <w:i/>
          <w:iCs/>
        </w:rPr>
        <w:t xml:space="preserve">Élévation transitoire des transaminases</w:t>
      </w:r>
      <w:r>
        <w:t xml:space="preserve">.</w:t>
      </w:r>
    </w:p>
    <w:p>
      <w:pPr>
        <w:pStyle w:val="Compact"/>
        <w:numPr>
          <w:ilvl w:val="1"/>
          <w:numId w:val="1270"/>
        </w:numPr>
      </w:pPr>
      <w:r>
        <w:rPr>
          <w:i/>
          <w:iCs/>
        </w:rPr>
        <w:t xml:space="preserve">Au 1er trimestre de grossesse</w:t>
      </w:r>
      <w:r>
        <w:t xml:space="preserve"> </w:t>
      </w:r>
      <w:r>
        <w:t xml:space="preserve">: l’artésunate n’est pas tératogène aux doses thérapeutiques humaines (les observations tératogènes chez l’animal — rat et lapin — concernent des doses 10× supérieures). L’OMS privilégie désormais l’artésunate à la quinine même au 1er trimestre.</w:t>
      </w:r>
    </w:p>
    <w:p>
      <w:pPr>
        <w:pStyle w:val="FirstParagraph"/>
      </w:pPr>
      <w:r>
        <w:rPr>
          <w:b/>
          <w:bCs/>
        </w:rPr>
        <w:t xml:space="preserve">Prévention et Gestion des Effets Indésirables :</w:t>
      </w:r>
    </w:p>
    <w:p>
      <w:pPr>
        <w:pStyle w:val="Compact"/>
        <w:numPr>
          <w:ilvl w:val="0"/>
          <w:numId w:val="1271"/>
        </w:numPr>
      </w:pPr>
      <w:r>
        <w:t xml:space="preserve">Mesures Préventives :</w:t>
      </w:r>
    </w:p>
    <w:p>
      <w:pPr>
        <w:pStyle w:val="Compact"/>
        <w:numPr>
          <w:ilvl w:val="1"/>
          <w:numId w:val="1272"/>
        </w:numPr>
      </w:pPr>
      <w:r>
        <w:rPr>
          <w:b/>
          <w:bCs/>
        </w:rPr>
        <w:t xml:space="preserve">Bilan pré-thérapeutique</w:t>
      </w:r>
      <w:r>
        <w:t xml:space="preserve"> </w:t>
      </w:r>
      <w:r>
        <w:t xml:space="preserve">: parasitémie (frottis/goutte épaisse), NFS-plaquettes, ionogramme, créatinine, bilan hépatique, glycémie, TP/TCA, fibrinogène, lactates, gaz du sang, ECG, radiographie thoracique.</w:t>
      </w:r>
    </w:p>
    <w:p>
      <w:pPr>
        <w:pStyle w:val="Compact"/>
        <w:numPr>
          <w:ilvl w:val="1"/>
          <w:numId w:val="1272"/>
        </w:numPr>
      </w:pPr>
      <w:r>
        <w:rPr>
          <w:b/>
          <w:bCs/>
        </w:rPr>
        <w:t xml:space="preserve">Surveillance rapprochée</w:t>
      </w:r>
      <w:r>
        <w:t xml:space="preserve"> </w:t>
      </w:r>
      <w:r>
        <w:t xml:space="preserve">: parasitémie toutes les 12 h jusqu’à négativation (généralement 24-72 h), glycémie capillaire toutes les 4 h (l’hypoglycémie est une complication du paludisme grave lui-même, indépendamment du traitement), conscience (Glasgow) toutes les heures, diurèse horaire.</w:t>
      </w:r>
    </w:p>
    <w:p>
      <w:pPr>
        <w:pStyle w:val="Compact"/>
        <w:numPr>
          <w:ilvl w:val="1"/>
          <w:numId w:val="1272"/>
        </w:numPr>
      </w:pPr>
      <w:r>
        <w:rPr>
          <w:b/>
          <w:bCs/>
        </w:rPr>
        <w:t xml:space="preserve">Surveillance NFS hebdomadaire pendant 4 semaines</w:t>
      </w:r>
      <w:r>
        <w:t xml:space="preserve"> </w:t>
      </w:r>
      <w:r>
        <w:t xml:space="preserve">après traitement (dépistage anémie retardée).</w:t>
      </w:r>
    </w:p>
    <w:p>
      <w:pPr>
        <w:pStyle w:val="Compact"/>
        <w:numPr>
          <w:ilvl w:val="1"/>
          <w:numId w:val="1272"/>
        </w:numPr>
      </w:pPr>
      <w:r>
        <w:t xml:space="preserve">Vérifier le</w:t>
      </w:r>
      <w:r>
        <w:t xml:space="preserve"> </w:t>
      </w:r>
      <w:r>
        <w:rPr>
          <w:b/>
          <w:bCs/>
        </w:rPr>
        <w:t xml:space="preserve">statut vaccinal</w:t>
      </w:r>
      <w:r>
        <w:t xml:space="preserve"> </w:t>
      </w:r>
      <w:r>
        <w:t xml:space="preserve">(PfSPZ, RTS,S/AS01 — vaccination antipalustre disponible pour les enfants en zone d’endémie, non pertinente pour voyageur).</w:t>
      </w:r>
    </w:p>
    <w:p>
      <w:pPr>
        <w:pStyle w:val="Compact"/>
        <w:numPr>
          <w:ilvl w:val="1"/>
          <w:numId w:val="1272"/>
        </w:numPr>
      </w:pPr>
      <w:r>
        <w:t xml:space="preserve">Vérifier l’absence d’</w:t>
      </w:r>
      <w:r>
        <w:rPr>
          <w:b/>
          <w:bCs/>
        </w:rPr>
        <w:t xml:space="preserve">association</w:t>
      </w:r>
      <w:r>
        <w:t xml:space="preserve"> </w:t>
      </w:r>
      <w:r>
        <w:t xml:space="preserve">avec d’autres antipaludiques allongeant le QT (halofantrine, lumefantrine, méfloquine).</w:t>
      </w:r>
    </w:p>
    <w:p>
      <w:pPr>
        <w:pStyle w:val="Compact"/>
        <w:numPr>
          <w:ilvl w:val="0"/>
          <w:numId w:val="1271"/>
        </w:numPr>
      </w:pPr>
      <w:r>
        <w:t xml:space="preserve">Conduite à Tenir :</w:t>
      </w:r>
    </w:p>
    <w:p>
      <w:pPr>
        <w:pStyle w:val="Compact"/>
        <w:numPr>
          <w:ilvl w:val="1"/>
          <w:numId w:val="1273"/>
        </w:numPr>
      </w:pPr>
      <w:r>
        <w:t xml:space="preserve">En cas d’</w:t>
      </w:r>
      <w:r>
        <w:rPr>
          <w:b/>
          <w:bCs/>
        </w:rPr>
        <w:t xml:space="preserve">anémie retardée</w:t>
      </w:r>
      <w:r>
        <w:t xml:space="preserve"> </w:t>
      </w:r>
      <w:r>
        <w:t xml:space="preserve">: hospitalisation, transfusion si Hb &lt; 7 g/dL ou signes de mauvaise tolérance ; érythropoïétine dans les cas réfractaires.</w:t>
      </w:r>
    </w:p>
    <w:p>
      <w:pPr>
        <w:pStyle w:val="Compact"/>
        <w:numPr>
          <w:ilvl w:val="1"/>
          <w:numId w:val="1273"/>
        </w:numPr>
      </w:pPr>
      <w:r>
        <w:t xml:space="preserve">En cas de</w:t>
      </w:r>
      <w:r>
        <w:t xml:space="preserve"> </w:t>
      </w:r>
      <w:r>
        <w:rPr>
          <w:b/>
          <w:bCs/>
        </w:rPr>
        <w:t xml:space="preserve">neutropénie sévère</w:t>
      </w:r>
      <w:r>
        <w:t xml:space="preserve"> </w:t>
      </w:r>
      <w:r>
        <w:t xml:space="preserve">(&lt; 500/mm³) : surveillance, antibiothérapie prophylactique si fièvre.</w:t>
      </w:r>
    </w:p>
    <w:p>
      <w:pPr>
        <w:pStyle w:val="Compact"/>
        <w:numPr>
          <w:ilvl w:val="1"/>
          <w:numId w:val="1273"/>
        </w:numPr>
      </w:pPr>
      <w:r>
        <w:t xml:space="preserve">En cas d’échec thérapeutique (parasitémie persistante à J3) : suspicion de résistance K13 (référence au CNR du paludisme — France ; en Algérie, laboratoire de référence Institut Pasteur d’Algérie) ; switch vers atovaquone + proguanil ou quinine IV si disponible.</w:t>
      </w:r>
    </w:p>
    <w:p>
      <w:pPr>
        <w:pStyle w:val="Compact"/>
        <w:numPr>
          <w:ilvl w:val="1"/>
          <w:numId w:val="1273"/>
        </w:numPr>
      </w:pPr>
      <w:r>
        <w:t xml:space="preserve">Après guérison clinique : compléter par un traitement curatif oral par ACT (atovaquone + proguanil ou artéméther + lumefantrine — non disponibles en Algérie, à importer) ou par chloroquine si souche sensible, pour éviter la rechute.</w:t>
      </w:r>
    </w:p>
    <w:p>
      <w:pPr>
        <w:pStyle w:val="FirstParagraph"/>
      </w:pPr>
      <w:r>
        <w:rPr>
          <w:b/>
          <w:bCs/>
        </w:rPr>
        <w:t xml:space="preserve">Interactions Importantes :</w:t>
      </w:r>
    </w:p>
    <w:p>
      <w:pPr>
        <w:pStyle w:val="Compact"/>
        <w:numPr>
          <w:ilvl w:val="0"/>
          <w:numId w:val="1274"/>
        </w:numPr>
      </w:pPr>
      <w:r>
        <w:rPr>
          <w:b/>
          <w:bCs/>
        </w:rPr>
        <w:t xml:space="preserve">Artésunate + autres antipaludiques allongeant le QT (halofantrine, lumefantrine, méfloquine, quinine)</w:t>
      </w:r>
      <w:r>
        <w:t xml:space="preserve"> </w:t>
      </w:r>
      <w:r>
        <w:t xml:space="preserve">: addition des effets — espacer les administrations de 4 h minimum après la fin de l’artésunate IV ; risque de torsades de pointe.</w:t>
      </w:r>
    </w:p>
    <w:p>
      <w:pPr>
        <w:pStyle w:val="Compact"/>
        <w:numPr>
          <w:ilvl w:val="0"/>
          <w:numId w:val="1274"/>
        </w:numPr>
      </w:pPr>
      <w:r>
        <w:rPr>
          <w:b/>
          <w:bCs/>
        </w:rPr>
        <w:t xml:space="preserve">Artésunate + amiodarone, sotalol, macrolides, fluoroquinolones</w:t>
      </w:r>
      <w:r>
        <w:t xml:space="preserve"> </w:t>
      </w:r>
      <w:r>
        <w:t xml:space="preserve">: allongement QT additif (modéré pour l’artésunate seul).</w:t>
      </w:r>
    </w:p>
    <w:p>
      <w:pPr>
        <w:pStyle w:val="Compact"/>
        <w:numPr>
          <w:ilvl w:val="0"/>
          <w:numId w:val="1274"/>
        </w:numPr>
      </w:pPr>
      <w:r>
        <w:rPr>
          <w:b/>
          <w:bCs/>
        </w:rPr>
        <w:t xml:space="preserve">Artésunate + anti-convulsivants inducteurs enzymatiques (rifampicine, phénytoïne, carbamazépine, phénobarbital)</w:t>
      </w:r>
      <w:r>
        <w:t xml:space="preserve"> </w:t>
      </w:r>
      <w:r>
        <w:t xml:space="preserve">: ↓ concentrations de DHA (métabolisme augmenté) — risque d’échec thérapeutique ; privilégier alternative ou augmenter la fréquence d’administration.</w:t>
      </w:r>
    </w:p>
    <w:p>
      <w:pPr>
        <w:pStyle w:val="Compact"/>
        <w:numPr>
          <w:ilvl w:val="0"/>
          <w:numId w:val="1274"/>
        </w:numPr>
      </w:pPr>
      <w:r>
        <w:rPr>
          <w:b/>
          <w:bCs/>
        </w:rPr>
        <w:t xml:space="preserve">Artésunate + inhibiters enzymatiques (kétoconazole, itraconazole, ritonavir)</w:t>
      </w:r>
      <w:r>
        <w:t xml:space="preserve"> </w:t>
      </w:r>
      <w:r>
        <w:t xml:space="preserve">: ↑ concentrations de DHA (risque théorique de surdosage — non documenté cliniquement).</w:t>
      </w:r>
    </w:p>
    <w:p>
      <w:pPr>
        <w:pStyle w:val="Compact"/>
        <w:numPr>
          <w:ilvl w:val="0"/>
          <w:numId w:val="1274"/>
        </w:numPr>
      </w:pPr>
      <w:r>
        <w:rPr>
          <w:b/>
          <w:bCs/>
        </w:rPr>
        <w:t xml:space="preserve">Artésunate + AST/HMG-CoA réductase</w:t>
      </w:r>
      <w:r>
        <w:t xml:space="preserve"> </w:t>
      </w:r>
      <w:r>
        <w:t xml:space="preserve">: pas d’interaction pertinente.</w:t>
      </w:r>
    </w:p>
    <w:p>
      <w:pPr>
        <w:pStyle w:val="Compact"/>
        <w:numPr>
          <w:ilvl w:val="0"/>
          <w:numId w:val="1274"/>
        </w:numPr>
      </w:pPr>
      <w:r>
        <w:rPr>
          <w:b/>
          <w:bCs/>
        </w:rPr>
        <w:t xml:space="preserve">Artésunate + autres médicaments à marge étroite (digoxine, AVK, ciclosporine)</w:t>
      </w:r>
      <w:r>
        <w:t xml:space="preserve"> </w:t>
      </w:r>
      <w:r>
        <w:t xml:space="preserve">: pas d’interaction cliniquement significative décrite.</w:t>
      </w:r>
    </w:p>
    <w:p>
      <w:pPr>
        <w:pStyle w:val="FirstParagraph"/>
      </w:pPr>
      <w:r>
        <w:rPr>
          <w:b/>
          <w:bCs/>
        </w:rPr>
        <w:t xml:space="preserve">Grossesse et Allaitement :</w:t>
      </w:r>
    </w:p>
    <w:p>
      <w:pPr>
        <w:pStyle w:val="Compact"/>
        <w:numPr>
          <w:ilvl w:val="0"/>
          <w:numId w:val="1275"/>
        </w:numPr>
      </w:pPr>
      <w:r>
        <w:t xml:space="preserve">Grossesse :</w:t>
      </w:r>
    </w:p>
    <w:p>
      <w:pPr>
        <w:pStyle w:val="Compact"/>
        <w:numPr>
          <w:ilvl w:val="1"/>
          <w:numId w:val="1276"/>
        </w:numPr>
      </w:pPr>
      <w:r>
        <w:rPr>
          <w:i/>
          <w:iCs/>
        </w:rPr>
        <w:t xml:space="preserve">Paludisme grave chez la femme enceinte</w:t>
      </w:r>
      <w:r>
        <w:t xml:space="preserve"> </w:t>
      </w:r>
      <w:r>
        <w:t xml:space="preserve">:</w:t>
      </w:r>
      <w:r>
        <w:t xml:space="preserve"> </w:t>
      </w:r>
      <w:r>
        <w:rPr>
          <w:b/>
          <w:bCs/>
        </w:rPr>
        <w:t xml:space="preserve">l’artésunate IV est le traitement de choix à tous les trimestres</w:t>
      </w:r>
      <w:r>
        <w:t xml:space="preserve"> </w:t>
      </w:r>
      <w:r>
        <w:t xml:space="preserve">(OMS 2022). Au 1er trimestre, l’OMS a réactualisé ses recommandations en 2022 pour privilégier l’artésunate à la quinine (la quinine expose à un risque accru d’hypoglycémie maternelle sévère, parfois mortelle, et de mortalité fœtale). Le bénéfice maternel et fœtal (réduction de la mortalité maternelle, réduction de la mort fœtale, moindre hypoglycémie) l’emporte sur le risque théorique d’embryotoxicité (observé chez l’animal à doses supra-thérapeutiques, non confirmé chez l’homme). Selon le CRAT : « l’artésunate est l’antipaludique à privilégier au 2e et 3e trimestre ; au 1er trimestre, il est également privilégié en cas de forme grave ». Aucune tératogénicité documentée à ce jour dans les séries publiées (plusieurs milliers de grossesses exposées).</w:t>
      </w:r>
    </w:p>
    <w:p>
      <w:pPr>
        <w:pStyle w:val="Compact"/>
        <w:numPr>
          <w:ilvl w:val="1"/>
          <w:numId w:val="1276"/>
        </w:numPr>
      </w:pPr>
      <w:r>
        <w:rPr>
          <w:i/>
          <w:iCs/>
        </w:rPr>
        <w:t xml:space="preserve">Paludisme non grave chez la femme enceinte</w:t>
      </w:r>
      <w:r>
        <w:t xml:space="preserve"> </w:t>
      </w:r>
      <w:r>
        <w:t xml:space="preserve">: ACT (artéméther + lumefantrine) au 2e et 3e trimestre ; au 1er trimestre, quinine PO 7 jours (historique) — actualisation 2023 OMS : ACT également au 1er trimestre.</w:t>
      </w:r>
    </w:p>
    <w:p>
      <w:pPr>
        <w:pStyle w:val="Compact"/>
        <w:numPr>
          <w:ilvl w:val="0"/>
          <w:numId w:val="1275"/>
        </w:numPr>
      </w:pPr>
      <w:r>
        <w:t xml:space="preserve">Allaitement :</w:t>
      </w:r>
    </w:p>
    <w:p>
      <w:pPr>
        <w:pStyle w:val="Compact"/>
        <w:numPr>
          <w:ilvl w:val="1"/>
          <w:numId w:val="1277"/>
        </w:numPr>
      </w:pPr>
      <w:r>
        <w:t xml:space="preserve">L’artésunate et la DHA passent dans le lait maternel en quantités très faibles. La quantité ingérée par le nourrisson est très inférieure à la dose thérapeutique pédiatrique.</w:t>
      </w:r>
      <w:r>
        <w:t xml:space="preserve"> </w:t>
      </w:r>
      <w:r>
        <w:rPr>
          <w:b/>
          <w:bCs/>
        </w:rPr>
        <w:t xml:space="preserve">Compatible avec l’allaitement</w:t>
      </w:r>
      <w:r>
        <w:t xml:space="preserve"> </w:t>
      </w:r>
      <w:r>
        <w:t xml:space="preserve">(CRAT) en pratique courante ; néanmoins, en cas de paludisme grave maternel, l’allaitement est généralement suspendu temporairement (état maternel, traitements associés) et reprend après guérison.</w:t>
      </w:r>
    </w:p>
    <w:p>
      <w:pPr>
        <w:pStyle w:val="Compact"/>
        <w:numPr>
          <w:ilvl w:val="0"/>
          <w:numId w:val="1275"/>
        </w:numPr>
      </w:pPr>
      <w:r>
        <w:t xml:space="preserve">Précisions : la femme enceinte a un risque accru de paludisme grave (immunodépression physiologique de la grossesse), d’hypoglycémie (l’insulino-résistance et la glycogénolyse accrue), d’œdème pulmonaire et d’anémie. Surveillance renforcée en réanimation obstétricale.</w:t>
      </w:r>
    </w:p>
    <w:p>
      <w:pPr>
        <w:pStyle w:val="FirstParagraph"/>
      </w:pPr>
      <w:r>
        <w:rPr>
          <w:b/>
          <w:bCs/>
        </w:rPr>
        <w:t xml:space="preserve">Posologie et Mode d’administration (Standard) :</w:t>
      </w:r>
    </w:p>
    <w:p>
      <w:pPr>
        <w:pStyle w:val="Compact"/>
        <w:numPr>
          <w:ilvl w:val="0"/>
          <w:numId w:val="1278"/>
        </w:numPr>
      </w:pPr>
      <w:r>
        <w:t xml:space="preserve">Adulte :</w:t>
      </w:r>
    </w:p>
    <w:p>
      <w:pPr>
        <w:pStyle w:val="Compact"/>
        <w:numPr>
          <w:ilvl w:val="1"/>
          <w:numId w:val="1279"/>
        </w:numPr>
      </w:pPr>
      <w:r>
        <w:rPr>
          <w:i/>
          <w:iCs/>
        </w:rPr>
        <w:t xml:space="preserve">Paludisme grave</w:t>
      </w:r>
      <w:r>
        <w:t xml:space="preserve"> </w:t>
      </w:r>
      <w:r>
        <w:t xml:space="preserve">:</w:t>
      </w:r>
      <w:r>
        <w:t xml:space="preserve"> </w:t>
      </w:r>
      <w:r>
        <w:rPr>
          <w:b/>
          <w:bCs/>
        </w:rPr>
        <w:t xml:space="preserve">2,4 mg/kg IV à J0 (H0, H12, H24)</w:t>
      </w:r>
      <w:r>
        <w:t xml:space="preserve"> </w:t>
      </w:r>
      <w:r>
        <w:t xml:space="preserve">puis</w:t>
      </w:r>
      <w:r>
        <w:t xml:space="preserve"> </w:t>
      </w:r>
      <w:r>
        <w:rPr>
          <w:b/>
          <w:bCs/>
        </w:rPr>
        <w:t xml:space="preserve">2,4 mg/kg une fois par jour à partir de J1</w:t>
      </w:r>
      <w:r>
        <w:t xml:space="preserve"> </w:t>
      </w:r>
      <w:r>
        <w:t xml:space="preserve">(J1, J2, J3, etc.) jusqu’à tolérance de la voie orale (généralement J3-J5) puis relais par ACT orale (3 jours). Maximum par dose : aucune limite absolue, mais doses &gt; 5 mg/kg non recommandées.</w:t>
      </w:r>
    </w:p>
    <w:p>
      <w:pPr>
        <w:pStyle w:val="Compact"/>
        <w:numPr>
          <w:ilvl w:val="1"/>
          <w:numId w:val="1279"/>
        </w:numPr>
      </w:pPr>
      <w:r>
        <w:rPr>
          <w:i/>
          <w:iCs/>
        </w:rPr>
        <w:t xml:space="preserve">Alternative IM</w:t>
      </w:r>
      <w:r>
        <w:t xml:space="preserve"> </w:t>
      </w:r>
      <w:r>
        <w:t xml:space="preserve">: 2,4 mg/kg IM (mêmes horaires) si voie IV impossible.</w:t>
      </w:r>
    </w:p>
    <w:p>
      <w:pPr>
        <w:pStyle w:val="Compact"/>
        <w:numPr>
          <w:ilvl w:val="1"/>
          <w:numId w:val="1279"/>
        </w:numPr>
      </w:pPr>
      <w:r>
        <w:rPr>
          <w:i/>
          <w:iCs/>
        </w:rPr>
        <w:t xml:space="preserve">Dose pédiatrique &lt; 20 kg</w:t>
      </w:r>
      <w:r>
        <w:t xml:space="preserve"> </w:t>
      </w:r>
      <w:r>
        <w:t xml:space="preserve">:</w:t>
      </w:r>
      <w:r>
        <w:t xml:space="preserve"> </w:t>
      </w:r>
      <w:r>
        <w:rPr>
          <w:b/>
          <w:bCs/>
        </w:rPr>
        <w:t xml:space="preserve">3 mg/kg/dose</w:t>
      </w:r>
      <w:r>
        <w:t xml:space="preserve"> </w:t>
      </w:r>
      <w:r>
        <w:t xml:space="preserve">aux mêmes intervalles (H0, H12, H24 puis 1×/j) — dose majorée en raison du volume de distribution plus élevé chez l’enfant.</w:t>
      </w:r>
    </w:p>
    <w:p>
      <w:pPr>
        <w:pStyle w:val="Compact"/>
        <w:numPr>
          <w:ilvl w:val="0"/>
          <w:numId w:val="1278"/>
        </w:numPr>
      </w:pPr>
      <w:r>
        <w:t xml:space="preserve">Enfant :</w:t>
      </w:r>
    </w:p>
    <w:p>
      <w:pPr>
        <w:pStyle w:val="Compact"/>
        <w:numPr>
          <w:ilvl w:val="1"/>
          <w:numId w:val="1280"/>
        </w:numPr>
      </w:pPr>
      <w:r>
        <w:rPr>
          <w:i/>
          <w:iCs/>
        </w:rPr>
        <w:t xml:space="preserve">Poids &lt; 20 kg</w:t>
      </w:r>
      <w:r>
        <w:t xml:space="preserve"> </w:t>
      </w:r>
      <w:r>
        <w:t xml:space="preserve">:</w:t>
      </w:r>
      <w:r>
        <w:t xml:space="preserve"> </w:t>
      </w:r>
      <w:r>
        <w:rPr>
          <w:b/>
          <w:bCs/>
        </w:rPr>
        <w:t xml:space="preserve">3 mg/kg IV/IM à H0, H12, H24 puis 1×/j</w:t>
      </w:r>
      <w:r>
        <w:t xml:space="preserve">.</w:t>
      </w:r>
    </w:p>
    <w:p>
      <w:pPr>
        <w:pStyle w:val="Compact"/>
        <w:numPr>
          <w:ilvl w:val="1"/>
          <w:numId w:val="1280"/>
        </w:numPr>
      </w:pPr>
      <w:r>
        <w:rPr>
          <w:i/>
          <w:iCs/>
        </w:rPr>
        <w:t xml:space="preserve">Poids ≥ 20 kg</w:t>
      </w:r>
      <w:r>
        <w:t xml:space="preserve"> </w:t>
      </w:r>
      <w:r>
        <w:t xml:space="preserve">: posologie adulte 2,4 mg/kg.</w:t>
      </w:r>
    </w:p>
    <w:p>
      <w:pPr>
        <w:pStyle w:val="Compact"/>
        <w:numPr>
          <w:ilvl w:val="0"/>
          <w:numId w:val="1278"/>
        </w:numPr>
      </w:pPr>
      <w:r>
        <w:t xml:space="preserve">Durée :</w:t>
      </w:r>
    </w:p>
    <w:p>
      <w:pPr>
        <w:pStyle w:val="Compact"/>
        <w:numPr>
          <w:ilvl w:val="1"/>
          <w:numId w:val="1281"/>
        </w:numPr>
      </w:pPr>
      <w:r>
        <w:t xml:space="preserve">Minimum</w:t>
      </w:r>
      <w:r>
        <w:t xml:space="preserve"> </w:t>
      </w:r>
      <w:r>
        <w:rPr>
          <w:b/>
          <w:bCs/>
        </w:rPr>
        <w:t xml:space="preserve">24 h IV</w:t>
      </w:r>
      <w:r>
        <w:t xml:space="preserve"> </w:t>
      </w:r>
      <w:r>
        <w:t xml:space="preserve">(3 doses : H0, H12, H24) puis relais oral par ACT (3 jours) ou atovaquone-proguanil (3 jours) — non disponibles en Algérie, à importer.</w:t>
      </w:r>
    </w:p>
    <w:p>
      <w:pPr>
        <w:pStyle w:val="Compact"/>
        <w:numPr>
          <w:ilvl w:val="1"/>
          <w:numId w:val="1281"/>
        </w:numPr>
      </w:pPr>
      <w:r>
        <w:t xml:space="preserve">Si pas de relais oral possible (patient inconscient, vomissements) : poursuivre l’artésunate IV jusqu’à reprise de la conscience et de la tolérance orale (J5-J7).</w:t>
      </w:r>
    </w:p>
    <w:p>
      <w:pPr>
        <w:pStyle w:val="Compact"/>
        <w:numPr>
          <w:ilvl w:val="1"/>
          <w:numId w:val="1281"/>
        </w:numPr>
      </w:pPr>
      <w:r>
        <w:t xml:space="preserve">Maximum : pas de limite absolue, mais en pratique ≤ 7 jours.</w:t>
      </w:r>
    </w:p>
    <w:p>
      <w:pPr>
        <w:pStyle w:val="Compact"/>
        <w:numPr>
          <w:ilvl w:val="0"/>
          <w:numId w:val="1278"/>
        </w:numPr>
      </w:pPr>
      <w:r>
        <w:t xml:space="preserve">Mode d’administration :</w:t>
      </w:r>
    </w:p>
    <w:p>
      <w:pPr>
        <w:pStyle w:val="Compact"/>
        <w:numPr>
          <w:ilvl w:val="1"/>
          <w:numId w:val="1282"/>
        </w:numPr>
      </w:pPr>
      <w:r>
        <w:rPr>
          <w:i/>
          <w:iCs/>
        </w:rPr>
        <w:t xml:space="preserve">Reconstitution</w:t>
      </w:r>
      <w:r>
        <w:t xml:space="preserve"> </w:t>
      </w:r>
      <w:r>
        <w:t xml:space="preserve">: dissoudre la poudre 60 mg dans</w:t>
      </w:r>
      <w:r>
        <w:t xml:space="preserve"> </w:t>
      </w:r>
      <w:r>
        <w:rPr>
          <w:b/>
          <w:bCs/>
        </w:rPr>
        <w:t xml:space="preserve">1 mL de bicarbonate de sodium 5 %</w:t>
      </w:r>
      <w:r>
        <w:t xml:space="preserve"> </w:t>
      </w:r>
      <w:r>
        <w:t xml:space="preserve">fourni (agiter vigoureusement jusqu’à dissolution complète — solution limpide) ; puis diluer dans</w:t>
      </w:r>
      <w:r>
        <w:t xml:space="preserve"> </w:t>
      </w:r>
      <w:r>
        <w:rPr>
          <w:b/>
          <w:bCs/>
        </w:rPr>
        <w:t xml:space="preserve">5 mL de NaCl 0,9 %</w:t>
      </w:r>
      <w:r>
        <w:t xml:space="preserve"> </w:t>
      </w:r>
      <w:r>
        <w:t xml:space="preserve">fourni (solution finale à ~10 mg/mL).</w:t>
      </w:r>
    </w:p>
    <w:p>
      <w:pPr>
        <w:pStyle w:val="Compact"/>
        <w:numPr>
          <w:ilvl w:val="1"/>
          <w:numId w:val="1282"/>
        </w:numPr>
      </w:pPr>
      <w:r>
        <w:rPr>
          <w:i/>
          <w:iCs/>
        </w:rPr>
        <w:t xml:space="preserve">IV</w:t>
      </w:r>
      <w:r>
        <w:t xml:space="preserve"> </w:t>
      </w:r>
      <w:r>
        <w:t xml:space="preserve">: injection</w:t>
      </w:r>
      <w:r>
        <w:t xml:space="preserve"> </w:t>
      </w:r>
      <w:r>
        <w:rPr>
          <w:b/>
          <w:bCs/>
        </w:rPr>
        <w:t xml:space="preserve">lente IV directe en 2-3 minutes</w:t>
      </w:r>
      <w:r>
        <w:t xml:space="preserve"> </w:t>
      </w:r>
      <w:r>
        <w:t xml:space="preserve">ou perfusion courte dans 10-20 mL de NaCl 0,9 % sur 5-10 min.</w:t>
      </w:r>
    </w:p>
    <w:p>
      <w:pPr>
        <w:pStyle w:val="Compact"/>
        <w:numPr>
          <w:ilvl w:val="1"/>
          <w:numId w:val="1282"/>
        </w:numPr>
      </w:pPr>
      <w:r>
        <w:rPr>
          <w:i/>
          <w:iCs/>
        </w:rPr>
        <w:t xml:space="preserve">IM</w:t>
      </w:r>
      <w:r>
        <w:t xml:space="preserve"> </w:t>
      </w:r>
      <w:r>
        <w:t xml:space="preserve">: injection profonde dans le muscle glutéal ou quadriceps.</w:t>
      </w:r>
    </w:p>
    <w:p>
      <w:pPr>
        <w:pStyle w:val="Compact"/>
        <w:numPr>
          <w:ilvl w:val="1"/>
          <w:numId w:val="1282"/>
        </w:numPr>
      </w:pPr>
      <w:r>
        <w:rPr>
          <w:i/>
          <w:iCs/>
        </w:rPr>
        <w:t xml:space="preserve">Vérifier la clarté de la solution</w:t>
      </w:r>
      <w:r>
        <w:t xml:space="preserve"> </w:t>
      </w:r>
      <w:r>
        <w:t xml:space="preserve">avant administration (ne pas administrer si trouble ou précipité).</w:t>
      </w:r>
    </w:p>
    <w:p>
      <w:pPr>
        <w:pStyle w:val="Compact"/>
        <w:numPr>
          <w:ilvl w:val="1"/>
          <w:numId w:val="1282"/>
        </w:numPr>
      </w:pPr>
      <w:r>
        <w:t xml:space="preserve">La solution reconstituée est</w:t>
      </w:r>
      <w:r>
        <w:t xml:space="preserve"> </w:t>
      </w:r>
      <w:r>
        <w:rPr>
          <w:b/>
          <w:bCs/>
        </w:rPr>
        <w:t xml:space="preserve">stable 1 heure</w:t>
      </w:r>
      <w:r>
        <w:t xml:space="preserve"> </w:t>
      </w:r>
      <w:r>
        <w:t xml:space="preserve">à température ambiante (utiliser immédiatement).</w:t>
      </w:r>
    </w:p>
    <w:p>
      <w:pPr>
        <w:pStyle w:val="FirstParagraph"/>
      </w:pPr>
      <w:r>
        <w:rPr>
          <w:b/>
          <w:bCs/>
        </w:rPr>
        <w:t xml:space="preserve">Arbitrage et Bénéfices des Formes Galéniques :</w:t>
      </w:r>
    </w:p>
    <w:p>
      <w:pPr>
        <w:pStyle w:val="Compact"/>
        <w:numPr>
          <w:ilvl w:val="0"/>
          <w:numId w:val="1283"/>
        </w:numPr>
      </w:pPr>
      <w:r>
        <w:rPr>
          <w:b/>
          <w:bCs/>
        </w:rPr>
        <w:t xml:space="preserve">Poudre pour solution injectable IV/IM 60 mg (FALCI CARE)</w:t>
      </w:r>
      <w:r>
        <w:t xml:space="preserve"> </w:t>
      </w:r>
      <w:r>
        <w:t xml:space="preserve">: seule forme disponible en Algérie. La forme 60 mg est adaptée à l’adulte et à l’enfant ≥ 20 kg (3 mg/kg chez l’enfant &lt; 20 kg, soit 1 flacon pour 20 kg). Pour les jeunes enfants, la dose est adaptée au poids (calcul en mg/kg avec une seringue précise après reconstitution). Le conditionnement « tout-en-un » (poudre + bicarbonate + NaCl) permet une reconstitution en urgence sans matériel complémentaire.</w:t>
      </w:r>
    </w:p>
    <w:p>
      <w:pPr>
        <w:pStyle w:val="Compact"/>
        <w:numPr>
          <w:ilvl w:val="0"/>
          <w:numId w:val="1283"/>
        </w:numPr>
      </w:pPr>
      <w:r>
        <w:rPr>
          <w:b/>
          <w:bCs/>
        </w:rPr>
        <w:t xml:space="preserve">Forme 30 mg</w:t>
      </w:r>
      <w:r>
        <w:t xml:space="preserve"> </w:t>
      </w:r>
      <w:r>
        <w:t xml:space="preserve">: existe dans certains pays (Asiatic) pour adapter les doses pédiatriques — non disponible en Algérie.</w:t>
      </w:r>
    </w:p>
    <w:p>
      <w:pPr>
        <w:pStyle w:val="Compact"/>
        <w:numPr>
          <w:ilvl w:val="0"/>
          <w:numId w:val="1283"/>
        </w:numPr>
      </w:pPr>
      <w:r>
        <w:rPr>
          <w:b/>
          <w:bCs/>
        </w:rPr>
        <w:t xml:space="preserve">Forme orale</w:t>
      </w:r>
      <w:r>
        <w:t xml:space="preserve"> </w:t>
      </w:r>
      <w:r>
        <w:t xml:space="preserve">: existe sous forme de comprimés 50 mg et 200 mg dans d’autres pays (intrants d’ACT) — non disponible en Algérie.</w:t>
      </w:r>
    </w:p>
    <w:p>
      <w:pPr>
        <w:pStyle w:val="Compact"/>
        <w:numPr>
          <w:ilvl w:val="0"/>
          <w:numId w:val="1283"/>
        </w:numPr>
      </w:pPr>
      <w:r>
        <w:rPr>
          <w:b/>
          <w:bCs/>
        </w:rPr>
        <w:t xml:space="preserve">Suppositoires</w:t>
      </w:r>
      <w:r>
        <w:t xml:space="preserve"> </w:t>
      </w:r>
      <w:r>
        <w:t xml:space="preserve">: artésunate rectal (Paraluyp) utilisé en zone rurale avant transfert — non disponible en Algérie.</w:t>
      </w:r>
    </w:p>
    <w:p>
      <w:pPr>
        <w:pStyle w:val="Compact"/>
        <w:numPr>
          <w:ilvl w:val="0"/>
          <w:numId w:val="1283"/>
        </w:numPr>
      </w:pPr>
      <w:r>
        <w:t xml:space="preserve">Arbitrage artésunate vs quinine :</w:t>
      </w:r>
      <w:r>
        <w:t xml:space="preserve"> </w:t>
      </w:r>
      <w:r>
        <w:rPr>
          <w:b/>
          <w:bCs/>
        </w:rPr>
        <w:t xml:space="preserve">l’artésunate est supérieur à la quinine</w:t>
      </w:r>
      <w:r>
        <w:t xml:space="preserve"> </w:t>
      </w:r>
      <w:r>
        <w:t xml:space="preserve">sur tous les critères (mortalité, rapidité, tolérance, simplicité d’administration). La quinine n’a plus de place dans le paludisme grave en Algérie (et n’est d’ailleurs plus disponible).</w:t>
      </w:r>
    </w:p>
    <w:p>
      <w:pPr>
        <w:pStyle w:val="FirstParagraph"/>
      </w:pPr>
      <w:r>
        <w:rPr>
          <w:b/>
          <w:bCs/>
        </w:rPr>
        <w:t xml:space="preserve">Instructions et Conseils au Patient :</w:t>
      </w:r>
    </w:p>
    <w:p>
      <w:pPr>
        <w:pStyle w:val="Compact"/>
        <w:numPr>
          <w:ilvl w:val="0"/>
          <w:numId w:val="1284"/>
        </w:numPr>
      </w:pPr>
      <w:r>
        <w:t xml:space="preserve">Communication au comptoir :</w:t>
      </w:r>
    </w:p>
    <w:p>
      <w:pPr>
        <w:pStyle w:val="Compact"/>
        <w:numPr>
          <w:ilvl w:val="1"/>
          <w:numId w:val="1285"/>
        </w:numPr>
      </w:pPr>
      <w:r>
        <w:rPr>
          <w:i/>
          <w:iCs/>
        </w:rPr>
        <w:t xml:space="preserve">Contexte</w:t>
      </w:r>
      <w:r>
        <w:t xml:space="preserve"> </w:t>
      </w:r>
      <w:r>
        <w:t xml:space="preserve">: l’artésunate injectable est un médicament</w:t>
      </w:r>
      <w:r>
        <w:t xml:space="preserve"> </w:t>
      </w:r>
      <w:r>
        <w:rPr>
          <w:b/>
          <w:bCs/>
        </w:rPr>
        <w:t xml:space="preserve">d’urgence hospitalière</w:t>
      </w:r>
      <w:r>
        <w:t xml:space="preserve">, prescription réservée aux médecins hospitaliers (urgences, réanimation, maladies infectieuses). Le pharmacien d’officine n’est pas directement concerné par sa dispensation (circuit hospitalier), mais peut être sollicité pour</w:t>
      </w:r>
      <w:r>
        <w:t xml:space="preserve"> </w:t>
      </w:r>
      <w:r>
        <w:rPr>
          <w:b/>
          <w:bCs/>
        </w:rPr>
        <w:t xml:space="preserve">importer</w:t>
      </w:r>
      <w:r>
        <w:t xml:space="preserve"> </w:t>
      </w:r>
      <w:r>
        <w:t xml:space="preserve">la spécialité en cas de rupture d’approvisionnement du circuit hospitalier.</w:t>
      </w:r>
    </w:p>
    <w:p>
      <w:pPr>
        <w:pStyle w:val="Compact"/>
        <w:numPr>
          <w:ilvl w:val="1"/>
          <w:numId w:val="1285"/>
        </w:numPr>
      </w:pPr>
      <w:r>
        <w:rPr>
          <w:i/>
          <w:iCs/>
        </w:rPr>
        <w:t xml:space="preserve">Information aux voyageurs de retour</w:t>
      </w:r>
      <w:r>
        <w:t xml:space="preserve"> </w:t>
      </w:r>
      <w:r>
        <w:t xml:space="preserve">: « Si vous revenez de zone d’endémie palustre (Afrique subsaharienne, Asie du Sud-Est, Amazonie) avec une</w:t>
      </w:r>
      <w:r>
        <w:t xml:space="preserve"> </w:t>
      </w:r>
      <w:r>
        <w:rPr>
          <w:b/>
          <w:bCs/>
        </w:rPr>
        <w:t xml:space="preserve">fièvre &gt; 38 °C dans les 3 mois suivant le retour</w:t>
      </w:r>
      <w:r>
        <w:t xml:space="preserve">, consultez en</w:t>
      </w:r>
      <w:r>
        <w:t xml:space="preserve"> </w:t>
      </w:r>
      <w:r>
        <w:rPr>
          <w:b/>
          <w:bCs/>
        </w:rPr>
        <w:t xml:space="preserve">urgence</w:t>
      </w:r>
      <w:r>
        <w:t xml:space="preserve"> </w:t>
      </w:r>
      <w:r>
        <w:t xml:space="preserve">aux urgences hospitalières les plus proches en signalant votre voyage. Le paludisme peut être mortel en quelques heures s’il n’est pas traité. Ne prenez pas d’automédication (paracétamol seul insuffisant). Un frottis sanguin pour recherche de plasmodium doit être réalisé en urgence. »</w:t>
      </w:r>
    </w:p>
    <w:p>
      <w:pPr>
        <w:pStyle w:val="Compact"/>
        <w:numPr>
          <w:ilvl w:val="1"/>
          <w:numId w:val="1285"/>
        </w:numPr>
      </w:pPr>
      <w:r>
        <w:rPr>
          <w:i/>
          <w:iCs/>
        </w:rPr>
        <w:t xml:space="preserve">Information au patient hospitalisé</w:t>
      </w:r>
      <w:r>
        <w:t xml:space="preserve"> </w:t>
      </w:r>
      <w:r>
        <w:t xml:space="preserve">: « Le traitement sera administré en intraveineux, pendant quelques jours. Une surveillance sanguine sera réalisée dans les semaines suivant le traitement ( NFS à J7, J14, J21, J28) pour détecter une anémie retardée. Un traitement oral complémentaire sera prescrit après la phase IV. »</w:t>
      </w:r>
    </w:p>
    <w:p>
      <w:pPr>
        <w:pStyle w:val="Compact"/>
        <w:numPr>
          <w:ilvl w:val="0"/>
          <w:numId w:val="1284"/>
        </w:numPr>
      </w:pPr>
      <w:r>
        <w:t xml:space="preserve">Mode d’utilisation pratique (réservé au personnel médical hospitalier) :</w:t>
      </w:r>
    </w:p>
    <w:p>
      <w:pPr>
        <w:pStyle w:val="Compact"/>
        <w:numPr>
          <w:ilvl w:val="1"/>
          <w:numId w:val="1286"/>
        </w:numPr>
      </w:pPr>
      <w:r>
        <w:t xml:space="preserve">Reconstitution stricte selon le protocole : (1) poudre + 1 mL bicarbonate Na 5 % → agitation → solution limpide ; (2) ajout de 5 mL NaCl 0,9 % → solution finale.</w:t>
      </w:r>
    </w:p>
    <w:p>
      <w:pPr>
        <w:pStyle w:val="Compact"/>
        <w:numPr>
          <w:ilvl w:val="1"/>
          <w:numId w:val="1286"/>
        </w:numPr>
      </w:pPr>
      <w:r>
        <w:t xml:space="preserve">Administration IV lente (2-3 min) ou perfusion courte (10 min).</w:t>
      </w:r>
    </w:p>
    <w:p>
      <w:pPr>
        <w:pStyle w:val="Compact"/>
        <w:numPr>
          <w:ilvl w:val="1"/>
          <w:numId w:val="1286"/>
        </w:numPr>
      </w:pPr>
      <w:r>
        <w:t xml:space="preserve">Surveillance continue : scope cardiaque, SpO2, pression artérielle, glycémie capillaire toutes les 4 h, frottis/goutte épaisse toutes les 12 h.</w:t>
      </w:r>
    </w:p>
    <w:p>
      <w:pPr>
        <w:pStyle w:val="Compact"/>
        <w:numPr>
          <w:ilvl w:val="1"/>
          <w:numId w:val="1286"/>
        </w:numPr>
      </w:pPr>
      <w:r>
        <w:t xml:space="preserve">Réévaluation à H24 et H48 : clairance parasitaire attendue (chute ≥ 90 % de la parasitémie à H24).</w:t>
      </w:r>
    </w:p>
    <w:p>
      <w:pPr>
        <w:pStyle w:val="FirstParagraph"/>
      </w:pPr>
      <w:r>
        <w:rPr>
          <w:b/>
          <w:bCs/>
        </w:rPr>
        <w:t xml:space="preserve">Notes, Règles d’Or &amp; Pièges au Comptoir :</w:t>
      </w:r>
    </w:p>
    <w:p>
      <w:pPr>
        <w:pStyle w:val="Compact"/>
        <w:numPr>
          <w:ilvl w:val="0"/>
          <w:numId w:val="1287"/>
        </w:numPr>
      </w:pPr>
      <w:r>
        <w:rPr>
          <w:b/>
          <w:bCs/>
        </w:rPr>
        <w:t xml:space="preserve">Piège classique n°1 — suspicion clinique de paludisme non évoquée</w:t>
      </w:r>
      <w:r>
        <w:t xml:space="preserve"> </w:t>
      </w:r>
      <w:r>
        <w:t xml:space="preserve">: toute fièvre au retour d’un voyage en zone d’endémie dans les 3 mois (et jusqu’à 1 an pour</w:t>
      </w:r>
      <w:r>
        <w:t xml:space="preserve"> </w:t>
      </w:r>
      <w:r>
        <w:rPr>
          <w:i/>
          <w:iCs/>
        </w:rPr>
        <w:t xml:space="preserve">P. malariae</w:t>
      </w:r>
      <w:r>
        <w:t xml:space="preserve">) doit être considérée comme un paludisme potentiel jusqu’à preuve du contraire. Le retard diagnostique est la première cause de mortalité du paludisme d’importation. Le pharmacien d’officine doit</w:t>
      </w:r>
      <w:r>
        <w:t xml:space="preserve"> </w:t>
      </w:r>
      <w:r>
        <w:rPr>
          <w:b/>
          <w:bCs/>
        </w:rPr>
        <w:t xml:space="preserve">orienter en urgence</w:t>
      </w:r>
      <w:r>
        <w:t xml:space="preserve"> </w:t>
      </w:r>
      <w:r>
        <w:t xml:space="preserve">vers les urgences hospitalières.</w:t>
      </w:r>
    </w:p>
    <w:p>
      <w:pPr>
        <w:pStyle w:val="Compact"/>
        <w:numPr>
          <w:ilvl w:val="0"/>
          <w:numId w:val="1287"/>
        </w:numPr>
      </w:pPr>
      <w:r>
        <w:rPr>
          <w:b/>
          <w:bCs/>
        </w:rPr>
        <w:t xml:space="preserve">Piège n°2 — paludisme non grave traité par artésunate IV</w:t>
      </w:r>
      <w:r>
        <w:t xml:space="preserve"> </w:t>
      </w:r>
      <w:r>
        <w:t xml:space="preserve">: l’artésunate IV est réservé au paludisme grave ; en l’absence de critères de gravité, un traitement oral par ACT ou atovaquone-proguanil est approprié (mais non disponible en Algérie — orientation vers le centre hospitalo-universitaire pour importation).</w:t>
      </w:r>
    </w:p>
    <w:p>
      <w:pPr>
        <w:pStyle w:val="Compact"/>
        <w:numPr>
          <w:ilvl w:val="0"/>
          <w:numId w:val="1287"/>
        </w:numPr>
      </w:pPr>
      <w:r>
        <w:rPr>
          <w:b/>
          <w:bCs/>
        </w:rPr>
        <w:t xml:space="preserve">Piège n°3 — absence de relais oral après artésunate IV</w:t>
      </w:r>
      <w:r>
        <w:t xml:space="preserve"> </w:t>
      </w:r>
      <w:r>
        <w:t xml:space="preserve">: la demi-vie très courte de l’artésunate expose à un risque de</w:t>
      </w:r>
      <w:r>
        <w:t xml:space="preserve"> </w:t>
      </w:r>
      <w:r>
        <w:rPr>
          <w:b/>
          <w:bCs/>
        </w:rPr>
        <w:t xml:space="preserve">rechute parasitaire</w:t>
      </w:r>
      <w:r>
        <w:t xml:space="preserve"> </w:t>
      </w:r>
      <w:r>
        <w:t xml:space="preserve">à J7-J14 si aucun relais oral n’est entrepris. Le relais oral (ACT ou atovaquone-proguanil) doit être systématique après la phase IV.</w:t>
      </w:r>
    </w:p>
    <w:p>
      <w:pPr>
        <w:pStyle w:val="Compact"/>
        <w:numPr>
          <w:ilvl w:val="0"/>
          <w:numId w:val="1287"/>
        </w:numPr>
      </w:pPr>
      <w:r>
        <w:rPr>
          <w:b/>
          <w:bCs/>
        </w:rPr>
        <w:t xml:space="preserve">Piège n°4 — absence de surveillance NFS post-cure</w:t>
      </w:r>
      <w:r>
        <w:t xml:space="preserve"> </w:t>
      </w:r>
      <w:r>
        <w:t xml:space="preserve">: l’</w:t>
      </w:r>
      <w:r>
        <w:rPr>
          <w:b/>
          <w:bCs/>
        </w:rPr>
        <w:t xml:space="preserve">anémie retardée post-artémisinine</w:t>
      </w:r>
      <w:r>
        <w:t xml:space="preserve"> </w:t>
      </w:r>
      <w:r>
        <w:t xml:space="preserve">(jusqu’à 25 % des cas) survient jusqu’à J28 — surveillance hebdomadaire pendant 4 semaines obligatoire.</w:t>
      </w:r>
    </w:p>
    <w:p>
      <w:pPr>
        <w:pStyle w:val="Compact"/>
        <w:numPr>
          <w:ilvl w:val="0"/>
          <w:numId w:val="1287"/>
        </w:numPr>
      </w:pPr>
      <w:r>
        <w:t xml:space="preserve">Règle de prise : administration hospitalière stricte, protocole IV selon l’OMS (H0-H12-H24 puis 1×/j).</w:t>
      </w:r>
    </w:p>
    <w:p>
      <w:pPr>
        <w:pStyle w:val="Compact"/>
        <w:numPr>
          <w:ilvl w:val="0"/>
          <w:numId w:val="1287"/>
        </w:numPr>
      </w:pPr>
      <w:r>
        <w:t xml:space="preserve">Préparation et Conservation : poudre lyophilisée à conserver à température &lt; 30 °C, à l’abri de la lumière. Ne pas congeler. Solution reconstituée stable 1 h à température ambiante (à utiliser immédiatement).</w:t>
      </w:r>
    </w:p>
    <w:p>
      <w:pPr>
        <w:pStyle w:val="Compact"/>
        <w:numPr>
          <w:ilvl w:val="0"/>
          <w:numId w:val="1287"/>
        </w:numPr>
      </w:pPr>
      <w:r>
        <w:t xml:space="preserve">Piège du surdosage / Substitution : pas d’antidote spécifique ; le surdosage (exceptionnel) se manifeste par allongement QT, nausées, vertiges — traitement symptomatique. La substitution par la quinine n’est plus possible (quinine non disponible en Algérie).</w:t>
      </w:r>
    </w:p>
    <w:p>
      <w:r>
        <w:pict>
          <v:rect style="width:0;height:1.5pt" o:hralign="center" o:hrstd="t" o:hr="t"/>
        </w:pict>
      </w:r>
    </w:p>
    <w:bookmarkEnd w:id="115"/>
    <w:bookmarkEnd w:id="116"/>
    <w:bookmarkStart w:id="119" w:name="X2a4473d0c30d1f2807a2176d028b0d8b59f9376"/>
    <w:p>
      <w:pPr>
        <w:pStyle w:val="Heading2"/>
      </w:pPr>
      <w:r>
        <w:t xml:space="preserve">SOUS-CLASSE III — BIGUANIDES ANTIPALUDIQUES (Proguanil)</w:t>
      </w:r>
    </w:p>
    <w:bookmarkStart w:id="117" w:name="introduction-de-la-sous-classe-7"/>
    <w:p>
      <w:pPr>
        <w:pStyle w:val="Heading3"/>
      </w:pPr>
      <w:r>
        <w:t xml:space="preserve">Introduction de la sous-classe</w:t>
      </w:r>
    </w:p>
    <w:p>
      <w:pPr>
        <w:pStyle w:val="FirstParagraph"/>
      </w:pPr>
      <w:r>
        <w:t xml:space="preserve">Les biguanides antipaludiques, dont le chef de file est le</w:t>
      </w:r>
      <w:r>
        <w:t xml:space="preserve"> </w:t>
      </w:r>
      <w:r>
        <w:rPr>
          <w:b/>
          <w:bCs/>
        </w:rPr>
        <w:t xml:space="preserve">proguanil</w:t>
      </w:r>
      <w:r>
        <w:t xml:space="preserve"> </w:t>
      </w:r>
      <w:r>
        <w:t xml:space="preserve">(Chlorguanide, Paludrine — synthétisé en 1945 par Curd et Rose chez Imperial Chemical Industries), appartiennent à la famille des</w:t>
      </w:r>
      <w:r>
        <w:t xml:space="preserve"> </w:t>
      </w:r>
      <w:r>
        <w:rPr>
          <w:b/>
          <w:bCs/>
        </w:rPr>
        <w:t xml:space="preserve">antifoliques</w:t>
      </w:r>
      <w:r>
        <w:t xml:space="preserve"> </w:t>
      </w:r>
      <w:r>
        <w:t xml:space="preserve">plasmodiaux. À la différence de la metformine (biguanide antidiabétique dérivé de la galéine avec un mécanisme entirely different — activation de l’AMPK hépatique), le proguanil a pour cible la</w:t>
      </w:r>
      <w:r>
        <w:t xml:space="preserve"> </w:t>
      </w:r>
      <w:r>
        <w:rPr>
          <w:b/>
          <w:bCs/>
        </w:rPr>
        <w:t xml:space="preserve">voie des folates plasmodiale</w:t>
      </w:r>
      <w:r>
        <w:t xml:space="preserve">. Le proguanil est une</w:t>
      </w:r>
      <w:r>
        <w:t xml:space="preserve"> </w:t>
      </w:r>
      <w:r>
        <w:rPr>
          <w:b/>
          <w:bCs/>
        </w:rPr>
        <w:t xml:space="preserve">prodrogue</w:t>
      </w:r>
      <w:r>
        <w:t xml:space="preserve"> </w:t>
      </w:r>
      <w:r>
        <w:t xml:space="preserve">métabolisée par le CYP2C19 hépatique en son métabolite actif, le</w:t>
      </w:r>
      <w:r>
        <w:t xml:space="preserve"> </w:t>
      </w:r>
      <w:r>
        <w:rPr>
          <w:b/>
          <w:bCs/>
        </w:rPr>
        <w:t xml:space="preserve">cycloguanil</w:t>
      </w:r>
      <w:r>
        <w:t xml:space="preserve">, qui inhibe la</w:t>
      </w:r>
      <w:r>
        <w:t xml:space="preserve"> </w:t>
      </w:r>
      <w:r>
        <w:rPr>
          <w:b/>
          <w:bCs/>
        </w:rPr>
        <w:t xml:space="preserve">dihydrofolate réductase plasmodiale (PfDHFR)</w:t>
      </w:r>
      <w:r>
        <w:t xml:space="preserve"> </w:t>
      </w:r>
      <w:r>
        <w:t xml:space="preserve">— enzyme qui convertit le dihydrofolate (DHF) en tétrahydrofolate (THF), cofacteur indispensable à la synthèse des purines, de la pyrimidine (thymidylate via la thymidylate synthase) et de certains acides aminés (méthionine, sérine, glycine). L’inhibition de la PfDHFR bloque la réplication de l’ADN parasitaire et la division cellulaire.</w:t>
      </w:r>
    </w:p>
    <w:p>
      <w:pPr>
        <w:pStyle w:val="BodyText"/>
      </w:pPr>
      <w:r>
        <w:t xml:space="preserve">Le proguanil a une action</w:t>
      </w:r>
      <w:r>
        <w:t xml:space="preserve"> </w:t>
      </w:r>
      <w:r>
        <w:rPr>
          <w:b/>
          <w:bCs/>
        </w:rPr>
        <w:t xml:space="preserve">principalement sur les stades tissulaires hépatiques (schizogonie pré-érythrocytaire)</w:t>
      </w:r>
      <w:r>
        <w:t xml:space="preserve"> </w:t>
      </w:r>
      <w:r>
        <w:t xml:space="preserve">— c’est un agent</w:t>
      </w:r>
      <w:r>
        <w:t xml:space="preserve"> </w:t>
      </w:r>
      <w:r>
        <w:rPr>
          <w:b/>
          <w:bCs/>
        </w:rPr>
        <w:t xml:space="preserve">causal</w:t>
      </w:r>
      <w:r>
        <w:t xml:space="preserve"> </w:t>
      </w:r>
      <w:r>
        <w:t xml:space="preserve">(il empêche l’émergence des formes sanguines) — et une action secondaire sur les formes sanguines asexuées. Il a également une action suppressive sur les gamétocytes. Son utilisation en monothérapie comme antipalustre est aujourd’hui obsolète (résistance rapide par mutations de la PfDHFR — S108N, N51I, C59R, I164L), mais le proguanil conserve une place importante dans :</w:t>
      </w:r>
    </w:p>
    <w:p>
      <w:pPr>
        <w:pStyle w:val="Compact"/>
        <w:numPr>
          <w:ilvl w:val="0"/>
          <w:numId w:val="1288"/>
        </w:numPr>
      </w:pPr>
      <w:r>
        <w:rPr>
          <w:b/>
          <w:bCs/>
        </w:rPr>
        <w:t xml:space="preserve">Prophylaxie du paludisme</w:t>
      </w:r>
      <w:r>
        <w:t xml:space="preserve"> </w:t>
      </w:r>
      <w:r>
        <w:t xml:space="preserve">: utilisé en association avec la chloroquine (Savarine®) dans les zones à chloroquino-résistance modérée — désormais largement supplanté par l’atovaquone + proguanil (Malarone®) dans les zones multirésistantes.</w:t>
      </w:r>
    </w:p>
    <w:p>
      <w:pPr>
        <w:pStyle w:val="Compact"/>
        <w:numPr>
          <w:ilvl w:val="0"/>
          <w:numId w:val="1288"/>
        </w:numPr>
      </w:pPr>
      <w:r>
        <w:rPr>
          <w:b/>
          <w:bCs/>
        </w:rPr>
        <w:t xml:space="preserve">Association avec l’atovaquone</w:t>
      </w:r>
      <w:r>
        <w:t xml:space="preserve"> </w:t>
      </w:r>
      <w:r>
        <w:t xml:space="preserve">(Malarone) : synergie puissante, le proguanil augmentant la liaison de l’atovaquone au cytochrome bc1 complexe mitochondrial plasmodial. Le proguanil + atovaquone est le seul antipaludique actif sur les schizogonies hépatique ET érythrocytaire, permettant une prophylaxie courte (arrêt 7 jours après retour contre 4 semaines pour les autres) et un traitement curatif court (3 jours).</w:t>
      </w:r>
    </w:p>
    <w:p>
      <w:pPr>
        <w:pStyle w:val="FirstParagraph"/>
      </w:pPr>
      <w:r>
        <w:rPr>
          <w:b/>
          <w:bCs/>
        </w:rPr>
        <w:t xml:space="preserve">Résistance au proguanil</w:t>
      </w:r>
      <w:r>
        <w:t xml:space="preserve"> </w:t>
      </w:r>
      <w:r>
        <w:t xml:space="preserve">: médiée par des mutations de la</w:t>
      </w:r>
      <w:r>
        <w:t xml:space="preserve"> </w:t>
      </w:r>
      <w:r>
        <w:rPr>
          <w:b/>
          <w:bCs/>
        </w:rPr>
        <w:t xml:space="preserve">PfDHFR</w:t>
      </w:r>
      <w:r>
        <w:t xml:space="preserve"> </w:t>
      </w:r>
      <w:r>
        <w:t xml:space="preserve">(S108N, N51I, C59R, I164L — la quadruple mutation conférant une résistance de haut niveau, également responsable de la résistance à la pyriméthamine). La résistance au proguanil en monothérapie est largement répandue et en limite l’usage.</w:t>
      </w:r>
    </w:p>
    <w:p>
      <w:pPr>
        <w:pStyle w:val="BodyText"/>
      </w:pPr>
      <w:r>
        <w:rPr>
          <w:b/>
          <w:bCs/>
        </w:rPr>
        <w:t xml:space="preserve">Pharmacocinétique</w:t>
      </w:r>
      <w:r>
        <w:t xml:space="preserve"> </w:t>
      </w:r>
      <w:r>
        <w:t xml:space="preserve">: absorption orale rapide (biodisponibilité ~75 %), pic à 4 h, métabolisme hépatique CYP2C19 en cycloguanil actif (polymorphisme génétique : ~3-5 % des Caucasiens et 15-20 % des Asiatiques sont métaboliseurs lents — risque d’efficacité réduite). Demi-vie du proguanil ~12-24 h ; demi-vie du cycloguanil ~12-20 h. Excrétion urinaire (40-60 % sous forme inchangée + métabolites).</w:t>
      </w:r>
    </w:p>
    <w:p>
      <w:pPr>
        <w:pStyle w:val="BodyText"/>
      </w:pPr>
      <w:r>
        <w:rPr>
          <w:b/>
          <w:bCs/>
        </w:rPr>
        <w:t xml:space="preserve">Molécules apparentées non disponibles en Algérie</w:t>
      </w:r>
      <w:r>
        <w:t xml:space="preserve"> </w:t>
      </w:r>
      <w:r>
        <w:t xml:space="preserve">:</w:t>
      </w:r>
      <w:r>
        <w:t xml:space="preserve"> </w:t>
      </w:r>
      <w:r>
        <w:t xml:space="preserve">-</w:t>
      </w:r>
      <w:r>
        <w:t xml:space="preserve"> </w:t>
      </w:r>
      <w:r>
        <w:rPr>
          <w:b/>
          <w:bCs/>
        </w:rPr>
        <w:t xml:space="preserve">Pyriméthamine</w:t>
      </w:r>
      <w:r>
        <w:t xml:space="preserve"> </w:t>
      </w:r>
      <w:r>
        <w:t xml:space="preserve">(Daraprim, Malocide) : diaminopyrimidine, inhibiteur de la DHFR plasmodiale, utilisée en association avec la sulfadoxine (Fansidar) pour le paludisme à</w:t>
      </w:r>
      <w:r>
        <w:t xml:space="preserve"> </w:t>
      </w:r>
      <w:r>
        <w:rPr>
          <w:i/>
          <w:iCs/>
        </w:rPr>
        <w:t xml:space="preserve">P. falciparum</w:t>
      </w:r>
      <w:r>
        <w:t xml:space="preserve"> </w:t>
      </w:r>
      <w:r>
        <w:t xml:space="preserve">(treatment intermittent présomptif chez la femme enceinte — IPTp) et dans le traitement de la toxoplasmose (avec sulfadiazine).</w:t>
      </w:r>
      <w:r>
        <w:t xml:space="preserve"> </w:t>
      </w:r>
      <w:r>
        <w:rPr>
          <w:b/>
          <w:bCs/>
        </w:rPr>
        <w:t xml:space="preserve">Non disponible en Algérie</w:t>
      </w:r>
      <w:r>
        <w:t xml:space="preserve">.</w:t>
      </w:r>
      <w:r>
        <w:t xml:space="preserve"> </w:t>
      </w:r>
      <w:r>
        <w:t xml:space="preserve">-</w:t>
      </w:r>
      <w:r>
        <w:t xml:space="preserve"> </w:t>
      </w:r>
      <w:r>
        <w:rPr>
          <w:b/>
          <w:bCs/>
        </w:rPr>
        <w:t xml:space="preserve">Sulfadoxine + Pyriméthamine</w:t>
      </w:r>
      <w:r>
        <w:t xml:space="preserve"> </w:t>
      </w:r>
      <w:r>
        <w:t xml:space="preserve">(Fansidar) : association antifolique (DHPS + DHFR), utilisée en IPTp en Afrique.</w:t>
      </w:r>
      <w:r>
        <w:t xml:space="preserve"> </w:t>
      </w:r>
      <w:r>
        <w:rPr>
          <w:b/>
          <w:bCs/>
        </w:rPr>
        <w:t xml:space="preserve">Non disponible en Algérie</w:t>
      </w:r>
      <w:r>
        <w:t xml:space="preserve">.</w:t>
      </w:r>
      <w:r>
        <w:t xml:space="preserve"> </w:t>
      </w:r>
      <w:r>
        <w:t xml:space="preserve">-</w:t>
      </w:r>
      <w:r>
        <w:t xml:space="preserve"> </w:t>
      </w:r>
      <w:r>
        <w:rPr>
          <w:b/>
          <w:bCs/>
        </w:rPr>
        <w:t xml:space="preserve">Dapsone + Pyriméthamine</w:t>
      </w:r>
      <w:r>
        <w:t xml:space="preserve"> </w:t>
      </w:r>
      <w:r>
        <w:t xml:space="preserve">(Maloprim) : ancienne association prophylactique, retirée.</w:t>
      </w:r>
      <w:r>
        <w:t xml:space="preserve"> </w:t>
      </w:r>
      <w:r>
        <w:rPr>
          <w:b/>
          <w:bCs/>
        </w:rPr>
        <w:t xml:space="preserve">Non disponible en Algérie</w:t>
      </w:r>
      <w:r>
        <w:t xml:space="preserve">.</w:t>
      </w:r>
      <w:r>
        <w:t xml:space="preserve"> </w:t>
      </w:r>
      <w:r>
        <w:t xml:space="preserve">-</w:t>
      </w:r>
      <w:r>
        <w:t xml:space="preserve"> </w:t>
      </w:r>
      <w:r>
        <w:rPr>
          <w:b/>
          <w:bCs/>
        </w:rPr>
        <w:t xml:space="preserve">Triméthoprime</w:t>
      </w:r>
      <w:r>
        <w:t xml:space="preserve"> </w:t>
      </w:r>
      <w:r>
        <w:t xml:space="preserve">(anti-folique bactérien, faible activité antipalustre) : disponible en Algérie dans le cotrimoxazole, mais non utilisé comme antipalustre.</w:t>
      </w:r>
      <w:r>
        <w:t xml:space="preserve"> </w:t>
      </w:r>
      <w:r>
        <w:t xml:space="preserve">-</w:t>
      </w:r>
      <w:r>
        <w:t xml:space="preserve"> </w:t>
      </w:r>
      <w:r>
        <w:rPr>
          <w:b/>
          <w:bCs/>
        </w:rPr>
        <w:t xml:space="preserve">Atovaquone</w:t>
      </w:r>
      <w:r>
        <w:t xml:space="preserve"> </w:t>
      </w:r>
      <w:r>
        <w:t xml:space="preserve">: hydroxynaphthoquinone inhibitrice du cytochrome bc1 plasmodial, utilisée uniquement en association avec le proguanil (Malarone).</w:t>
      </w:r>
      <w:r>
        <w:t xml:space="preserve"> </w:t>
      </w:r>
      <w:r>
        <w:rPr>
          <w:b/>
          <w:bCs/>
        </w:rPr>
        <w:t xml:space="preserve">Non disponible en Algérie</w:t>
      </w:r>
      <w:r>
        <w:t xml:space="preserve">.</w:t>
      </w:r>
      <w:r>
        <w:t xml:space="preserve"> </w:t>
      </w:r>
      <w:r>
        <w:t xml:space="preserve">-</w:t>
      </w:r>
      <w:r>
        <w:t xml:space="preserve"> </w:t>
      </w:r>
      <w:r>
        <w:rPr>
          <w:b/>
          <w:bCs/>
        </w:rPr>
        <w:t xml:space="preserve">Atovaquone + Proguanil</w:t>
      </w:r>
      <w:r>
        <w:t xml:space="preserve"> </w:t>
      </w:r>
      <w:r>
        <w:t xml:space="preserve">(Malarone, Malarone pediatric) : prophylaxie et traitement de première intention du paludisme à</w:t>
      </w:r>
      <w:r>
        <w:t xml:space="preserve"> </w:t>
      </w:r>
      <w:r>
        <w:rPr>
          <w:i/>
          <w:iCs/>
        </w:rPr>
        <w:t xml:space="preserve">P. falciparum</w:t>
      </w:r>
      <w:r>
        <w:t xml:space="preserve"> </w:t>
      </w:r>
      <w:r>
        <w:t xml:space="preserve">multirésistant chez le voyageur ; profil de tolérance excellent ; prescription de ville en France.</w:t>
      </w:r>
      <w:r>
        <w:t xml:space="preserve"> </w:t>
      </w:r>
      <w:r>
        <w:rPr>
          <w:b/>
          <w:bCs/>
        </w:rPr>
        <w:t xml:space="preserve">Non disponible en Algérie</w:t>
      </w:r>
      <w:r>
        <w:t xml:space="preserve"> </w:t>
      </w:r>
      <w:r>
        <w:t xml:space="preserve">— les voyageurs algériens doivent se procurer la Malarone à l’étranger ou via importation.</w:t>
      </w:r>
    </w:p>
    <w:p>
      <w:r>
        <w:pict>
          <v:rect style="width:0;height:1.5pt" o:hralign="center" o:hrstd="t" o:hr="t"/>
        </w:pict>
      </w:r>
    </w:p>
    <w:bookmarkEnd w:id="117"/>
    <w:bookmarkStart w:id="118" w:name="dci-proguanil-chlorguanide-seul"/>
    <w:p>
      <w:pPr>
        <w:pStyle w:val="Heading3"/>
      </w:pPr>
      <w:r>
        <w:t xml:space="preserve">4. DCI : Proguanil / Chlorguanide (Seul)</w:t>
      </w:r>
    </w:p>
    <w:p>
      <w:pPr>
        <w:pStyle w:val="FirstParagraph"/>
      </w:pPr>
      <w:r>
        <w:rPr>
          <w:b/>
          <w:bCs/>
        </w:rPr>
        <w:t xml:space="preserve">Liste des Catégories :</w:t>
      </w:r>
      <w:r>
        <w:t xml:space="preserve"> </w:t>
      </w:r>
      <w:r>
        <w:t xml:space="preserve">Antipaludique — Biguanide (prodrogue antifolique). Non soumis à liste (en France, prescription obligatoire mais non stupefiante ; historiquement libre en prophylaxie).</w:t>
      </w:r>
    </w:p>
    <w:p>
      <w:pPr>
        <w:pStyle w:val="BodyText"/>
      </w:pPr>
      <w:r>
        <w:t xml:space="preserve">Le proguanil (Chlorguanide, Paludrine) est le biguanide antipaludique historique, encore utilisé en prophylaxie en association avec la chloroquine (Savarine®). En monothérapie, son usage a disparu en raison de la résistance parasitaire étendue à la PfDHFR. En Algérie, le proguanil seul (Paludrine®) est</w:t>
      </w:r>
      <w:r>
        <w:t xml:space="preserve"> </w:t>
      </w:r>
      <w:r>
        <w:rPr>
          <w:b/>
          <w:bCs/>
        </w:rPr>
        <w:t xml:space="preserve">retiré du marché</w:t>
      </w:r>
      <w:r>
        <w:t xml:space="preserve"> </w:t>
      </w:r>
      <w:r>
        <w:t xml:space="preserve">; seul subsiste l’usage théorique par importation, ou via l’association fixe Savarine (elle-même retirée — cf. fiche suivante). Le pharmacien algérien doit néanmoins en connaître la pharmacologie car les voyageurs se procurant la Malarone à l’étranger sont exposés au proguanil (l’un des deux composants de l’association).</w:t>
      </w:r>
    </w:p>
    <w:p>
      <w:pPr>
        <w:pStyle w:val="BodyText"/>
      </w:pPr>
      <w:r>
        <w:rPr>
          <w:b/>
          <w:bCs/>
        </w:rPr>
        <w:t xml:space="preserve">Médicaments disponibles en Algérie (Marques, Laboratoires, Formes et Dosages) :</w:t>
      </w:r>
    </w:p>
    <w:p>
      <w:pPr>
        <w:pStyle w:val="Compact"/>
        <w:numPr>
          <w:ilvl w:val="0"/>
          <w:numId w:val="1289"/>
        </w:numPr>
      </w:pPr>
      <w:r>
        <w:rPr>
          <w:b/>
          <w:bCs/>
        </w:rPr>
        <w:t xml:space="preserve">PALUDRINE</w:t>
      </w:r>
      <w:r>
        <w:t xml:space="preserve"> </w:t>
      </w:r>
      <w:r>
        <w:t xml:space="preserve">(ZENECA PHARMA) —</w:t>
      </w:r>
      <w:r>
        <w:t xml:space="preserve"> </w:t>
      </w:r>
      <w:r>
        <w:rPr>
          <w:b/>
          <w:bCs/>
        </w:rPr>
        <w:t xml:space="preserve">(R)</w:t>
      </w:r>
    </w:p>
    <w:p>
      <w:pPr>
        <w:pStyle w:val="Compact"/>
        <w:numPr>
          <w:ilvl w:val="1"/>
          <w:numId w:val="1290"/>
        </w:numPr>
      </w:pPr>
      <w:r>
        <w:t xml:space="preserve">Formes et Dosages : Comprimé 100 mg — Boîte de 56</w:t>
      </w:r>
    </w:p>
    <w:p>
      <w:pPr>
        <w:pStyle w:val="Compact"/>
        <w:numPr>
          <w:ilvl w:val="1"/>
          <w:numId w:val="1290"/>
        </w:numPr>
      </w:pPr>
      <w:r>
        <w:t xml:space="preserve">Statut :</w:t>
      </w:r>
      <w:r>
        <w:t xml:space="preserve"> </w:t>
      </w:r>
      <w:r>
        <w:rPr>
          <w:b/>
          <w:bCs/>
        </w:rPr>
        <w:t xml:space="preserve">RETRAIT</w:t>
      </w:r>
      <w:r>
        <w:t xml:space="preserve"> </w:t>
      </w:r>
      <w:r>
        <w:t xml:space="preserve">du marché algérien</w:t>
      </w:r>
    </w:p>
    <w:p>
      <w:pPr>
        <w:pStyle w:val="Compact"/>
        <w:numPr>
          <w:ilvl w:val="1"/>
          <w:numId w:val="1290"/>
        </w:numPr>
      </w:pPr>
      <w:r>
        <w:t xml:space="preserve">Liste : non spécifiée</w:t>
      </w:r>
    </w:p>
    <w:p>
      <w:pPr>
        <w:pStyle w:val="FirstParagraph"/>
      </w:pPr>
      <w:r>
        <w:rPr>
          <w:b/>
          <w:bCs/>
        </w:rPr>
        <w:t xml:space="preserve">Note de disponibilité</w:t>
      </w:r>
      <w:r>
        <w:t xml:space="preserve"> </w:t>
      </w:r>
      <w:r>
        <w:t xml:space="preserve">: Le proguanil seul</w:t>
      </w:r>
      <w:r>
        <w:t xml:space="preserve"> </w:t>
      </w:r>
      <w:r>
        <w:rPr>
          <w:b/>
          <w:bCs/>
        </w:rPr>
        <w:t xml:space="preserve">n’est plus disponible en Algérie</w:t>
      </w:r>
      <w:r>
        <w:t xml:space="preserve"> </w:t>
      </w:r>
      <w:r>
        <w:t xml:space="preserve">depuis le retrait de la Paludrine (AstraZeneca/Zeneca). L’association fixe proguanil + chloroquine (Savarine) est également retirée (cf. fiche suivante). Pour les voyageurs nécessitant une prophylaxie antipalustre, les options disponibles en Algérie se limitent à la</w:t>
      </w:r>
      <w:r>
        <w:t xml:space="preserve"> </w:t>
      </w:r>
      <w:r>
        <w:rPr>
          <w:b/>
          <w:bCs/>
        </w:rPr>
        <w:t xml:space="preserve">chloroquine</w:t>
      </w:r>
      <w:r>
        <w:t xml:space="preserve"> </w:t>
      </w:r>
      <w:r>
        <w:t xml:space="preserve">(zone chloroquino-sensible) et à la</w:t>
      </w:r>
      <w:r>
        <w:t xml:space="preserve"> </w:t>
      </w:r>
      <w:r>
        <w:rPr>
          <w:b/>
          <w:bCs/>
        </w:rPr>
        <w:t xml:space="preserve">doxycycline</w:t>
      </w:r>
      <w:r>
        <w:t xml:space="preserve"> </w:t>
      </w:r>
      <w:r>
        <w:t xml:space="preserve">(zone multirésistante — disponible comme antibiotique). L’</w:t>
      </w:r>
      <w:r>
        <w:rPr>
          <w:b/>
          <w:bCs/>
        </w:rPr>
        <w:t xml:space="preserve">atovaquone + proguanil (Malarone)</w:t>
      </w:r>
      <w:r>
        <w:t xml:space="preserve"> </w:t>
      </w:r>
      <w:r>
        <w:t xml:space="preserve">n’étant pas disponible en Algérie, le voyageur doit se la procurer à l’étranger (France, Tunisie) ou via importation réglementaire.</w:t>
      </w:r>
    </w:p>
    <w:p>
      <w:pPr>
        <w:pStyle w:val="BodyText"/>
      </w:pPr>
      <w:r>
        <w:rPr>
          <w:b/>
          <w:bCs/>
        </w:rPr>
        <w:t xml:space="preserve">Sous-classe et Mécanisme d’action :</w:t>
      </w:r>
    </w:p>
    <w:p>
      <w:pPr>
        <w:pStyle w:val="Compact"/>
        <w:numPr>
          <w:ilvl w:val="0"/>
          <w:numId w:val="1291"/>
        </w:numPr>
      </w:pPr>
      <w:r>
        <w:t xml:space="preserve">Sous-classe : Biguanide antipaludique, prodrogue antifolique (inhibiteur de la DHFR plasmodiale).</w:t>
      </w:r>
    </w:p>
    <w:p>
      <w:pPr>
        <w:pStyle w:val="Compact"/>
        <w:numPr>
          <w:ilvl w:val="0"/>
          <w:numId w:val="1291"/>
        </w:numPr>
      </w:pPr>
      <w:r>
        <w:t xml:space="preserve">Mécanisme d’action : Le proguanil est une</w:t>
      </w:r>
      <w:r>
        <w:t xml:space="preserve"> </w:t>
      </w:r>
      <w:r>
        <w:rPr>
          <w:b/>
          <w:bCs/>
        </w:rPr>
        <w:t xml:space="preserve">prodrogue</w:t>
      </w:r>
      <w:r>
        <w:t xml:space="preserve"> </w:t>
      </w:r>
      <w:r>
        <w:t xml:space="preserve">à activité antipalustre intrinsèque faible, métabolisée par le</w:t>
      </w:r>
      <w:r>
        <w:t xml:space="preserve"> </w:t>
      </w:r>
      <w:r>
        <w:rPr>
          <w:b/>
          <w:bCs/>
        </w:rPr>
        <w:t xml:space="preserve">CYP2C19 hépatique</w:t>
      </w:r>
      <w:r>
        <w:t xml:space="preserve"> </w:t>
      </w:r>
      <w:r>
        <w:t xml:space="preserve">en son métabolite actif, le</w:t>
      </w:r>
      <w:r>
        <w:t xml:space="preserve"> </w:t>
      </w:r>
      <w:r>
        <w:rPr>
          <w:b/>
          <w:bCs/>
        </w:rPr>
        <w:t xml:space="preserve">cycloguanil</w:t>
      </w:r>
      <w:r>
        <w:t xml:space="preserve"> </w:t>
      </w:r>
      <w:r>
        <w:t xml:space="preserve">(transformation cyclique). Le cycloguanil est un analogue structurel du dihydrofolate qui se lie de manière compétitive au site catalytique de la</w:t>
      </w:r>
      <w:r>
        <w:t xml:space="preserve"> </w:t>
      </w:r>
      <w:r>
        <w:rPr>
          <w:b/>
          <w:bCs/>
        </w:rPr>
        <w:t xml:space="preserve">dihydrofolate réductase plasmodiale (PfDHFR)</w:t>
      </w:r>
      <w:r>
        <w:t xml:space="preserve">, inhibant la conversion du dihydrofolate (DHF) en tétrahydrofolate (THF). Le THF est un cofacteur essentiel au transfert de groupements monocarbonés dans la synthèse des</w:t>
      </w:r>
      <w:r>
        <w:t xml:space="preserve"> </w:t>
      </w:r>
      <w:r>
        <w:rPr>
          <w:b/>
          <w:bCs/>
        </w:rPr>
        <w:t xml:space="preserve">purines</w:t>
      </w:r>
      <w:r>
        <w:t xml:space="preserve">, de la</w:t>
      </w:r>
      <w:r>
        <w:t xml:space="preserve"> </w:t>
      </w:r>
      <w:r>
        <w:rPr>
          <w:b/>
          <w:bCs/>
        </w:rPr>
        <w:t xml:space="preserve">thymidylate</w:t>
      </w:r>
      <w:r>
        <w:t xml:space="preserve"> </w:t>
      </w:r>
      <w:r>
        <w:t xml:space="preserve">(via la thymidylate synthase) et de certains acides aminés (méthionine, glycine). Le blocage de la synthèse de l’ADN parasitaire empêche la réplication cellulaire et la schizogonie. Le cycloguanil a une affinité ~1000× supérieure pour la PfDHFR que pour la DHFR humaine, expliquant la sélectivité.</w:t>
      </w:r>
    </w:p>
    <w:p>
      <w:pPr>
        <w:pStyle w:val="Compact"/>
        <w:numPr>
          <w:ilvl w:val="0"/>
          <w:numId w:val="1291"/>
        </w:numPr>
      </w:pPr>
      <w:r>
        <w:t xml:space="preserve">Spectre d’action :</w:t>
      </w:r>
    </w:p>
    <w:p>
      <w:pPr>
        <w:pStyle w:val="Compact"/>
        <w:numPr>
          <w:ilvl w:val="1"/>
          <w:numId w:val="1292"/>
        </w:numPr>
      </w:pPr>
      <w:r>
        <w:t xml:space="preserve">Action</w:t>
      </w:r>
      <w:r>
        <w:t xml:space="preserve"> </w:t>
      </w:r>
      <w:r>
        <w:rPr>
          <w:b/>
          <w:bCs/>
        </w:rPr>
        <w:t xml:space="preserve">causale</w:t>
      </w:r>
      <w:r>
        <w:t xml:space="preserve"> </w:t>
      </w:r>
      <w:r>
        <w:t xml:space="preserve">sur les stades</w:t>
      </w:r>
      <w:r>
        <w:t xml:space="preserve"> </w:t>
      </w:r>
      <w:r>
        <w:rPr>
          <w:b/>
          <w:bCs/>
        </w:rPr>
        <w:t xml:space="preserve">hépatiques (schizogonie pré-érythrocytaire)</w:t>
      </w:r>
      <w:r>
        <w:t xml:space="preserve"> </w:t>
      </w:r>
      <w:r>
        <w:t xml:space="preserve">de tous les</w:t>
      </w:r>
      <w:r>
        <w:t xml:space="preserve"> </w:t>
      </w:r>
      <w:r>
        <w:rPr>
          <w:i/>
          <w:iCs/>
        </w:rPr>
        <w:t xml:space="preserve">Plasmodium</w:t>
      </w:r>
      <w:r>
        <w:t xml:space="preserve"> </w:t>
      </w:r>
      <w:r>
        <w:t xml:space="preserve">— empêche l’émergence des formes sanguines. Cette propriété est unique au proguanil (et à l’atovaquone) et justifie son utilisation en prophylaxie.</w:t>
      </w:r>
    </w:p>
    <w:p>
      <w:pPr>
        <w:pStyle w:val="Compact"/>
        <w:numPr>
          <w:ilvl w:val="1"/>
          <w:numId w:val="1292"/>
        </w:numPr>
      </w:pPr>
      <w:r>
        <w:t xml:space="preserve">Action suppressive sur les formes</w:t>
      </w:r>
      <w:r>
        <w:t xml:space="preserve"> </w:t>
      </w:r>
      <w:r>
        <w:rPr>
          <w:b/>
          <w:bCs/>
        </w:rPr>
        <w:t xml:space="preserve">érythrocytaires asexuées</w:t>
      </w:r>
      <w:r>
        <w:t xml:space="preserve"> </w:t>
      </w:r>
      <w:r>
        <w:t xml:space="preserve">(faible, surtout contre</w:t>
      </w:r>
      <w:r>
        <w:t xml:space="preserve"> </w:t>
      </w:r>
      <w:r>
        <w:rPr>
          <w:i/>
          <w:iCs/>
        </w:rPr>
        <w:t xml:space="preserve">P. falciparum</w:t>
      </w:r>
      <w:r>
        <w:t xml:space="preserve"> </w:t>
      </w:r>
      <w:r>
        <w:t xml:space="preserve">— résistance fréquente).</w:t>
      </w:r>
    </w:p>
    <w:p>
      <w:pPr>
        <w:pStyle w:val="Compact"/>
        <w:numPr>
          <w:ilvl w:val="1"/>
          <w:numId w:val="1292"/>
        </w:numPr>
      </w:pPr>
      <w:r>
        <w:t xml:space="preserve">Action faible sur les gamétocytes.</w:t>
      </w:r>
    </w:p>
    <w:p>
      <w:pPr>
        <w:pStyle w:val="Compact"/>
        <w:numPr>
          <w:ilvl w:val="0"/>
          <w:numId w:val="1291"/>
        </w:numPr>
      </w:pPr>
      <w:r>
        <w:t xml:space="preserve">Résistance : mutations de la PfDHFR — S108N (première mutation pivot), puis N51I, C59R, I164L. La quadruple mutation (S108N + N51I + C59R + I164L = « quadruple mutant ») confère une résistance de haut niveau au cycloguanil et à la pyriméthamine. Largement répandue en Afrique (incidence &gt; 50 % dans la plupart des pays subsahariens), ce qui limite l’usage clinique du proguanil en monothérapie.</w:t>
      </w:r>
    </w:p>
    <w:p>
      <w:pPr>
        <w:pStyle w:val="Compact"/>
        <w:numPr>
          <w:ilvl w:val="0"/>
          <w:numId w:val="1291"/>
        </w:numPr>
      </w:pPr>
      <w:r>
        <w:t xml:space="preserve">Synergie avec l’atovaquone : le proguanil (à des concentrations sub-inhibitrices, en synergie avec le cycloguanil) augmente la liaison de l’atovaquone au</w:t>
      </w:r>
      <w:r>
        <w:t xml:space="preserve"> </w:t>
      </w:r>
      <w:r>
        <w:rPr>
          <w:b/>
          <w:bCs/>
        </w:rPr>
        <w:t xml:space="preserve">cytochrome bc1 complexe</w:t>
      </w:r>
      <w:r>
        <w:t xml:space="preserve"> </w:t>
      </w:r>
      <w:r>
        <w:t xml:space="preserve">de la chaîne respiratoire mitochondriale plasmodiale (inhibition de la</w:t>
      </w:r>
      <w:r>
        <w:t xml:space="preserve"> </w:t>
      </w:r>
      <w:r>
        <w:rPr>
          <w:b/>
          <w:bCs/>
        </w:rPr>
        <w:t xml:space="preserve">dihydroorotate déshydrogénase</w:t>
      </w:r>
      <w:r>
        <w:t xml:space="preserve"> </w:t>
      </w:r>
      <w:r>
        <w:t xml:space="preserve">DHODH dépendante — blocage de la synthèse des pyrimidines). Cette synergie est à la base de l’association atovaquone + proguanil (Malarone), qui reste efficace malgré la résistance au proguanil seul.</w:t>
      </w:r>
    </w:p>
    <w:p>
      <w:pPr>
        <w:pStyle w:val="FirstParagraph"/>
      </w:pPr>
      <w:r>
        <w:rPr>
          <w:b/>
          <w:bCs/>
        </w:rPr>
        <w:t xml:space="preserve">Profil Pharmacologique :</w:t>
      </w:r>
    </w:p>
    <w:p>
      <w:pPr>
        <w:pStyle w:val="Compact"/>
        <w:numPr>
          <w:ilvl w:val="0"/>
          <w:numId w:val="1293"/>
        </w:numPr>
      </w:pPr>
      <w:r>
        <w:t xml:space="preserve">Indications (historiques et théoriques, le proguanil seul étant retiré en Algérie) :</w:t>
      </w:r>
    </w:p>
    <w:p>
      <w:pPr>
        <w:pStyle w:val="Compact"/>
        <w:numPr>
          <w:ilvl w:val="1"/>
          <w:numId w:val="1294"/>
        </w:numPr>
      </w:pPr>
      <w:r>
        <w:rPr>
          <w:i/>
          <w:iCs/>
        </w:rPr>
        <w:t xml:space="preserve">Prophylaxie du paludisme</w:t>
      </w:r>
      <w:r>
        <w:t xml:space="preserve"> </w:t>
      </w:r>
      <w:r>
        <w:t xml:space="preserve">: en association avec la chloroquine (Savarine) dans les zones à chloroquino-résistance modérée (ancienne indication, aujourd’hui supplantée par atovaquone + proguanil ou doxycycline).</w:t>
      </w:r>
    </w:p>
    <w:p>
      <w:pPr>
        <w:pStyle w:val="Compact"/>
        <w:numPr>
          <w:ilvl w:val="1"/>
          <w:numId w:val="1294"/>
        </w:numPr>
      </w:pPr>
      <w:r>
        <w:rPr>
          <w:i/>
          <w:iCs/>
        </w:rPr>
        <w:t xml:space="preserve">Prophylaxie du paludisme à</w:t>
      </w:r>
      <w:r>
        <w:rPr>
          <w:i/>
          <w:iCs/>
        </w:rPr>
        <w:t xml:space="preserve"> </w:t>
      </w:r>
      <w:r>
        <w:t xml:space="preserve">P. vivax*** : en association avec la chloroquine.</w:t>
      </w:r>
    </w:p>
    <w:p>
      <w:pPr>
        <w:pStyle w:val="Compact"/>
        <w:numPr>
          <w:ilvl w:val="1"/>
          <w:numId w:val="1294"/>
        </w:numPr>
      </w:pPr>
      <w:r>
        <w:t xml:space="preserve">Pas d’indication en traitement curatif (résistance rapide).</w:t>
      </w:r>
    </w:p>
    <w:p>
      <w:pPr>
        <w:pStyle w:val="Compact"/>
        <w:numPr>
          <w:ilvl w:val="0"/>
          <w:numId w:val="1293"/>
        </w:numPr>
      </w:pPr>
      <w:r>
        <w:t xml:space="preserve">Contre-indications :</w:t>
      </w:r>
    </w:p>
    <w:p>
      <w:pPr>
        <w:pStyle w:val="Compact"/>
        <w:numPr>
          <w:ilvl w:val="1"/>
          <w:numId w:val="1295"/>
        </w:numPr>
      </w:pPr>
      <w:r>
        <w:t xml:space="preserve">Hypersensibilité au proguanil.</w:t>
      </w:r>
    </w:p>
    <w:p>
      <w:pPr>
        <w:pStyle w:val="Compact"/>
        <w:numPr>
          <w:ilvl w:val="1"/>
          <w:numId w:val="1295"/>
        </w:numPr>
      </w:pPr>
      <w:r>
        <w:t xml:space="preserve">Insuffisance rénale sévère (clairance créatinine &lt; 30 mL/min) — adaptation posologique nécessaire (le proguanil est éliminé par voie rénale).</w:t>
      </w:r>
    </w:p>
    <w:p>
      <w:pPr>
        <w:pStyle w:val="Compact"/>
        <w:numPr>
          <w:ilvl w:val="1"/>
          <w:numId w:val="1295"/>
        </w:numPr>
      </w:pPr>
      <w:r>
        <w:t xml:space="preserve">Femme enceinte : à éviter en 1er trimestre en monothérapie (données limitées, mais en pratique le proguanil est considéré comme compatible ; en association avec la chloroquine, il est utilisé en prophylaxie chez la femme enceinte en zone d’endémie).</w:t>
      </w:r>
    </w:p>
    <w:p>
      <w:pPr>
        <w:pStyle w:val="Compact"/>
        <w:numPr>
          <w:ilvl w:val="1"/>
          <w:numId w:val="1295"/>
        </w:numPr>
      </w:pPr>
      <w:r>
        <w:t xml:space="preserve">Allaitement : compatible (cf. ci-dessous).</w:t>
      </w:r>
    </w:p>
    <w:p>
      <w:pPr>
        <w:pStyle w:val="Compact"/>
        <w:numPr>
          <w:ilvl w:val="1"/>
          <w:numId w:val="1295"/>
        </w:numPr>
      </w:pPr>
      <w:r>
        <w:t xml:space="preserve">Prudence en cas de déficit en folates (grossesse, anémie mégaloblastique) — l’effet antifolique est théorique chez l’homme (affinité 1000× moindre pour la DHFR humaine) mais une surveillance de la NFS est recommandée au long cours.</w:t>
      </w:r>
    </w:p>
    <w:p>
      <w:pPr>
        <w:pStyle w:val="Compact"/>
        <w:numPr>
          <w:ilvl w:val="0"/>
          <w:numId w:val="1293"/>
        </w:numPr>
      </w:pPr>
      <w:r>
        <w:t xml:space="preserve">Effets Indésirables :</w:t>
      </w:r>
    </w:p>
    <w:p>
      <w:pPr>
        <w:pStyle w:val="Compact"/>
        <w:numPr>
          <w:ilvl w:val="1"/>
          <w:numId w:val="1296"/>
        </w:numPr>
      </w:pPr>
      <w:r>
        <w:rPr>
          <w:i/>
          <w:iCs/>
        </w:rPr>
        <w:t xml:space="preserve">Digestifs</w:t>
      </w:r>
      <w:r>
        <w:t xml:space="preserve"> </w:t>
      </w:r>
      <w:r>
        <w:t xml:space="preserve">: nausées, vomissements, diarrhée, douleurs abdominales (atténuées par la prise au cours du repas).</w:t>
      </w:r>
    </w:p>
    <w:p>
      <w:pPr>
        <w:pStyle w:val="Compact"/>
        <w:numPr>
          <w:ilvl w:val="1"/>
          <w:numId w:val="1296"/>
        </w:numPr>
      </w:pPr>
      <w:r>
        <w:rPr>
          <w:i/>
          <w:iCs/>
        </w:rPr>
        <w:t xml:space="preserve">Cutanés</w:t>
      </w:r>
      <w:r>
        <w:t xml:space="preserve"> </w:t>
      </w:r>
      <w:r>
        <w:t xml:space="preserve">: rash, prurit, exceptionnel Stevens-Johnson.</w:t>
      </w:r>
    </w:p>
    <w:p>
      <w:pPr>
        <w:pStyle w:val="Compact"/>
        <w:numPr>
          <w:ilvl w:val="1"/>
          <w:numId w:val="1296"/>
        </w:numPr>
      </w:pPr>
      <w:r>
        <w:rPr>
          <w:i/>
          <w:iCs/>
        </w:rPr>
        <w:t xml:space="preserve">Hématologiques</w:t>
      </w:r>
      <w:r>
        <w:t xml:space="preserve"> </w:t>
      </w:r>
      <w:r>
        <w:t xml:space="preserve">(rares, traitements prolongés à forte dose) :</w:t>
      </w:r>
      <w:r>
        <w:t xml:space="preserve"> </w:t>
      </w:r>
      <w:r>
        <w:rPr>
          <w:b/>
          <w:bCs/>
        </w:rPr>
        <w:t xml:space="preserve">anémie mégaloblastique</w:t>
      </w:r>
      <w:r>
        <w:t xml:space="preserve"> </w:t>
      </w:r>
      <w:r>
        <w:t xml:space="preserve">par inhibition de la DHFR humaine (réversible à l’arrêt, surtout en cas d’insuffisance rénale et de déficit folique associé), thrombopénie, leucopénie.</w:t>
      </w:r>
    </w:p>
    <w:p>
      <w:pPr>
        <w:pStyle w:val="Compact"/>
        <w:numPr>
          <w:ilvl w:val="1"/>
          <w:numId w:val="1296"/>
        </w:numPr>
      </w:pPr>
      <w:r>
        <w:rPr>
          <w:i/>
          <w:iCs/>
        </w:rPr>
        <w:t xml:space="preserve">Hépatiques</w:t>
      </w:r>
      <w:r>
        <w:t xml:space="preserve"> </w:t>
      </w:r>
      <w:r>
        <w:t xml:space="preserve">: cytolyse transitoire (rare).</w:t>
      </w:r>
    </w:p>
    <w:p>
      <w:pPr>
        <w:pStyle w:val="Compact"/>
        <w:numPr>
          <w:ilvl w:val="1"/>
          <w:numId w:val="1296"/>
        </w:numPr>
      </w:pPr>
      <w:r>
        <w:rPr>
          <w:i/>
          <w:iCs/>
        </w:rPr>
        <w:t xml:space="preserve">Buccaux</w:t>
      </w:r>
      <w:r>
        <w:t xml:space="preserve"> </w:t>
      </w:r>
      <w:r>
        <w:t xml:space="preserve">: aphtes, stomatite (à corriger par supplémentation folique).</w:t>
      </w:r>
    </w:p>
    <w:p>
      <w:pPr>
        <w:pStyle w:val="Compact"/>
        <w:numPr>
          <w:ilvl w:val="1"/>
          <w:numId w:val="1296"/>
        </w:numPr>
      </w:pPr>
      <w:r>
        <w:rPr>
          <w:i/>
          <w:iCs/>
        </w:rPr>
        <w:t xml:space="preserve">Neuropsychiatriques</w:t>
      </w:r>
      <w:r>
        <w:t xml:space="preserve"> </w:t>
      </w:r>
      <w:r>
        <w:t xml:space="preserve">: céphalées, vertiges, insomnie (peu fréquents).</w:t>
      </w:r>
    </w:p>
    <w:p>
      <w:pPr>
        <w:pStyle w:val="Compact"/>
        <w:numPr>
          <w:ilvl w:val="1"/>
          <w:numId w:val="1296"/>
        </w:numPr>
      </w:pPr>
      <w:r>
        <w:rPr>
          <w:i/>
          <w:iCs/>
        </w:rPr>
        <w:t xml:space="preserve">Rénaux</w:t>
      </w:r>
      <w:r>
        <w:t xml:space="preserve"> </w:t>
      </w:r>
      <w:r>
        <w:t xml:space="preserve">: cristallurie (très rare).</w:t>
      </w:r>
    </w:p>
    <w:p>
      <w:pPr>
        <w:pStyle w:val="FirstParagraph"/>
      </w:pPr>
      <w:r>
        <w:rPr>
          <w:b/>
          <w:bCs/>
        </w:rPr>
        <w:t xml:space="preserve">Prévention et Gestion des Effets Indésirables :</w:t>
      </w:r>
    </w:p>
    <w:p>
      <w:pPr>
        <w:pStyle w:val="Compact"/>
        <w:numPr>
          <w:ilvl w:val="0"/>
          <w:numId w:val="1297"/>
        </w:numPr>
      </w:pPr>
      <w:r>
        <w:t xml:space="preserve">Mesures Préventives :</w:t>
      </w:r>
    </w:p>
    <w:p>
      <w:pPr>
        <w:pStyle w:val="Compact"/>
        <w:numPr>
          <w:ilvl w:val="1"/>
          <w:numId w:val="1298"/>
        </w:numPr>
      </w:pPr>
      <w:r>
        <w:rPr>
          <w:b/>
          <w:bCs/>
        </w:rPr>
        <w:t xml:space="preserve">Bilan rénal</w:t>
      </w:r>
      <w:r>
        <w:t xml:space="preserve"> </w:t>
      </w:r>
      <w:r>
        <w:t xml:space="preserve">(créatinine, clairance) avant traitement — adaptation posologique si ClCr &lt; 30 mL/min.</w:t>
      </w:r>
    </w:p>
    <w:p>
      <w:pPr>
        <w:pStyle w:val="Compact"/>
        <w:numPr>
          <w:ilvl w:val="1"/>
          <w:numId w:val="1298"/>
        </w:numPr>
      </w:pPr>
      <w:r>
        <w:rPr>
          <w:b/>
          <w:bCs/>
        </w:rPr>
        <w:t xml:space="preserve">NFS</w:t>
      </w:r>
      <w:r>
        <w:t xml:space="preserve"> </w:t>
      </w:r>
      <w:r>
        <w:t xml:space="preserve">en début de traitement et tous les 3 mois si traitement prolongé (détection d’une éventuelle anémie mégaloblastique).</w:t>
      </w:r>
    </w:p>
    <w:p>
      <w:pPr>
        <w:pStyle w:val="Compact"/>
        <w:numPr>
          <w:ilvl w:val="1"/>
          <w:numId w:val="1298"/>
        </w:numPr>
      </w:pPr>
      <w:r>
        <w:t xml:space="preserve">Supplémentation en</w:t>
      </w:r>
      <w:r>
        <w:t xml:space="preserve"> </w:t>
      </w:r>
      <w:r>
        <w:rPr>
          <w:b/>
          <w:bCs/>
        </w:rPr>
        <w:t xml:space="preserve">acide folique</w:t>
      </w:r>
      <w:r>
        <w:t xml:space="preserve"> </w:t>
      </w:r>
      <w:r>
        <w:t xml:space="preserve">(5 mg/jour) en cas de grossesse ou de traitement prolongé à forte dose.</w:t>
      </w:r>
    </w:p>
    <w:p>
      <w:pPr>
        <w:pStyle w:val="Compact"/>
        <w:numPr>
          <w:ilvl w:val="1"/>
          <w:numId w:val="1298"/>
        </w:numPr>
      </w:pPr>
      <w:r>
        <w:t xml:space="preserve">Prise au cours d’un repas pour améliorer la tolérance digestive.</w:t>
      </w:r>
    </w:p>
    <w:p>
      <w:pPr>
        <w:pStyle w:val="Compact"/>
        <w:numPr>
          <w:ilvl w:val="1"/>
          <w:numId w:val="1298"/>
        </w:numPr>
      </w:pPr>
      <w:r>
        <w:t xml:space="preserve">Information du patient sur les symptômes digestifs fréquents et leur caractère bénin.</w:t>
      </w:r>
    </w:p>
    <w:p>
      <w:pPr>
        <w:pStyle w:val="Compact"/>
        <w:numPr>
          <w:ilvl w:val="0"/>
          <w:numId w:val="1297"/>
        </w:numPr>
      </w:pPr>
      <w:r>
        <w:t xml:space="preserve">Conduite à Tenir :</w:t>
      </w:r>
    </w:p>
    <w:p>
      <w:pPr>
        <w:pStyle w:val="Compact"/>
        <w:numPr>
          <w:ilvl w:val="1"/>
          <w:numId w:val="1299"/>
        </w:numPr>
      </w:pPr>
      <w:r>
        <w:t xml:space="preserve">En cas d’anémie mégaloblastique (VGM &gt; 100 fL, hypersegmentation neutrophiles) : arrêt du proguanil, supplémentation en acide folinique (5-formyl-THF, qui contourne le bloc DHFR).</w:t>
      </w:r>
    </w:p>
    <w:p>
      <w:pPr>
        <w:pStyle w:val="Compact"/>
        <w:numPr>
          <w:ilvl w:val="1"/>
          <w:numId w:val="1299"/>
        </w:numPr>
      </w:pPr>
      <w:r>
        <w:t xml:space="preserve">En cas d’insuffisance rénale : adaptation posologique (cf. Posologie).</w:t>
      </w:r>
    </w:p>
    <w:p>
      <w:pPr>
        <w:pStyle w:val="Compact"/>
        <w:numPr>
          <w:ilvl w:val="1"/>
          <w:numId w:val="1299"/>
        </w:numPr>
      </w:pPr>
      <w:r>
        <w:t xml:space="preserve">En cas de rash sévére : arrêt.</w:t>
      </w:r>
    </w:p>
    <w:p>
      <w:pPr>
        <w:pStyle w:val="Compact"/>
        <w:numPr>
          <w:ilvl w:val="1"/>
          <w:numId w:val="1299"/>
        </w:numPr>
      </w:pPr>
      <w:r>
        <w:t xml:space="preserve">En cas de diarrhée sévère : réhydratation, arrêt si nécessaire.</w:t>
      </w:r>
    </w:p>
    <w:p>
      <w:pPr>
        <w:pStyle w:val="FirstParagraph"/>
      </w:pPr>
      <w:r>
        <w:rPr>
          <w:b/>
          <w:bCs/>
        </w:rPr>
        <w:t xml:space="preserve">Interactions Importantes :</w:t>
      </w:r>
    </w:p>
    <w:p>
      <w:pPr>
        <w:pStyle w:val="Compact"/>
        <w:numPr>
          <w:ilvl w:val="0"/>
          <w:numId w:val="1300"/>
        </w:numPr>
      </w:pPr>
      <w:r>
        <w:rPr>
          <w:b/>
          <w:bCs/>
        </w:rPr>
        <w:t xml:space="preserve">Proguanil + warfarine</w:t>
      </w:r>
      <w:r>
        <w:t xml:space="preserve"> </w:t>
      </w:r>
      <w:r>
        <w:t xml:space="preserve">: augmentation de l’INR (le proguanil peut altérer l’absorption de la vitamine K ou modifier la flore intestinale productrice de vitamine K — mécanisme non totalement élucidé) —</w:t>
      </w:r>
      <w:r>
        <w:t xml:space="preserve"> </w:t>
      </w:r>
      <w:r>
        <w:rPr>
          <w:b/>
          <w:bCs/>
        </w:rPr>
        <w:t xml:space="preserve">surveillance INR accrue</w:t>
      </w:r>
      <w:r>
        <w:t xml:space="preserve">, ajustement de la warfarine.</w:t>
      </w:r>
    </w:p>
    <w:p>
      <w:pPr>
        <w:pStyle w:val="Compact"/>
        <w:numPr>
          <w:ilvl w:val="0"/>
          <w:numId w:val="1300"/>
        </w:numPr>
      </w:pPr>
      <w:r>
        <w:rPr>
          <w:b/>
          <w:bCs/>
        </w:rPr>
        <w:t xml:space="preserve">Proguanil + métoclopramide</w:t>
      </w:r>
      <w:r>
        <w:t xml:space="preserve"> </w:t>
      </w:r>
      <w:r>
        <w:t xml:space="preserve">: ↓ absorption du proguanil (accélération de la vidange gastrique) — espacer les prises.</w:t>
      </w:r>
    </w:p>
    <w:p>
      <w:pPr>
        <w:pStyle w:val="Compact"/>
        <w:numPr>
          <w:ilvl w:val="0"/>
          <w:numId w:val="1300"/>
        </w:numPr>
      </w:pPr>
      <w:r>
        <w:rPr>
          <w:b/>
          <w:bCs/>
        </w:rPr>
        <w:t xml:space="preserve">Proguanil + magnésium, calcium, fer, zinc</w:t>
      </w:r>
      <w:r>
        <w:t xml:space="preserve"> </w:t>
      </w:r>
      <w:r>
        <w:t xml:space="preserve">: pas d’interaction décrite (à la différence des tétracyclines et fluoroquinolones).</w:t>
      </w:r>
    </w:p>
    <w:p>
      <w:pPr>
        <w:pStyle w:val="Compact"/>
        <w:numPr>
          <w:ilvl w:val="0"/>
          <w:numId w:val="1300"/>
        </w:numPr>
      </w:pPr>
      <w:r>
        <w:rPr>
          <w:b/>
          <w:bCs/>
        </w:rPr>
        <w:t xml:space="preserve">Proguanil + atovaquone</w:t>
      </w:r>
      <w:r>
        <w:t xml:space="preserve"> </w:t>
      </w:r>
      <w:r>
        <w:t xml:space="preserve">(Malarone) : synergie — pas d’interaction négative, association conçue.</w:t>
      </w:r>
    </w:p>
    <w:p>
      <w:pPr>
        <w:pStyle w:val="Compact"/>
        <w:numPr>
          <w:ilvl w:val="0"/>
          <w:numId w:val="1300"/>
        </w:numPr>
      </w:pPr>
      <w:r>
        <w:rPr>
          <w:b/>
          <w:bCs/>
        </w:rPr>
        <w:t xml:space="preserve">Proguanil + chloroquine</w:t>
      </w:r>
      <w:r>
        <w:t xml:space="preserve"> </w:t>
      </w:r>
      <w:r>
        <w:t xml:space="preserve">(Savarine) : pas d’interaction négative, association classique.</w:t>
      </w:r>
    </w:p>
    <w:p>
      <w:pPr>
        <w:pStyle w:val="Compact"/>
        <w:numPr>
          <w:ilvl w:val="0"/>
          <w:numId w:val="1300"/>
        </w:numPr>
      </w:pPr>
      <w:r>
        <w:rPr>
          <w:b/>
          <w:bCs/>
        </w:rPr>
        <w:t xml:space="preserve">Proguanil + inducteurs enzymatiques (rifampicine, phénytoïne, carbamazépine, phénobarbital)</w:t>
      </w:r>
      <w:r>
        <w:t xml:space="preserve"> </w:t>
      </w:r>
      <w:r>
        <w:t xml:space="preserve">: ↓ concentrations de cycloguanil (métabolisme augmenté) — risque d’efficacité réduite (peu documenté cliniquement).</w:t>
      </w:r>
    </w:p>
    <w:p>
      <w:pPr>
        <w:pStyle w:val="Compact"/>
        <w:numPr>
          <w:ilvl w:val="0"/>
          <w:numId w:val="1300"/>
        </w:numPr>
      </w:pPr>
      <w:r>
        <w:rPr>
          <w:b/>
          <w:bCs/>
        </w:rPr>
        <w:t xml:space="preserve">Proguanil + inhibiteurs du CYP2C19 (oméprazole, ésoméprazole, fluconazole, fluoxétine)</w:t>
      </w:r>
      <w:r>
        <w:t xml:space="preserve"> </w:t>
      </w:r>
      <w:r>
        <w:t xml:space="preserve">: ↓ conversion en cycloguanil (métaboliseurs lents pharmacogénétiquement simulés) — risque théorique d’efficacité réduite (non documenté cliniquement en prophylaxie).</w:t>
      </w:r>
    </w:p>
    <w:p>
      <w:pPr>
        <w:pStyle w:val="Compact"/>
        <w:numPr>
          <w:ilvl w:val="0"/>
          <w:numId w:val="1300"/>
        </w:numPr>
      </w:pPr>
      <w:r>
        <w:rPr>
          <w:b/>
          <w:bCs/>
        </w:rPr>
        <w:t xml:space="preserve">Proguanil + vaccin antityphoïdique oral vivant attenué (Ty21a)</w:t>
      </w:r>
      <w:r>
        <w:t xml:space="preserve"> </w:t>
      </w:r>
      <w:r>
        <w:t xml:space="preserve">: espacer de 3 jours (le proguanil a une activité antibactérienne qui pourrait réduire l’efficacité du vaccin vivant oral).</w:t>
      </w:r>
    </w:p>
    <w:p>
      <w:pPr>
        <w:pStyle w:val="FirstParagraph"/>
      </w:pPr>
      <w:r>
        <w:rPr>
          <w:b/>
          <w:bCs/>
        </w:rPr>
        <w:t xml:space="preserve">Grossesse et Allaitement :</w:t>
      </w:r>
    </w:p>
    <w:p>
      <w:pPr>
        <w:pStyle w:val="Compact"/>
        <w:numPr>
          <w:ilvl w:val="0"/>
          <w:numId w:val="1301"/>
        </w:numPr>
      </w:pPr>
      <w:r>
        <w:t xml:space="preserve">Grossesse :</w:t>
      </w:r>
      <w:r>
        <w:t xml:space="preserve"> </w:t>
      </w:r>
      <w:r>
        <w:rPr>
          <w:b/>
          <w:bCs/>
        </w:rPr>
        <w:t xml:space="preserve">Compatible à tous les trimestres</w:t>
      </w:r>
      <w:r>
        <w:t xml:space="preserve"> </w:t>
      </w:r>
      <w:r>
        <w:t xml:space="preserve">selon le CRAT et l’OMS. Le proguanil est considéré comme</w:t>
      </w:r>
      <w:r>
        <w:t xml:space="preserve"> </w:t>
      </w:r>
      <w:r>
        <w:rPr>
          <w:b/>
          <w:bCs/>
        </w:rPr>
        <w:t xml:space="preserve">non tératogène</w:t>
      </w:r>
      <w:r>
        <w:t xml:space="preserve"> </w:t>
      </w:r>
      <w:r>
        <w:t xml:space="preserve">(pas d’excès de malformations dans les séries publiées). Son utilisation en prophylaxie chez la femme enceinte voyageant en zone d’endémie est recommandée en association avec la chloroquine (zones chloroquino-sensibles) ; dans les zones multirésistantes, la méfloquine est privilégiée (mais non disponible en Algérie). Une</w:t>
      </w:r>
      <w:r>
        <w:t xml:space="preserve"> </w:t>
      </w:r>
      <w:r>
        <w:rPr>
          <w:b/>
          <w:bCs/>
        </w:rPr>
        <w:t xml:space="preserve">supplémentation en acide folique</w:t>
      </w:r>
      <w:r>
        <w:t xml:space="preserve"> </w:t>
      </w:r>
      <w:r>
        <w:t xml:space="preserve">(5 mg/jour) est recommandée en complément (l’effet antifolique théorique du proguanil sur la DHFR humaine est négligeable mais précaution).</w:t>
      </w:r>
    </w:p>
    <w:p>
      <w:pPr>
        <w:pStyle w:val="Compact"/>
        <w:numPr>
          <w:ilvl w:val="0"/>
          <w:numId w:val="1301"/>
        </w:numPr>
      </w:pPr>
      <w:r>
        <w:t xml:space="preserve">Allaitement :</w:t>
      </w:r>
      <w:r>
        <w:t xml:space="preserve"> </w:t>
      </w:r>
      <w:r>
        <w:rPr>
          <w:b/>
          <w:bCs/>
        </w:rPr>
        <w:t xml:space="preserve">Compatible</w:t>
      </w:r>
      <w:r>
        <w:t xml:space="preserve"> </w:t>
      </w:r>
      <w:r>
        <w:t xml:space="preserve">(CRAT) — le proguanil passe dans le lait maternel en quantité faible (rapport lait/plasma ≈ 0.6), la quantité ingérée par le nourrisson est inférieure à la dose thérapeutique pédiatrique. Le cycloguanil passe également faiblement. Aucun effet indésirable décrit chez le nourrisson.</w:t>
      </w:r>
    </w:p>
    <w:p>
      <w:pPr>
        <w:pStyle w:val="Compact"/>
        <w:numPr>
          <w:ilvl w:val="0"/>
          <w:numId w:val="1301"/>
        </w:numPr>
      </w:pPr>
      <w:r>
        <w:t xml:space="preserve">Précisions : pour la femme enceinte séjournant en zone d’endémie, l’OMS recommande la</w:t>
      </w:r>
      <w:r>
        <w:t xml:space="preserve"> </w:t>
      </w:r>
      <w:r>
        <w:rPr>
          <w:b/>
          <w:bCs/>
        </w:rPr>
        <w:t xml:space="preserve">chimioprophylaxie intermittente présomptivedurante pregnancy (IPTp)</w:t>
      </w:r>
      <w:r>
        <w:t xml:space="preserve"> </w:t>
      </w:r>
      <w:r>
        <w:t xml:space="preserve">par sulfadoxine-pyriméthamine (Fansidar, non disponible en Algérie) ; en prophylaxie continue voyageur, chloroquine + proguanil ou méfloquine.</w:t>
      </w:r>
    </w:p>
    <w:p>
      <w:pPr>
        <w:pStyle w:val="FirstParagraph"/>
      </w:pPr>
      <w:r>
        <w:rPr>
          <w:b/>
          <w:bCs/>
        </w:rPr>
        <w:t xml:space="preserve">Posologie et Mode d’administration (Standard) :</w:t>
      </w:r>
    </w:p>
    <w:p>
      <w:pPr>
        <w:pStyle w:val="Compact"/>
        <w:numPr>
          <w:ilvl w:val="0"/>
          <w:numId w:val="1302"/>
        </w:numPr>
      </w:pPr>
      <w:r>
        <w:t xml:space="preserve">Adulte :</w:t>
      </w:r>
    </w:p>
    <w:p>
      <w:pPr>
        <w:pStyle w:val="Compact"/>
        <w:numPr>
          <w:ilvl w:val="1"/>
          <w:numId w:val="1303"/>
        </w:numPr>
      </w:pPr>
      <w:r>
        <w:rPr>
          <w:i/>
          <w:iCs/>
        </w:rPr>
        <w:t xml:space="preserve">Prophylaxie</w:t>
      </w:r>
      <w:r>
        <w:t xml:space="preserve"> </w:t>
      </w:r>
      <w:r>
        <w:t xml:space="preserve">(en association avec la chloroquine, soit en Savarine soit en co-prescription) :</w:t>
      </w:r>
      <w:r>
        <w:t xml:space="preserve"> </w:t>
      </w:r>
      <w:r>
        <w:rPr>
          <w:b/>
          <w:bCs/>
        </w:rPr>
        <w:t xml:space="preserve">200 mg/jour (= 2 comprimés à 100 mg)</w:t>
      </w:r>
      <w:r>
        <w:t xml:space="preserve"> </w:t>
      </w:r>
      <w:r>
        <w:t xml:space="preserve">en une prise, à commencer 1 semaine avant le départ, pendant le séjour, et</w:t>
      </w:r>
      <w:r>
        <w:t xml:space="preserve"> </w:t>
      </w:r>
      <w:r>
        <w:rPr>
          <w:b/>
          <w:bCs/>
        </w:rPr>
        <w:t xml:space="preserve">4 semaines après le retour</w:t>
      </w:r>
      <w:r>
        <w:t xml:space="preserve"> </w:t>
      </w:r>
      <w:r>
        <w:t xml:space="preserve">(le proguanil a une action causale sur les stades hépatiques mais pas sur les formes sanguines tardives d’où la nécessité de poursuivre 4 semaines).</w:t>
      </w:r>
    </w:p>
    <w:p>
      <w:pPr>
        <w:pStyle w:val="Compact"/>
        <w:numPr>
          <w:ilvl w:val="1"/>
          <w:numId w:val="1303"/>
        </w:numPr>
      </w:pPr>
      <w:r>
        <w:rPr>
          <w:i/>
          <w:iCs/>
        </w:rPr>
        <w:t xml:space="preserve">Prophylaxie en association avec l’atovaquone</w:t>
      </w:r>
      <w:r>
        <w:t xml:space="preserve"> </w:t>
      </w:r>
      <w:r>
        <w:t xml:space="preserve">(Malarone, non disponible en Algérie) : 100 mg/jour (1 comprimé Malarone adulte = 250 mg atovaquone + 100 mg proguanil) — arrêt</w:t>
      </w:r>
      <w:r>
        <w:t xml:space="preserve"> </w:t>
      </w:r>
      <w:r>
        <w:rPr>
          <w:b/>
          <w:bCs/>
        </w:rPr>
        <w:t xml:space="preserve">7 jours seulement après le retour</w:t>
      </w:r>
      <w:r>
        <w:t xml:space="preserve"> </w:t>
      </w:r>
      <w:r>
        <w:t xml:space="preserve">(action causale des deux composants sur les stades hépatiques).</w:t>
      </w:r>
    </w:p>
    <w:p>
      <w:pPr>
        <w:pStyle w:val="Compact"/>
        <w:numPr>
          <w:ilvl w:val="0"/>
          <w:numId w:val="1302"/>
        </w:numPr>
      </w:pPr>
      <w:r>
        <w:t xml:space="preserve">Enfant :</w:t>
      </w:r>
    </w:p>
    <w:p>
      <w:pPr>
        <w:pStyle w:val="Compact"/>
        <w:numPr>
          <w:ilvl w:val="1"/>
          <w:numId w:val="1304"/>
        </w:numPr>
      </w:pPr>
      <w:r>
        <w:rPr>
          <w:i/>
          <w:iCs/>
        </w:rPr>
        <w:t xml:space="preserve">Prophylaxie avec chloroquine</w:t>
      </w:r>
      <w:r>
        <w:t xml:space="preserve"> </w:t>
      </w:r>
      <w:r>
        <w:t xml:space="preserve">: 3 mg/kg/jour (max 200 mg/jour).</w:t>
      </w:r>
    </w:p>
    <w:p>
      <w:pPr>
        <w:pStyle w:val="Compact"/>
        <w:numPr>
          <w:ilvl w:val="1"/>
          <w:numId w:val="1304"/>
        </w:numPr>
      </w:pPr>
      <w:r>
        <w:rPr>
          <w:i/>
          <w:iCs/>
        </w:rPr>
        <w:t xml:space="preserve">Prophylaxie avec atovaquone</w:t>
      </w:r>
      <w:r>
        <w:t xml:space="preserve"> </w:t>
      </w:r>
      <w:r>
        <w:t xml:space="preserve">(Malarone pediatric) : 25 mg atovaquone + 10 mg proguanil/kg/jour selon le poids.</w:t>
      </w:r>
    </w:p>
    <w:p>
      <w:pPr>
        <w:pStyle w:val="Compact"/>
        <w:numPr>
          <w:ilvl w:val="0"/>
          <w:numId w:val="1302"/>
        </w:numPr>
      </w:pPr>
      <w:r>
        <w:t xml:space="preserve">Adaptation rénale :</w:t>
      </w:r>
    </w:p>
    <w:p>
      <w:pPr>
        <w:pStyle w:val="Compact"/>
        <w:numPr>
          <w:ilvl w:val="1"/>
          <w:numId w:val="1305"/>
        </w:numPr>
      </w:pPr>
      <w:r>
        <w:t xml:space="preserve">ClCr 20-60 mL/min : 100 mg/jour (au lieu de 200 mg).</w:t>
      </w:r>
    </w:p>
    <w:p>
      <w:pPr>
        <w:pStyle w:val="Compact"/>
        <w:numPr>
          <w:ilvl w:val="1"/>
          <w:numId w:val="1305"/>
        </w:numPr>
      </w:pPr>
      <w:r>
        <w:t xml:space="preserve">ClCr 10-20 mL/min : 100 mg un jour sur 2.</w:t>
      </w:r>
    </w:p>
    <w:p>
      <w:pPr>
        <w:pStyle w:val="Compact"/>
        <w:numPr>
          <w:ilvl w:val="1"/>
          <w:numId w:val="1305"/>
        </w:numPr>
      </w:pPr>
      <w:r>
        <w:t xml:space="preserve">ClCr &lt; 10 mL/min : éviter.</w:t>
      </w:r>
    </w:p>
    <w:p>
      <w:pPr>
        <w:pStyle w:val="Compact"/>
        <w:numPr>
          <w:ilvl w:val="0"/>
          <w:numId w:val="1302"/>
        </w:numPr>
      </w:pPr>
      <w:r>
        <w:t xml:space="preserve">Durée :</w:t>
      </w:r>
    </w:p>
    <w:p>
      <w:pPr>
        <w:pStyle w:val="Compact"/>
        <w:numPr>
          <w:ilvl w:val="1"/>
          <w:numId w:val="1306"/>
        </w:numPr>
      </w:pPr>
      <w:r>
        <w:t xml:space="preserve">Prophylaxie avec chloroquine : 4 semaines après retour.</w:t>
      </w:r>
    </w:p>
    <w:p>
      <w:pPr>
        <w:pStyle w:val="Compact"/>
        <w:numPr>
          <w:ilvl w:val="1"/>
          <w:numId w:val="1306"/>
        </w:numPr>
      </w:pPr>
      <w:r>
        <w:t xml:space="preserve">Prophylaxie avec atovaquone : 7 jours après retour.</w:t>
      </w:r>
    </w:p>
    <w:p>
      <w:pPr>
        <w:pStyle w:val="Compact"/>
        <w:numPr>
          <w:ilvl w:val="0"/>
          <w:numId w:val="1302"/>
        </w:numPr>
      </w:pPr>
      <w:r>
        <w:t xml:space="preserve">Moment de prise : au cours d’un repas, à heure fixe (pour la prophylaxie, prise quotidienne).</w:t>
      </w:r>
    </w:p>
    <w:p>
      <w:pPr>
        <w:pStyle w:val="FirstParagraph"/>
      </w:pPr>
      <w:r>
        <w:rPr>
          <w:b/>
          <w:bCs/>
        </w:rPr>
        <w:t xml:space="preserve">Arbitrage et Bénéfices des Formes Galéniques :</w:t>
      </w:r>
    </w:p>
    <w:p>
      <w:pPr>
        <w:pStyle w:val="Compact"/>
        <w:numPr>
          <w:ilvl w:val="0"/>
          <w:numId w:val="1307"/>
        </w:numPr>
      </w:pPr>
      <w:r>
        <w:rPr>
          <w:b/>
          <w:bCs/>
        </w:rPr>
        <w:t xml:space="preserve">Comprimé 100 mg</w:t>
      </w:r>
      <w:r>
        <w:t xml:space="preserve"> </w:t>
      </w:r>
      <w:r>
        <w:t xml:space="preserve">(Paludrine, retiré) : seule forme historique. Facile à avaler, sécable selon les marques.</w:t>
      </w:r>
    </w:p>
    <w:p>
      <w:pPr>
        <w:pStyle w:val="Compact"/>
        <w:numPr>
          <w:ilvl w:val="0"/>
          <w:numId w:val="1307"/>
        </w:numPr>
      </w:pPr>
      <w:r>
        <w:rPr>
          <w:b/>
          <w:bCs/>
        </w:rPr>
        <w:t xml:space="preserve">Forme pédiatrique</w:t>
      </w:r>
      <w:r>
        <w:t xml:space="preserve"> </w:t>
      </w:r>
      <w:r>
        <w:t xml:space="preserve">: la Malarone pediatric (atovaquone 62.5 mg + proguanil 25 mg) permet l’adaptation pondérale chez l’enfant — non disponible en Algérie.</w:t>
      </w:r>
    </w:p>
    <w:p>
      <w:pPr>
        <w:pStyle w:val="Compact"/>
        <w:numPr>
          <w:ilvl w:val="0"/>
          <w:numId w:val="1307"/>
        </w:numPr>
      </w:pPr>
      <w:r>
        <w:t xml:space="preserve">Arbitrage : en Algérie, le proguanil seul étant retiré, le pharmacien doit orienter le voyageur vers la chloroquine (zones sensibles) ou la doxycycline (zones multirésistantes), ou vers l’importation de Malarone (atovaquone + proguanil).</w:t>
      </w:r>
    </w:p>
    <w:p>
      <w:pPr>
        <w:pStyle w:val="FirstParagraph"/>
      </w:pPr>
      <w:r>
        <w:rPr>
          <w:b/>
          <w:bCs/>
        </w:rPr>
        <w:t xml:space="preserve">Instructions et Conseils au Patient :</w:t>
      </w:r>
    </w:p>
    <w:p>
      <w:pPr>
        <w:pStyle w:val="Compact"/>
        <w:numPr>
          <w:ilvl w:val="0"/>
          <w:numId w:val="1308"/>
        </w:numPr>
      </w:pPr>
      <w:r>
        <w:t xml:space="preserve">Communication au comptoir :</w:t>
      </w:r>
    </w:p>
    <w:p>
      <w:pPr>
        <w:pStyle w:val="Compact"/>
        <w:numPr>
          <w:ilvl w:val="1"/>
          <w:numId w:val="1309"/>
        </w:numPr>
      </w:pPr>
      <w:r>
        <w:rPr>
          <w:i/>
          <w:iCs/>
        </w:rPr>
        <w:t xml:space="preserve">Contexte</w:t>
      </w:r>
      <w:r>
        <w:t xml:space="preserve"> </w:t>
      </w:r>
      <w:r>
        <w:t xml:space="preserve">: le proguanil seul n’est plus disponible en Algérie. Le pharmacien peut être amené à dispenser l’association chloroquine + proguanil (Savarine, mais retirée) ou à expliquer l’indisponibilité et proposer des alternatives.</w:t>
      </w:r>
    </w:p>
    <w:p>
      <w:pPr>
        <w:pStyle w:val="Compact"/>
        <w:numPr>
          <w:ilvl w:val="1"/>
          <w:numId w:val="1309"/>
        </w:numPr>
      </w:pPr>
      <w:r>
        <w:rPr>
          <w:i/>
          <w:iCs/>
        </w:rPr>
        <w:t xml:space="preserve">Information au voyageur</w:t>
      </w:r>
      <w:r>
        <w:t xml:space="preserve"> </w:t>
      </w:r>
      <w:r>
        <w:t xml:space="preserve">: « Pour une prophylaxie efficace, le proguanil doit être pris</w:t>
      </w:r>
      <w:r>
        <w:t xml:space="preserve"> </w:t>
      </w:r>
      <w:r>
        <w:rPr>
          <w:b/>
          <w:bCs/>
        </w:rPr>
        <w:t xml:space="preserve">tous les jours</w:t>
      </w:r>
      <w:r>
        <w:t xml:space="preserve"> </w:t>
      </w:r>
      <w:r>
        <w:t xml:space="preserve">à heure fixe, en commençant 1 semaine avant le départ et en poursuivant</w:t>
      </w:r>
      <w:r>
        <w:t xml:space="preserve"> </w:t>
      </w:r>
      <w:r>
        <w:rPr>
          <w:b/>
          <w:bCs/>
        </w:rPr>
        <w:t xml:space="preserve">4 semaines après le retour</w:t>
      </w:r>
      <w:r>
        <w:t xml:space="preserve">. Prenez le comprimé au cours d’un repas. Associez des mesures anti-moustiques (moustiquaire imprégnée, répulsif, vêtements longs). Si vous prenez également de la chloroquine (Savarine), respectez les prises hebdomadaires de chloroquine ET quotidiennes de proguanil. Signalez les autres traitements (notamment anticoagulants oraux). »</w:t>
      </w:r>
    </w:p>
    <w:p>
      <w:pPr>
        <w:pStyle w:val="Compact"/>
        <w:numPr>
          <w:ilvl w:val="0"/>
          <w:numId w:val="1308"/>
        </w:numPr>
      </w:pPr>
      <w:r>
        <w:t xml:space="preserve">Mode d’utilisation pratique :</w:t>
      </w:r>
    </w:p>
    <w:p>
      <w:pPr>
        <w:pStyle w:val="Compact"/>
        <w:numPr>
          <w:ilvl w:val="1"/>
          <w:numId w:val="1310"/>
        </w:numPr>
      </w:pPr>
      <w:r>
        <w:t xml:space="preserve">Pour la prophylaxie avec chloroquine : prendre la chloroquine 1 fois/semaine + le proguanil tous les jours.</w:t>
      </w:r>
    </w:p>
    <w:p>
      <w:pPr>
        <w:pStyle w:val="Compact"/>
        <w:numPr>
          <w:ilvl w:val="1"/>
          <w:numId w:val="1310"/>
        </w:numPr>
      </w:pPr>
      <w:r>
        <w:t xml:space="preserve">Pour la prophylaxie avec atovaquone : prendre 1 comprimé Malarone par jour, au repas (nécessite une absorption lipidique pour la bonne absorption de l’atovaquone).</w:t>
      </w:r>
    </w:p>
    <w:p>
      <w:pPr>
        <w:pStyle w:val="Compact"/>
        <w:numPr>
          <w:ilvl w:val="1"/>
          <w:numId w:val="1310"/>
        </w:numPr>
      </w:pPr>
      <w:r>
        <w:t xml:space="preserve">En cas d’oubli &lt; 12 h : prendre dès que possible ; si oubli &gt; 12 h, ne pas doubler la dose.</w:t>
      </w:r>
    </w:p>
    <w:p>
      <w:pPr>
        <w:pStyle w:val="FirstParagraph"/>
      </w:pPr>
      <w:r>
        <w:rPr>
          <w:b/>
          <w:bCs/>
        </w:rPr>
        <w:t xml:space="preserve">Notes, Règles d’Or &amp; Pièges au Comptoir :</w:t>
      </w:r>
    </w:p>
    <w:p>
      <w:pPr>
        <w:pStyle w:val="Compact"/>
        <w:numPr>
          <w:ilvl w:val="0"/>
          <w:numId w:val="1311"/>
        </w:numPr>
      </w:pPr>
      <w:r>
        <w:rPr>
          <w:b/>
          <w:bCs/>
        </w:rPr>
        <w:t xml:space="preserve">Piège classique n°1 — proguanil seul pour prophylaxie d’une zone multirésistante</w:t>
      </w:r>
      <w:r>
        <w:t xml:space="preserve"> </w:t>
      </w:r>
      <w:r>
        <w:t xml:space="preserve">: le proguanil en monothérapie a une efficacité prophylactique faible en raison de la résistance parasitaire étendue. Il doit toujours être associé à la chloroquine (zones sensibles) ou à l’atovaquone (zones multirésistantes, Malarone — non disponible en Algérie).</w:t>
      </w:r>
    </w:p>
    <w:p>
      <w:pPr>
        <w:pStyle w:val="Compact"/>
        <w:numPr>
          <w:ilvl w:val="0"/>
          <w:numId w:val="1311"/>
        </w:numPr>
      </w:pPr>
      <w:r>
        <w:rPr>
          <w:b/>
          <w:bCs/>
        </w:rPr>
        <w:t xml:space="preserve">Piège n°2 — oubli de poursuite après retour</w:t>
      </w:r>
      <w:r>
        <w:t xml:space="preserve"> </w:t>
      </w:r>
      <w:r>
        <w:t xml:space="preserve">: la prophylaxie doit être poursuivie</w:t>
      </w:r>
      <w:r>
        <w:t xml:space="preserve"> </w:t>
      </w:r>
      <w:r>
        <w:rPr>
          <w:b/>
          <w:bCs/>
        </w:rPr>
        <w:t xml:space="preserve">4 semaines après le retour</w:t>
      </w:r>
      <w:r>
        <w:t xml:space="preserve"> </w:t>
      </w:r>
      <w:r>
        <w:t xml:space="preserve">(proguanil + chloroquine) ou</w:t>
      </w:r>
      <w:r>
        <w:t xml:space="preserve"> </w:t>
      </w:r>
      <w:r>
        <w:rPr>
          <w:b/>
          <w:bCs/>
        </w:rPr>
        <w:t xml:space="preserve">7 jours</w:t>
      </w:r>
      <w:r>
        <w:t xml:space="preserve"> </w:t>
      </w:r>
      <w:r>
        <w:t xml:space="preserve">(Malarone) — l’oubli de cette phase terminale est la cause principale d’échec prophylactique.</w:t>
      </w:r>
    </w:p>
    <w:p>
      <w:pPr>
        <w:pStyle w:val="Compact"/>
        <w:numPr>
          <w:ilvl w:val="0"/>
          <w:numId w:val="1311"/>
        </w:numPr>
      </w:pPr>
      <w:r>
        <w:rPr>
          <w:b/>
          <w:bCs/>
        </w:rPr>
        <w:t xml:space="preserve">Piège n°3 — résistance liée au polymorphisme CYP2C19</w:t>
      </w:r>
      <w:r>
        <w:t xml:space="preserve"> </w:t>
      </w:r>
      <w:r>
        <w:t xml:space="preserve">: 3-5 % des Caucasiens et 15-20 % des Asiatiques sont métaboliseurs lents du CYP2C19, avec une production réduite de cycloguanil — efficacité prophylactique diminuée (non documentée cliniquement de manière formelle mais théoriquement pertinente).</w:t>
      </w:r>
    </w:p>
    <w:p>
      <w:pPr>
        <w:pStyle w:val="Compact"/>
        <w:numPr>
          <w:ilvl w:val="0"/>
          <w:numId w:val="1311"/>
        </w:numPr>
      </w:pPr>
      <w:r>
        <w:rPr>
          <w:b/>
          <w:bCs/>
        </w:rPr>
        <w:t xml:space="preserve">Piège n°4 — INR sous warfarine</w:t>
      </w:r>
      <w:r>
        <w:t xml:space="preserve"> </w:t>
      </w:r>
      <w:r>
        <w:t xml:space="preserve">: le proguanil peut augmenter l’INR chez les patients sous antivitamines K, justifiant une surveillance accrue.</w:t>
      </w:r>
    </w:p>
    <w:p>
      <w:pPr>
        <w:pStyle w:val="Compact"/>
        <w:numPr>
          <w:ilvl w:val="0"/>
          <w:numId w:val="1311"/>
        </w:numPr>
      </w:pPr>
      <w:r>
        <w:t xml:space="preserve">Règle de prise : tous les jours à heure fixe, au repas, en complément de la chloroquine hebdomadaire ou de l’atovaquone quotidienne.</w:t>
      </w:r>
    </w:p>
    <w:p>
      <w:pPr>
        <w:pStyle w:val="Compact"/>
        <w:numPr>
          <w:ilvl w:val="0"/>
          <w:numId w:val="1311"/>
        </w:numPr>
      </w:pPr>
      <w:r>
        <w:t xml:space="preserve">Préparation et Conservation : comprimés à conserver à température &lt; 25 °C, à l’abri de l’humidité.</w:t>
      </w:r>
    </w:p>
    <w:p>
      <w:pPr>
        <w:pStyle w:val="Compact"/>
        <w:numPr>
          <w:ilvl w:val="0"/>
          <w:numId w:val="1311"/>
        </w:numPr>
      </w:pPr>
      <w:r>
        <w:t xml:space="preserve">Piège du surdosage / Substitution : le surdosage est rare (le proguanil a une marge thérapeutique large) ; le risque principal est l’</w:t>
      </w:r>
      <w:r>
        <w:rPr>
          <w:b/>
          <w:bCs/>
        </w:rPr>
        <w:t xml:space="preserve">anémie mégaloblastique</w:t>
      </w:r>
      <w:r>
        <w:t xml:space="preserve"> </w:t>
      </w:r>
      <w:r>
        <w:t xml:space="preserve">en cas d’insuffisance rénale et de traitement prolongé — surveillance NFS.</w:t>
      </w:r>
    </w:p>
    <w:p>
      <w:r>
        <w:pict>
          <v:rect style="width:0;height:1.5pt" o:hralign="center" o:hrstd="t" o:hr="t"/>
        </w:pict>
      </w:r>
    </w:p>
    <w:bookmarkEnd w:id="118"/>
    <w:bookmarkEnd w:id="119"/>
    <w:bookmarkStart w:id="122" w:name="X764041f87e50866cb39a2c4f6fb76ee8aa7d0d7"/>
    <w:p>
      <w:pPr>
        <w:pStyle w:val="Heading2"/>
      </w:pPr>
      <w:r>
        <w:t xml:space="preserve">SOUS-CLASSE IV — ASSOCIATIONS FIXES ANTIPALUDIQUES</w:t>
      </w:r>
    </w:p>
    <w:bookmarkStart w:id="120" w:name="introduction-de-la-sous-classe-8"/>
    <w:p>
      <w:pPr>
        <w:pStyle w:val="Heading3"/>
      </w:pPr>
      <w:r>
        <w:t xml:space="preserve">Introduction de la sous-classe</w:t>
      </w:r>
    </w:p>
    <w:p>
      <w:pPr>
        <w:pStyle w:val="FirstParagraph"/>
      </w:pPr>
      <w:r>
        <w:t xml:space="preserve">Les associations fixes antipaludiques combinent deux (ou exceptionnellement trois) antipaludiques de mécanismes complémentaires dans un même comprimé, dans le but de (i) améliorer l’observance, (ii) prévenir l’émergence de résistances (la probabilité qu’un parasite développe simultanément des mutations de résistance à deux molécules de mécanismes différents est multiplicativement plus faible), et (iii) bénéficier d’une synergie pharmacodynamique.</w:t>
      </w:r>
    </w:p>
    <w:p>
      <w:pPr>
        <w:pStyle w:val="BodyText"/>
      </w:pPr>
      <w:r>
        <w:t xml:space="preserve">Les associations fixées antipaludiques disponibles dans le monde sont :</w:t>
      </w:r>
    </w:p>
    <w:p>
      <w:pPr>
        <w:pStyle w:val="Compact"/>
        <w:numPr>
          <w:ilvl w:val="0"/>
          <w:numId w:val="1312"/>
        </w:numPr>
      </w:pPr>
      <w:r>
        <w:rPr>
          <w:b/>
          <w:bCs/>
        </w:rPr>
        <w:t xml:space="preserve">Savarine® (proguanil 200 mg + chloroquine 100 mg base)</w:t>
      </w:r>
      <w:r>
        <w:t xml:space="preserve"> </w:t>
      </w:r>
      <w:r>
        <w:t xml:space="preserve">: ancienne prophylaxie pour les zones à chloroquino-résistance modérée, retirée du marché mondial. Historiquement commercialisée en France par AstraZeneca.</w:t>
      </w:r>
    </w:p>
    <w:p>
      <w:pPr>
        <w:pStyle w:val="Compact"/>
        <w:numPr>
          <w:ilvl w:val="0"/>
          <w:numId w:val="1312"/>
        </w:numPr>
      </w:pPr>
      <w:r>
        <w:rPr>
          <w:b/>
          <w:bCs/>
        </w:rPr>
        <w:t xml:space="preserve">Malarone® / Malarone pediatric (atovaquone 250 mg + proguanil 100 mg)</w:t>
      </w:r>
      <w:r>
        <w:t xml:space="preserve"> </w:t>
      </w:r>
      <w:r>
        <w:t xml:space="preserve">: prophylaxie et traitement du paludisme à</w:t>
      </w:r>
      <w:r>
        <w:t xml:space="preserve"> </w:t>
      </w:r>
      <w:r>
        <w:rPr>
          <w:i/>
          <w:iCs/>
        </w:rPr>
        <w:t xml:space="preserve">P. falciparum</w:t>
      </w:r>
      <w:r>
        <w:t xml:space="preserve"> </w:t>
      </w:r>
      <w:r>
        <w:t xml:space="preserve">multirésistant, prescription de ville en France. Non disponible en Algérie.</w:t>
      </w:r>
    </w:p>
    <w:p>
      <w:pPr>
        <w:pStyle w:val="Compact"/>
        <w:numPr>
          <w:ilvl w:val="0"/>
          <w:numId w:val="1312"/>
        </w:numPr>
      </w:pPr>
      <w:r>
        <w:rPr>
          <w:b/>
          <w:bCs/>
        </w:rPr>
        <w:t xml:space="preserve">Coartem® / Riamet® (artéméther 20 mg + lumefantrine 120 mg)</w:t>
      </w:r>
      <w:r>
        <w:t xml:space="preserve"> </w:t>
      </w:r>
      <w:r>
        <w:t xml:space="preserve">: ACT de référence OMS pour le traitement curatif du paludisme non compliqué à</w:t>
      </w:r>
      <w:r>
        <w:t xml:space="preserve"> </w:t>
      </w:r>
      <w:r>
        <w:rPr>
          <w:i/>
          <w:iCs/>
        </w:rPr>
        <w:t xml:space="preserve">P. falciparum</w:t>
      </w:r>
      <w:r>
        <w:t xml:space="preserve">. Non disponible en Algérie.</w:t>
      </w:r>
    </w:p>
    <w:p>
      <w:pPr>
        <w:pStyle w:val="Compact"/>
        <w:numPr>
          <w:ilvl w:val="0"/>
          <w:numId w:val="1312"/>
        </w:numPr>
      </w:pPr>
      <w:r>
        <w:rPr>
          <w:b/>
          <w:bCs/>
        </w:rPr>
        <w:t xml:space="preserve">Coarsucam® / Arsucam® (artésunate 100 mg + amodiaquine 270 mg)</w:t>
      </w:r>
      <w:r>
        <w:t xml:space="preserve"> </w:t>
      </w:r>
      <w:r>
        <w:t xml:space="preserve">: ACT pour l’Afrique. Non disponible en Algérie.</w:t>
      </w:r>
    </w:p>
    <w:p>
      <w:pPr>
        <w:pStyle w:val="Compact"/>
        <w:numPr>
          <w:ilvl w:val="0"/>
          <w:numId w:val="1312"/>
        </w:numPr>
      </w:pPr>
      <w:r>
        <w:rPr>
          <w:b/>
          <w:bCs/>
        </w:rPr>
        <w:t xml:space="preserve">Eurartesim® (dihydroartémisinine 40 mg + pipéraquine 320 mg)</w:t>
      </w:r>
      <w:r>
        <w:t xml:space="preserve"> </w:t>
      </w:r>
      <w:r>
        <w:t xml:space="preserve">: ACT à demi-vie longue. Non disponible en Algérie.</w:t>
      </w:r>
    </w:p>
    <w:p>
      <w:pPr>
        <w:pStyle w:val="Compact"/>
        <w:numPr>
          <w:ilvl w:val="0"/>
          <w:numId w:val="1312"/>
        </w:numPr>
      </w:pPr>
      <w:r>
        <w:rPr>
          <w:b/>
          <w:bCs/>
        </w:rPr>
        <w:t xml:space="preserve">Pyramax® (artésunate 100 mg + pyronaridine 360 mg)</w:t>
      </w:r>
      <w:r>
        <w:t xml:space="preserve"> </w:t>
      </w:r>
      <w:r>
        <w:t xml:space="preserve">: ACT plus récente. Non disponible en Algérie.</w:t>
      </w:r>
    </w:p>
    <w:p>
      <w:pPr>
        <w:pStyle w:val="Compact"/>
        <w:numPr>
          <w:ilvl w:val="0"/>
          <w:numId w:val="1312"/>
        </w:numPr>
      </w:pPr>
      <w:r>
        <w:rPr>
          <w:b/>
          <w:bCs/>
        </w:rPr>
        <w:t xml:space="preserve">Fansidar® (sulfadoxine 500 mg + pyriméthamine 25 mg)</w:t>
      </w:r>
      <w:r>
        <w:t xml:space="preserve"> </w:t>
      </w:r>
      <w:r>
        <w:t xml:space="preserve">: association antifolique, utilisée en IPTp (chimioprophylaxie intermittente présomptive pendant la grossesse) en Afrique. Non disponible en Algérie.</w:t>
      </w:r>
    </w:p>
    <w:p>
      <w:pPr>
        <w:pStyle w:val="FirstParagraph"/>
      </w:pPr>
      <w:r>
        <w:t xml:space="preserve">En Algérie, seule l’association</w:t>
      </w:r>
      <w:r>
        <w:t xml:space="preserve"> </w:t>
      </w:r>
      <w:r>
        <w:rPr>
          <w:b/>
          <w:bCs/>
        </w:rPr>
        <w:t xml:space="preserve">Savarine® (proguanil + chloroquine)</w:t>
      </w:r>
      <w:r>
        <w:t xml:space="preserve"> </w:t>
      </w:r>
      <w:r>
        <w:t xml:space="preserve">a été commercialisée, et elle est aujourd’hui</w:t>
      </w:r>
      <w:r>
        <w:t xml:space="preserve"> </w:t>
      </w:r>
      <w:r>
        <w:rPr>
          <w:b/>
          <w:bCs/>
        </w:rPr>
        <w:t xml:space="preserve">retirée du marché</w:t>
      </w:r>
      <w:r>
        <w:t xml:space="preserve">.</w:t>
      </w:r>
    </w:p>
    <w:p>
      <w:r>
        <w:pict>
          <v:rect style="width:0;height:1.5pt" o:hralign="center" o:hrstd="t" o:hr="t"/>
        </w:pict>
      </w:r>
    </w:p>
    <w:bookmarkEnd w:id="120"/>
    <w:bookmarkStart w:id="121" w:name="dci-proguanil-chloroquine-association"/>
    <w:p>
      <w:pPr>
        <w:pStyle w:val="Heading3"/>
      </w:pPr>
      <w:r>
        <w:t xml:space="preserve">5. DCI : Proguanil + Chloroquine (Association)</w:t>
      </w:r>
    </w:p>
    <w:p>
      <w:pPr>
        <w:pStyle w:val="FirstParagraph"/>
      </w:pPr>
      <w:r>
        <w:rPr>
          <w:b/>
          <w:bCs/>
        </w:rPr>
        <w:t xml:space="preserve">Liste des Catégories :</w:t>
      </w:r>
      <w:r>
        <w:t xml:space="preserve"> </w:t>
      </w:r>
      <w:r>
        <w:t xml:space="preserve">Antipaludique — Association fixe (Biguanide + 4-aminoquinoléine). Liste II.</w:t>
      </w:r>
    </w:p>
    <w:p>
      <w:pPr>
        <w:pStyle w:val="BodyText"/>
      </w:pPr>
      <w:r>
        <w:t xml:space="preserve">L’association fixe proguanil + chloroquine (Savarine®) a été développée pour simplifier la prophylaxie du paludisme dans les zones à chloroquino-résistance modérée, en combinant (i) l’action causale du proguanil sur les stades hépatiques et (ii) l’action suppressive de la chloroquine sur les formes sanguines. Historiquement prescrite pour les voyageurs en Afrique subsaharienne dans les années 1980-1990, elle a été progressivement supplantée par l’atovaquone + proguanil (Malarone) à partir de 2000, en raison de l’extension de la résistance à la chloroquine et à la DHFR.</w:t>
      </w:r>
      <w:r>
        <w:t xml:space="preserve"> </w:t>
      </w:r>
      <w:r>
        <w:rPr>
          <w:b/>
          <w:bCs/>
        </w:rPr>
        <w:t xml:space="preserve">Retirée du marché algérien</w:t>
      </w:r>
      <w:r>
        <w:t xml:space="preserve"> </w:t>
      </w:r>
      <w:r>
        <w:t xml:space="preserve">(et du marché mondial), elle n’est plus disponible — mais sa pharmacologie reste pédagogiquement importante pour comprendre la logique des associations antipaludiques.</w:t>
      </w:r>
    </w:p>
    <w:p>
      <w:pPr>
        <w:pStyle w:val="BodyText"/>
      </w:pPr>
      <w:r>
        <w:rPr>
          <w:b/>
          <w:bCs/>
        </w:rPr>
        <w:t xml:space="preserve">Médicaments disponibles en Algérie (Marques, Laboratoires, Formes et Dosages) :</w:t>
      </w:r>
    </w:p>
    <w:p>
      <w:pPr>
        <w:pStyle w:val="Compact"/>
        <w:numPr>
          <w:ilvl w:val="0"/>
          <w:numId w:val="1313"/>
        </w:numPr>
      </w:pPr>
      <w:r>
        <w:rPr>
          <w:b/>
          <w:bCs/>
        </w:rPr>
        <w:t xml:space="preserve">SAVARINE</w:t>
      </w:r>
      <w:r>
        <w:t xml:space="preserve"> </w:t>
      </w:r>
      <w:r>
        <w:t xml:space="preserve">(ASTRA ZENECA) —</w:t>
      </w:r>
      <w:r>
        <w:t xml:space="preserve"> </w:t>
      </w:r>
      <w:r>
        <w:rPr>
          <w:b/>
          <w:bCs/>
        </w:rPr>
        <w:t xml:space="preserve">(R)</w:t>
      </w:r>
    </w:p>
    <w:p>
      <w:pPr>
        <w:pStyle w:val="Compact"/>
        <w:numPr>
          <w:ilvl w:val="1"/>
          <w:numId w:val="1314"/>
        </w:numPr>
      </w:pPr>
      <w:r>
        <w:t xml:space="preserve">Formes et Dosages : Comprimé pelliculé (chloroquine 100 mg base + proguanil 200 mg) — Boîte de 28</w:t>
      </w:r>
    </w:p>
    <w:p>
      <w:pPr>
        <w:pStyle w:val="Compact"/>
        <w:numPr>
          <w:ilvl w:val="1"/>
          <w:numId w:val="1314"/>
        </w:numPr>
      </w:pPr>
      <w:r>
        <w:t xml:space="preserve">Statut :</w:t>
      </w:r>
      <w:r>
        <w:t xml:space="preserve"> </w:t>
      </w:r>
      <w:r>
        <w:rPr>
          <w:b/>
          <w:bCs/>
        </w:rPr>
        <w:t xml:space="preserve">RETRAIT</w:t>
      </w:r>
      <w:r>
        <w:t xml:space="preserve"> </w:t>
      </w:r>
      <w:r>
        <w:t xml:space="preserve">du marché algérien</w:t>
      </w:r>
    </w:p>
    <w:p>
      <w:pPr>
        <w:pStyle w:val="Compact"/>
        <w:numPr>
          <w:ilvl w:val="1"/>
          <w:numId w:val="1314"/>
        </w:numPr>
      </w:pPr>
      <w:r>
        <w:t xml:space="preserve">Liste : Liste II</w:t>
      </w:r>
    </w:p>
    <w:p>
      <w:pPr>
        <w:pStyle w:val="FirstParagraph"/>
      </w:pPr>
      <w:r>
        <w:rPr>
          <w:b/>
          <w:bCs/>
        </w:rPr>
        <w:t xml:space="preserve">Note de disponibilité</w:t>
      </w:r>
      <w:r>
        <w:t xml:space="preserve"> </w:t>
      </w:r>
      <w:r>
        <w:t xml:space="preserve">: L’association Savarine est</w:t>
      </w:r>
      <w:r>
        <w:t xml:space="preserve"> </w:t>
      </w:r>
      <w:r>
        <w:rPr>
          <w:b/>
          <w:bCs/>
        </w:rPr>
        <w:t xml:space="preserve">retirée du marché algérien</w:t>
      </w:r>
      <w:r>
        <w:t xml:space="preserve"> </w:t>
      </w:r>
      <w:r>
        <w:t xml:space="preserve">(et du marché mondial). Les voyageurs nécessitant une prophylaxie antipalustre doivent être orientés vers : (i)</w:t>
      </w:r>
      <w:r>
        <w:t xml:space="preserve"> </w:t>
      </w:r>
      <w:r>
        <w:rPr>
          <w:b/>
          <w:bCs/>
        </w:rPr>
        <w:t xml:space="preserve">chloroquine seule</w:t>
      </w:r>
      <w:r>
        <w:t xml:space="preserve"> </w:t>
      </w:r>
      <w:r>
        <w:t xml:space="preserve">(zones chloroquino-sensibles — disponible en Algérie), (ii)</w:t>
      </w:r>
      <w:r>
        <w:t xml:space="preserve"> </w:t>
      </w:r>
      <w:r>
        <w:rPr>
          <w:b/>
          <w:bCs/>
        </w:rPr>
        <w:t xml:space="preserve">doxycycline</w:t>
      </w:r>
      <w:r>
        <w:t xml:space="preserve"> </w:t>
      </w:r>
      <w:r>
        <w:t xml:space="preserve">(zones multirésistantes — disponible en Algérie comme antibiotique, utilisation off-label en prophylaxie antipalustre), (iii)</w:t>
      </w:r>
      <w:r>
        <w:t xml:space="preserve"> </w:t>
      </w:r>
      <w:r>
        <w:rPr>
          <w:b/>
          <w:bCs/>
        </w:rPr>
        <w:t xml:space="preserve">atovaquone + proguanil (Malarone)</w:t>
      </w:r>
      <w:r>
        <w:t xml:space="preserve"> </w:t>
      </w:r>
      <w:r>
        <w:t xml:space="preserve">à importer, ou (iv)</w:t>
      </w:r>
      <w:r>
        <w:t xml:space="preserve"> </w:t>
      </w:r>
      <w:r>
        <w:rPr>
          <w:b/>
          <w:bCs/>
        </w:rPr>
        <w:t xml:space="preserve">méfloquine</w:t>
      </w:r>
      <w:r>
        <w:t xml:space="preserve"> </w:t>
      </w:r>
      <w:r>
        <w:t xml:space="preserve">à importer (Lariam, non disponible en Algérie).</w:t>
      </w:r>
    </w:p>
    <w:p>
      <w:pPr>
        <w:pStyle w:val="BodyText"/>
      </w:pPr>
      <w:r>
        <w:rPr>
          <w:b/>
          <w:bCs/>
        </w:rPr>
        <w:t xml:space="preserve">Sous-classe et Mécanisme d’action :</w:t>
      </w:r>
    </w:p>
    <w:p>
      <w:pPr>
        <w:pStyle w:val="Compact"/>
        <w:numPr>
          <w:ilvl w:val="0"/>
          <w:numId w:val="1315"/>
        </w:numPr>
      </w:pPr>
      <w:r>
        <w:t xml:space="preserve">Sous-classe : Antipaludique — Association fixe Biguanide (proguanil, antifolique) + 4-aminoquinoléine (chloroquine, inhibiteur de l’hème polymérase).</w:t>
      </w:r>
    </w:p>
    <w:p>
      <w:pPr>
        <w:pStyle w:val="Compact"/>
        <w:numPr>
          <w:ilvl w:val="0"/>
          <w:numId w:val="1315"/>
        </w:numPr>
      </w:pPr>
      <w:r>
        <w:t xml:space="preserve">Mécanisme d’action : combinaison de deux mécanismes complémentaires :</w:t>
      </w:r>
    </w:p>
    <w:p>
      <w:pPr>
        <w:pStyle w:val="Compact"/>
        <w:numPr>
          <w:ilvl w:val="1"/>
          <w:numId w:val="1316"/>
        </w:numPr>
      </w:pPr>
      <w:r>
        <w:rPr>
          <w:i/>
          <w:iCs/>
        </w:rPr>
        <w:t xml:space="preserve">Chloroquine</w:t>
      </w:r>
      <w:r>
        <w:t xml:space="preserve"> </w:t>
      </w:r>
      <w:r>
        <w:t xml:space="preserve">(100 mg base par comprimé) : piégeage ionique dans la vacuole digestive, inhibition de la</w:t>
      </w:r>
      <w:r>
        <w:t xml:space="preserve"> </w:t>
      </w:r>
      <w:r>
        <w:rPr>
          <w:b/>
          <w:bCs/>
        </w:rPr>
        <w:t xml:space="preserve">hème polymérase</w:t>
      </w:r>
      <w:r>
        <w:t xml:space="preserve"> </w:t>
      </w:r>
      <w:r>
        <w:t xml:space="preserve">(</w:t>
      </w:r>
      <w:r>
        <w:rPr>
          <w:i/>
          <w:iCs/>
        </w:rPr>
        <w:t xml:space="preserve">PfHRP-II/III</w:t>
      </w:r>
      <w:r>
        <w:t xml:space="preserve">), accumulation d’hème monomérique toxique. Actif sur les trophozoïtes érythrocytaires (forme sanguine).</w:t>
      </w:r>
    </w:p>
    <w:p>
      <w:pPr>
        <w:pStyle w:val="Compact"/>
        <w:numPr>
          <w:ilvl w:val="1"/>
          <w:numId w:val="1316"/>
        </w:numPr>
      </w:pPr>
      <w:r>
        <w:rPr>
          <w:i/>
          <w:iCs/>
        </w:rPr>
        <w:t xml:space="preserve">Proguanil</w:t>
      </w:r>
      <w:r>
        <w:t xml:space="preserve"> </w:t>
      </w:r>
      <w:r>
        <w:t xml:space="preserve">(200 mg par comprimé) : prodrogue métabolisée par le CYP2C19 en</w:t>
      </w:r>
      <w:r>
        <w:t xml:space="preserve"> </w:t>
      </w:r>
      <w:r>
        <w:rPr>
          <w:b/>
          <w:bCs/>
        </w:rPr>
        <w:t xml:space="preserve">cycloguanil</w:t>
      </w:r>
      <w:r>
        <w:t xml:space="preserve">, inhibiteur de la</w:t>
      </w:r>
      <w:r>
        <w:t xml:space="preserve"> </w:t>
      </w:r>
      <w:r>
        <w:rPr>
          <w:b/>
          <w:bCs/>
        </w:rPr>
        <w:t xml:space="preserve">PfDHFR</w:t>
      </w:r>
      <w:r>
        <w:t xml:space="preserve"> </w:t>
      </w:r>
      <w:r>
        <w:t xml:space="preserve">plasmodiale. Action causale sur les stades hépatiques (schizogonie pré-érythrocytaire) et accessoire sur les formes sanguines.</w:t>
      </w:r>
    </w:p>
    <w:p>
      <w:pPr>
        <w:pStyle w:val="Compact"/>
        <w:numPr>
          <w:ilvl w:val="0"/>
          <w:numId w:val="1315"/>
        </w:numPr>
      </w:pPr>
      <w:r>
        <w:t xml:space="preserve">Synergie : la combinaison vise à cibler simultanément (i) les stades hépatiques (proguanil) et (ii) les stades érythrocytaires (chloroquine + proguanil), et à ralentir l’émergence de résistances (probabilité d’une double mutation de résistance spontanée : ~10⁻¹², soit négligeable à l’échelle d’un patient). Néanmoins, la dissémination mondiale des résistances à la chloroquine (PfCRT K76T) et au cycloguanil (PfDHFR S108N + N51I + C59R + I164L) a réduit l’efficacité de l’association à proximité de zéro dans la plupart des zones d’endémie, justifiant son retrait.</w:t>
      </w:r>
    </w:p>
    <w:p>
      <w:pPr>
        <w:pStyle w:val="Compact"/>
        <w:numPr>
          <w:ilvl w:val="0"/>
          <w:numId w:val="1315"/>
        </w:numPr>
      </w:pPr>
      <w:r>
        <w:t xml:space="preserve">Spectre :</w:t>
      </w:r>
      <w:r>
        <w:t xml:space="preserve"> </w:t>
      </w:r>
      <w:r>
        <w:rPr>
          <w:i/>
          <w:iCs/>
        </w:rPr>
        <w:t xml:space="preserve">P. falciparum</w:t>
      </w:r>
      <w:r>
        <w:t xml:space="preserve"> </w:t>
      </w:r>
      <w:r>
        <w:t xml:space="preserve">(chloroquino-sensible + résistance modérée),</w:t>
      </w:r>
      <w:r>
        <w:t xml:space="preserve"> </w:t>
      </w:r>
      <w:r>
        <w:rPr>
          <w:i/>
          <w:iCs/>
        </w:rPr>
        <w:t xml:space="preserve">P. vivax</w:t>
      </w:r>
      <w:r>
        <w:t xml:space="preserve">,</w:t>
      </w:r>
      <w:r>
        <w:t xml:space="preserve"> </w:t>
      </w:r>
      <w:r>
        <w:rPr>
          <w:i/>
          <w:iCs/>
        </w:rPr>
        <w:t xml:space="preserve">P. ovale</w:t>
      </w:r>
      <w:r>
        <w:t xml:space="preserve">,</w:t>
      </w:r>
      <w:r>
        <w:t xml:space="preserve"> </w:t>
      </w:r>
      <w:r>
        <w:rPr>
          <w:i/>
          <w:iCs/>
        </w:rPr>
        <w:t xml:space="preserve">P. malariae</w:t>
      </w:r>
      <w:r>
        <w:t xml:space="preserve">,</w:t>
      </w:r>
      <w:r>
        <w:t xml:space="preserve"> </w:t>
      </w:r>
      <w:r>
        <w:rPr>
          <w:i/>
          <w:iCs/>
        </w:rPr>
        <w:t xml:space="preserve">P. knowlesi</w:t>
      </w:r>
      <w:r>
        <w:t xml:space="preserve">. Action prophylactique causale (proguanil) + suppressive (chloroquine).</w:t>
      </w:r>
    </w:p>
    <w:p>
      <w:pPr>
        <w:pStyle w:val="FirstParagraph"/>
      </w:pPr>
      <w:r>
        <w:rPr>
          <w:b/>
          <w:bCs/>
        </w:rPr>
        <w:t xml:space="preserve">Profil Pharmacologique :</w:t>
      </w:r>
    </w:p>
    <w:p>
      <w:pPr>
        <w:pStyle w:val="Compact"/>
        <w:numPr>
          <w:ilvl w:val="0"/>
          <w:numId w:val="1317"/>
        </w:numPr>
      </w:pPr>
      <w:r>
        <w:t xml:space="preserve">Indications (historiques) :</w:t>
      </w:r>
    </w:p>
    <w:p>
      <w:pPr>
        <w:pStyle w:val="Compact"/>
        <w:numPr>
          <w:ilvl w:val="1"/>
          <w:numId w:val="1318"/>
        </w:numPr>
      </w:pPr>
      <w:r>
        <w:rPr>
          <w:i/>
          <w:iCs/>
        </w:rPr>
        <w:t xml:space="preserve">Prophylaxie du paludisme</w:t>
      </w:r>
      <w:r>
        <w:t xml:space="preserve"> </w:t>
      </w:r>
      <w:r>
        <w:t xml:space="preserve">dans les zones à chloroquino-résistance modérée (Afrique subsaharienne dans les années 1980-1990, avant la généralisation de la résistance à la chloroquine).</w:t>
      </w:r>
    </w:p>
    <w:p>
      <w:pPr>
        <w:pStyle w:val="Compact"/>
        <w:numPr>
          <w:ilvl w:val="1"/>
          <w:numId w:val="1318"/>
        </w:numPr>
      </w:pPr>
      <w:r>
        <w:t xml:space="preserve">Aujourd’hui obsolète en raison des résistances étendues.</w:t>
      </w:r>
    </w:p>
    <w:p>
      <w:pPr>
        <w:pStyle w:val="Compact"/>
        <w:numPr>
          <w:ilvl w:val="0"/>
          <w:numId w:val="1317"/>
        </w:numPr>
      </w:pPr>
      <w:r>
        <w:t xml:space="preserve">Contre-indications :</w:t>
      </w:r>
    </w:p>
    <w:p>
      <w:pPr>
        <w:pStyle w:val="Compact"/>
        <w:numPr>
          <w:ilvl w:val="1"/>
          <w:numId w:val="1319"/>
        </w:numPr>
      </w:pPr>
      <w:r>
        <w:t xml:space="preserve">Cumul des CI de la chloroquine et du proguanil (cf. fiches dédiées).</w:t>
      </w:r>
    </w:p>
    <w:p>
      <w:pPr>
        <w:pStyle w:val="Compact"/>
        <w:numPr>
          <w:ilvl w:val="1"/>
          <w:numId w:val="1319"/>
        </w:numPr>
      </w:pPr>
      <w:r>
        <w:t xml:space="preserve">Rétinopathie préexistante (chloroquine).</w:t>
      </w:r>
    </w:p>
    <w:p>
      <w:pPr>
        <w:pStyle w:val="Compact"/>
        <w:numPr>
          <w:ilvl w:val="1"/>
          <w:numId w:val="1319"/>
        </w:numPr>
      </w:pPr>
      <w:r>
        <w:t xml:space="preserve">Psoriasis (chloroquine).</w:t>
      </w:r>
    </w:p>
    <w:p>
      <w:pPr>
        <w:pStyle w:val="Compact"/>
        <w:numPr>
          <w:ilvl w:val="1"/>
          <w:numId w:val="1319"/>
        </w:numPr>
      </w:pPr>
      <w:r>
        <w:t xml:space="preserve">Déficit en G6PD (chloroquine).</w:t>
      </w:r>
    </w:p>
    <w:p>
      <w:pPr>
        <w:pStyle w:val="Compact"/>
        <w:numPr>
          <w:ilvl w:val="1"/>
          <w:numId w:val="1319"/>
        </w:numPr>
      </w:pPr>
      <w:r>
        <w:t xml:space="preserve">Myasthénie (chloroquine).</w:t>
      </w:r>
    </w:p>
    <w:p>
      <w:pPr>
        <w:pStyle w:val="Compact"/>
        <w:numPr>
          <w:ilvl w:val="1"/>
          <w:numId w:val="1319"/>
        </w:numPr>
      </w:pPr>
      <w:r>
        <w:t xml:space="preserve">Insuffisance rénale sévère (proguanil).</w:t>
      </w:r>
    </w:p>
    <w:p>
      <w:pPr>
        <w:pStyle w:val="Compact"/>
        <w:numPr>
          <w:ilvl w:val="1"/>
          <w:numId w:val="1319"/>
        </w:numPr>
      </w:pPr>
      <w:r>
        <w:t xml:space="preserve">Allaitement (chloroquine à forte dose).</w:t>
      </w:r>
    </w:p>
    <w:p>
      <w:pPr>
        <w:pStyle w:val="Compact"/>
        <w:numPr>
          <w:ilvl w:val="1"/>
          <w:numId w:val="1319"/>
        </w:numPr>
      </w:pPr>
      <w:r>
        <w:t xml:space="preserve">Hypersensibilité à l’un des composants.</w:t>
      </w:r>
    </w:p>
    <w:p>
      <w:pPr>
        <w:pStyle w:val="Compact"/>
        <w:numPr>
          <w:ilvl w:val="0"/>
          <w:numId w:val="1317"/>
        </w:numPr>
      </w:pPr>
      <w:r>
        <w:t xml:space="preserve">Effets Indésirables : cumul des EI de la chloroquine (cf. fiche chloroquine — prurit, troubles digestifs, troubles visuels, allongement QT, pigmentation cutanée, neuromyopathie) et du proguanil (troubles digestifs, anémie mégaloblastique si insuffisance rénale, rash). L’association ne majore pas significativement la toxicité par rapport aux composés isolés.</w:t>
      </w:r>
    </w:p>
    <w:p>
      <w:pPr>
        <w:pStyle w:val="FirstParagraph"/>
      </w:pPr>
      <w:r>
        <w:rPr>
          <w:b/>
          <w:bCs/>
        </w:rPr>
        <w:t xml:space="preserve">Prévention et Gestion des Effets Indésirables :</w:t>
      </w:r>
    </w:p>
    <w:p>
      <w:pPr>
        <w:pStyle w:val="Compact"/>
        <w:numPr>
          <w:ilvl w:val="0"/>
          <w:numId w:val="1320"/>
        </w:numPr>
      </w:pPr>
      <w:r>
        <w:t xml:space="preserve">Mesures Préventives :</w:t>
      </w:r>
    </w:p>
    <w:p>
      <w:pPr>
        <w:pStyle w:val="Compact"/>
        <w:numPr>
          <w:ilvl w:val="1"/>
          <w:numId w:val="1321"/>
        </w:numPr>
      </w:pPr>
      <w:r>
        <w:t xml:space="preserve">Examen ophtalmologique initial et annuel (chloroquine).</w:t>
      </w:r>
    </w:p>
    <w:p>
      <w:pPr>
        <w:pStyle w:val="Compact"/>
        <w:numPr>
          <w:ilvl w:val="1"/>
          <w:numId w:val="1321"/>
        </w:numPr>
      </w:pPr>
      <w:r>
        <w:t xml:space="preserve">Bilan rénal (créatinine, clairance) — adaptation si insuffisance rénale (proguanil).</w:t>
      </w:r>
    </w:p>
    <w:p>
      <w:pPr>
        <w:pStyle w:val="Compact"/>
        <w:numPr>
          <w:ilvl w:val="1"/>
          <w:numId w:val="1321"/>
        </w:numPr>
      </w:pPr>
      <w:r>
        <w:t xml:space="preserve">ECG si terrain à risque (chloroquine allonge le QT).</w:t>
      </w:r>
    </w:p>
    <w:p>
      <w:pPr>
        <w:pStyle w:val="Compact"/>
        <w:numPr>
          <w:ilvl w:val="1"/>
          <w:numId w:val="1321"/>
        </w:numPr>
      </w:pPr>
      <w:r>
        <w:t xml:space="preserve">NFS en début de traitement et tous les 3 mois (anémie mégaloblastique du proguanil).</w:t>
      </w:r>
    </w:p>
    <w:p>
      <w:pPr>
        <w:pStyle w:val="Compact"/>
        <w:numPr>
          <w:ilvl w:val="1"/>
          <w:numId w:val="1321"/>
        </w:numPr>
      </w:pPr>
      <w:r>
        <w:t xml:space="preserve">G6PD avant traitement.</w:t>
      </w:r>
    </w:p>
    <w:p>
      <w:pPr>
        <w:pStyle w:val="Compact"/>
        <w:numPr>
          <w:ilvl w:val="1"/>
          <w:numId w:val="1321"/>
        </w:numPr>
      </w:pPr>
      <w:r>
        <w:t xml:space="preserve">Information du patient sur la nécessité de poursuivre 4 semaines après le retour.</w:t>
      </w:r>
    </w:p>
    <w:p>
      <w:pPr>
        <w:pStyle w:val="Compact"/>
        <w:numPr>
          <w:ilvl w:val="0"/>
          <w:numId w:val="1320"/>
        </w:numPr>
      </w:pPr>
      <w:r>
        <w:t xml:space="preserve">Conduite à Tenir :</w:t>
      </w:r>
    </w:p>
    <w:p>
      <w:pPr>
        <w:pStyle w:val="Compact"/>
        <w:numPr>
          <w:ilvl w:val="1"/>
          <w:numId w:val="1322"/>
        </w:numPr>
      </w:pPr>
      <w:r>
        <w:t xml:space="preserve">Arrêt en cas de trouble visuel, d’allongement QT, de rash sévère.</w:t>
      </w:r>
    </w:p>
    <w:p>
      <w:pPr>
        <w:pStyle w:val="Compact"/>
        <w:numPr>
          <w:ilvl w:val="1"/>
          <w:numId w:val="1322"/>
        </w:numPr>
      </w:pPr>
      <w:r>
        <w:t xml:space="preserve">Surveillance INR si anticoagulation orale (proguanil).</w:t>
      </w:r>
    </w:p>
    <w:p>
      <w:pPr>
        <w:pStyle w:val="Compact"/>
        <w:numPr>
          <w:ilvl w:val="1"/>
          <w:numId w:val="1322"/>
        </w:numPr>
      </w:pPr>
      <w:r>
        <w:t xml:space="preserve">Supplémentation folique si traitement prolongé et grossesse ou insuffisance rénale.</w:t>
      </w:r>
    </w:p>
    <w:p>
      <w:pPr>
        <w:pStyle w:val="FirstParagraph"/>
      </w:pPr>
      <w:r>
        <w:rPr>
          <w:b/>
          <w:bCs/>
        </w:rPr>
        <w:t xml:space="preserve">Interactions Importantes :</w:t>
      </w:r>
    </w:p>
    <w:p>
      <w:pPr>
        <w:pStyle w:val="Compact"/>
        <w:numPr>
          <w:ilvl w:val="0"/>
          <w:numId w:val="1323"/>
        </w:numPr>
      </w:pPr>
      <w:r>
        <w:t xml:space="preserve">Cumul des interactions de la chloroquine et du proguanil (cf. fiches dédiées) :</w:t>
      </w:r>
    </w:p>
    <w:p>
      <w:pPr>
        <w:pStyle w:val="Compact"/>
        <w:numPr>
          <w:ilvl w:val="1"/>
          <w:numId w:val="1324"/>
        </w:numPr>
      </w:pPr>
    </w:p>
    <w:p>
      <w:pPr>
        <w:pStyle w:val="Compact"/>
        <w:numPr>
          <w:ilvl w:val="2"/>
          <w:numId w:val="1325"/>
        </w:numPr>
      </w:pPr>
      <w:r>
        <w:t xml:space="preserve">antiacides (espacer 4 h — chloroquine).</w:t>
      </w:r>
    </w:p>
    <w:p>
      <w:pPr>
        <w:pStyle w:val="Compact"/>
        <w:numPr>
          <w:ilvl w:val="1"/>
          <w:numId w:val="1324"/>
        </w:numPr>
      </w:pPr>
    </w:p>
    <w:p>
      <w:pPr>
        <w:pStyle w:val="Compact"/>
        <w:numPr>
          <w:ilvl w:val="2"/>
          <w:numId w:val="1326"/>
        </w:numPr>
      </w:pPr>
      <w:r>
        <w:t xml:space="preserve">amiodarone, macrolides, fluoroquinolones (QT additif — chloroquine).</w:t>
      </w:r>
    </w:p>
    <w:p>
      <w:pPr>
        <w:pStyle w:val="Compact"/>
        <w:numPr>
          <w:ilvl w:val="1"/>
          <w:numId w:val="1324"/>
        </w:numPr>
      </w:pPr>
    </w:p>
    <w:p>
      <w:pPr>
        <w:pStyle w:val="Compact"/>
        <w:numPr>
          <w:ilvl w:val="2"/>
          <w:numId w:val="1327"/>
        </w:numPr>
      </w:pPr>
      <w:r>
        <w:t xml:space="preserve">warfarine (INR — proguanil).</w:t>
      </w:r>
    </w:p>
    <w:p>
      <w:pPr>
        <w:pStyle w:val="Compact"/>
        <w:numPr>
          <w:ilvl w:val="1"/>
          <w:numId w:val="1324"/>
        </w:numPr>
      </w:pPr>
    </w:p>
    <w:p>
      <w:pPr>
        <w:pStyle w:val="Compact"/>
        <w:numPr>
          <w:ilvl w:val="2"/>
          <w:numId w:val="1328"/>
        </w:numPr>
      </w:pPr>
      <w:r>
        <w:t xml:space="preserve">digoxine (chloroquine).</w:t>
      </w:r>
    </w:p>
    <w:p>
      <w:pPr>
        <w:pStyle w:val="Compact"/>
        <w:numPr>
          <w:ilvl w:val="1"/>
          <w:numId w:val="1324"/>
        </w:numPr>
      </w:pPr>
    </w:p>
    <w:p>
      <w:pPr>
        <w:pStyle w:val="Compact"/>
        <w:numPr>
          <w:ilvl w:val="2"/>
          <w:numId w:val="1329"/>
        </w:numPr>
      </w:pPr>
      <w:r>
        <w:t xml:space="preserve">vaccin antityphoïdique oral (proguanil).</w:t>
      </w:r>
    </w:p>
    <w:p>
      <w:pPr>
        <w:pStyle w:val="Compact"/>
        <w:numPr>
          <w:ilvl w:val="1"/>
          <w:numId w:val="1324"/>
        </w:numPr>
      </w:pPr>
    </w:p>
    <w:p>
      <w:pPr>
        <w:pStyle w:val="Compact"/>
        <w:numPr>
          <w:ilvl w:val="2"/>
          <w:numId w:val="1330"/>
        </w:numPr>
      </w:pPr>
      <w:r>
        <w:t xml:space="preserve">cimétidine (chloroquine + proguanil).</w:t>
      </w:r>
    </w:p>
    <w:p>
      <w:pPr>
        <w:pStyle w:val="FirstParagraph"/>
      </w:pPr>
      <w:r>
        <w:rPr>
          <w:b/>
          <w:bCs/>
        </w:rPr>
        <w:t xml:space="preserve">Grossesse et Allaitement :</w:t>
      </w:r>
    </w:p>
    <w:p>
      <w:pPr>
        <w:pStyle w:val="Compact"/>
        <w:numPr>
          <w:ilvl w:val="0"/>
          <w:numId w:val="1331"/>
        </w:numPr>
      </w:pPr>
      <w:r>
        <w:t xml:space="preserve">Grossesse :</w:t>
      </w:r>
      <w:r>
        <w:t xml:space="preserve"> </w:t>
      </w:r>
      <w:r>
        <w:rPr>
          <w:b/>
          <w:bCs/>
        </w:rPr>
        <w:t xml:space="preserve">Compatible</w:t>
      </w:r>
      <w:r>
        <w:t xml:space="preserve"> </w:t>
      </w:r>
      <w:r>
        <w:t xml:space="preserve">à tous les trimestres (cumul des compatibilités de la chloroquine et du proguanil selon le CRAT et l’OMS). La prophylaxie par chloroquine + proguanil a longtemps été l’option de référence pour la femme enceinte voyageant en zone d’endémie chloroquino-sensible. Supplémentation en acide folique (5 mg/jour) recommandée.</w:t>
      </w:r>
    </w:p>
    <w:p>
      <w:pPr>
        <w:pStyle w:val="Compact"/>
        <w:numPr>
          <w:ilvl w:val="0"/>
          <w:numId w:val="1331"/>
        </w:numPr>
      </w:pPr>
      <w:r>
        <w:t xml:space="preserve">Allaitement :</w:t>
      </w:r>
      <w:r>
        <w:t xml:space="preserve"> </w:t>
      </w:r>
      <w:r>
        <w:rPr>
          <w:b/>
          <w:bCs/>
        </w:rPr>
        <w:t xml:space="preserve">Compatible</w:t>
      </w:r>
      <w:r>
        <w:t xml:space="preserve"> </w:t>
      </w:r>
      <w:r>
        <w:t xml:space="preserve">aux doses prophylactiques (cumul des compatibilités). Éviter en cas de traitement prolongé à forte dose (chloroquine).</w:t>
      </w:r>
    </w:p>
    <w:p>
      <w:pPr>
        <w:pStyle w:val="Compact"/>
        <w:numPr>
          <w:ilvl w:val="0"/>
          <w:numId w:val="1331"/>
        </w:numPr>
      </w:pPr>
      <w:r>
        <w:t xml:space="preserve">Précisions : en cas de grossesse lupique, préférer l’hydroxychloroquine seule (cf. fiche hydroxychloroquine).</w:t>
      </w:r>
    </w:p>
    <w:p>
      <w:pPr>
        <w:pStyle w:val="FirstParagraph"/>
      </w:pPr>
      <w:r>
        <w:rPr>
          <w:b/>
          <w:bCs/>
        </w:rPr>
        <w:t xml:space="preserve">Posologie et Mode d’administration (Standard) :</w:t>
      </w:r>
    </w:p>
    <w:p>
      <w:pPr>
        <w:numPr>
          <w:ilvl w:val="0"/>
          <w:numId w:val="1332"/>
        </w:numPr>
      </w:pPr>
      <w:r>
        <w:t xml:space="preserve">Adulte :</w:t>
      </w:r>
    </w:p>
    <w:p>
      <w:pPr>
        <w:pStyle w:val="Compact"/>
        <w:numPr>
          <w:ilvl w:val="1"/>
          <w:numId w:val="1333"/>
        </w:numPr>
      </w:pPr>
      <w:r>
        <w:rPr>
          <w:i/>
          <w:iCs/>
        </w:rPr>
        <w:t xml:space="preserve">Prophylaxie</w:t>
      </w:r>
      <w:r>
        <w:t xml:space="preserve"> </w:t>
      </w:r>
      <w:r>
        <w:t xml:space="preserve">:</w:t>
      </w:r>
      <w:r>
        <w:t xml:space="preserve"> </w:t>
      </w:r>
      <w:r>
        <w:rPr>
          <w:b/>
          <w:bCs/>
        </w:rPr>
        <w:t xml:space="preserve">1 comprimé de Savarine par jour</w:t>
      </w:r>
      <w:r>
        <w:t xml:space="preserve"> </w:t>
      </w:r>
      <w:r>
        <w:t xml:space="preserve">(= chloroquine 100 mg base + proguanil 200 mg), à commencer 1 semaine avant le départ, pendant le séjour, et</w:t>
      </w:r>
      <w:r>
        <w:t xml:space="preserve"> </w:t>
      </w:r>
      <w:r>
        <w:rPr>
          <w:b/>
          <w:bCs/>
        </w:rPr>
        <w:t xml:space="preserve">4 semaines après le retour</w:t>
      </w:r>
      <w:r>
        <w:t xml:space="preserve">. La chloroquine étant dosée à 100 mg base par comprimé, la dose hebdomadaire totale de chloroquine est de 700 mg (= 7 comprimés) — équivalent à la dose prophylactique de 100 mg/jour * 7 = 700 mg/week, en conformité avec les recommandations. Le proguanil est dosé à 200 mg/jour, conforme à la prophylaxie standard.</w:t>
      </w:r>
    </w:p>
    <w:p>
      <w:pPr>
        <w:pStyle w:val="Compact"/>
        <w:numPr>
          <w:ilvl w:val="1"/>
          <w:numId w:val="1333"/>
        </w:numPr>
      </w:pPr>
      <w:r>
        <w:t xml:space="preserve">Pour adapter la dose aux enfants, l’association fixe n’est pas adaptée (préférer co-prescription chloroquine + proguanil séparés).</w:t>
      </w:r>
    </w:p>
    <w:p>
      <w:pPr>
        <w:numPr>
          <w:ilvl w:val="0"/>
          <w:numId w:val="1332"/>
        </w:numPr>
      </w:pPr>
      <w:r>
        <w:t xml:space="preserve">Enfant :</w:t>
      </w:r>
    </w:p>
    <w:p>
      <w:pPr>
        <w:pStyle w:val="Compact"/>
        <w:numPr>
          <w:ilvl w:val="1"/>
          <w:numId w:val="1334"/>
        </w:numPr>
      </w:pPr>
      <w:r>
        <w:rPr>
          <w:i/>
          <w:iCs/>
        </w:rPr>
        <w:t xml:space="preserve">Prophylaxie</w:t>
      </w:r>
      <w:r>
        <w:t xml:space="preserve"> </w:t>
      </w:r>
      <w:r>
        <w:t xml:space="preserve">(co-prescription séparée) :</w:t>
      </w:r>
    </w:p>
    <w:p>
      <w:pPr>
        <w:pStyle w:val="Compact"/>
        <w:numPr>
          <w:ilvl w:val="2"/>
          <w:numId w:val="1335"/>
        </w:numPr>
      </w:pPr>
      <w:r>
        <w:t xml:space="preserve">Chloroquine : 5 mg/kg base/semaine.</w:t>
      </w:r>
    </w:p>
    <w:p>
      <w:pPr>
        <w:pStyle w:val="Compact"/>
        <w:numPr>
          <w:ilvl w:val="2"/>
          <w:numId w:val="1335"/>
        </w:numPr>
      </w:pPr>
      <w:r>
        <w:t xml:space="preserve">Proguanil : 3 mg/kg/jour (max 200 mg/jour).</w:t>
      </w:r>
    </w:p>
    <w:p>
      <w:pPr>
        <w:numPr>
          <w:ilvl w:val="0"/>
          <w:numId w:val="1332"/>
        </w:numPr>
      </w:pPr>
      <w:r>
        <w:t xml:space="preserve">Adaptation rénale : réduire la dose de proguanil si ClCr &lt; 30 mL/min (cf. fiche proguanil).</w:t>
      </w:r>
    </w:p>
    <w:p>
      <w:pPr>
        <w:numPr>
          <w:ilvl w:val="0"/>
          <w:numId w:val="1332"/>
        </w:numPr>
      </w:pPr>
      <w:r>
        <w:t xml:space="preserve">Durée : 4 semaines après le retour.</w:t>
      </w:r>
    </w:p>
    <w:p>
      <w:pPr>
        <w:numPr>
          <w:ilvl w:val="0"/>
          <w:numId w:val="1332"/>
        </w:numPr>
      </w:pPr>
      <w:r>
        <w:t xml:space="preserve">Moment de prise : au cours d’un repas, à heure fixe quotidienne.</w:t>
      </w:r>
    </w:p>
    <w:p>
      <w:pPr>
        <w:pStyle w:val="FirstParagraph"/>
      </w:pPr>
      <w:r>
        <w:rPr>
          <w:b/>
          <w:bCs/>
        </w:rPr>
        <w:t xml:space="preserve">Arbitrage et Bénéfices des Formes Galéniques :</w:t>
      </w:r>
    </w:p>
    <w:p>
      <w:pPr>
        <w:pStyle w:val="Compact"/>
        <w:numPr>
          <w:ilvl w:val="0"/>
          <w:numId w:val="1336"/>
        </w:numPr>
      </w:pPr>
      <w:r>
        <w:rPr>
          <w:b/>
          <w:bCs/>
        </w:rPr>
        <w:t xml:space="preserve">Comprimé pelliculé 100 mg/200 mg (Savarine, retiré)</w:t>
      </w:r>
      <w:r>
        <w:t xml:space="preserve"> </w:t>
      </w:r>
      <w:r>
        <w:t xml:space="preserve">: association fixe simplifiant l’observance (1 cp/jour au lieu de 2 prises). Le conditionnement de 28 comprimés correspond à 4 semaines de prophylaxie, soit un mois de traitement — adaptation à la durée classique de voyage.</w:t>
      </w:r>
    </w:p>
    <w:p>
      <w:pPr>
        <w:pStyle w:val="Compact"/>
        <w:numPr>
          <w:ilvl w:val="0"/>
          <w:numId w:val="1336"/>
        </w:numPr>
      </w:pPr>
      <w:r>
        <w:t xml:space="preserve">L’association fixe ne permet pas l’adaptation pondérale pédiatrique (co-prescription séparée à privilégier chez l’enfant).</w:t>
      </w:r>
    </w:p>
    <w:p>
      <w:pPr>
        <w:pStyle w:val="Compact"/>
        <w:numPr>
          <w:ilvl w:val="0"/>
          <w:numId w:val="1336"/>
        </w:numPr>
      </w:pPr>
      <w:r>
        <w:t xml:space="preserve">Arbitrage Savarine vs chloroquine seule : la Savarine apportait une couverture additionnelle par le proguanil dans les zones de résistance modérée — aujourd’hui, dans les zones chloroquino-sensibles, la chloroquine seule suffit ; dans les zones multirésistantes, l’atovaquone + proguanil (Malarone) est préférée.</w:t>
      </w:r>
    </w:p>
    <w:p>
      <w:pPr>
        <w:pStyle w:val="FirstParagraph"/>
      </w:pPr>
      <w:r>
        <w:rPr>
          <w:b/>
          <w:bCs/>
        </w:rPr>
        <w:t xml:space="preserve">Instructions et Conseils au Patient :</w:t>
      </w:r>
    </w:p>
    <w:p>
      <w:pPr>
        <w:pStyle w:val="Compact"/>
        <w:numPr>
          <w:ilvl w:val="0"/>
          <w:numId w:val="1337"/>
        </w:numPr>
      </w:pPr>
      <w:r>
        <w:t xml:space="preserve">Communication au comptoir (contexte historique) :</w:t>
      </w:r>
    </w:p>
    <w:p>
      <w:pPr>
        <w:pStyle w:val="Compact"/>
        <w:numPr>
          <w:ilvl w:val="1"/>
          <w:numId w:val="1338"/>
        </w:numPr>
      </w:pPr>
      <w:r>
        <w:rPr>
          <w:i/>
          <w:iCs/>
        </w:rPr>
        <w:t xml:space="preserve">Information sur l’indisponibilité</w:t>
      </w:r>
      <w:r>
        <w:t xml:space="preserve"> </w:t>
      </w:r>
      <w:r>
        <w:t xml:space="preserve">: « La Savarine n’est plus disponible en Algérie. Pour votre prophylaxie antipalustre, votre médecin vous prescrira soit de la chloroquine seule (si votre destination est dans une zone chloroquino-sensible — Haïti, République dominicaine, Amérique centrale nord), soit de la doxycycline (si zone multirésistante — Afrique subsaharienne, Asie du Sud-Est), soit vous orientera vers l’importation de Malarone (atovaquone + proguanil). »</w:t>
      </w:r>
    </w:p>
    <w:p>
      <w:pPr>
        <w:pStyle w:val="Compact"/>
        <w:numPr>
          <w:ilvl w:val="1"/>
          <w:numId w:val="1338"/>
        </w:numPr>
      </w:pPr>
      <w:r>
        <w:rPr>
          <w:i/>
          <w:iCs/>
        </w:rPr>
        <w:t xml:space="preserve">Conseils généraux prophylaxie</w:t>
      </w:r>
      <w:r>
        <w:t xml:space="preserve"> </w:t>
      </w:r>
      <w:r>
        <w:t xml:space="preserve">: « Aucune prophylaxie n’est efficace à 100 %. Complétez par des mesures anti-moustiques : moustiquaire imprégnée de pyréthrinoïdes, répulsif cutané (DEET 20-50 %, IR3535), vêtements longs et clairs, especially au crépuscule et à l’aube. Fièvre dans les 3 mois après le retour = consulter en urgence. »</w:t>
      </w:r>
    </w:p>
    <w:p>
      <w:pPr>
        <w:pStyle w:val="Compact"/>
        <w:numPr>
          <w:ilvl w:val="0"/>
          <w:numId w:val="1337"/>
        </w:numPr>
      </w:pPr>
      <w:r>
        <w:t xml:space="preserve">Mode d’utilisation pratique :</w:t>
      </w:r>
    </w:p>
    <w:p>
      <w:pPr>
        <w:pStyle w:val="Compact"/>
        <w:numPr>
          <w:ilvl w:val="1"/>
          <w:numId w:val="1339"/>
        </w:numPr>
      </w:pPr>
      <w:r>
        <w:t xml:space="preserve">1 comprimé par jour à heure fixe au repas.</w:t>
      </w:r>
    </w:p>
    <w:p>
      <w:pPr>
        <w:pStyle w:val="Compact"/>
        <w:numPr>
          <w:ilvl w:val="1"/>
          <w:numId w:val="1339"/>
        </w:numPr>
      </w:pPr>
      <w:r>
        <w:t xml:space="preserve">Débuter 1 semaine avant le départ, poursuivre 4 semaines après le retour.</w:t>
      </w:r>
    </w:p>
    <w:p>
      <w:pPr>
        <w:pStyle w:val="Compact"/>
        <w:numPr>
          <w:ilvl w:val="1"/>
          <w:numId w:val="1339"/>
        </w:numPr>
      </w:pPr>
      <w:r>
        <w:t xml:space="preserve">En cas d’oubli &lt; 12 h : prendre dès que possible.</w:t>
      </w:r>
    </w:p>
    <w:p>
      <w:pPr>
        <w:pStyle w:val="FirstParagraph"/>
      </w:pPr>
      <w:r>
        <w:rPr>
          <w:b/>
          <w:bCs/>
        </w:rPr>
        <w:t xml:space="preserve">Notes, Règles d’Or &amp; Pièges au Comptoir :</w:t>
      </w:r>
    </w:p>
    <w:p>
      <w:pPr>
        <w:pStyle w:val="Compact"/>
        <w:numPr>
          <w:ilvl w:val="0"/>
          <w:numId w:val="1340"/>
        </w:numPr>
      </w:pPr>
      <w:r>
        <w:rPr>
          <w:b/>
          <w:bCs/>
        </w:rPr>
        <w:t xml:space="preserve">Piège classique n°1 — Savarine pour zone multirésistante</w:t>
      </w:r>
      <w:r>
        <w:t xml:space="preserve"> </w:t>
      </w:r>
      <w:r>
        <w:t xml:space="preserve">: l’association proguanil + chloroquine n’est pas efficace dans les zones de résistance élevée à la chloroquine (Afrique subsaharienne, Asie du Sud-Est, Amazonie) — d’où son retrait du marché. En Algérie, le pharmacien doit orienter vers la doxycycline ou l’importation de Malarone.</w:t>
      </w:r>
    </w:p>
    <w:p>
      <w:pPr>
        <w:pStyle w:val="Compact"/>
        <w:numPr>
          <w:ilvl w:val="0"/>
          <w:numId w:val="1340"/>
        </w:numPr>
      </w:pPr>
      <w:r>
        <w:rPr>
          <w:b/>
          <w:bCs/>
        </w:rPr>
        <w:t xml:space="preserve">Piège n°2 — oubli de relais après retour</w:t>
      </w:r>
      <w:r>
        <w:t xml:space="preserve"> </w:t>
      </w:r>
      <w:r>
        <w:t xml:space="preserve">: poursuivre 4 semaines après le retour.</w:t>
      </w:r>
    </w:p>
    <w:p>
      <w:pPr>
        <w:pStyle w:val="Compact"/>
        <w:numPr>
          <w:ilvl w:val="0"/>
          <w:numId w:val="1340"/>
        </w:numPr>
      </w:pPr>
      <w:r>
        <w:rPr>
          <w:b/>
          <w:bCs/>
        </w:rPr>
        <w:t xml:space="preserve">Piège n°3 — enfant et association fixe</w:t>
      </w:r>
      <w:r>
        <w:t xml:space="preserve"> </w:t>
      </w:r>
      <w:r>
        <w:t xml:space="preserve">: ne pas utiliser l’association fixe chez l’enfant (impossibilité d’adaptation pondérale) — préférer co-prescription séparée chloroquine + proguanil.</w:t>
      </w:r>
    </w:p>
    <w:p>
      <w:pPr>
        <w:pStyle w:val="Compact"/>
        <w:numPr>
          <w:ilvl w:val="0"/>
          <w:numId w:val="1340"/>
        </w:numPr>
      </w:pPr>
      <w:r>
        <w:t xml:space="preserve">Règle de prise : 1 cp/jour au repas, 1 semaine avant le départ, jusqu’à 4 semaines après le retour.</w:t>
      </w:r>
    </w:p>
    <w:p>
      <w:pPr>
        <w:pStyle w:val="Compact"/>
        <w:numPr>
          <w:ilvl w:val="0"/>
          <w:numId w:val="1340"/>
        </w:numPr>
      </w:pPr>
      <w:r>
        <w:t xml:space="preserve">Préparation et Conservation : comprimés à conserver à température &lt; 25 °C, à l’abri de la lumière et de l’humidité.</w:t>
      </w:r>
    </w:p>
    <w:p>
      <w:pPr>
        <w:pStyle w:val="Compact"/>
        <w:numPr>
          <w:ilvl w:val="0"/>
          <w:numId w:val="1340"/>
        </w:numPr>
      </w:pPr>
      <w:r>
        <w:t xml:space="preserve">Piège du surdosage / Substitution : en cas de surdosage, prise en charge de la toxicité de la chloroquine (cf. fiche chloroquine — diazépam, adrénaline, bicarbonate).</w:t>
      </w:r>
    </w:p>
    <w:p>
      <w:r>
        <w:pict>
          <v:rect style="width:0;height:1.5pt" o:hralign="center" o:hrstd="t" o:hr="t"/>
        </w:pict>
      </w:r>
    </w:p>
    <w:bookmarkEnd w:id="121"/>
    <w:bookmarkEnd w:id="122"/>
    <w:bookmarkStart w:id="123" w:name="X0189577ad17a5e0759d77b6eb08461ab6d90162"/>
    <w:p>
      <w:pPr>
        <w:pStyle w:val="Heading2"/>
      </w:pPr>
      <w:r>
        <w:t xml:space="preserve">TABLEAU COMPARATIF DES 5 DCI ANTIPALUDIQUES DISPONIBLES EN ALGÉRIE</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DCI</w:t>
            </w:r>
          </w:p>
        </w:tc>
        <w:tc>
          <w:tcPr/>
          <w:p>
            <w:pPr>
              <w:pStyle w:val="Compact"/>
              <w:jc w:val="left"/>
            </w:pPr>
            <w:r>
              <w:t xml:space="preserve">Sous-classe</w:t>
            </w:r>
          </w:p>
        </w:tc>
        <w:tc>
          <w:tcPr/>
          <w:p>
            <w:pPr>
              <w:pStyle w:val="Compact"/>
              <w:jc w:val="left"/>
            </w:pPr>
            <w:r>
              <w:t xml:space="preserve">Spectre Plasmodium</w:t>
            </w:r>
          </w:p>
        </w:tc>
        <w:tc>
          <w:tcPr/>
          <w:p>
            <w:pPr>
              <w:pStyle w:val="Compact"/>
              <w:jc w:val="left"/>
            </w:pPr>
            <w:r>
              <w:t xml:space="preserve">Demi-vie</w:t>
            </w:r>
          </w:p>
        </w:tc>
        <w:tc>
          <w:tcPr/>
          <w:p>
            <w:pPr>
              <w:pStyle w:val="Compact"/>
              <w:jc w:val="left"/>
            </w:pPr>
            <w:r>
              <w:t xml:space="preserve">Métabolisme</w:t>
            </w:r>
          </w:p>
        </w:tc>
        <w:tc>
          <w:tcPr/>
          <w:p>
            <w:pPr>
              <w:pStyle w:val="Compact"/>
              <w:jc w:val="left"/>
            </w:pPr>
            <w:r>
              <w:t xml:space="preserve">Posologie adulte (paludisme)</w:t>
            </w:r>
          </w:p>
        </w:tc>
        <w:tc>
          <w:tcPr/>
          <w:p>
            <w:pPr>
              <w:pStyle w:val="Compact"/>
              <w:jc w:val="left"/>
            </w:pPr>
            <w:r>
              <w:t xml:space="preserve">EI majeur</w:t>
            </w:r>
          </w:p>
        </w:tc>
        <w:tc>
          <w:tcPr/>
          <w:p>
            <w:pPr>
              <w:pStyle w:val="Compact"/>
              <w:jc w:val="left"/>
            </w:pPr>
            <w:r>
              <w:t xml:space="preserve">Grossesse</w:t>
            </w:r>
          </w:p>
        </w:tc>
        <w:tc>
          <w:tcPr/>
          <w:p>
            <w:pPr>
              <w:pStyle w:val="Compact"/>
              <w:jc w:val="left"/>
            </w:pPr>
            <w:r>
              <w:t xml:space="preserve">Résistance</w:t>
            </w:r>
          </w:p>
        </w:tc>
      </w:tr>
      <w:tr>
        <w:tc>
          <w:tcPr/>
          <w:p>
            <w:pPr>
              <w:pStyle w:val="Compact"/>
              <w:jc w:val="left"/>
            </w:pPr>
            <w:r>
              <w:rPr>
                <w:b/>
                <w:bCs/>
              </w:rPr>
              <w:t xml:space="preserve">Chloroquine</w:t>
            </w:r>
          </w:p>
        </w:tc>
        <w:tc>
          <w:tcPr/>
          <w:p>
            <w:pPr>
              <w:pStyle w:val="Compact"/>
              <w:jc w:val="left"/>
            </w:pPr>
            <w:r>
              <w:t xml:space="preserve">4-aminoquinoléine</w:t>
            </w:r>
          </w:p>
        </w:tc>
        <w:tc>
          <w:tcPr/>
          <w:p>
            <w:pPr>
              <w:pStyle w:val="Compact"/>
              <w:jc w:val="left"/>
            </w:pPr>
            <w:r>
              <w:rPr>
                <w:i/>
                <w:iCs/>
              </w:rPr>
              <w:t xml:space="preserve">P. vivax/ovale/malariae/knowlesi</w:t>
            </w:r>
            <w:r>
              <w:t xml:space="preserve"> </w:t>
            </w:r>
            <w:r>
              <w:t xml:space="preserve">sensible +</w:t>
            </w:r>
            <w:r>
              <w:t xml:space="preserve"> </w:t>
            </w:r>
            <w:r>
              <w:rPr>
                <w:i/>
                <w:iCs/>
              </w:rPr>
              <w:t xml:space="preserve">P. falciparum</w:t>
            </w:r>
            <w:r>
              <w:t xml:space="preserve"> </w:t>
            </w:r>
            <w:r>
              <w:t xml:space="preserve">chloroquino-sensible</w:t>
            </w:r>
          </w:p>
        </w:tc>
        <w:tc>
          <w:tcPr/>
          <w:p>
            <w:pPr>
              <w:pStyle w:val="Compact"/>
              <w:jc w:val="left"/>
            </w:pPr>
            <w:r>
              <w:t xml:space="preserve">1-2 mois (terminale)</w:t>
            </w:r>
          </w:p>
        </w:tc>
        <w:tc>
          <w:tcPr/>
          <w:p>
            <w:pPr>
              <w:pStyle w:val="Compact"/>
              <w:jc w:val="left"/>
            </w:pPr>
            <w:r>
              <w:t xml:space="preserve">Hépatique (CYP 2C8, 3A4) ; 50 % rénal</w:t>
            </w:r>
          </w:p>
        </w:tc>
        <w:tc>
          <w:tcPr/>
          <w:p>
            <w:pPr>
              <w:pStyle w:val="Compact"/>
              <w:jc w:val="left"/>
            </w:pPr>
            <w:r>
              <w:t xml:space="preserve">Curatif : 25 mg/kg base / 3 j (10-10-5). Prophylaxie : 100 mg base/sem</w:t>
            </w:r>
          </w:p>
        </w:tc>
        <w:tc>
          <w:tcPr/>
          <w:p>
            <w:pPr>
              <w:pStyle w:val="Compact"/>
              <w:jc w:val="left"/>
            </w:pPr>
            <w:r>
              <w:t xml:space="preserve">Maculopathie œil-de-bœuf, allongement QT, prurit, neuromyopathie, hypoglycémie</w:t>
            </w:r>
          </w:p>
        </w:tc>
        <w:tc>
          <w:tcPr/>
          <w:p>
            <w:pPr>
              <w:pStyle w:val="Compact"/>
              <w:jc w:val="left"/>
            </w:pPr>
            <w:r>
              <w:t xml:space="preserve">Compatible (choix au paludisme) ; contre-indiquée si rétinopathie préexistante</w:t>
            </w:r>
          </w:p>
        </w:tc>
        <w:tc>
          <w:tcPr/>
          <w:p>
            <w:pPr>
              <w:pStyle w:val="Compact"/>
              <w:jc w:val="left"/>
            </w:pPr>
            <w:r>
              <w:t xml:space="preserve">PfCRT K76T (&gt; 50 % Afrique subsaharienne)</w:t>
            </w:r>
          </w:p>
        </w:tc>
      </w:tr>
      <w:tr>
        <w:tc>
          <w:tcPr/>
          <w:p>
            <w:pPr>
              <w:pStyle w:val="Compact"/>
              <w:jc w:val="left"/>
            </w:pPr>
            <w:r>
              <w:rPr>
                <w:b/>
                <w:bCs/>
              </w:rPr>
              <w:t xml:space="preserve">Hydroxychloroquine</w:t>
            </w:r>
          </w:p>
        </w:tc>
        <w:tc>
          <w:tcPr/>
          <w:p>
            <w:pPr>
              <w:pStyle w:val="Compact"/>
              <w:jc w:val="left"/>
            </w:pPr>
            <w:r>
              <w:t xml:space="preserve">4-aminoquinoléine (dérivé hydroxylé)</w:t>
            </w:r>
          </w:p>
        </w:tc>
        <w:tc>
          <w:tcPr/>
          <w:p>
            <w:pPr>
              <w:pStyle w:val="Compact"/>
              <w:jc w:val="left"/>
            </w:pPr>
            <w:r>
              <w:t xml:space="preserve">Identique chloroquine + autoimmune</w:t>
            </w:r>
          </w:p>
        </w:tc>
        <w:tc>
          <w:tcPr/>
          <w:p>
            <w:pPr>
              <w:pStyle w:val="Compact"/>
              <w:jc w:val="left"/>
            </w:pPr>
            <w:r>
              <w:t xml:space="preserve">1-2 mois</w:t>
            </w:r>
          </w:p>
        </w:tc>
        <w:tc>
          <w:tcPr/>
          <w:p>
            <w:pPr>
              <w:pStyle w:val="Compact"/>
              <w:jc w:val="left"/>
            </w:pPr>
            <w:r>
              <w:t xml:space="preserve">Hépatique (CYP 2D6, 3A4) ; rénal</w:t>
            </w:r>
          </w:p>
        </w:tc>
        <w:tc>
          <w:tcPr/>
          <w:p>
            <w:pPr>
              <w:pStyle w:val="Compact"/>
              <w:jc w:val="left"/>
            </w:pPr>
            <w:r>
              <w:t xml:space="preserve">Auto-immune : 200-400 mg sel/j. Prophylaxie : 400 mg sel/sem</w:t>
            </w:r>
          </w:p>
        </w:tc>
        <w:tc>
          <w:tcPr/>
          <w:p>
            <w:pPr>
              <w:pStyle w:val="Compact"/>
              <w:jc w:val="left"/>
            </w:pPr>
            <w:r>
              <w:t xml:space="preserve">Maculopathie (incidence moindre que chloroquine), allongement QT, rash, myopathie</w:t>
            </w:r>
          </w:p>
        </w:tc>
        <w:tc>
          <w:tcPr/>
          <w:p>
            <w:pPr>
              <w:pStyle w:val="Compact"/>
              <w:jc w:val="left"/>
            </w:pPr>
            <w:r>
              <w:t xml:space="preserve">Compatible (maintien pendant grossesse lupique)</w:t>
            </w:r>
          </w:p>
        </w:tc>
        <w:tc>
          <w:tcPr/>
          <w:p>
            <w:pPr>
              <w:pStyle w:val="Compact"/>
              <w:jc w:val="left"/>
            </w:pPr>
            <w:r>
              <w:t xml:space="preserve">PfCRT K76T (croisée avec chloroquine)</w:t>
            </w:r>
          </w:p>
        </w:tc>
      </w:tr>
      <w:tr>
        <w:tc>
          <w:tcPr/>
          <w:p>
            <w:pPr>
              <w:pStyle w:val="Compact"/>
              <w:jc w:val="left"/>
            </w:pPr>
            <w:r>
              <w:rPr>
                <w:b/>
                <w:bCs/>
              </w:rPr>
              <w:t xml:space="preserve">Artésunate</w:t>
            </w:r>
          </w:p>
        </w:tc>
        <w:tc>
          <w:tcPr/>
          <w:p>
            <w:pPr>
              <w:pStyle w:val="Compact"/>
              <w:jc w:val="left"/>
            </w:pPr>
            <w:r>
              <w:t xml:space="preserve">Artémisinine (prodrogue hydrosoluble)</w:t>
            </w:r>
          </w:p>
        </w:tc>
        <w:tc>
          <w:tcPr/>
          <w:p>
            <w:pPr>
              <w:pStyle w:val="Compact"/>
              <w:jc w:val="left"/>
            </w:pPr>
            <w:r>
              <w:t xml:space="preserve">Tous</w:t>
            </w:r>
            <w:r>
              <w:t xml:space="preserve"> </w:t>
            </w:r>
            <w:r>
              <w:rPr>
                <w:i/>
                <w:iCs/>
              </w:rPr>
              <w:t xml:space="preserve">Plasmodium</w:t>
            </w:r>
            <w:r>
              <w:t xml:space="preserve"> </w:t>
            </w:r>
            <w:r>
              <w:t xml:space="preserve">y compris multirésistants ; anneau (trophozoïte jeune)</w:t>
            </w:r>
          </w:p>
        </w:tc>
        <w:tc>
          <w:tcPr/>
          <w:p>
            <w:pPr>
              <w:pStyle w:val="Compact"/>
              <w:jc w:val="left"/>
            </w:pPr>
            <w:r>
              <w:t xml:space="preserve">Court (30-45 min prodrogue ; DHA 1-2 h)</w:t>
            </w:r>
          </w:p>
        </w:tc>
        <w:tc>
          <w:tcPr/>
          <w:p>
            <w:pPr>
              <w:pStyle w:val="Compact"/>
              <w:jc w:val="left"/>
            </w:pPr>
            <w:r>
              <w:t xml:space="preserve">Estérases plasmatiques → DHA ; UGT1A9/2B7</w:t>
            </w:r>
          </w:p>
        </w:tc>
        <w:tc>
          <w:tcPr/>
          <w:p>
            <w:pPr>
              <w:pStyle w:val="Compact"/>
              <w:jc w:val="left"/>
            </w:pPr>
            <w:r>
              <w:t xml:space="preserve">Paludisme grave IV : 2,4 mg/kg H0-H12-H24 puis 1×/j ; enfant &lt; 20 kg : 3 mg/kg</w:t>
            </w:r>
          </w:p>
        </w:tc>
        <w:tc>
          <w:tcPr/>
          <w:p>
            <w:pPr>
              <w:pStyle w:val="Compact"/>
              <w:jc w:val="left"/>
            </w:pPr>
            <w:r>
              <w:t xml:space="preserve">Anémie retardée J7-J28 (jusqu’à 25 %), neutropénie, allongement QT modéré</w:t>
            </w:r>
          </w:p>
        </w:tc>
        <w:tc>
          <w:tcPr/>
          <w:p>
            <w:pPr>
              <w:pStyle w:val="Compact"/>
              <w:jc w:val="left"/>
            </w:pPr>
            <w:r>
              <w:t xml:space="preserve">Compatible à tous les trimestres (paludisme grave) ; privilégié sur quinine</w:t>
            </w:r>
          </w:p>
        </w:tc>
        <w:tc>
          <w:tcPr/>
          <w:p>
            <w:pPr>
              <w:pStyle w:val="Compact"/>
              <w:jc w:val="left"/>
            </w:pPr>
            <w:r>
              <w:t xml:space="preserve">K13 mutations (Grand Mékong 2008, Afrique de l’Est 2020-2023)</w:t>
            </w:r>
          </w:p>
        </w:tc>
      </w:tr>
      <w:tr>
        <w:tc>
          <w:tcPr/>
          <w:p>
            <w:pPr>
              <w:pStyle w:val="Compact"/>
              <w:jc w:val="left"/>
            </w:pPr>
            <w:r>
              <w:rPr>
                <w:b/>
                <w:bCs/>
              </w:rPr>
              <w:t xml:space="preserve">Proguanil</w:t>
            </w:r>
          </w:p>
        </w:tc>
        <w:tc>
          <w:tcPr/>
          <w:p>
            <w:pPr>
              <w:pStyle w:val="Compact"/>
              <w:jc w:val="left"/>
            </w:pPr>
            <w:r>
              <w:t xml:space="preserve">Biguanide (antifolique, prodrogue)</w:t>
            </w:r>
          </w:p>
        </w:tc>
        <w:tc>
          <w:tcPr/>
          <w:p>
            <w:pPr>
              <w:pStyle w:val="Compact"/>
              <w:jc w:val="left"/>
            </w:pPr>
            <w:r>
              <w:t xml:space="preserve">Stades hépatiques (causal) + faiblement érythrocytaires</w:t>
            </w:r>
          </w:p>
        </w:tc>
        <w:tc>
          <w:tcPr/>
          <w:p>
            <w:pPr>
              <w:pStyle w:val="Compact"/>
              <w:jc w:val="left"/>
            </w:pPr>
            <w:r>
              <w:t xml:space="preserve">12-24 h (prodrogue) ; 12-20 h (cycloguanil)</w:t>
            </w:r>
          </w:p>
        </w:tc>
        <w:tc>
          <w:tcPr/>
          <w:p>
            <w:pPr>
              <w:pStyle w:val="Compact"/>
              <w:jc w:val="left"/>
            </w:pPr>
            <w:r>
              <w:t xml:space="preserve">CYP2C19 → cycloguanil actif ; rénal</w:t>
            </w:r>
          </w:p>
        </w:tc>
        <w:tc>
          <w:tcPr/>
          <w:p>
            <w:pPr>
              <w:pStyle w:val="Compact"/>
              <w:jc w:val="left"/>
            </w:pPr>
            <w:r>
              <w:t xml:space="preserve">Prophylaxie : 200 mg/j (associé à chloroquine ou atovaquone)</w:t>
            </w:r>
          </w:p>
        </w:tc>
        <w:tc>
          <w:tcPr/>
          <w:p>
            <w:pPr>
              <w:pStyle w:val="Compact"/>
              <w:jc w:val="left"/>
            </w:pPr>
            <w:r>
              <w:t xml:space="preserve">Anémie mégaloblastique si IR, troubles digestifs, rash</w:t>
            </w:r>
          </w:p>
        </w:tc>
        <w:tc>
          <w:tcPr/>
          <w:p>
            <w:pPr>
              <w:pStyle w:val="Compact"/>
              <w:jc w:val="left"/>
            </w:pPr>
            <w:r>
              <w:t xml:space="preserve">Compatible (tous trimestres) ; supplémentation folique</w:t>
            </w:r>
          </w:p>
        </w:tc>
        <w:tc>
          <w:tcPr/>
          <w:p>
            <w:pPr>
              <w:pStyle w:val="Compact"/>
              <w:jc w:val="left"/>
            </w:pPr>
            <w:r>
              <w:t xml:space="preserve">PfDHFR S108N/N51I/C59R/I164L (quadruple mutant Afrique)</w:t>
            </w:r>
          </w:p>
        </w:tc>
      </w:tr>
      <w:tr>
        <w:tc>
          <w:tcPr/>
          <w:p>
            <w:pPr>
              <w:pStyle w:val="Compact"/>
              <w:jc w:val="left"/>
            </w:pPr>
            <w:r>
              <w:rPr>
                <w:b/>
                <w:bCs/>
              </w:rPr>
              <w:t xml:space="preserve">Proguanil + Chloroquine</w:t>
            </w:r>
            <w:r>
              <w:t xml:space="preserve"> </w:t>
            </w:r>
            <w:r>
              <w:t xml:space="preserve">(Savarine, R)</w:t>
            </w:r>
          </w:p>
        </w:tc>
        <w:tc>
          <w:tcPr/>
          <w:p>
            <w:pPr>
              <w:pStyle w:val="Compact"/>
              <w:jc w:val="left"/>
            </w:pPr>
            <w:r>
              <w:t xml:space="preserve">Association fixe (4-AQ + biguanide)</w:t>
            </w:r>
          </w:p>
        </w:tc>
        <w:tc>
          <w:tcPr/>
          <w:p>
            <w:pPr>
              <w:pStyle w:val="Compact"/>
              <w:jc w:val="left"/>
            </w:pPr>
            <w:r>
              <w:t xml:space="preserve">Cumul des deux spectres</w:t>
            </w:r>
          </w:p>
        </w:tc>
        <w:tc>
          <w:tcPr/>
          <w:p>
            <w:pPr>
              <w:pStyle w:val="Compact"/>
              <w:jc w:val="left"/>
            </w:pPr>
            <w:r>
              <w:t xml:space="preserve">Cumul (chloroquine longue + proguanil court)</w:t>
            </w:r>
          </w:p>
        </w:tc>
        <w:tc>
          <w:tcPr/>
          <w:p>
            <w:pPr>
              <w:pStyle w:val="Compact"/>
              <w:jc w:val="left"/>
            </w:pPr>
            <w:r>
              <w:t xml:space="preserve">Cumul</w:t>
            </w:r>
          </w:p>
        </w:tc>
        <w:tc>
          <w:tcPr/>
          <w:p>
            <w:pPr>
              <w:pStyle w:val="Compact"/>
              <w:jc w:val="left"/>
            </w:pPr>
            <w:r>
              <w:t xml:space="preserve">Prophylaxie : 1 cp/j (100 mg base CQ + 200 mg PRO)</w:t>
            </w:r>
          </w:p>
        </w:tc>
        <w:tc>
          <w:tcPr/>
          <w:p>
            <w:pPr>
              <w:pStyle w:val="Compact"/>
              <w:jc w:val="left"/>
            </w:pPr>
            <w:r>
              <w:t xml:space="preserve">Cumul des EI</w:t>
            </w:r>
          </w:p>
        </w:tc>
        <w:tc>
          <w:tcPr/>
          <w:p>
            <w:pPr>
              <w:pStyle w:val="Compact"/>
              <w:jc w:val="left"/>
            </w:pPr>
            <w:r>
              <w:t xml:space="preserve">Compatible</w:t>
            </w:r>
          </w:p>
        </w:tc>
        <w:tc>
          <w:tcPr/>
          <w:p>
            <w:pPr>
              <w:pStyle w:val="Compact"/>
              <w:jc w:val="left"/>
            </w:pPr>
            <w:r>
              <w:t xml:space="preserve">Cumul des résistances (PfCRT + PfDHFR)</w:t>
            </w:r>
          </w:p>
        </w:tc>
      </w:tr>
    </w:tbl>
    <w:p>
      <w:r>
        <w:pict>
          <v:rect style="width:0;height:1.5pt" o:hralign="center" o:hrstd="t" o:hr="t"/>
        </w:pict>
      </w:r>
    </w:p>
    <w:bookmarkEnd w:id="123"/>
    <w:bookmarkStart w:id="124" w:name="synthèse-et-messages-pédagogiques-clés"/>
    <w:p>
      <w:pPr>
        <w:pStyle w:val="Heading2"/>
      </w:pPr>
      <w:r>
        <w:t xml:space="preserve">SYNTHÈSE ET MESSAGES PÉDAGOGIQUES CLÉS</w:t>
      </w:r>
    </w:p>
    <w:p>
      <w:pPr>
        <w:numPr>
          <w:ilvl w:val="0"/>
          <w:numId w:val="1341"/>
        </w:numPr>
      </w:pPr>
      <w:r>
        <w:rPr>
          <w:b/>
          <w:bCs/>
        </w:rPr>
        <w:t xml:space="preserve">Paysage antipaludique algérien restreint</w:t>
      </w:r>
      <w:r>
        <w:t xml:space="preserve"> </w:t>
      </w:r>
      <w:r>
        <w:t xml:space="preserve">: sur les ~15 antipaludiques essentiels de la pharmacopée mondiale, seuls</w:t>
      </w:r>
      <w:r>
        <w:t xml:space="preserve"> </w:t>
      </w:r>
      <w:r>
        <w:rPr>
          <w:b/>
          <w:bCs/>
        </w:rPr>
        <w:t xml:space="preserve">5 DCI</w:t>
      </w:r>
      <w:r>
        <w:t xml:space="preserve"> </w:t>
      </w:r>
      <w:r>
        <w:t xml:space="preserve">sont référencés dans la nomenclature algérienne (chloroquine, hydroxychloroquine, artésunate, proguanil, proguanil + chloroquine), et seuls</w:t>
      </w:r>
      <w:r>
        <w:t xml:space="preserve"> </w:t>
      </w:r>
      <w:r>
        <w:rPr>
          <w:b/>
          <w:bCs/>
        </w:rPr>
        <w:t xml:space="preserve">6 spécialités sont actuellement actives</w:t>
      </w:r>
      <w:r>
        <w:t xml:space="preserve"> </w:t>
      </w:r>
      <w:r>
        <w:t xml:space="preserve">(1 chloroquine Pharmalliance 500 mg, 4 hydroxychloroquine 200 mg, 1 artésunate FALCI CARE 60 mg injectable). Le paludisme grave d’importation est donc</w:t>
      </w:r>
      <w:r>
        <w:t xml:space="preserve"> </w:t>
      </w:r>
      <w:r>
        <w:rPr>
          <w:b/>
          <w:bCs/>
        </w:rPr>
        <w:t xml:space="preserve">exclusivement pris en charge par l’artésunate FALCI CARE</w:t>
      </w:r>
      <w:r>
        <w:t xml:space="preserve"> </w:t>
      </w:r>
      <w:r>
        <w:t xml:space="preserve">(quinine, méfloquine, atovaquone + proguanil non disponibles).</w:t>
      </w:r>
    </w:p>
    <w:p>
      <w:pPr>
        <w:numPr>
          <w:ilvl w:val="0"/>
          <w:numId w:val="1341"/>
        </w:numPr>
      </w:pPr>
      <w:r>
        <w:rPr>
          <w:b/>
          <w:bCs/>
        </w:rPr>
        <w:t xml:space="preserve">Chloroquine et hydroxychloroquine partagent le même mécanisme</w:t>
      </w:r>
      <w:r>
        <w:t xml:space="preserve"> </w:t>
      </w:r>
      <w:r>
        <w:t xml:space="preserve">(inhibition de l’hème polymérase dans la vacuole digestive du parasite) mais diffèrent par leur utilisation clinique : la</w:t>
      </w:r>
      <w:r>
        <w:t xml:space="preserve"> </w:t>
      </w:r>
      <w:r>
        <w:rPr>
          <w:b/>
          <w:bCs/>
        </w:rPr>
        <w:t xml:space="preserve">chloroquine reste l’antipaludique de référence</w:t>
      </w:r>
      <w:r>
        <w:t xml:space="preserve"> </w:t>
      </w:r>
      <w:r>
        <w:t xml:space="preserve">dans les zones sensibles (Haïti, Amérique centrale nord) ; l’</w:t>
      </w:r>
      <w:r>
        <w:rPr>
          <w:b/>
          <w:bCs/>
        </w:rPr>
        <w:t xml:space="preserve">hydroxychloroquine est privilégiée en autoimmune</w:t>
      </w:r>
      <w:r>
        <w:t xml:space="preserve"> </w:t>
      </w:r>
      <w:r>
        <w:t xml:space="preserve">(lupus, polyarthrite rhumatoïde) en raison d’une meilleure tolérance oculaire.</w:t>
      </w:r>
    </w:p>
    <w:p>
      <w:pPr>
        <w:numPr>
          <w:ilvl w:val="0"/>
          <w:numId w:val="1341"/>
        </w:numPr>
      </w:pPr>
      <w:r>
        <w:rPr>
          <w:b/>
          <w:bCs/>
        </w:rPr>
        <w:t xml:space="preserve">Surveillance ophtalmologique obligatoire</w:t>
      </w:r>
      <w:r>
        <w:t xml:space="preserve"> </w:t>
      </w:r>
      <w:r>
        <w:t xml:space="preserve">pour les 4-aminoquinoléines au long cours : examen initial dans la 1re année, puis annuel à partir de 5 ans (ou d’emblée si facteurs de risque) ;</w:t>
      </w:r>
      <w:r>
        <w:t xml:space="preserve"> </w:t>
      </w:r>
      <w:r>
        <w:rPr>
          <w:b/>
          <w:bCs/>
        </w:rPr>
        <w:t xml:space="preserve">OCT maculaire</w:t>
      </w:r>
      <w:r>
        <w:t xml:space="preserve"> </w:t>
      </w:r>
      <w:r>
        <w:t xml:space="preserve">+ champ visuel 10-2. La maculopathie en œil de bœuf est irréversible et peut progresser après l’arrêt (« chasing effect »).</w:t>
      </w:r>
    </w:p>
    <w:p>
      <w:pPr>
        <w:numPr>
          <w:ilvl w:val="0"/>
          <w:numId w:val="1341"/>
        </w:numPr>
      </w:pPr>
      <w:r>
        <w:rPr>
          <w:b/>
          <w:bCs/>
        </w:rPr>
        <w:t xml:space="preserve">L’artésunate IV est le traitement de choix du paludisme grave</w:t>
      </w:r>
      <w:r>
        <w:t xml:space="preserve"> </w:t>
      </w:r>
      <w:r>
        <w:t xml:space="preserve">(supérieur à la quinine — réduction de 35 % de la mortalité adulte). Trois doses de charge à H0, H12, H24 puis 1×/j. Surveillance de l’</w:t>
      </w:r>
      <w:r>
        <w:rPr>
          <w:b/>
          <w:bCs/>
        </w:rPr>
        <w:t xml:space="preserve">anémie retardée post-artémisinine</w:t>
      </w:r>
      <w:r>
        <w:t xml:space="preserve"> </w:t>
      </w:r>
      <w:r>
        <w:t xml:space="preserve">(jusqu’à J28) par NFS hebdomadaire pendant 4 semaines.</w:t>
      </w:r>
    </w:p>
    <w:p>
      <w:pPr>
        <w:numPr>
          <w:ilvl w:val="0"/>
          <w:numId w:val="1341"/>
        </w:numPr>
      </w:pPr>
      <w:r>
        <w:rPr>
          <w:b/>
          <w:bCs/>
        </w:rPr>
        <w:t xml:space="preserve">Résistance à la chloroquine</w:t>
      </w:r>
      <w:r>
        <w:t xml:space="preserve"> </w:t>
      </w:r>
      <w:r>
        <w:t xml:space="preserve">: médiée par PfCRT K76T — généralisée en Afrique subsaharienne (&gt; 50 %). Ne pas prescrire de chloroquine pour un paludisme contracté en Afrique (risque d’échec thérapeutique précoce et d’évolution vers le paludisme grave).</w:t>
      </w:r>
    </w:p>
    <w:p>
      <w:pPr>
        <w:numPr>
          <w:ilvl w:val="0"/>
          <w:numId w:val="1341"/>
        </w:numPr>
      </w:pPr>
      <w:r>
        <w:rPr>
          <w:b/>
          <w:bCs/>
        </w:rPr>
        <w:t xml:space="preserve">Résistance aux artémisinines</w:t>
      </w:r>
      <w:r>
        <w:t xml:space="preserve"> </w:t>
      </w:r>
      <w:r>
        <w:t xml:space="preserve">: mutations K13 (Kelch 13) — clairance parasitaire ralentie (parasitémie positive à J3). Émergée dans le Grand Mékong (2008), atteint l’Afrique de l’Est (Rwanda 2020, Ouganda 2021, Érythrée-Éthiopie 2022-2023). Enjeu mondial de surveillance moléculaire.</w:t>
      </w:r>
    </w:p>
    <w:p>
      <w:pPr>
        <w:numPr>
          <w:ilvl w:val="0"/>
          <w:numId w:val="1341"/>
        </w:numPr>
      </w:pPr>
      <w:r>
        <w:rPr>
          <w:b/>
          <w:bCs/>
        </w:rPr>
        <w:t xml:space="preserve">Résistance au proguanil</w:t>
      </w:r>
      <w:r>
        <w:t xml:space="preserve"> </w:t>
      </w:r>
      <w:r>
        <w:t xml:space="preserve">: mutations PfDHFR S108N + N51I + C59R + I164L (quadruple mutant). Justifie l’abandon du proguanil en monothérapie et son utilisation uniquement en association (chloroquine ou atovaquone).</w:t>
      </w:r>
    </w:p>
    <w:p>
      <w:pPr>
        <w:numPr>
          <w:ilvl w:val="0"/>
          <w:numId w:val="1341"/>
        </w:numPr>
      </w:pPr>
      <w:r>
        <w:rPr>
          <w:b/>
          <w:bCs/>
        </w:rPr>
        <w:t xml:space="preserve">Règle d’or de la prophylaxie antipalustre</w:t>
      </w:r>
      <w:r>
        <w:t xml:space="preserve"> </w:t>
      </w:r>
      <w:r>
        <w:t xml:space="preserve">:</w:t>
      </w:r>
      <w:r>
        <w:t xml:space="preserve"> </w:t>
      </w:r>
      <w:r>
        <w:rPr>
          <w:b/>
          <w:bCs/>
        </w:rPr>
        <w:t xml:space="preserve">débuter 1 semaine avant le départ</w:t>
      </w:r>
      <w:r>
        <w:t xml:space="preserve"> </w:t>
      </w:r>
      <w:r>
        <w:t xml:space="preserve">(vérifier la tolérance),</w:t>
      </w:r>
      <w:r>
        <w:t xml:space="preserve"> </w:t>
      </w:r>
      <w:r>
        <w:rPr>
          <w:b/>
          <w:bCs/>
        </w:rPr>
        <w:t xml:space="preserve">pendant le séjour</w:t>
      </w:r>
      <w:r>
        <w:t xml:space="preserve">, et</w:t>
      </w:r>
      <w:r>
        <w:t xml:space="preserve"> </w:t>
      </w:r>
      <w:r>
        <w:rPr>
          <w:b/>
          <w:bCs/>
        </w:rPr>
        <w:t xml:space="preserve">4 semaines après le retour</w:t>
      </w:r>
      <w:r>
        <w:t xml:space="preserve"> </w:t>
      </w:r>
      <w:r>
        <w:t xml:space="preserve">pour la chloroquine et le proguanil (inactifs sur les stades hépatiques tardifs) ;</w:t>
      </w:r>
      <w:r>
        <w:t xml:space="preserve"> </w:t>
      </w:r>
      <w:r>
        <w:rPr>
          <w:b/>
          <w:bCs/>
        </w:rPr>
        <w:t xml:space="preserve">7 jours seulement après le retour</w:t>
      </w:r>
      <w:r>
        <w:t xml:space="preserve"> </w:t>
      </w:r>
      <w:r>
        <w:t xml:space="preserve">pour l’atovaquone + proguanil (action causale sur les stades hépatiques). Aucune prophylaxie n’est efficace à 100 % — toujours associer des</w:t>
      </w:r>
      <w:r>
        <w:t xml:space="preserve"> </w:t>
      </w:r>
      <w:r>
        <w:rPr>
          <w:b/>
          <w:bCs/>
        </w:rPr>
        <w:t xml:space="preserve">mesures anti-moustiques</w:t>
      </w:r>
      <w:r>
        <w:t xml:space="preserve"> </w:t>
      </w:r>
      <w:r>
        <w:t xml:space="preserve">(moustiquaire imprégnée, répulsif DEET 20-50 %, vêtements longs clairs).</w:t>
      </w:r>
    </w:p>
    <w:p>
      <w:pPr>
        <w:numPr>
          <w:ilvl w:val="0"/>
          <w:numId w:val="1341"/>
        </w:numPr>
      </w:pPr>
      <w:r>
        <w:rPr>
          <w:b/>
          <w:bCs/>
        </w:rPr>
        <w:t xml:space="preserve">Pièges cliniques majeurs</w:t>
      </w:r>
      <w:r>
        <w:t xml:space="preserve"> </w:t>
      </w:r>
      <w:r>
        <w:t xml:space="preserve">:</w:t>
      </w:r>
    </w:p>
    <w:p>
      <w:pPr>
        <w:pStyle w:val="Compact"/>
        <w:numPr>
          <w:ilvl w:val="1"/>
          <w:numId w:val="1342"/>
        </w:numPr>
      </w:pPr>
      <w:r>
        <w:t xml:space="preserve">Chloroquine pour paludisme africain (échec thérapeutique — résistance)</w:t>
      </w:r>
    </w:p>
    <w:p>
      <w:pPr>
        <w:pStyle w:val="Compact"/>
        <w:numPr>
          <w:ilvl w:val="1"/>
          <w:numId w:val="1342"/>
        </w:numPr>
      </w:pPr>
      <w:r>
        <w:t xml:space="preserve">Hydroxychloroquine sans surveillance ophtalmo annuelle (maculopathie)</w:t>
      </w:r>
    </w:p>
    <w:p>
      <w:pPr>
        <w:pStyle w:val="Compact"/>
        <w:numPr>
          <w:ilvl w:val="1"/>
          <w:numId w:val="1342"/>
        </w:numPr>
      </w:pPr>
      <w:r>
        <w:t xml:space="preserve">Hydroxychloroquine arrêtée pendant la grossesse lupique (poussée maternelle, BAVCC)</w:t>
      </w:r>
    </w:p>
    <w:p>
      <w:pPr>
        <w:pStyle w:val="Compact"/>
        <w:numPr>
          <w:ilvl w:val="1"/>
          <w:numId w:val="1342"/>
        </w:numPr>
      </w:pPr>
      <w:r>
        <w:t xml:space="preserve">Chloroquine + amiodarone / macrolides (torsades de pointe)</w:t>
      </w:r>
    </w:p>
    <w:p>
      <w:pPr>
        <w:pStyle w:val="Compact"/>
        <w:numPr>
          <w:ilvl w:val="1"/>
          <w:numId w:val="1342"/>
        </w:numPr>
      </w:pPr>
      <w:r>
        <w:t xml:space="preserve">Surdosage accidentel pédiatrique (chloroquine dose létale ~ 20 mg/kg base)</w:t>
      </w:r>
    </w:p>
    <w:p>
      <w:pPr>
        <w:pStyle w:val="Compact"/>
        <w:numPr>
          <w:ilvl w:val="1"/>
          <w:numId w:val="1342"/>
        </w:numPr>
      </w:pPr>
      <w:r>
        <w:t xml:space="preserve">Paludisme grave non reconnu au retour de voyage (retard diagnostique = mortalité)</w:t>
      </w:r>
    </w:p>
    <w:p>
      <w:pPr>
        <w:pStyle w:val="Compact"/>
        <w:numPr>
          <w:ilvl w:val="1"/>
          <w:numId w:val="1342"/>
        </w:numPr>
      </w:pPr>
      <w:r>
        <w:t xml:space="preserve">Absence de relais oral après artésunate IV (rechute parasitaire J7-J14)</w:t>
      </w:r>
    </w:p>
    <w:p>
      <w:pPr>
        <w:pStyle w:val="Compact"/>
        <w:numPr>
          <w:ilvl w:val="1"/>
          <w:numId w:val="1342"/>
        </w:numPr>
      </w:pPr>
      <w:r>
        <w:t xml:space="preserve">Absence de surveillance NFS après artésunate (anémie retardée J7-J28)</w:t>
      </w:r>
    </w:p>
    <w:p>
      <w:pPr>
        <w:numPr>
          <w:ilvl w:val="0"/>
          <w:numId w:val="1341"/>
        </w:numPr>
      </w:pPr>
      <w:r>
        <w:rPr>
          <w:b/>
          <w:bCs/>
        </w:rPr>
        <w:t xml:space="preserve">Piège COVID-19</w:t>
      </w:r>
      <w:r>
        <w:t xml:space="preserve"> </w:t>
      </w:r>
      <w:r>
        <w:t xml:space="preserve">: ni la chloroquine ni l’hydroxychloroquine n’ont d’efficacité démontrée dans la COVID-19 (essais Solidarity, Recovery, Discovery — surmortalité cardiaque). Ne pas prescrire hors AMM.</w:t>
      </w:r>
    </w:p>
    <w:p>
      <w:pPr>
        <w:numPr>
          <w:ilvl w:val="0"/>
          <w:numId w:val="1341"/>
        </w:numPr>
      </w:pPr>
      <w:r>
        <w:rPr>
          <w:b/>
          <w:bCs/>
        </w:rPr>
        <w:t xml:space="preserve">Médicaments non disponibles en Algérie</w:t>
      </w:r>
      <w:r>
        <w:t xml:space="preserve"> </w:t>
      </w:r>
      <w:r>
        <w:t xml:space="preserve">(à importer si nécessaire) : quinine IV, méfloquine (Lariam), primaquine, tafénoquine, atovaquone + proguanil (Malarone), artéméther + lumefantrine (Coartem/Riamet), artésunate + amodiaquine (Coarsucam), dihydroartémisinine + pipéraquine (Eurartesim), sulfadoxine + pyriméthamine (Fansidar). Le pharmacien algérien doit connaître ces alternatives pour conseiller les voyageurs et les médecins prescripteurs.</w:t>
      </w:r>
    </w:p>
    <w:p>
      <w:pPr>
        <w:numPr>
          <w:ilvl w:val="0"/>
          <w:numId w:val="1341"/>
        </w:numPr>
      </w:pPr>
      <w:r>
        <w:rPr>
          <w:b/>
          <w:bCs/>
        </w:rPr>
        <w:t xml:space="preserve">Grossesse et paludisme</w:t>
      </w:r>
      <w:r>
        <w:t xml:space="preserve"> </w:t>
      </w:r>
      <w:r>
        <w:t xml:space="preserve">: la chloroquine est l’antipaludique de choix chez la femme enceinte (zones sensibles) ; l’hydroxychloroquine est compatible en autoimmune et ne doit pas être interrompue en cas de lupus (prévention du BAVCC néonatal) ; l’artésunate IV est le traitement de choix du paludisme grave à tous les trimestres (OMS 2022) ; le proguanil est compatible en prophylaxie avec supplémentation folique.</w:t>
      </w:r>
    </w:p>
    <w:p>
      <w:r>
        <w:pict>
          <v:rect style="width:0;height:1.5pt" o:hralign="center" o:hrstd="t" o:hr="t"/>
        </w:pict>
      </w:r>
    </w:p>
    <w:p>
      <w:pPr>
        <w:pStyle w:val="FirstParagraph"/>
      </w:pPr>
      <w:r>
        <w:rPr>
          <w:b/>
          <w:bCs/>
        </w:rPr>
        <w:t xml:space="preserve">Sources mobilisées</w:t>
      </w:r>
      <w:r>
        <w:t xml:space="preserve"> </w:t>
      </w:r>
      <w:r>
        <w:t xml:space="preserve">: VIDAL, ANSM (RCP Plaquenil, Nivaquine, FALCI CARE), Thériaque, CRAT (Centre de Renseignement sur les Agents Tératogènes), OMS (World Malaria Report 2023 ; Guidelines for malaria 2023 ; Malaria treatment guidelines), UpToDate (Treatment of severe malaria ; Antimalarial drugs ; Malaria prevention in travelers), Micromedex, EMA (artesunate IV 2011 — Artésunate), SFMU (Prise en charge du paludisme d’importation 2017 actualisée), SPILF (Recommandations paludisme d’importation), Cochrane (Artesunate vs quinine for severe malaria), AAO (American Academy of Ophthalmology — Hydroxychloroquine retinopathy recommendations 2016 actualisées 2018), EULAR (Lupus pregnancy 2020).</w:t>
      </w:r>
    </w:p>
    <w:p>
      <w:pPr>
        <w:pStyle w:val="BodyText"/>
      </w:pPr>
      <w:r>
        <w:rPr>
          <w:b/>
          <w:bCs/>
        </w:rPr>
        <w:t xml:space="preserve">Règle d’or finale</w:t>
      </w:r>
      <w:r>
        <w:t xml:space="preserve"> </w:t>
      </w:r>
      <w:r>
        <w:t xml:space="preserve">:</w:t>
      </w:r>
      <w:r>
        <w:t xml:space="preserve"> </w:t>
      </w:r>
      <w:r>
        <w:rPr>
          <w:i/>
          <w:iCs/>
        </w:rPr>
        <w:t xml:space="preserve">Au moindre doute sur une fièvre au retour d’un voyage en zone palustre, le pharmacien d’officine doit orienter en urgence vers les urgences hospitalières pour frottis sanguin de recherche de plasmodium. Le paludisme peut être mortel en quelques heures. La prévention passe par la chimioprophylaxie adaptée à la zone, les mesures anti-moustiques, et la connaissance des signes d’alerte. La prescription d’antipaludiques au long cours (4-aminoquinoléines en autoimmune) impose une surveillance ophtalmologique annuelle stricte.</w:t>
      </w:r>
    </w:p>
    <w:p>
      <w:r>
        <w:pict>
          <v:rect style="width:0;height:1.5pt" o:hralign="center" o:hrstd="t" o:hr="t"/>
        </w:pict>
      </w:r>
    </w:p>
    <w:bookmarkEnd w:id="124"/>
    <w:bookmarkEnd w:id="125"/>
    <w:bookmarkStart w:id="147" w:name="chapitre-15-antihelminthiques"/>
    <w:p>
      <w:pPr>
        <w:pStyle w:val="Heading1"/>
      </w:pPr>
      <w:r>
        <w:t xml:space="preserve">Chapitre 15 — Antihelminthiques</w:t>
      </w:r>
    </w:p>
    <w:bookmarkStart w:id="128" w:name="X4ea2dc09d1bc1b76aeaf88019f280b6a3873753"/>
    <w:p>
      <w:pPr>
        <w:pStyle w:val="Heading2"/>
      </w:pPr>
      <w:r>
        <w:t xml:space="preserve">15.1 Introduction Générale aux Antihelminthiques</w:t>
      </w:r>
    </w:p>
    <w:p>
      <w:pPr>
        <w:pStyle w:val="FirstParagraph"/>
      </w:pPr>
      <w:r>
        <w:t xml:space="preserve">Les antihelminthiques constituent une classe thérapeutique essentielle en pharmacologie clinique, dédiée au traitement des parasitoses induites par les helminthes (vers), organismes pluricellulaires dont le développement s’effectue aux dépens de l’hôte humain. Ces parasitoses représentent un fardeau majeur en santé publique mondiale, particulièrement dans les pays tropicaux et subtropicaux où l’on estime que plus de 1,5 milliard d’individus sont infectés par des géohelminthes (ascaridiose, trichocéphalose, ankylostomose), 600 millions par les oxyures, et plusieurs dizaines de millions par les cestodes (téniasis, hyménolépiase) et les trématodes (schistosomoses, distomatoses).</w:t>
      </w:r>
    </w:p>
    <w:p>
      <w:pPr>
        <w:pStyle w:val="BodyText"/>
      </w:pPr>
      <w:r>
        <w:t xml:space="preserve">En Algérie, l’épidémiologie des helminthiases présente un profil mixte : prédominance de l’oxyurose (particulièrement chez l’enfant scolarisé et en collectivité), ascaridiose sporadique, anguillulose (Strongyloïdes stercoralis) dans certaines régions rurales et chez les patients immunodéprimés, hyménolépiase (Hymenolepis nana) diagnostiquée en pédiatrie, et cas occasionnels de téniasis à Taenia saginata (liés à la consommation de viande bovine mal cuite). L’hydatidose (échinococcose), bien que relevant d’un traitement chirurgical premier, fait également appel à l’albendazole en traitement adjuvant prolongé.</w:t>
      </w:r>
    </w:p>
    <w:bookmarkStart w:id="126" w:name="classification-pharmacologique"/>
    <w:p>
      <w:pPr>
        <w:pStyle w:val="Heading3"/>
      </w:pPr>
      <w:r>
        <w:t xml:space="preserve">Classification Pharmacologique</w:t>
      </w:r>
    </w:p>
    <w:p>
      <w:pPr>
        <w:pStyle w:val="FirstParagraph"/>
      </w:pPr>
      <w:r>
        <w:t xml:space="preserve">La classification des antihelminthiques repose sur la structure chimique, le mécanisme d’action et le spectre parasitaire :</w:t>
      </w:r>
    </w:p>
    <w:p>
      <w:pPr>
        <w:pStyle w:val="Compact"/>
        <w:numPr>
          <w:ilvl w:val="0"/>
          <w:numId w:val="1343"/>
        </w:numPr>
      </w:pPr>
      <w:r>
        <w:rPr>
          <w:b/>
          <w:bCs/>
        </w:rPr>
        <w:t xml:space="preserve">Benzimidazoles</w:t>
      </w:r>
      <w:r>
        <w:t xml:space="preserve"> </w:t>
      </w:r>
      <w:r>
        <w:t xml:space="preserve">: Albendazole, Mébendazole, Flubendazole, Tiabendazole (Triclabendazole —</w:t>
      </w:r>
      <w:r>
        <w:t xml:space="preserve"> </w:t>
      </w:r>
      <w:r>
        <w:rPr>
          <w:i/>
          <w:iCs/>
        </w:rPr>
        <w:t xml:space="preserve">non disponible en Algérie</w:t>
      </w:r>
      <w:r>
        <w:t xml:space="preserve"> </w:t>
      </w:r>
      <w:r>
        <w:t xml:space="preserve">— appartient à cette classe mais cible spécifiquement les trématodes).</w:t>
      </w:r>
    </w:p>
    <w:p>
      <w:pPr>
        <w:pStyle w:val="Compact"/>
        <w:numPr>
          <w:ilvl w:val="0"/>
          <w:numId w:val="1343"/>
        </w:numPr>
      </w:pPr>
      <w:r>
        <w:rPr>
          <w:b/>
          <w:bCs/>
        </w:rPr>
        <w:t xml:space="preserve">Pyrazinoisoquinoléines</w:t>
      </w:r>
      <w:r>
        <w:t xml:space="preserve"> </w:t>
      </w:r>
      <w:r>
        <w:t xml:space="preserve">: Praziquantel —</w:t>
      </w:r>
      <w:r>
        <w:t xml:space="preserve"> </w:t>
      </w:r>
      <w:r>
        <w:rPr>
          <w:i/>
          <w:iCs/>
        </w:rPr>
        <w:t xml:space="preserve">Non disponible en Algérie</w:t>
      </w:r>
      <w:r>
        <w:t xml:space="preserve"> </w:t>
      </w:r>
      <w:r>
        <w:t xml:space="preserve">— référence mondiale pour les cestodoses et schistosomoses.</w:t>
      </w:r>
    </w:p>
    <w:p>
      <w:pPr>
        <w:pStyle w:val="Compact"/>
        <w:numPr>
          <w:ilvl w:val="0"/>
          <w:numId w:val="1343"/>
        </w:numPr>
      </w:pPr>
      <w:r>
        <w:rPr>
          <w:b/>
          <w:bCs/>
        </w:rPr>
        <w:t xml:space="preserve">Salicylanilides</w:t>
      </w:r>
      <w:r>
        <w:t xml:space="preserve"> </w:t>
      </w:r>
      <w:r>
        <w:t xml:space="preserve">: Niclosamide (anti-cestode).</w:t>
      </w:r>
    </w:p>
    <w:p>
      <w:pPr>
        <w:pStyle w:val="Compact"/>
        <w:numPr>
          <w:ilvl w:val="0"/>
          <w:numId w:val="1343"/>
        </w:numPr>
      </w:pPr>
      <w:r>
        <w:rPr>
          <w:b/>
          <w:bCs/>
        </w:rPr>
        <w:t xml:space="preserve">Pipérazines</w:t>
      </w:r>
      <w:r>
        <w:t xml:space="preserve"> </w:t>
      </w:r>
      <w:r>
        <w:t xml:space="preserve">: Pipérazine —</w:t>
      </w:r>
      <w:r>
        <w:t xml:space="preserve"> </w:t>
      </w:r>
      <w:r>
        <w:rPr>
          <w:i/>
          <w:iCs/>
        </w:rPr>
        <w:t xml:space="preserve">Non disponible en Algérie</w:t>
      </w:r>
      <w:r>
        <w:t xml:space="preserve"> </w:t>
      </w:r>
      <w:r>
        <w:t xml:space="preserve">— ancien anti-nématode (ascaridiose, oxyurose).</w:t>
      </w:r>
    </w:p>
    <w:p>
      <w:pPr>
        <w:pStyle w:val="Compact"/>
        <w:numPr>
          <w:ilvl w:val="0"/>
          <w:numId w:val="1343"/>
        </w:numPr>
      </w:pPr>
      <w:r>
        <w:rPr>
          <w:b/>
          <w:bCs/>
        </w:rPr>
        <w:t xml:space="preserve">Avermectines</w:t>
      </w:r>
      <w:r>
        <w:t xml:space="preserve"> </w:t>
      </w:r>
      <w:r>
        <w:t xml:space="preserve">: Ivermectine —</w:t>
      </w:r>
      <w:r>
        <w:t xml:space="preserve"> </w:t>
      </w:r>
      <w:r>
        <w:rPr>
          <w:i/>
          <w:iCs/>
        </w:rPr>
        <w:t xml:space="preserve">Non disponible en Algérie</w:t>
      </w:r>
      <w:r>
        <w:t xml:space="preserve"> </w:t>
      </w:r>
      <w:r>
        <w:t xml:space="preserve">— traitement de référence de l’anguillulose, de la strongyloïdose, de l’onchocercose et de la gale.</w:t>
      </w:r>
    </w:p>
    <w:p>
      <w:pPr>
        <w:pStyle w:val="Compact"/>
        <w:numPr>
          <w:ilvl w:val="0"/>
          <w:numId w:val="1343"/>
        </w:numPr>
      </w:pPr>
      <w:r>
        <w:rPr>
          <w:b/>
          <w:bCs/>
        </w:rPr>
        <w:t xml:space="preserve">Imidazothiazoles</w:t>
      </w:r>
      <w:r>
        <w:t xml:space="preserve"> </w:t>
      </w:r>
      <w:r>
        <w:t xml:space="preserve">: Lévamisole —</w:t>
      </w:r>
      <w:r>
        <w:t xml:space="preserve"> </w:t>
      </w:r>
      <w:r>
        <w:rPr>
          <w:i/>
          <w:iCs/>
        </w:rPr>
        <w:t xml:space="preserve">Non disponible en Algérie</w:t>
      </w:r>
      <w:r>
        <w:t xml:space="preserve"> </w:t>
      </w:r>
      <w:r>
        <w:t xml:space="preserve">— ancien anti-ascaridien, aujourd’hui retiré du marché dans la plupart des pays en raison d’effets indésirables graves (agranulocytose).</w:t>
      </w:r>
    </w:p>
    <w:p>
      <w:pPr>
        <w:pStyle w:val="Compact"/>
        <w:numPr>
          <w:ilvl w:val="0"/>
          <w:numId w:val="1343"/>
        </w:numPr>
      </w:pPr>
      <w:r>
        <w:rPr>
          <w:b/>
          <w:bCs/>
        </w:rPr>
        <w:t xml:space="preserve">Pyrimidines</w:t>
      </w:r>
      <w:r>
        <w:t xml:space="preserve"> </w:t>
      </w:r>
      <w:r>
        <w:t xml:space="preserve">: Pyrantel (Embonate) — agoniste nicotinique (anti-nématode).</w:t>
      </w:r>
    </w:p>
    <w:p>
      <w:pPr>
        <w:pStyle w:val="Compact"/>
        <w:numPr>
          <w:ilvl w:val="0"/>
          <w:numId w:val="1343"/>
        </w:numPr>
      </w:pPr>
      <w:r>
        <w:rPr>
          <w:b/>
          <w:bCs/>
        </w:rPr>
        <w:t xml:space="preserve">Tétrahydropyrimidines</w:t>
      </w:r>
      <w:r>
        <w:t xml:space="preserve"> </w:t>
      </w:r>
      <w:r>
        <w:t xml:space="preserve">: Oxantel —</w:t>
      </w:r>
      <w:r>
        <w:t xml:space="preserve"> </w:t>
      </w:r>
      <w:r>
        <w:rPr>
          <w:i/>
          <w:iCs/>
        </w:rPr>
        <w:t xml:space="preserve">Non disponible en Algérie</w:t>
      </w:r>
      <w:r>
        <w:t xml:space="preserve"> </w:t>
      </w:r>
      <w:r>
        <w:t xml:space="preserve">— dérivé du pyrantel, actif contre les trichocéphales.</w:t>
      </w:r>
    </w:p>
    <w:p>
      <w:pPr>
        <w:pStyle w:val="Compact"/>
        <w:numPr>
          <w:ilvl w:val="0"/>
          <w:numId w:val="1343"/>
        </w:numPr>
      </w:pPr>
      <w:r>
        <w:rPr>
          <w:b/>
          <w:bCs/>
        </w:rPr>
        <w:t xml:space="preserve">Autres</w:t>
      </w:r>
      <w:r>
        <w:t xml:space="preserve"> </w:t>
      </w:r>
      <w:r>
        <w:t xml:space="preserve">: Diéthylcarbamazine —</w:t>
      </w:r>
      <w:r>
        <w:t xml:space="preserve"> </w:t>
      </w:r>
      <w:r>
        <w:rPr>
          <w:i/>
          <w:iCs/>
        </w:rPr>
        <w:t xml:space="preserve">Non disponible en Algérie</w:t>
      </w:r>
      <w:r>
        <w:t xml:space="preserve"> </w:t>
      </w:r>
      <w:r>
        <w:t xml:space="preserve">— traitement des filarioses lymphatiques.</w:t>
      </w:r>
    </w:p>
    <w:bookmarkEnd w:id="126"/>
    <w:bookmarkStart w:id="127" w:name="particularités-thérapeutiques-en-algérie"/>
    <w:p>
      <w:pPr>
        <w:pStyle w:val="Heading3"/>
      </w:pPr>
      <w:r>
        <w:t xml:space="preserve">Particularités Thérapeutiques en Algérie</w:t>
      </w:r>
    </w:p>
    <w:p>
      <w:pPr>
        <w:pStyle w:val="FirstParagraph"/>
      </w:pPr>
      <w:r>
        <w:t xml:space="preserve">Le marché algérien des antihelminthiques se caractérise par une palette restreinte mais couvrant les besoins essentiels : les benzimidazoles (albendazole, mébendazole, flubendazole) occupent une place centrale avec une large couverture des nématodoses intestinales courantes. Le pyrantel (embonate) représente une alternative utile, particulièrement en pédiatrie et chez la femme enceinte (autorisation au 2e et 3e trimestre). Le niclosamide, bien que peu prescrit, reste disponible pour les cestodoses à Taenia saginata, T. solium (forme adulte) et Hymenolepis nana. Le tiabendazole a été retiré du marché algérien.</w:t>
      </w:r>
    </w:p>
    <w:p>
      <w:pPr>
        <w:pStyle w:val="BodyText"/>
      </w:pPr>
      <w:r>
        <w:t xml:space="preserve">L’absence de disponibilité de molécules clés comme l’ivermectine (anguillulose, gale), le praziquantel (cestodoses étendues, schistosomoses, hydatidose en association) et le triclabendazole (distomatose à Fasciola) constitue une limite importante : ces molécules doivent faire l’objet d’une demande d’autorisation temporaire d’utilisation (ATU) ou d’importation exceptionnelle pour les cas cliniques non couverts par la nomenclature nationale. Le pharmacien d’officine et le clinicien algériens doivent connaître ces alternatives théoriques pour orienter les patients vers les structures spécialisées (services de parasitologie clinique des CHU).</w:t>
      </w:r>
    </w:p>
    <w:p>
      <w:r>
        <w:pict>
          <v:rect style="width:0;height:1.5pt" o:hralign="center" o:hrstd="t" o:hr="t"/>
        </w:pict>
      </w:r>
    </w:p>
    <w:bookmarkEnd w:id="127"/>
    <w:bookmarkEnd w:id="128"/>
    <w:bookmarkStart w:id="134" w:name="sous-classe-benzimidazoles"/>
    <w:p>
      <w:pPr>
        <w:pStyle w:val="Heading2"/>
      </w:pPr>
      <w:r>
        <w:t xml:space="preserve">15.2 Sous-classe : Benzimidazoles</w:t>
      </w:r>
    </w:p>
    <w:bookmarkStart w:id="129" w:name="introduction-aux-benzimidazoles"/>
    <w:p>
      <w:pPr>
        <w:pStyle w:val="Heading3"/>
      </w:pPr>
      <w:r>
        <w:t xml:space="preserve">Introduction aux Benzimidazoles</w:t>
      </w:r>
    </w:p>
    <w:p>
      <w:pPr>
        <w:pStyle w:val="FirstParagraph"/>
      </w:pPr>
      <w:r>
        <w:t xml:space="preserve">Les benzimidazoles représentent la famille d’antihelminthiques la plus prescrite au niveau mondial et constituent le pilier du traitement des nématodoses intestinales. Ils dérivent structuralement du noyau benzimidazole, et incluent l’albendazole, le mébendazole, le flubendazole, le tiabendazole, le fenbendazole (usage vétérinaire), l’oxfendazole (vétérinaire), et le triclabendazole —</w:t>
      </w:r>
      <w:r>
        <w:t xml:space="preserve"> </w:t>
      </w:r>
      <w:r>
        <w:rPr>
          <w:i/>
          <w:iCs/>
        </w:rPr>
        <w:t xml:space="preserve">non disponible en Algérie</w:t>
      </w:r>
      <w:r>
        <w:t xml:space="preserve"> </w:t>
      </w:r>
      <w:r>
        <w:t xml:space="preserve">— spécifique des trématodes (Fasciola hepatica).</w:t>
      </w:r>
    </w:p>
    <w:p>
      <w:pPr>
        <w:pStyle w:val="BodyText"/>
      </w:pPr>
      <w:r>
        <w:rPr>
          <w:b/>
          <w:bCs/>
        </w:rPr>
        <w:t xml:space="preserve">Mécanisme d’action commun :</w:t>
      </w:r>
      <w:r>
        <w:t xml:space="preserve"> </w:t>
      </w:r>
      <w:r>
        <w:t xml:space="preserve">Les benzimidazoles se lient avec haute affinité à la sous-unité β de la tubuline des helminthes, inhibant ainsi la polymérisation des microtubules cytoplasmiques. Cette disruption du cytosquelette microtubulaire bloque :</w:t>
      </w:r>
      <w:r>
        <w:t xml:space="preserve"> </w:t>
      </w:r>
      <w:r>
        <w:t xml:space="preserve">- L’absorption du glucose par le ver (privation énergétique) ;</w:t>
      </w:r>
      <w:r>
        <w:t xml:space="preserve"> </w:t>
      </w:r>
      <w:r>
        <w:t xml:space="preserve">- Le transport intracellulaire des vésicules sécrétoires ;</w:t>
      </w:r>
      <w:r>
        <w:t xml:space="preserve"> </w:t>
      </w:r>
      <w:r>
        <w:t xml:space="preserve">- La division cellulaire (mitose bloquée en métaphase).</w:t>
      </w:r>
    </w:p>
    <w:p>
      <w:pPr>
        <w:pStyle w:val="BodyText"/>
      </w:pPr>
      <w:r>
        <w:t xml:space="preserve">La conséquence fonctionnelle est une</w:t>
      </w:r>
      <w:r>
        <w:t xml:space="preserve"> </w:t>
      </w:r>
      <w:r>
        <w:rPr>
          <w:b/>
          <w:bCs/>
        </w:rPr>
        <w:t xml:space="preserve">vermifuge</w:t>
      </w:r>
      <w:r>
        <w:t xml:space="preserve"> </w:t>
      </w:r>
      <w:r>
        <w:t xml:space="preserve">(expulsion du ver vivant mais paralysé) ou une</w:t>
      </w:r>
      <w:r>
        <w:t xml:space="preserve"> </w:t>
      </w:r>
      <w:r>
        <w:rPr>
          <w:b/>
          <w:bCs/>
        </w:rPr>
        <w:t xml:space="preserve">vermicide</w:t>
      </w:r>
      <w:r>
        <w:t xml:space="preserve"> </w:t>
      </w:r>
      <w:r>
        <w:t xml:space="preserve">(mort du ver par épuisement énergétique), selon la molécule et la dose. La sélectivité de cette action pour la tubuline parasitaire s’explique par une affinité 100 à 1000 fois supérieure à celle de la tubuline humaine, bien qu’une toxicité hématologique et hépatique soit observée lors de traitements prolongés (hydatidose).</w:t>
      </w:r>
    </w:p>
    <w:p>
      <w:pPr>
        <w:pStyle w:val="BodyText"/>
      </w:pPr>
      <w:r>
        <w:rPr>
          <w:b/>
          <w:bCs/>
        </w:rPr>
        <w:t xml:space="preserve">Particularités pharmacocinétiques :</w:t>
      </w:r>
      <w:r>
        <w:t xml:space="preserve"> </w:t>
      </w:r>
      <w:r>
        <w:t xml:space="preserve">-</w:t>
      </w:r>
      <w:r>
        <w:t xml:space="preserve"> </w:t>
      </w:r>
      <w:r>
        <w:rPr>
          <w:b/>
          <w:bCs/>
        </w:rPr>
        <w:t xml:space="preserve">Albendazole</w:t>
      </w:r>
      <w:r>
        <w:t xml:space="preserve"> </w:t>
      </w:r>
      <w:r>
        <w:t xml:space="preserve">: prodrogue à très faible biodisponibilité orale (&lt; 5%) à jeun ; mais l’absorption augmente considérablement (5 à 10 fois) en prise avec un repas riche en graisses. Le métabolite actif est l’albendazole sulfoxyde (métabolisme hépatique par CYP3A4 et FMO), dont la demi-vie est de 8 à 12 heures.</w:t>
      </w:r>
      <w:r>
        <w:t xml:space="preserve"> </w:t>
      </w:r>
      <w:r>
        <w:t xml:space="preserve">-</w:t>
      </w:r>
      <w:r>
        <w:t xml:space="preserve"> </w:t>
      </w:r>
      <w:r>
        <w:rPr>
          <w:b/>
          <w:bCs/>
        </w:rPr>
        <w:t xml:space="preserve">Mébendazole</w:t>
      </w:r>
      <w:r>
        <w:t xml:space="preserve"> </w:t>
      </w:r>
      <w:r>
        <w:t xml:space="preserve">: absorption orale très faible (&lt; 10%), ce qui le destine à l’action locale intra-luminale (oxyurose, ascaridiose). Faible passage systémique mais suffisant pour l’hydatidose à haute dose.</w:t>
      </w:r>
      <w:r>
        <w:t xml:space="preserve"> </w:t>
      </w:r>
      <w:r>
        <w:t xml:space="preserve">-</w:t>
      </w:r>
      <w:r>
        <w:t xml:space="preserve"> </w:t>
      </w:r>
      <w:r>
        <w:rPr>
          <w:b/>
          <w:bCs/>
        </w:rPr>
        <w:t xml:space="preserve">Flubendazole</w:t>
      </w:r>
      <w:r>
        <w:t xml:space="preserve"> </w:t>
      </w:r>
      <w:r>
        <w:t xml:space="preserve">: quasi-inabsorbable (&lt; 1%), action exclusivement luminale, profil de tolérance excellent en pédiatrie.</w:t>
      </w:r>
      <w:r>
        <w:t xml:space="preserve"> </w:t>
      </w:r>
      <w:r>
        <w:t xml:space="preserve">-</w:t>
      </w:r>
      <w:r>
        <w:t xml:space="preserve"> </w:t>
      </w:r>
      <w:r>
        <w:rPr>
          <w:b/>
          <w:bCs/>
        </w:rPr>
        <w:t xml:space="preserve">Tiabendazole</w:t>
      </w:r>
      <w:r>
        <w:t xml:space="preserve"> </w:t>
      </w:r>
      <w:r>
        <w:t xml:space="preserve">: à l’inverse des précédents, biodisponibilité orale élevée, métabolisme hépatique rapide, demi-vie courte (~1 heure). Administré en cures courtes mais tolérance médiocre (nausées).</w:t>
      </w:r>
    </w:p>
    <w:p>
      <w:pPr>
        <w:pStyle w:val="BodyText"/>
      </w:pPr>
      <w:r>
        <w:rPr>
          <w:b/>
          <w:bCs/>
        </w:rPr>
        <w:t xml:space="preserve">Molécules non disponibles en Algérie (mention obligatoire) :</w:t>
      </w:r>
      <w:r>
        <w:t xml:space="preserve"> </w:t>
      </w:r>
      <w:r>
        <w:t xml:space="preserve">-</w:t>
      </w:r>
      <w:r>
        <w:t xml:space="preserve"> </w:t>
      </w:r>
      <w:r>
        <w:rPr>
          <w:b/>
          <w:bCs/>
        </w:rPr>
        <w:t xml:space="preserve">Triclabendazole</w:t>
      </w:r>
      <w:r>
        <w:t xml:space="preserve"> </w:t>
      </w:r>
      <w:r>
        <w:t xml:space="preserve">: indiqué dans les distomatoses à Fasciola hepatica et F. gigantica ; utilisation nécessitant importation exceptionnelle.</w:t>
      </w:r>
      <w:r>
        <w:t xml:space="preserve"> </w:t>
      </w:r>
      <w:r>
        <w:t xml:space="preserve">-</w:t>
      </w:r>
      <w:r>
        <w:t xml:space="preserve"> </w:t>
      </w:r>
      <w:r>
        <w:rPr>
          <w:b/>
          <w:bCs/>
        </w:rPr>
        <w:t xml:space="preserve">Fenbendazole, oxfendazole</w:t>
      </w:r>
      <w:r>
        <w:t xml:space="preserve"> </w:t>
      </w:r>
      <w:r>
        <w:t xml:space="preserve">: réservés à l’usage vétérinaire.</w:t>
      </w:r>
    </w:p>
    <w:p>
      <w:pPr>
        <w:pStyle w:val="BodyText"/>
      </w:pPr>
      <w:r>
        <w:rPr>
          <w:b/>
          <w:bCs/>
        </w:rPr>
        <w:t xml:space="preserve">Spectre d’action :</w:t>
      </w:r>
      <w:r>
        <w:t xml:space="preserve"> </w:t>
      </w:r>
      <w:r>
        <w:t xml:space="preserve">Nématodes intestinaux (Ascaris lumbricoides, Enterobius vermicularis, Necator americanus, Ancylostoma duodenale, Trichuris trichiura, Strongyloides stercoralis — efficacité partielle) ; cestodes (Taenia saginata, T. solium, Hymenolepis nana) pour l’albendazole ; protozoaires (Giardia lamblia, Microsporidium) pour l’albendazole ; ectoparasites (usage topique vétérinaire) pour le tiabendazole.</w:t>
      </w:r>
    </w:p>
    <w:p>
      <w:r>
        <w:pict>
          <v:rect style="width:0;height:1.5pt" o:hralign="center" o:hrstd="t" o:hr="t"/>
        </w:pict>
      </w:r>
    </w:p>
    <w:bookmarkEnd w:id="129"/>
    <w:bookmarkStart w:id="130" w:name="dci-albendazole-seul"/>
    <w:p>
      <w:pPr>
        <w:pStyle w:val="Heading3"/>
      </w:pPr>
      <w:r>
        <w:t xml:space="preserve">15.2.1 DCI : Albendazole (Seul)</w:t>
      </w:r>
    </w:p>
    <w:p>
      <w:pPr>
        <w:pStyle w:val="FirstParagraph"/>
      </w:pPr>
      <w:r>
        <w:rPr>
          <w:b/>
          <w:bCs/>
        </w:rPr>
        <w:t xml:space="preserve">Liste des Catégories :</w:t>
      </w:r>
      <w:r>
        <w:t xml:space="preserve"> </w:t>
      </w:r>
      <w:r>
        <w:t xml:space="preserve">Antihelminthiques – Benzimidazoles ; Liste II (stupéfiants apparentés en Algérie — délivrance réglementée).</w:t>
      </w:r>
    </w:p>
    <w:p>
      <w:pPr>
        <w:pStyle w:val="BodyText"/>
      </w:pPr>
      <w:r>
        <w:t xml:space="preserve">L’albendazole est un benzimidazole à large spectre, considéré comme l’antihelminthique de référence pour les nématodoses intestinales, les cestodoses et le traitement adjuvant de l’hydatidose. Son profil pharmacocinétique particulier — prodrogue nécessitant une activation hépatique en albendazole sulfoxyde — explique les recommandations de prise au cours d’un repas riche en graisses (qui multiplie par 4 à 5 la biodisponibilité). Cette particularité doit être systématiquement expliquée au patient au comptoir, faute de quoi l’efficacité thérapeutique peut être compromise, notamment dans le traitement prolongé de l’échinococcose.</w:t>
      </w:r>
    </w:p>
    <w:p>
      <w:pPr>
        <w:pStyle w:val="BodyText"/>
      </w:pPr>
      <w:r>
        <w:rPr>
          <w:b/>
          <w:bCs/>
        </w:rPr>
        <w:t xml:space="preserve">Médicaments disponibles en Algérie (Marques, Laboratoires, Formes et Dosages) :</w:t>
      </w:r>
    </w:p>
    <w:p>
      <w:pPr>
        <w:pStyle w:val="Compact"/>
        <w:numPr>
          <w:ilvl w:val="0"/>
          <w:numId w:val="1344"/>
        </w:numPr>
      </w:pPr>
      <w:r>
        <w:rPr>
          <w:b/>
          <w:bCs/>
        </w:rPr>
        <w:t xml:space="preserve">OXYZOL</w:t>
      </w:r>
      <w:r>
        <w:t xml:space="preserve"> </w:t>
      </w:r>
      <w:r>
        <w:t xml:space="preserve">(BIOLOGIE ET VITAMINE D’ALGERIE BIOVITAL)</w:t>
      </w:r>
    </w:p>
    <w:p>
      <w:pPr>
        <w:pStyle w:val="Compact"/>
        <w:numPr>
          <w:ilvl w:val="1"/>
          <w:numId w:val="1345"/>
        </w:numPr>
      </w:pPr>
      <w:r>
        <w:t xml:space="preserve">Formes et Dosages : Comprimé pelliculé sécable 400 mg — B/01</w:t>
      </w:r>
    </w:p>
    <w:p>
      <w:pPr>
        <w:pStyle w:val="Compact"/>
        <w:numPr>
          <w:ilvl w:val="1"/>
          <w:numId w:val="1345"/>
        </w:numPr>
      </w:pPr>
      <w:r>
        <w:t xml:space="preserve">Statut : Actif</w:t>
      </w:r>
    </w:p>
    <w:p>
      <w:pPr>
        <w:pStyle w:val="Compact"/>
        <w:numPr>
          <w:ilvl w:val="0"/>
          <w:numId w:val="1344"/>
        </w:numPr>
      </w:pPr>
      <w:r>
        <w:rPr>
          <w:b/>
          <w:bCs/>
        </w:rPr>
        <w:t xml:space="preserve">VERTEL HUP</w:t>
      </w:r>
      <w:r>
        <w:t xml:space="preserve"> </w:t>
      </w:r>
      <w:r>
        <w:t xml:space="preserve">(HUPP PHARMA)</w:t>
      </w:r>
    </w:p>
    <w:p>
      <w:pPr>
        <w:pStyle w:val="Compact"/>
        <w:numPr>
          <w:ilvl w:val="1"/>
          <w:numId w:val="1346"/>
        </w:numPr>
      </w:pPr>
      <w:r>
        <w:t xml:space="preserve">Formes et Dosages : Comprimé 400 mg — Boîte de 1 et Boîte de 56</w:t>
      </w:r>
    </w:p>
    <w:p>
      <w:pPr>
        <w:pStyle w:val="Compact"/>
        <w:numPr>
          <w:ilvl w:val="1"/>
          <w:numId w:val="1346"/>
        </w:numPr>
      </w:pPr>
      <w:r>
        <w:t xml:space="preserve">Statut : Actif</w:t>
      </w:r>
    </w:p>
    <w:p>
      <w:pPr>
        <w:pStyle w:val="Compact"/>
        <w:numPr>
          <w:ilvl w:val="0"/>
          <w:numId w:val="1344"/>
        </w:numPr>
      </w:pPr>
      <w:r>
        <w:rPr>
          <w:b/>
          <w:bCs/>
        </w:rPr>
        <w:t xml:space="preserve">VERTEN</w:t>
      </w:r>
      <w:r>
        <w:t xml:space="preserve"> </w:t>
      </w:r>
      <w:r>
        <w:t xml:space="preserve">(BIOGALENIC)</w:t>
      </w:r>
    </w:p>
    <w:p>
      <w:pPr>
        <w:pStyle w:val="Compact"/>
        <w:numPr>
          <w:ilvl w:val="1"/>
          <w:numId w:val="1347"/>
        </w:numPr>
      </w:pPr>
      <w:r>
        <w:t xml:space="preserve">Formes et Dosages : Comprimé 400 mg — B/1 et B/56 ; Suspension buvable 0,4 g/10 ml — Flacon de 10 ml</w:t>
      </w:r>
    </w:p>
    <w:p>
      <w:pPr>
        <w:pStyle w:val="Compact"/>
        <w:numPr>
          <w:ilvl w:val="1"/>
          <w:numId w:val="1347"/>
        </w:numPr>
      </w:pPr>
      <w:r>
        <w:t xml:space="preserve">Statut : Actif</w:t>
      </w:r>
    </w:p>
    <w:p>
      <w:pPr>
        <w:pStyle w:val="FirstParagraph"/>
      </w:pPr>
      <w:r>
        <w:t xml:space="preserve">La diversité des conditionnements (boîte unitaire pour les traitements courts, boîte de 56 pour les cures prolongées d’hydatidose) répond à la double vocation du médicament : traitement minute des nématodoses et traitement prolongé des cestodoses et de l’échinococcose.</w:t>
      </w:r>
    </w:p>
    <w:p>
      <w:pPr>
        <w:pStyle w:val="BodyText"/>
      </w:pPr>
      <w:r>
        <w:rPr>
          <w:b/>
          <w:bCs/>
        </w:rPr>
        <w:t xml:space="preserve">Sous-classe et Mécanisme d’action :</w:t>
      </w:r>
      <w:r>
        <w:t xml:space="preserve"> </w:t>
      </w:r>
      <w:r>
        <w:t xml:space="preserve">- Sous-classe : Benzimidazoles à large spectre, antihelminthique de référence systémique.</w:t>
      </w:r>
      <w:r>
        <w:t xml:space="preserve"> </w:t>
      </w:r>
      <w:r>
        <w:t xml:space="preserve">- Mécanisme d’action : L’albendazole (prodrogue) est métabolisée en albendazole sulfoxyde (composé actif) par le CYP3A4 hépatique et la flavine-monooxygénase (FMO). Ce métabolite se lie avec haute affinité à la β-tubuline des helminthes, inhibant la polymérisation des microtubules. Il en résulte un blocage de l’absorption du glucose par le parasite, une interruption du transport axonal des vésicules sécrétoires, et un arrêt de la mitose en métaphase. L’effet est</w:t>
      </w:r>
      <w:r>
        <w:t xml:space="preserve"> </w:t>
      </w:r>
      <w:r>
        <w:rPr>
          <w:b/>
          <w:bCs/>
        </w:rPr>
        <w:t xml:space="preserve">vermicide</w:t>
      </w:r>
      <w:r>
        <w:t xml:space="preserve"> </w:t>
      </w:r>
      <w:r>
        <w:t xml:space="preserve">(mort du parasite par épuisement énergétique). L’affinité pour la tubuline parasitaire est 100 à 400 fois supérieure à celle de la tubuline humaine, ce qui explique la tolérance générale aux doses standard.</w:t>
      </w:r>
    </w:p>
    <w:p>
      <w:pPr>
        <w:pStyle w:val="BodyText"/>
      </w:pPr>
      <w:r>
        <w:rPr>
          <w:b/>
          <w:bCs/>
        </w:rPr>
        <w:t xml:space="preserve">Profil Pharmacologique :</w:t>
      </w:r>
      <w:r>
        <w:t xml:space="preserve"> </w:t>
      </w:r>
      <w:r>
        <w:t xml:space="preserve">- Indications : Oxyurose (Enterobius vermicularis) ; ascaridiose (Ascaris lumbricoides) ; anguillulose (Strongyloides stercoralis — efficacité variable) ; ankylostomose (Necator americanus, Ancylostoma duodenale) ; trichocéphalose (Trichuris trichiura) ; téniasis à Taenia saginata et T. solium (forme intestinale adulte) ; hyménolépiase (Hymenolepis nana) ; échinococcose hydatique (Echinococcus granulosus) en traitement adjuvant pré- et postopératoire ; neurocysticercose (Taenia solium larvaire — indication de spécialité, rare en Algérie) ; giardiose en alternative au métronidazole ; microsporidiose chez l’immunodéprimé.</w:t>
      </w:r>
      <w:r>
        <w:t xml:space="preserve"> </w:t>
      </w:r>
      <w:r>
        <w:t xml:space="preserve">- Contre-indications : Hypersensibilité aux benzimidazoles ; grossesse (CI absolue, particulièrement au 1er trimestre, en raison du risque tératogène démontré — embryotoxicité et tératogénicité chez l’animal) ; insuffisance hépatique sévère ; affections rétiniennes préexistantes (risque de rétinopathie toxique sur traitement prolongé hydatidose) ; allaitement (à éviter pendant le traitement).</w:t>
      </w:r>
      <w:r>
        <w:t xml:space="preserve"> </w:t>
      </w:r>
      <w:r>
        <w:t xml:space="preserve">- Effets Indésirables :</w:t>
      </w:r>
      <w:r>
        <w:t xml:space="preserve"> </w:t>
      </w:r>
      <w:r>
        <w:t xml:space="preserve">-</w:t>
      </w:r>
      <w:r>
        <w:t xml:space="preserve"> </w:t>
      </w:r>
      <w:r>
        <w:rPr>
          <w:b/>
          <w:bCs/>
        </w:rPr>
        <w:t xml:space="preserve">Aux doses standard (400 mg dose unique)</w:t>
      </w:r>
      <w:r>
        <w:t xml:space="preserve"> </w:t>
      </w:r>
      <w:r>
        <w:t xml:space="preserve">: Troubles digestifs bénins (nausées, douleurs abdominales, diarrhée), céphalées, vertiges, fatigue transitoire.</w:t>
      </w:r>
      <w:r>
        <w:t xml:space="preserve"> </w:t>
      </w:r>
      <w:r>
        <w:t xml:space="preserve">-</w:t>
      </w:r>
      <w:r>
        <w:t xml:space="preserve"> </w:t>
      </w:r>
      <w:r>
        <w:rPr>
          <w:b/>
          <w:bCs/>
        </w:rPr>
        <w:t xml:space="preserve">Aux doses prolongées (hydatidose, 400 mg × 2/jour pendant 3 à 6 mois)</w:t>
      </w:r>
      <w:r>
        <w:t xml:space="preserve"> </w:t>
      </w:r>
      <w:r>
        <w:t xml:space="preserve">: Hépatotoxicité (élévation ALAT/ASAT, cytolyse, hépatite médicamenteuse) ; myélosuppression (neutropénie, thrombopénie, rarement aplasie médullaire) ; alopécie réversible ; rash cutané ; fièvre médicamenteuse ; réaction inflammatoire aux parasites lysés (réaction d’Hypersensibilité de type I, particulièrement dans la neurocysticercose — œdème cérébral, convulsions, hypertension intracrânienne).</w:t>
      </w:r>
    </w:p>
    <w:p>
      <w:pPr>
        <w:pStyle w:val="BodyText"/>
      </w:pPr>
      <w:r>
        <w:rPr>
          <w:b/>
          <w:bCs/>
        </w:rPr>
        <w:t xml:space="preserve">Prévention et Gestion des Effets Indésirables :</w:t>
      </w:r>
      <w:r>
        <w:t xml:space="preserve"> </w:t>
      </w:r>
      <w:r>
        <w:t xml:space="preserve">- Mesures Préventives :</w:t>
      </w:r>
      <w:r>
        <w:t xml:space="preserve"> </w:t>
      </w:r>
      <w:r>
        <w:t xml:space="preserve">-</w:t>
      </w:r>
      <w:r>
        <w:t xml:space="preserve"> </w:t>
      </w:r>
      <w:r>
        <w:rPr>
          <w:b/>
          <w:bCs/>
        </w:rPr>
        <w:t xml:space="preserve">Test de grossesse</w:t>
      </w:r>
      <w:r>
        <w:t xml:space="preserve"> </w:t>
      </w:r>
      <w:r>
        <w:t xml:space="preserve">pré-thérapeutique systématique chez toute femme en âge de procréer (β-hCG plasmatique ou urinaire) avant initiation d’un traitement par albendazole ; contraception efficace pendant et 1 mois après la fin du traitement (délai d’élimination complète de la molécule et de ses métabolites).</w:t>
      </w:r>
      <w:r>
        <w:t xml:space="preserve"> </w:t>
      </w:r>
      <w:r>
        <w:t xml:space="preserve">-</w:t>
      </w:r>
      <w:r>
        <w:t xml:space="preserve"> </w:t>
      </w:r>
      <w:r>
        <w:rPr>
          <w:b/>
          <w:bCs/>
        </w:rPr>
        <w:t xml:space="preserve">Bilan hépatique initial</w:t>
      </w:r>
      <w:r>
        <w:t xml:space="preserve"> </w:t>
      </w:r>
      <w:r>
        <w:t xml:space="preserve">(ALAT, ASAT, PAL, γ-GT, bilirubine) et</w:t>
      </w:r>
      <w:r>
        <w:t xml:space="preserve"> </w:t>
      </w:r>
      <w:r>
        <w:rPr>
          <w:b/>
          <w:bCs/>
        </w:rPr>
        <w:t xml:space="preserve">NFS-plaquettes</w:t>
      </w:r>
      <w:r>
        <w:t xml:space="preserve"> </w:t>
      </w:r>
      <w:r>
        <w:t xml:space="preserve">de référence avant tout traitement prolongé (&gt; 3 jours).</w:t>
      </w:r>
      <w:r>
        <w:t xml:space="preserve"> </w:t>
      </w:r>
      <w:r>
        <w:t xml:space="preserve">-</w:t>
      </w:r>
      <w:r>
        <w:t xml:space="preserve"> </w:t>
      </w:r>
      <w:r>
        <w:rPr>
          <w:b/>
          <w:bCs/>
        </w:rPr>
        <w:t xml:space="preserve">Surveillance biologique mensuelle</w:t>
      </w:r>
      <w:r>
        <w:t xml:space="preserve"> </w:t>
      </w:r>
      <w:r>
        <w:t xml:space="preserve">pendant les cures d’hydatidose : NFS-plaquettes (détection précoce d’une neutropénie &lt; 1500/mm³ imposant l’arrêt transitoire), ALAT/ASAT (arrêt si élévation &gt; 3 × LSN).</w:t>
      </w:r>
      <w:r>
        <w:t xml:space="preserve"> </w:t>
      </w:r>
      <w:r>
        <w:t xml:space="preserve">-</w:t>
      </w:r>
      <w:r>
        <w:t xml:space="preserve"> </w:t>
      </w:r>
      <w:r>
        <w:rPr>
          <w:b/>
          <w:bCs/>
        </w:rPr>
        <w:t xml:space="preserve">Examen ophtalmologique</w:t>
      </w:r>
      <w:r>
        <w:t xml:space="preserve"> </w:t>
      </w:r>
      <w:r>
        <w:t xml:space="preserve">avant et tous les 3 mois pour les cures &gt; 1 mois (recherche de lésions rétiniennes).</w:t>
      </w:r>
      <w:r>
        <w:t xml:space="preserve"> </w:t>
      </w:r>
      <w:r>
        <w:t xml:space="preserve">- Conduite à Tenir :</w:t>
      </w:r>
      <w:r>
        <w:t xml:space="preserve"> </w:t>
      </w:r>
      <w:r>
        <w:t xml:space="preserve">- Arrêt immédiat en cas de neutropénie &lt; 1000/mm³, thrombopénie &lt; 100 000/mm³, ou cytolyse hépatique &gt; 5 × LSN.</w:t>
      </w:r>
      <w:r>
        <w:t xml:space="preserve"> </w:t>
      </w:r>
      <w:r>
        <w:t xml:space="preserve">- Réintroduction éventuelle après normalisation biologique, parfois à dose réduite.</w:t>
      </w:r>
      <w:r>
        <w:t xml:space="preserve"> </w:t>
      </w:r>
      <w:r>
        <w:t xml:space="preserve">- Dans la neurocysticercose : prémédication par corticothérapie (prednisone 1 mg/kg/j ou dexaméthasone) et anticonvulsivants pour prévenir l’œdème cérébral réactionnel.</w:t>
      </w:r>
    </w:p>
    <w:p>
      <w:pPr>
        <w:pStyle w:val="BodyText"/>
      </w:pPr>
      <w:r>
        <w:rPr>
          <w:b/>
          <w:bCs/>
        </w:rPr>
        <w:t xml:space="preserve">Interactions Importantes :</w:t>
      </w:r>
      <w:r>
        <w:t xml:space="preserve"> </w:t>
      </w:r>
      <w:r>
        <w:t xml:space="preserve">-</w:t>
      </w:r>
      <w:r>
        <w:t xml:space="preserve"> </w:t>
      </w:r>
      <w:r>
        <w:rPr>
          <w:b/>
          <w:bCs/>
        </w:rPr>
        <w:t xml:space="preserve">Albendazole + Dexaméthasone / Prednisone</w:t>
      </w:r>
      <w:r>
        <w:t xml:space="preserve"> </w:t>
      </w:r>
      <w:r>
        <w:t xml:space="preserve">: Augmentation des concentrations plasmatiques d’albendazole sulfoxyde (inhibition du métabolisme) — effet recherché en neurocysticercose mais potentiellement toxique en cas d’association non contrôlée.</w:t>
      </w:r>
      <w:r>
        <w:t xml:space="preserve"> </w:t>
      </w:r>
      <w:r>
        <w:t xml:space="preserve">-</w:t>
      </w:r>
      <w:r>
        <w:t xml:space="preserve"> </w:t>
      </w:r>
      <w:r>
        <w:rPr>
          <w:b/>
          <w:bCs/>
        </w:rPr>
        <w:t xml:space="preserve">Albendazole + Praziquantel</w:t>
      </w:r>
      <w:r>
        <w:t xml:space="preserve"> </w:t>
      </w:r>
      <w:r>
        <w:t xml:space="preserve">: Augmentation des taux plasmatiques de praziquantel (inhibition du CYP3A4 par l’albendazole sulfoxyde) — effet synergique utilisé dans l’hydatidose.</w:t>
      </w:r>
      <w:r>
        <w:t xml:space="preserve"> </w:t>
      </w:r>
      <w:r>
        <w:t xml:space="preserve">-</w:t>
      </w:r>
      <w:r>
        <w:t xml:space="preserve"> </w:t>
      </w:r>
      <w:r>
        <w:rPr>
          <w:b/>
          <w:bCs/>
        </w:rPr>
        <w:t xml:space="preserve">Albendazole + Cimétidine</w:t>
      </w:r>
      <w:r>
        <w:t xml:space="preserve"> </w:t>
      </w:r>
      <w:r>
        <w:t xml:space="preserve">: Augmentation modérée du taux d’albendazole sulfoxyde (inhibition du métabolisme).</w:t>
      </w:r>
      <w:r>
        <w:t xml:space="preserve"> </w:t>
      </w:r>
      <w:r>
        <w:t xml:space="preserve">-</w:t>
      </w:r>
      <w:r>
        <w:t xml:space="preserve"> </w:t>
      </w:r>
      <w:r>
        <w:rPr>
          <w:b/>
          <w:bCs/>
        </w:rPr>
        <w:t xml:space="preserve">Albendazole + Carbamazépine / Phénytoïne / Phénobarbital</w:t>
      </w:r>
      <w:r>
        <w:t xml:space="preserve"> </w:t>
      </w:r>
      <w:r>
        <w:t xml:space="preserve">: Baisse d’efficacité de l’albendazole par induction enzymatique (CYP3A4) — diminution des concentrations d’albendazole sulfoxyde de 50 % ou plus.</w:t>
      </w:r>
      <w:r>
        <w:t xml:space="preserve"> </w:t>
      </w:r>
      <w:r>
        <w:t xml:space="preserve">-</w:t>
      </w:r>
      <w:r>
        <w:t xml:space="preserve"> </w:t>
      </w:r>
      <w:r>
        <w:rPr>
          <w:b/>
          <w:bCs/>
        </w:rPr>
        <w:t xml:space="preserve">Albendazole + Rifampicine</w:t>
      </w:r>
      <w:r>
        <w:t xml:space="preserve"> </w:t>
      </w:r>
      <w:r>
        <w:t xml:space="preserve">: Induction enzymatique marquée, réduction de l’efficacité (à éviter).</w:t>
      </w:r>
      <w:r>
        <w:t xml:space="preserve"> </w:t>
      </w:r>
      <w:r>
        <w:t xml:space="preserve">-</w:t>
      </w:r>
      <w:r>
        <w:t xml:space="preserve"> </w:t>
      </w:r>
      <w:r>
        <w:rPr>
          <w:b/>
          <w:bCs/>
        </w:rPr>
        <w:t xml:space="preserve">Albendazole + Théophylline</w:t>
      </w:r>
      <w:r>
        <w:t xml:space="preserve"> </w:t>
      </w:r>
      <w:r>
        <w:t xml:space="preserve">: Augmentation modérée des taux de théophylline (inhibition de son métabolisme hépatique).</w:t>
      </w:r>
      <w:r>
        <w:t xml:space="preserve"> </w:t>
      </w:r>
      <w:r>
        <w:t xml:space="preserve">-</w:t>
      </w:r>
      <w:r>
        <w:t xml:space="preserve"> </w:t>
      </w:r>
      <w:r>
        <w:rPr>
          <w:b/>
          <w:bCs/>
        </w:rPr>
        <w:t xml:space="preserve">Albendazole + Anticoagulants oraux</w:t>
      </w:r>
      <w:r>
        <w:t xml:space="preserve"> </w:t>
      </w:r>
      <w:r>
        <w:t xml:space="preserve">: Risque de modification de l’INR (surveillance).</w:t>
      </w:r>
    </w:p>
    <w:p>
      <w:pPr>
        <w:pStyle w:val="BodyText"/>
      </w:pPr>
      <w:r>
        <w:rPr>
          <w:b/>
          <w:bCs/>
        </w:rPr>
        <w:t xml:space="preserve">Grossesse et Allaitement :</w:t>
      </w:r>
      <w:r>
        <w:t xml:space="preserve"> </w:t>
      </w:r>
      <w:r>
        <w:t xml:space="preserve">- Grossesse :</w:t>
      </w:r>
      <w:r>
        <w:t xml:space="preserve"> </w:t>
      </w:r>
      <w:r>
        <w:rPr>
          <w:b/>
          <w:bCs/>
        </w:rPr>
        <w:t xml:space="preserve">CI absolue au 1er trimestre</w:t>
      </w:r>
      <w:r>
        <w:t xml:space="preserve"> </w:t>
      </w:r>
      <w:r>
        <w:t xml:space="preserve">(risque tératogène démontré chez l’animal : anomalies de fermeture du tube neural, fentes palatines, anomalies squelettiques). Au 2e et 3e trimestre, le rapport bénéfice/risque reste défavorable et l’albendazole n’est pas recommandé sauf situation vitale (hydatidose multiviscérale menaçante). Selon le CRAT, l’albendazole est à éviter pendant toute la grossesse. Le pyrantel ou le niclosamide sont les alternatives de choix en cas de parasitose nécessitant un traitement pendant la grossesse.</w:t>
      </w:r>
      <w:r>
        <w:t xml:space="preserve"> </w:t>
      </w:r>
      <w:r>
        <w:t xml:space="preserve">- Allaitement : L’albendazole sulfoxyde passe dans le lait maternel ; il est recommandé de ne pas allaiter pendant la durée du traitement et 24 à 48 heures après la dernière prise (doses uniques). Pour les cures prolongées, l’allaitement doit être interrompu.</w:t>
      </w:r>
      <w:r>
        <w:t xml:space="preserve"> </w:t>
      </w:r>
      <w:r>
        <w:t xml:space="preserve">- Précisions : Le risque tératogène est maximal entre la 3e et la 8e semaine de gestation (période d’organogenèse). Information essentielle à délivrer au comptoir.</w:t>
      </w:r>
    </w:p>
    <w:p>
      <w:pPr>
        <w:pStyle w:val="BodyText"/>
      </w:pPr>
      <w:r>
        <w:rPr>
          <w:b/>
          <w:bCs/>
        </w:rPr>
        <w:t xml:space="preserve">Posologie et Mode d’administration (Standard) :</w:t>
      </w:r>
      <w:r>
        <w:t xml:space="preserve"> </w:t>
      </w:r>
      <w:r>
        <w:t xml:space="preserve">- Adulte :</w:t>
      </w:r>
      <w:r>
        <w:t xml:space="preserve"> </w:t>
      </w:r>
      <w:r>
        <w:t xml:space="preserve">- Oxyurose : 400 mg en dose unique, à renouveler à J15 (élimination des vers éclos des œufs survivants).</w:t>
      </w:r>
      <w:r>
        <w:t xml:space="preserve"> </w:t>
      </w:r>
      <w:r>
        <w:t xml:space="preserve">- Ascaridiose, ankylostomose, trichocéphalose : 400 mg en dose unique.</w:t>
      </w:r>
      <w:r>
        <w:t xml:space="preserve"> </w:t>
      </w:r>
      <w:r>
        <w:t xml:space="preserve">- Anguillulose : 400 mg/jour pendant 3 jours (efficacité variable, ivermectine préférable mais non disponible en Algérie).</w:t>
      </w:r>
      <w:r>
        <w:t xml:space="preserve"> </w:t>
      </w:r>
      <w:r>
        <w:t xml:space="preserve">- Téniasis (Taenia saginata, T. solium) : 400 mg/jour pendant 3 jours.</w:t>
      </w:r>
      <w:r>
        <w:t xml:space="preserve"> </w:t>
      </w:r>
      <w:r>
        <w:t xml:space="preserve">- Hyménolépiase (Hymenolepis nana) : 400 mg/jour pendant 3 jours, à renouveler à J15 et J30 (cycle autoreinfestant).</w:t>
      </w:r>
      <w:r>
        <w:t xml:space="preserve"> </w:t>
      </w:r>
      <w:r>
        <w:t xml:space="preserve">- Hydatidose : 400 mg × 2/jour (soit 800 mg/j) en cures de 28 jours séparées par des intervalles de 14 jours sans traitement, à poursuivre 3 à 6 mois (parfois jusqu’à 12 mois pour les formes multiviscérales). Traitement adjuvant de la chirurgie ou en alternative chez les patients inopérables.</w:t>
      </w:r>
      <w:r>
        <w:t xml:space="preserve"> </w:t>
      </w:r>
      <w:r>
        <w:t xml:space="preserve">- Neurocysticercose : 400 mg × 2/jour pendant 8 à 30 jours, sous couverture corticoïde et anticonvulsivante.</w:t>
      </w:r>
      <w:r>
        <w:t xml:space="preserve"> </w:t>
      </w:r>
      <w:r>
        <w:t xml:space="preserve">- Enfant :</w:t>
      </w:r>
      <w:r>
        <w:t xml:space="preserve"> </w:t>
      </w:r>
      <w:r>
        <w:t xml:space="preserve">- &lt; 6 ans : 200 mg en dose unique (oxyurose, ascaridiose).</w:t>
      </w:r>
      <w:r>
        <w:t xml:space="preserve"> </w:t>
      </w:r>
      <w:r>
        <w:t xml:space="preserve">- ≥ 6 ans : posologie adulte (400 mg).</w:t>
      </w:r>
      <w:r>
        <w:t xml:space="preserve"> </w:t>
      </w:r>
      <w:r>
        <w:t xml:space="preserve">- Hydatidose pédiatrique : 15 mg/kg/jour (sans dépasser 800 mg/j) en 2 prises.</w:t>
      </w:r>
      <w:r>
        <w:t xml:space="preserve"> </w:t>
      </w:r>
      <w:r>
        <w:t xml:space="preserve">- Durée : Variable selon la parasitose — dose unique (oxyurose), cure courte 3 jours (anguillulose, téniasis), cure prolongée 3 à 12 mois (hydatidose, neurocysticercose).</w:t>
      </w:r>
      <w:r>
        <w:t xml:space="preserve"> </w:t>
      </w:r>
      <w:r>
        <w:t xml:space="preserve">- Moment de prise :</w:t>
      </w:r>
      <w:r>
        <w:t xml:space="preserve"> </w:t>
      </w:r>
      <w:r>
        <w:rPr>
          <w:b/>
          <w:bCs/>
        </w:rPr>
        <w:t xml:space="preserve">Au cours d’un repas riche en graisses</w:t>
      </w:r>
      <w:r>
        <w:t xml:space="preserve"> </w:t>
      </w:r>
      <w:r>
        <w:t xml:space="preserve">(augmentation de l’absorption de l’albendazole sulfoxyde d’un facteur 4 à 5), en particulier pour les indications systémiques (hydatidose, cestodoses). Pour l’oxyurose simple, la prise peut être indifférente.</w:t>
      </w:r>
    </w:p>
    <w:p>
      <w:pPr>
        <w:pStyle w:val="BodyText"/>
      </w:pPr>
      <w:r>
        <w:rPr>
          <w:b/>
          <w:bCs/>
        </w:rPr>
        <w:t xml:space="preserve">Arbitrage et Bénéfices des Formes Galéniques :</w:t>
      </w:r>
      <w:r>
        <w:t xml:space="preserve"> </w:t>
      </w:r>
      <w:r>
        <w:t xml:space="preserve">- Comprimé sécable 400 mg : adapté à l’adulte et à l’enfant de plus de 6 ans (sécabilité permettant l’adaptation à 200 mg pour le jeune enfant). Format unitaire (B/1) pour le traitement minute, format économique (B/56) pour les cures prolongées d’hydatidose.</w:t>
      </w:r>
      <w:r>
        <w:t xml:space="preserve"> </w:t>
      </w:r>
      <w:r>
        <w:t xml:space="preserve">- Suspension buvable 0,4 g/10 ml (soit 40 mg/ml) : indiquée pour l’enfant de moins de 6 ans, les patients incapables d’avaler les comprimés (sujets âgés, dysphagie). La suspension garantit une meilleure observance en pédiatrie et permet un dosage fin (mg/kg).</w:t>
      </w:r>
      <w:r>
        <w:t xml:space="preserve"> </w:t>
      </w:r>
      <w:r>
        <w:t xml:space="preserve">- Arbitrage thérapeutique : Privilégier la forme orale solide chez l’adulte et l’enfant &gt; 6 ans pour l’oxyurose et les nématodoses ; la suspension pour la pédiatrie. Pour l’hydatidose, le comprimé en conditionnement de 56 est l’option économique et écologique (réduction des emballages).</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 </w:t>
      </w:r>
      <w:r>
        <w:t xml:space="preserve">“</w:t>
      </w:r>
      <w:r>
        <w:t xml:space="preserve">Ce médicament tue les vers. Pour l’oxyurose (les petits vers blancs qui provoquent des démangeaisons anales), prenez 1 comprimé maintenant et un 2e dans 15 jours.</w:t>
      </w:r>
      <w:r>
        <w:t xml:space="preserve">”</w:t>
      </w:r>
      <w:r>
        <w:t xml:space="preserve"> </w:t>
      </w:r>
      <w:r>
        <w:t xml:space="preserve">-</w:t>
      </w:r>
      <w:r>
        <w:t xml:space="preserve"> </w:t>
      </w:r>
      <w:r>
        <w:t xml:space="preserve">“</w:t>
      </w:r>
      <w:r>
        <w:t xml:space="preserve">Traitement de toute la famille : tout le monde sous le même toit doit être traité en même temps, même sans symptômes, sinon les reins se recontamineront mutuellement.</w:t>
      </w:r>
      <w:r>
        <w:t xml:space="preserve">”</w:t>
      </w:r>
      <w:r>
        <w:t xml:space="preserve"> </w:t>
      </w:r>
      <w:r>
        <w:t xml:space="preserve">-</w:t>
      </w:r>
      <w:r>
        <w:t xml:space="preserve"> </w:t>
      </w:r>
      <w:r>
        <w:t xml:space="preserve">“</w:t>
      </w:r>
      <w:r>
        <w:t xml:space="preserve">Hygiène : coupez les ongles courts, changez les sous-vêtements quotidiennement, lavez les draps à 60°C pendant le traitement.</w:t>
      </w:r>
      <w:r>
        <w:t xml:space="preserve">”</w:t>
      </w:r>
      <w:r>
        <w:t xml:space="preserve"> </w:t>
      </w:r>
      <w:r>
        <w:t xml:space="preserve">-</w:t>
      </w:r>
      <w:r>
        <w:t xml:space="preserve"> </w:t>
      </w:r>
      <w:r>
        <w:t xml:space="preserve">“</w:t>
      </w:r>
      <w:r>
        <w:t xml:space="preserve">Pour que le médicament soit bien absorbé, prenez-le pendant un repas, idéalement un peu gras.</w:t>
      </w:r>
      <w:r>
        <w:t xml:space="preserve">”</w:t>
      </w:r>
      <w:r>
        <w:t xml:space="preserve"> </w:t>
      </w:r>
      <w:r>
        <w:t xml:space="preserve">- Mode d’utilisation pratique :</w:t>
      </w:r>
      <w:r>
        <w:t xml:space="preserve"> </w:t>
      </w:r>
      <w:r>
        <w:t xml:space="preserve">- Avaler le comprimé avec un grand verre d’eau au cours du repas.</w:t>
      </w:r>
      <w:r>
        <w:t xml:space="preserve"> </w:t>
      </w:r>
      <w:r>
        <w:t xml:space="preserve">- Pour la suspension : bien agiter le flacon avant emploi, utiliser la cuillère-mesure fournie (10 ml = 400 mg).</w:t>
      </w:r>
      <w:r>
        <w:t xml:space="preserve"> </w:t>
      </w:r>
      <w:r>
        <w:t xml:space="preserve">- 2e dose à J15 indispensable pour l’oxyurose (cycle parasitaire de 3 semaines).</w:t>
      </w:r>
      <w:r>
        <w:t xml:space="preserve"> </w:t>
      </w:r>
      <w:r>
        <w:t xml:space="preserve">- En cas d’oubli d’une dose (hydatidose) : la prendre dès que possible dans la journée ; ne pas doubler la dose suivante.</w:t>
      </w:r>
    </w:p>
    <w:p>
      <w:pPr>
        <w:pStyle w:val="BodyText"/>
      </w:pPr>
      <w:r>
        <w:rPr>
          <w:b/>
          <w:bCs/>
        </w:rPr>
        <w:t xml:space="preserve">Notes, Règles d’Or &amp; Pièges au Comptoir :</w:t>
      </w:r>
      <w:r>
        <w:t xml:space="preserve"> </w:t>
      </w:r>
      <w:r>
        <w:t xml:space="preserve">- Piège classique :</w:t>
      </w:r>
      <w:r>
        <w:t xml:space="preserve"> </w:t>
      </w:r>
      <w:r>
        <w:t xml:space="preserve">-</w:t>
      </w:r>
      <w:r>
        <w:t xml:space="preserve"> </w:t>
      </w:r>
      <w:r>
        <w:rPr>
          <w:b/>
          <w:bCs/>
        </w:rPr>
        <w:t xml:space="preserve">Prescription d’albendazole chez une femme enceinte</w:t>
      </w:r>
      <w:r>
        <w:t xml:space="preserve"> </w:t>
      </w:r>
      <w:r>
        <w:t xml:space="preserve">(notamment en début de grossesse non diagnostiquée) : toujours demander la date des dernières règles ou proposer un test de grossesse avant délivrance chez une femme en âge de procréer sans contraception fiable.</w:t>
      </w:r>
      <w:r>
        <w:t xml:space="preserve"> </w:t>
      </w:r>
      <w:r>
        <w:t xml:space="preserve">-</w:t>
      </w:r>
      <w:r>
        <w:t xml:space="preserve"> </w:t>
      </w:r>
      <w:r>
        <w:rPr>
          <w:b/>
          <w:bCs/>
        </w:rPr>
        <w:t xml:space="preserve">Non-traitement des contacts familiaux</w:t>
      </w:r>
      <w:r>
        <w:t xml:space="preserve"> </w:t>
      </w:r>
      <w:r>
        <w:t xml:space="preserve">dans l’oxyurose (source principale de réinfestation).</w:t>
      </w:r>
      <w:r>
        <w:t xml:space="preserve"> </w:t>
      </w:r>
      <w:r>
        <w:t xml:space="preserve">-</w:t>
      </w:r>
      <w:r>
        <w:t xml:space="preserve"> </w:t>
      </w:r>
      <w:r>
        <w:rPr>
          <w:b/>
          <w:bCs/>
        </w:rPr>
        <w:t xml:space="preserve">Oubli de la 2e dose à J15</w:t>
      </w:r>
      <w:r>
        <w:t xml:space="preserve"> </w:t>
      </w:r>
      <w:r>
        <w:t xml:space="preserve">dans l’oxyurose (rechute quasi constante).</w:t>
      </w:r>
      <w:r>
        <w:t xml:space="preserve"> </w:t>
      </w:r>
      <w:r>
        <w:t xml:space="preserve">-</w:t>
      </w:r>
      <w:r>
        <w:t xml:space="preserve"> </w:t>
      </w:r>
      <w:r>
        <w:rPr>
          <w:b/>
          <w:bCs/>
        </w:rPr>
        <w:t xml:space="preserve">Absence de prise avec repas gras</w:t>
      </w:r>
      <w:r>
        <w:t xml:space="preserve"> </w:t>
      </w:r>
      <w:r>
        <w:t xml:space="preserve">dans l’hydatidose (baisse drastique d’efficacité).</w:t>
      </w:r>
      <w:r>
        <w:t xml:space="preserve"> </w:t>
      </w:r>
      <w:r>
        <w:t xml:space="preserve">- Règle de prise : Repas gras, 2e dose à J15 pour oxyurose, surveillance NFS/ALAT mensuelle pour cures prolongées.</w:t>
      </w:r>
      <w:r>
        <w:t xml:space="preserve"> </w:t>
      </w:r>
      <w:r>
        <w:t xml:space="preserve">- Préparation et Conservation : Comprimés à conserver à température &lt; 25°C, à l’abri de l’humidité et de la lumière. Suspension buvable : après ouverture, conservation 14 jours à température ambiante (variable selon spécialité — vérifier le RCP). Bien agiter avant emploi.</w:t>
      </w:r>
      <w:r>
        <w:t xml:space="preserve"> </w:t>
      </w:r>
      <w:r>
        <w:t xml:space="preserve">- Piège du surdosage / Substitution :</w:t>
      </w:r>
      <w:r>
        <w:t xml:space="preserve"> </w:t>
      </w:r>
      <w:r>
        <w:t xml:space="preserve">- Surdosage aigu (erreur posologique pédiatrique) : troubles digestifs, somnolence, possible atteinte hépatique. Traitement symptomatique, pas d’antidote spécifique. Surveillance hépatique et hématologique pendant 48 heures.</w:t>
      </w:r>
      <w:r>
        <w:t xml:space="preserve"> </w:t>
      </w:r>
      <w:r>
        <w:t xml:space="preserve">- Substitution : les différentes marques algériennes (OXYZOL, VERTEL HUP, VERTEN) sont bioéquivalentes ; privilégier la continuité du traitement (même marque) pour les cures prolongées d’hydatidose pour limiter la variabilité intra-individuelle.</w:t>
      </w:r>
      <w:r>
        <w:t xml:space="preserve"> </w:t>
      </w:r>
      <w:r>
        <w:t xml:space="preserve">- Ne pas substituer albendazole ↔ mébendazole ↔ flubendazole sans avis médical (spectres et posologies différents).</w:t>
      </w:r>
    </w:p>
    <w:p>
      <w:r>
        <w:pict>
          <v:rect style="width:0;height:1.5pt" o:hralign="center" o:hrstd="t" o:hr="t"/>
        </w:pict>
      </w:r>
    </w:p>
    <w:bookmarkEnd w:id="130"/>
    <w:bookmarkStart w:id="131" w:name="dci-mébendazole-seul"/>
    <w:p>
      <w:pPr>
        <w:pStyle w:val="Heading3"/>
      </w:pPr>
      <w:r>
        <w:t xml:space="preserve">15.2.2 DCI : Mébendazole (Seul)</w:t>
      </w:r>
    </w:p>
    <w:p>
      <w:pPr>
        <w:pStyle w:val="FirstParagraph"/>
      </w:pPr>
      <w:r>
        <w:rPr>
          <w:b/>
          <w:bCs/>
        </w:rPr>
        <w:t xml:space="preserve">Liste des Catégories :</w:t>
      </w:r>
      <w:r>
        <w:t xml:space="preserve"> </w:t>
      </w:r>
      <w:r>
        <w:t xml:space="preserve">Antihelminthiques – Benzimidazoles ; Liste II.</w:t>
      </w:r>
    </w:p>
    <w:p>
      <w:pPr>
        <w:pStyle w:val="BodyText"/>
      </w:pPr>
      <w:r>
        <w:t xml:space="preserve">Le mébendazole est un benzimidazole historique (commercialisé depuis 1972) caractérisé par une très faible absorption orale (&lt; 10%), ce qui en fait un antihelminthique à action essentiellement luminale. Cette propriété explique son excellente tolérance systémique et son positionnement privilégié dans le traitement de l’oxyurose et des nématodoses intestinales non compliquées. À l’inverse de l’albendazole, sa faible biodisponibilité en fait un traitement suboptimal pour les parasitoses tissulaires (hydatidose, cestodoses systémiques) — bien qu’il ait été utilisé historiquement à haute dose dans ces indications avant l’avènement de l’albendazole.</w:t>
      </w:r>
    </w:p>
    <w:p>
      <w:pPr>
        <w:pStyle w:val="BodyText"/>
      </w:pPr>
      <w:r>
        <w:rPr>
          <w:b/>
          <w:bCs/>
        </w:rPr>
        <w:t xml:space="preserve">Médicaments disponibles en Algérie (Marques, Laboratoires, Formes et Dosages) :</w:t>
      </w:r>
    </w:p>
    <w:p>
      <w:pPr>
        <w:pStyle w:val="Compact"/>
        <w:numPr>
          <w:ilvl w:val="0"/>
          <w:numId w:val="1348"/>
        </w:numPr>
      </w:pPr>
      <w:r>
        <w:rPr>
          <w:b/>
          <w:bCs/>
        </w:rPr>
        <w:t xml:space="preserve">VERMAZOL</w:t>
      </w:r>
      <w:r>
        <w:t xml:space="preserve"> </w:t>
      </w:r>
      <w:r>
        <w:t xml:space="preserve">(UNITED PHARMACEUTICAL MANUFACTURING - UPM)</w:t>
      </w:r>
    </w:p>
    <w:p>
      <w:pPr>
        <w:pStyle w:val="Compact"/>
        <w:numPr>
          <w:ilvl w:val="1"/>
          <w:numId w:val="1349"/>
        </w:numPr>
      </w:pPr>
      <w:r>
        <w:t xml:space="preserve">Formes et Dosages : Comprimé 100 mg — B/6</w:t>
      </w:r>
    </w:p>
    <w:p>
      <w:pPr>
        <w:pStyle w:val="Compact"/>
        <w:numPr>
          <w:ilvl w:val="1"/>
          <w:numId w:val="1349"/>
        </w:numPr>
      </w:pPr>
      <w:r>
        <w:t xml:space="preserve">Statut : Actif</w:t>
      </w:r>
    </w:p>
    <w:p>
      <w:pPr>
        <w:pStyle w:val="Compact"/>
        <w:numPr>
          <w:ilvl w:val="0"/>
          <w:numId w:val="1348"/>
        </w:numPr>
      </w:pPr>
      <w:r>
        <w:rPr>
          <w:b/>
          <w:bCs/>
        </w:rPr>
        <w:t xml:space="preserve">WORMAZOL</w:t>
      </w:r>
      <w:r>
        <w:t xml:space="preserve"> </w:t>
      </w:r>
      <w:r>
        <w:t xml:space="preserve">(TABUK ALGERIE)</w:t>
      </w:r>
    </w:p>
    <w:p>
      <w:pPr>
        <w:pStyle w:val="Compact"/>
        <w:numPr>
          <w:ilvl w:val="1"/>
          <w:numId w:val="1350"/>
        </w:numPr>
      </w:pPr>
      <w:r>
        <w:t xml:space="preserve">Formes et Dosages : Comprimé à croquer 100 mg — B/6 ; Suspension buvable 100 mg/5 ml — Fl/30 ml</w:t>
      </w:r>
    </w:p>
    <w:p>
      <w:pPr>
        <w:pStyle w:val="Compact"/>
        <w:numPr>
          <w:ilvl w:val="1"/>
          <w:numId w:val="1350"/>
        </w:numPr>
      </w:pPr>
      <w:r>
        <w:t xml:space="preserve">Statut : Actif</w:t>
      </w:r>
    </w:p>
    <w:p>
      <w:pPr>
        <w:pStyle w:val="Compact"/>
        <w:numPr>
          <w:ilvl w:val="0"/>
          <w:numId w:val="1348"/>
        </w:numPr>
      </w:pPr>
      <w:r>
        <w:rPr>
          <w:b/>
          <w:bCs/>
        </w:rPr>
        <w:t xml:space="preserve">BENDAZOLE</w:t>
      </w:r>
      <w:r>
        <w:t xml:space="preserve"> </w:t>
      </w:r>
      <w:r>
        <w:t xml:space="preserve">(JORDANIAN PHARMACEUTICAL MANUFACTURING)</w:t>
      </w:r>
    </w:p>
    <w:p>
      <w:pPr>
        <w:pStyle w:val="Compact"/>
        <w:numPr>
          <w:ilvl w:val="1"/>
          <w:numId w:val="1351"/>
        </w:numPr>
      </w:pPr>
      <w:r>
        <w:t xml:space="preserve">Formes et Dosages : Comprimé 100 mg — B/6</w:t>
      </w:r>
    </w:p>
    <w:p>
      <w:pPr>
        <w:pStyle w:val="Compact"/>
        <w:numPr>
          <w:ilvl w:val="1"/>
          <w:numId w:val="1351"/>
        </w:numPr>
      </w:pPr>
      <w:r>
        <w:t xml:space="preserve">Statut : Non Renouvelable</w:t>
      </w:r>
    </w:p>
    <w:p>
      <w:pPr>
        <w:pStyle w:val="Compact"/>
        <w:numPr>
          <w:ilvl w:val="0"/>
          <w:numId w:val="1348"/>
        </w:numPr>
      </w:pPr>
      <w:r>
        <w:rPr>
          <w:b/>
          <w:bCs/>
        </w:rPr>
        <w:t xml:space="preserve">MEBEVIS</w:t>
      </w:r>
      <w:r>
        <w:t xml:space="preserve"> </w:t>
      </w:r>
      <w:r>
        <w:t xml:space="preserve">(CROVIS PHILCOM)</w:t>
      </w:r>
    </w:p>
    <w:p>
      <w:pPr>
        <w:pStyle w:val="Compact"/>
        <w:numPr>
          <w:ilvl w:val="1"/>
          <w:numId w:val="1352"/>
        </w:numPr>
      </w:pPr>
      <w:r>
        <w:t xml:space="preserve">Formes et Dosages : Suspension buvable 20 mg/ml — Fl/80 ml</w:t>
      </w:r>
    </w:p>
    <w:p>
      <w:pPr>
        <w:pStyle w:val="Compact"/>
        <w:numPr>
          <w:ilvl w:val="1"/>
          <w:numId w:val="1352"/>
        </w:numPr>
      </w:pPr>
      <w:r>
        <w:t xml:space="preserve">Statut : Non Renouvelable</w:t>
      </w:r>
    </w:p>
    <w:p>
      <w:pPr>
        <w:pStyle w:val="Compact"/>
        <w:numPr>
          <w:ilvl w:val="0"/>
          <w:numId w:val="1348"/>
        </w:numPr>
      </w:pPr>
      <w:r>
        <w:rPr>
          <w:b/>
          <w:bCs/>
        </w:rPr>
        <w:t xml:space="preserve">WORMGO</w:t>
      </w:r>
      <w:r>
        <w:t xml:space="preserve"> </w:t>
      </w:r>
      <w:r>
        <w:t xml:space="preserve">(PHARMACARE LIMITED)</w:t>
      </w:r>
    </w:p>
    <w:p>
      <w:pPr>
        <w:pStyle w:val="Compact"/>
        <w:numPr>
          <w:ilvl w:val="1"/>
          <w:numId w:val="1353"/>
        </w:numPr>
      </w:pPr>
      <w:r>
        <w:t xml:space="preserve">Formes et Dosages : Comprimé 100 mg — B/6</w:t>
      </w:r>
    </w:p>
    <w:p>
      <w:pPr>
        <w:pStyle w:val="Compact"/>
        <w:numPr>
          <w:ilvl w:val="1"/>
          <w:numId w:val="1353"/>
        </w:numPr>
      </w:pPr>
      <w:r>
        <w:t xml:space="preserve">Statut : Retiré (R)</w:t>
      </w:r>
    </w:p>
    <w:p>
      <w:pPr>
        <w:pStyle w:val="Compact"/>
        <w:numPr>
          <w:ilvl w:val="0"/>
          <w:numId w:val="1348"/>
        </w:numPr>
      </w:pPr>
      <w:r>
        <w:rPr>
          <w:b/>
          <w:bCs/>
        </w:rPr>
        <w:t xml:space="preserve">MEBENDAN</w:t>
      </w:r>
      <w:r>
        <w:t xml:space="preserve"> </w:t>
      </w:r>
      <w:r>
        <w:t xml:space="preserve">(TEDEC MEIJI)</w:t>
      </w:r>
    </w:p>
    <w:p>
      <w:pPr>
        <w:pStyle w:val="Compact"/>
        <w:numPr>
          <w:ilvl w:val="1"/>
          <w:numId w:val="1354"/>
        </w:numPr>
      </w:pPr>
      <w:r>
        <w:t xml:space="preserve">Formes et Dosages : Suspension buvable 20 mg/ml — Fl/30 ml ; Gélule 100 mg — B/8</w:t>
      </w:r>
    </w:p>
    <w:p>
      <w:pPr>
        <w:pStyle w:val="Compact"/>
        <w:numPr>
          <w:ilvl w:val="1"/>
          <w:numId w:val="1354"/>
        </w:numPr>
      </w:pPr>
      <w:r>
        <w:t xml:space="preserve">Statut : Retiré (R)</w:t>
      </w:r>
    </w:p>
    <w:p>
      <w:pPr>
        <w:pStyle w:val="Compact"/>
        <w:numPr>
          <w:ilvl w:val="0"/>
          <w:numId w:val="1348"/>
        </w:numPr>
      </w:pPr>
      <w:r>
        <w:rPr>
          <w:b/>
          <w:bCs/>
        </w:rPr>
        <w:t xml:space="preserve">ANTHELMIN</w:t>
      </w:r>
      <w:r>
        <w:t xml:space="preserve"> </w:t>
      </w:r>
      <w:r>
        <w:t xml:space="preserve">(PHARCO EGYPTE)</w:t>
      </w:r>
    </w:p>
    <w:p>
      <w:pPr>
        <w:pStyle w:val="Compact"/>
        <w:numPr>
          <w:ilvl w:val="1"/>
          <w:numId w:val="1355"/>
        </w:numPr>
      </w:pPr>
      <w:r>
        <w:t xml:space="preserve">Formes et Dosages : Suspension buvable 20 mg/ml — Fl/30 ml</w:t>
      </w:r>
    </w:p>
    <w:p>
      <w:pPr>
        <w:pStyle w:val="Compact"/>
        <w:numPr>
          <w:ilvl w:val="1"/>
          <w:numId w:val="1355"/>
        </w:numPr>
      </w:pPr>
      <w:r>
        <w:t xml:space="preserve">Statut : Retiré (R)</w:t>
      </w:r>
    </w:p>
    <w:p>
      <w:pPr>
        <w:pStyle w:val="FirstParagraph"/>
      </w:pPr>
      <w:r>
        <w:t xml:space="preserve">Le marché algérien actif se concentre aujourd’hui sur VERMAZOL (comprimé) et WORMAZOL (comprimé à croquer + suspension) — deux spécialités de qualité internationale. Les autres marques ont été retirées du marché ou n’ont pas été renouvelées, témoignant d’une consolidation du marché autour des producteurs régionaux les plus fiables.</w:t>
      </w:r>
    </w:p>
    <w:p>
      <w:pPr>
        <w:pStyle w:val="BodyText"/>
      </w:pPr>
      <w:r>
        <w:rPr>
          <w:b/>
          <w:bCs/>
        </w:rPr>
        <w:t xml:space="preserve">Sous-classe et Mécanisme d’action :</w:t>
      </w:r>
      <w:r>
        <w:t xml:space="preserve"> </w:t>
      </w:r>
      <w:r>
        <w:t xml:space="preserve">- Sous-classe : Benzimidazole à action luminale, indiqué en première intention dans les nématodoses intestinales.</w:t>
      </w:r>
      <w:r>
        <w:t xml:space="preserve"> </w:t>
      </w:r>
      <w:r>
        <w:t xml:space="preserve">- Mécanisme d’action : Identique à celui de l’albendazole — liaison sélective à la β-tubuline des helminthes, inhibition de la polymérisation des microtubules, blocage de l’absorption du glucose, arrêt de la mitose en métaphase. L’effet est</w:t>
      </w:r>
      <w:r>
        <w:t xml:space="preserve"> </w:t>
      </w:r>
      <w:r>
        <w:rPr>
          <w:b/>
          <w:bCs/>
        </w:rPr>
        <w:t xml:space="preserve">vermicide</w:t>
      </w:r>
      <w:r>
        <w:t xml:space="preserve">. La faible absorption systémique limite l’exposition de l’hôte aux effets toxiques médullaires et hépatiques observés avec l’albendazole. Le métabolisme hépatique du mébendazole (fraction absorbée) est de premier ordre, avec formation d’un métabolite inactif (2-amino-5-benzimidazolyl).</w:t>
      </w:r>
    </w:p>
    <w:p>
      <w:pPr>
        <w:pStyle w:val="BodyText"/>
      </w:pPr>
      <w:r>
        <w:rPr>
          <w:b/>
          <w:bCs/>
        </w:rPr>
        <w:t xml:space="preserve">Profil Pharmacologique :</w:t>
      </w:r>
      <w:r>
        <w:t xml:space="preserve"> </w:t>
      </w:r>
      <w:r>
        <w:t xml:space="preserve">- Indications : Oxyurose (indication princeps, traitement de référence) ; ascaridiose ; trichocéphalose ; ankylostomose ; anguillulose (efficacité modérée). Historiquement utilisé dans l’hydatidose à haute dose (50 mg/kg/jour) mais aujourd’hui supplanté par l’albendazole.</w:t>
      </w:r>
      <w:r>
        <w:t xml:space="preserve"> </w:t>
      </w:r>
      <w:r>
        <w:t xml:space="preserve">- Contre-indications : Hypersensibilité aux benzimidazoles ; grossesse (CI absolue au 1er trimestre, comme pour l’albendazole — par mesure de classe, bien que les données humaines soient plus limitées que pour l’albendazole) ; insuffisance hépatique sévère ; ulcerations digestives évolutives (ralentissement du transit possible).</w:t>
      </w:r>
      <w:r>
        <w:t xml:space="preserve"> </w:t>
      </w:r>
      <w:r>
        <w:t xml:space="preserve">- Effets Indésirables :</w:t>
      </w:r>
      <w:r>
        <w:t xml:space="preserve"> </w:t>
      </w:r>
      <w:r>
        <w:t xml:space="preserve">- Aux doses standard : Très bien toléré en raison de la faible exposition systémique. Troubles digestifs transitoires (douleurs abdominales, diarrhée), céphalées.</w:t>
      </w:r>
      <w:r>
        <w:t xml:space="preserve"> </w:t>
      </w:r>
      <w:r>
        <w:t xml:space="preserve">- Aux doses élevées (hydatidose) : Hépatotoxicité, neutropénie, alopécie, rash (profil similaire à l’albendazole mais moins marqué).</w:t>
      </w:r>
      <w:r>
        <w:t xml:space="preserve"> </w:t>
      </w:r>
      <w:r>
        <w:t xml:space="preserve">- Réactions d’hypersensibilité exceptionnelles (urticaire, œdème).</w:t>
      </w:r>
    </w:p>
    <w:p>
      <w:pPr>
        <w:pStyle w:val="BodyText"/>
      </w:pPr>
      <w:r>
        <w:rPr>
          <w:b/>
          <w:bCs/>
        </w:rPr>
        <w:t xml:space="preserve">Prévention et Gestion des Effets Indésirables :</w:t>
      </w:r>
      <w:r>
        <w:t xml:space="preserve"> </w:t>
      </w:r>
      <w:r>
        <w:t xml:space="preserve">- Mesures Préventives :</w:t>
      </w:r>
      <w:r>
        <w:t xml:space="preserve"> </w:t>
      </w:r>
      <w:r>
        <w:t xml:space="preserve">- Test de grossesse pré-thérapeutique chez la femme en âge de procréer (mesure de classe, comme pour l’albendazole).</w:t>
      </w:r>
      <w:r>
        <w:t xml:space="preserve"> </w:t>
      </w:r>
      <w:r>
        <w:t xml:space="preserve">- Pour les doses uniques (oxyurose, ascaridiose) : aucune surveillance particulière.</w:t>
      </w:r>
      <w:r>
        <w:t xml:space="preserve"> </w:t>
      </w:r>
      <w:r>
        <w:t xml:space="preserve">- Pour les cures prolongées (angiostrongylose, hydatidose ancienne) : NFS-plaquettes et bilan hépatique mensuels (similaires à l’albendazole).</w:t>
      </w:r>
      <w:r>
        <w:t xml:space="preserve"> </w:t>
      </w:r>
      <w:r>
        <w:t xml:space="preserve">- Conduite à Tenir : Arrêt en cas d’élévation significative des transaminases (&gt; 3 × LSN) ou de neutropénie &lt; 1500/mm³.</w:t>
      </w:r>
    </w:p>
    <w:p>
      <w:pPr>
        <w:pStyle w:val="BodyText"/>
      </w:pPr>
      <w:r>
        <w:rPr>
          <w:b/>
          <w:bCs/>
        </w:rPr>
        <w:t xml:space="preserve">Interactions Importantes :</w:t>
      </w:r>
      <w:r>
        <w:t xml:space="preserve"> </w:t>
      </w:r>
      <w:r>
        <w:t xml:space="preserve">-</w:t>
      </w:r>
      <w:r>
        <w:t xml:space="preserve"> </w:t>
      </w:r>
      <w:r>
        <w:rPr>
          <w:b/>
          <w:bCs/>
        </w:rPr>
        <w:t xml:space="preserve">Mébendazole + Cimétidine</w:t>
      </w:r>
      <w:r>
        <w:t xml:space="preserve"> </w:t>
      </w:r>
      <w:r>
        <w:t xml:space="preserve">: Augmentation des concentrations plasmatiques de mébendazole (inhibition du métabolisme hépatique de premier passage) — peut être recherchée dans l’hydatidose pour potentialiser l’effet.</w:t>
      </w:r>
      <w:r>
        <w:t xml:space="preserve"> </w:t>
      </w:r>
      <w:r>
        <w:t xml:space="preserve">-</w:t>
      </w:r>
      <w:r>
        <w:t xml:space="preserve"> </w:t>
      </w:r>
      <w:r>
        <w:rPr>
          <w:b/>
          <w:bCs/>
        </w:rPr>
        <w:t xml:space="preserve">Mébendazole + Métronidazole</w:t>
      </w:r>
      <w:r>
        <w:t xml:space="preserve"> </w:t>
      </w:r>
      <w:r>
        <w:t xml:space="preserve">: Risque accru de syndrome de Stevens-Johnson (description cas clinique) — éviter l’association.</w:t>
      </w:r>
      <w:r>
        <w:t xml:space="preserve"> </w:t>
      </w:r>
      <w:r>
        <w:t xml:space="preserve">-</w:t>
      </w:r>
      <w:r>
        <w:t xml:space="preserve"> </w:t>
      </w:r>
      <w:r>
        <w:rPr>
          <w:b/>
          <w:bCs/>
        </w:rPr>
        <w:t xml:space="preserve">Mébendazole + Phénytoïne / Carbamazépine / Phénobarbital</w:t>
      </w:r>
      <w:r>
        <w:t xml:space="preserve"> </w:t>
      </w:r>
      <w:r>
        <w:t xml:space="preserve">: Baisse des concentrations plasmatiques de mébendazole par induction enzymatique (réduction d’efficacité).</w:t>
      </w:r>
      <w:r>
        <w:t xml:space="preserve"> </w:t>
      </w:r>
      <w:r>
        <w:t xml:space="preserve">-</w:t>
      </w:r>
      <w:r>
        <w:t xml:space="preserve"> </w:t>
      </w:r>
      <w:r>
        <w:rPr>
          <w:b/>
          <w:bCs/>
        </w:rPr>
        <w:t xml:space="preserve">Mébendazole + Anticoagulants oraux (warfarine)</w:t>
      </w:r>
      <w:r>
        <w:t xml:space="preserve"> </w:t>
      </w:r>
      <w:r>
        <w:t xml:space="preserve">: Potentialisation de l’effet anticoagulant (risque hémorragique) — surveillance de l’INR.</w:t>
      </w:r>
    </w:p>
    <w:p>
      <w:pPr>
        <w:pStyle w:val="BodyText"/>
      </w:pPr>
      <w:r>
        <w:rPr>
          <w:b/>
          <w:bCs/>
        </w:rPr>
        <w:t xml:space="preserve">Grossesse et Allaitement :</w:t>
      </w:r>
      <w:r>
        <w:t xml:space="preserve"> </w:t>
      </w:r>
      <w:r>
        <w:t xml:space="preserve">- Grossesse : CI au 1er trimestre par mesure de classe (données animales tératogènes). Au 2e et 3e trimestre, le rapport bénéfice/risque est défavorable pour les nématodoses bénignes — préférer le pyrantel (autorisation au 2e et 3e trimestre). Le CRAT considère le mébendazole comme à éviter pendant toute la grossesse.</w:t>
      </w:r>
      <w:r>
        <w:t xml:space="preserve"> </w:t>
      </w:r>
      <w:r>
        <w:t xml:space="preserve">- Allaitement : Le passage dans le lait est mal documenté mais probablement faible en raison de la faible biodisponibilité systémique. Mesure de précaution : ne pas allaiter pendant les 24 heures suivant la prise unique.</w:t>
      </w:r>
      <w:r>
        <w:t xml:space="preserve"> </w:t>
      </w:r>
      <w:r>
        <w:t xml:space="preserve">- Précisions : La CI au 1er trimestre est absolue ; le traitement d’une oxyurose pendant la grossesse doit si possible être différé au post-partum, ou réalisé par pyrantel.</w:t>
      </w:r>
    </w:p>
    <w:p>
      <w:pPr>
        <w:pStyle w:val="BodyText"/>
      </w:pPr>
      <w:r>
        <w:rPr>
          <w:b/>
          <w:bCs/>
        </w:rPr>
        <w:t xml:space="preserve">Posologie et Mode d’administration (Standard) :</w:t>
      </w:r>
      <w:r>
        <w:t xml:space="preserve"> </w:t>
      </w:r>
      <w:r>
        <w:t xml:space="preserve">- Adulte :</w:t>
      </w:r>
      <w:r>
        <w:t xml:space="preserve"> </w:t>
      </w:r>
      <w:r>
        <w:t xml:space="preserve">- Oxyurose : 100 mg en dose unique, à renouveler à J15.</w:t>
      </w:r>
      <w:r>
        <w:t xml:space="preserve"> </w:t>
      </w:r>
      <w:r>
        <w:t xml:space="preserve">- Ascaridiose, trichocéphalose, ankylostomose : 100 mg matin et soir pendant 3 jours (soit 200 mg/jour).</w:t>
      </w:r>
      <w:r>
        <w:t xml:space="preserve"> </w:t>
      </w:r>
      <w:r>
        <w:t xml:space="preserve">- Anguillulose : 200 mg × 2/jour pendant 3 jours (efficacité variable, ~70 %).</w:t>
      </w:r>
      <w:r>
        <w:t xml:space="preserve"> </w:t>
      </w:r>
      <w:r>
        <w:t xml:space="preserve">- Capillariose, angiostrongylose : protocoles spécialisés (10 à 20 mg/kg/jour pendant 5 à 10 jours).</w:t>
      </w:r>
      <w:r>
        <w:t xml:space="preserve"> </w:t>
      </w:r>
      <w:r>
        <w:t xml:space="preserve">- Enfant :</w:t>
      </w:r>
      <w:r>
        <w:t xml:space="preserve"> </w:t>
      </w:r>
      <w:r>
        <w:t xml:space="preserve">- &gt; 2 ans : posologie identique à l’adulte.</w:t>
      </w:r>
      <w:r>
        <w:t xml:space="preserve"> </w:t>
      </w:r>
      <w:r>
        <w:t xml:space="preserve">- &lt; 2 ans : 50 mg en dose unique (oxyurose) — usage prudent, données de tolérance limitées dans cette tranche d’âge.</w:t>
      </w:r>
      <w:r>
        <w:t xml:space="preserve"> </w:t>
      </w:r>
      <w:r>
        <w:t xml:space="preserve">- Durée : Dose unique à cure de 3 jours selon la parasitose.</w:t>
      </w:r>
      <w:r>
        <w:t xml:space="preserve"> </w:t>
      </w:r>
      <w:r>
        <w:t xml:space="preserve">- Moment de prise : Indifférent (l’absorption systémique n’est pas recherchée pour les nématodoses intestinales). Peut être pris avec ou sans nourriture.</w:t>
      </w:r>
    </w:p>
    <w:p>
      <w:pPr>
        <w:pStyle w:val="BodyText"/>
      </w:pPr>
      <w:r>
        <w:rPr>
          <w:b/>
          <w:bCs/>
        </w:rPr>
        <w:t xml:space="preserve">Arbitrage et Bénéfices des Formes Galéniques :</w:t>
      </w:r>
      <w:r>
        <w:t xml:space="preserve"> </w:t>
      </w:r>
      <w:r>
        <w:t xml:space="preserve">- Comprimé à croquer (WORMAZOL) : Adapté à l’enfant à partir de 5 ans (capacité à croquer). La forme à croquer évite le risque de fausse route avec un comprimé entier chez l’enfant.</w:t>
      </w:r>
      <w:r>
        <w:t xml:space="preserve"> </w:t>
      </w:r>
      <w:r>
        <w:t xml:space="preserve">- Comprimé standard (VERMAZOL) : À avaler avec eau, indiqué à partir de 6 ans.</w:t>
      </w:r>
      <w:r>
        <w:t xml:space="preserve"> </w:t>
      </w:r>
      <w:r>
        <w:t xml:space="preserve">- Suspension buvable (WORMAZOL 100 mg/5 ml) : Forme de référence pour le nourrisson et le jeune enfant (&lt; 5 ans). La graduation en mg/ml facilite l’adaptation pondérale.</w:t>
      </w:r>
      <w:r>
        <w:t xml:space="preserve"> </w:t>
      </w:r>
      <w:r>
        <w:t xml:space="preserve">- Arbitrage : Pour l’oxyurose familiale, la suspension est préférable pour les enfants et la forme comprimé pour les adultes — un seul flacon + une plaquette peuvent couvrir toute la famille.</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 </w:t>
      </w:r>
      <w:r>
        <w:t xml:space="preserve">“</w:t>
      </w:r>
      <w:r>
        <w:t xml:space="preserve">Ce médicament tue les vers intestinaux. Pour les oxyures (petits vers blancs), prenez 1 comprimé aujourd’hui et un autre dans 15 jours exactement.</w:t>
      </w:r>
      <w:r>
        <w:t xml:space="preserve">”</w:t>
      </w:r>
      <w:r>
        <w:t xml:space="preserve"> </w:t>
      </w:r>
      <w:r>
        <w:t xml:space="preserve">-</w:t>
      </w:r>
      <w:r>
        <w:t xml:space="preserve"> </w:t>
      </w:r>
      <w:r>
        <w:t xml:space="preserve">“</w:t>
      </w:r>
      <w:r>
        <w:t xml:space="preserve">Traitez toute la famille en même temps, même ceux qui n’ont pas de symptômes.</w:t>
      </w:r>
      <w:r>
        <w:t xml:space="preserve">”</w:t>
      </w:r>
      <w:r>
        <w:t xml:space="preserve"> </w:t>
      </w:r>
      <w:r>
        <w:t xml:space="preserve">-</w:t>
      </w:r>
      <w:r>
        <w:t xml:space="preserve"> </w:t>
      </w:r>
      <w:r>
        <w:t xml:space="preserve">“</w:t>
      </w:r>
      <w:r>
        <w:t xml:space="preserve">Pour les autres vers (ascarides, trichocéphales), prenez 1 comprimé matin et soir pendant 3 jours.</w:t>
      </w:r>
      <w:r>
        <w:t xml:space="preserve">”</w:t>
      </w:r>
      <w:r>
        <w:t xml:space="preserve"> </w:t>
      </w:r>
      <w:r>
        <w:t xml:space="preserve">-</w:t>
      </w:r>
      <w:r>
        <w:t xml:space="preserve"> </w:t>
      </w:r>
      <w:r>
        <w:t xml:space="preserve">“</w:t>
      </w:r>
      <w:r>
        <w:t xml:space="preserve">Coupez les ongles, lavez les mains avant les repas, changez les sous-vêtements tous les jours.</w:t>
      </w:r>
      <w:r>
        <w:t xml:space="preserve">”</w:t>
      </w:r>
      <w:r>
        <w:t xml:space="preserve"> </w:t>
      </w:r>
      <w:r>
        <w:t xml:space="preserve">- Mode d’utilisation pratique :</w:t>
      </w:r>
      <w:r>
        <w:t xml:space="preserve"> </w:t>
      </w:r>
      <w:r>
        <w:t xml:space="preserve">- Comprimé à croquer : croquer puis avaler avec un peu d’eau.</w:t>
      </w:r>
      <w:r>
        <w:t xml:space="preserve"> </w:t>
      </w:r>
      <w:r>
        <w:t xml:space="preserve">- Comprimé standard : avaler entier avec un verre d’eau.</w:t>
      </w:r>
      <w:r>
        <w:t xml:space="preserve"> </w:t>
      </w:r>
      <w:r>
        <w:t xml:space="preserve">- Suspension : bien agiter, utiliser la cuillère-mesure (5 ml = 100 mg).</w:t>
      </w:r>
      <w:r>
        <w:t xml:space="preserve"> </w:t>
      </w:r>
      <w:r>
        <w:t xml:space="preserve">- 2e dose à J15 indispensable pour l’oxyurose.</w:t>
      </w:r>
    </w:p>
    <w:p>
      <w:pPr>
        <w:pStyle w:val="BodyText"/>
      </w:pPr>
      <w:r>
        <w:rPr>
          <w:b/>
          <w:bCs/>
        </w:rPr>
        <w:t xml:space="preserve">Notes, Règles d’Or &amp; Pièges au Comptoir :</w:t>
      </w:r>
      <w:r>
        <w:t xml:space="preserve"> </w:t>
      </w:r>
      <w:r>
        <w:t xml:space="preserve">- Piège classique :</w:t>
      </w:r>
      <w:r>
        <w:t xml:space="preserve"> </w:t>
      </w:r>
      <w:r>
        <w:t xml:space="preserve">- Prescription chez femme enceinte (CI 1er trimestre).</w:t>
      </w:r>
      <w:r>
        <w:t xml:space="preserve"> </w:t>
      </w:r>
      <w:r>
        <w:t xml:space="preserve">- Oubli de la 2e dose à J15 (oxyurose).</w:t>
      </w:r>
      <w:r>
        <w:t xml:space="preserve"> </w:t>
      </w:r>
      <w:r>
        <w:t xml:space="preserve">- Non-traitement familial (oxyurose).</w:t>
      </w:r>
      <w:r>
        <w:t xml:space="preserve"> </w:t>
      </w:r>
      <w:r>
        <w:t xml:space="preserve">- Confusion avec l’albendazole : le mébendazole n’est pas adapté à l’hydatidose aux doses standard (nécessite 50 mg/kg/jour, soit l’équivalent de 25 à 40 comprimés par jour chez l’adulte — économiquement et pratiquement non viable).</w:t>
      </w:r>
      <w:r>
        <w:t xml:space="preserve"> </w:t>
      </w:r>
      <w:r>
        <w:t xml:space="preserve">- Règle de prise : Dose unique à J1 et J15 pour oxyurose ; cure 3 jours pour les autres nématodoses.</w:t>
      </w:r>
      <w:r>
        <w:t xml:space="preserve"> </w:t>
      </w:r>
      <w:r>
        <w:t xml:space="preserve">- Préparation et Conservation : Comprimés &lt; 25°C, à l’abri de l’humidité. Suspension : conservation 14 jours après ouverture (vérifier RCP), agitation avant emploi.</w:t>
      </w:r>
      <w:r>
        <w:t xml:space="preserve"> </w:t>
      </w:r>
      <w:r>
        <w:t xml:space="preserve">- Piège du surdosage / Substitution :</w:t>
      </w:r>
      <w:r>
        <w:t xml:space="preserve"> </w:t>
      </w:r>
      <w:r>
        <w:t xml:space="preserve">- Surdosage aigu : troubles digestifs, exceptionnellement convulsions chez l’enfant. Traitement symptomatique.</w:t>
      </w:r>
      <w:r>
        <w:t xml:space="preserve"> </w:t>
      </w:r>
      <w:r>
        <w:t xml:space="preserve">- Substitution VERMAZOL ↔ WORMAZOL : possible (bioéquivalence), mais vérifier la forme (comprimé vs suspension) selon l’âge du patient.</w:t>
      </w:r>
      <w:r>
        <w:t xml:space="preserve"> </w:t>
      </w:r>
      <w:r>
        <w:t xml:space="preserve">- Ne pas substituer mébendazole ↔ flubendazole (posologie et spectre légèrement différents).</w:t>
      </w:r>
    </w:p>
    <w:p>
      <w:r>
        <w:pict>
          <v:rect style="width:0;height:1.5pt" o:hralign="center" o:hrstd="t" o:hr="t"/>
        </w:pict>
      </w:r>
    </w:p>
    <w:bookmarkEnd w:id="131"/>
    <w:bookmarkStart w:id="132" w:name="dci-flubendazole-seul"/>
    <w:p>
      <w:pPr>
        <w:pStyle w:val="Heading3"/>
      </w:pPr>
      <w:r>
        <w:t xml:space="preserve">15.2.3 DCI : Flubendazole (Seul)</w:t>
      </w:r>
    </w:p>
    <w:p>
      <w:pPr>
        <w:pStyle w:val="FirstParagraph"/>
      </w:pPr>
      <w:r>
        <w:rPr>
          <w:b/>
          <w:bCs/>
        </w:rPr>
        <w:t xml:space="preserve">Liste des Catégories :</w:t>
      </w:r>
      <w:r>
        <w:t xml:space="preserve"> </w:t>
      </w:r>
      <w:r>
        <w:t xml:space="preserve">Antihelminthiques – Benzimidazoles ; Liste I (pour FLUVERZOL, FUZOL suspension).</w:t>
      </w:r>
    </w:p>
    <w:p>
      <w:pPr>
        <w:pStyle w:val="BodyText"/>
      </w:pPr>
      <w:r>
        <w:t xml:space="preserve">Le flubendazole est un benzimidazole fluoré, proche parent du mébendazole dont il partage le mécanisme d’action et le profil pharmacocinétique (absorption orale quasi nulle, &lt; 1 %). Son action strictement luminale en fait un antihelminthique de choix pour les nématodoses intestinales, avec une tolérance remarquable. Sa large disponibilité en Algérie sous de nombreuses marques génériques témoigne de son ancienneté et de son inscription dans les habitudes de prescription.</w:t>
      </w:r>
    </w:p>
    <w:p>
      <w:pPr>
        <w:pStyle w:val="BodyText"/>
      </w:pPr>
      <w:r>
        <w:rPr>
          <w:b/>
          <w:bCs/>
        </w:rPr>
        <w:t xml:space="preserve">Médicaments disponibles en Algérie (Marques, Laboratoires, Formes et Dosages) :</w:t>
      </w:r>
    </w:p>
    <w:p>
      <w:pPr>
        <w:pStyle w:val="BodyText"/>
      </w:pPr>
      <w:r>
        <w:t xml:space="preserve">Formes orales solides (comprimés 100 mg) :</w:t>
      </w:r>
    </w:p>
    <w:p>
      <w:pPr>
        <w:pStyle w:val="Compact"/>
        <w:numPr>
          <w:ilvl w:val="0"/>
          <w:numId w:val="1356"/>
        </w:numPr>
      </w:pPr>
      <w:r>
        <w:rPr>
          <w:b/>
          <w:bCs/>
        </w:rPr>
        <w:t xml:space="preserve">FLUBENE</w:t>
      </w:r>
      <w:r>
        <w:t xml:space="preserve"> </w:t>
      </w:r>
      <w:r>
        <w:t xml:space="preserve">(GEOPHARM) — Comprimé 100 mg — B/06 — Actif</w:t>
      </w:r>
    </w:p>
    <w:p>
      <w:pPr>
        <w:pStyle w:val="Compact"/>
        <w:numPr>
          <w:ilvl w:val="0"/>
          <w:numId w:val="1356"/>
        </w:numPr>
      </w:pPr>
      <w:r>
        <w:rPr>
          <w:b/>
          <w:bCs/>
        </w:rPr>
        <w:t xml:space="preserve">FLUVERBIEN</w:t>
      </w:r>
      <w:r>
        <w:t xml:space="preserve"> </w:t>
      </w:r>
      <w:r>
        <w:t xml:space="preserve">(NOVAPHARM TRADING) — Comprimé 100 mg — B/06 — Actif</w:t>
      </w:r>
    </w:p>
    <w:p>
      <w:pPr>
        <w:pStyle w:val="Compact"/>
        <w:numPr>
          <w:ilvl w:val="0"/>
          <w:numId w:val="1356"/>
        </w:numPr>
      </w:pPr>
      <w:r>
        <w:rPr>
          <w:b/>
          <w:bCs/>
        </w:rPr>
        <w:t xml:space="preserve">FLUVERMAL</w:t>
      </w:r>
      <w:r>
        <w:t xml:space="preserve"> </w:t>
      </w:r>
      <w:r>
        <w:t xml:space="preserve">(JANSSEN CILAG) — Comprimé 100 mg — B/06 — Actif</w:t>
      </w:r>
    </w:p>
    <w:p>
      <w:pPr>
        <w:pStyle w:val="Compact"/>
        <w:numPr>
          <w:ilvl w:val="0"/>
          <w:numId w:val="1356"/>
        </w:numPr>
      </w:pPr>
      <w:r>
        <w:rPr>
          <w:b/>
          <w:bCs/>
        </w:rPr>
        <w:t xml:space="preserve">FUZOL</w:t>
      </w:r>
      <w:r>
        <w:t xml:space="preserve"> </w:t>
      </w:r>
      <w:r>
        <w:t xml:space="preserve">(PHARMALLIANCE) — Comprimé 100 mg — B/06 — Actif</w:t>
      </w:r>
    </w:p>
    <w:p>
      <w:pPr>
        <w:pStyle w:val="FirstParagraph"/>
      </w:pPr>
      <w:r>
        <w:t xml:space="preserve">Formes liquides (suspension buvable 100 mg/5 ml, flacon 30 ml) :</w:t>
      </w:r>
    </w:p>
    <w:p>
      <w:pPr>
        <w:pStyle w:val="Compact"/>
        <w:numPr>
          <w:ilvl w:val="0"/>
          <w:numId w:val="1357"/>
        </w:numPr>
      </w:pPr>
      <w:r>
        <w:rPr>
          <w:b/>
          <w:bCs/>
        </w:rPr>
        <w:t xml:space="preserve">FLUBENE</w:t>
      </w:r>
      <w:r>
        <w:t xml:space="preserve"> </w:t>
      </w:r>
      <w:r>
        <w:t xml:space="preserve">(GEOPHARM) — Suspension buvable 100 mg/5 ml (2 %) — Flacon 30 ml — Actif</w:t>
      </w:r>
    </w:p>
    <w:p>
      <w:pPr>
        <w:pStyle w:val="Compact"/>
        <w:numPr>
          <w:ilvl w:val="0"/>
          <w:numId w:val="1357"/>
        </w:numPr>
      </w:pPr>
      <w:r>
        <w:rPr>
          <w:b/>
          <w:bCs/>
        </w:rPr>
        <w:t xml:space="preserve">FLUDAZOL</w:t>
      </w:r>
      <w:r>
        <w:t xml:space="preserve"> </w:t>
      </w:r>
      <w:r>
        <w:t xml:space="preserve">(AFROPHARM SPA) — Suspension buvable 100 mg/5 ml (2 %) — Flacon 30 ml — Actif</w:t>
      </w:r>
    </w:p>
    <w:p>
      <w:pPr>
        <w:pStyle w:val="Compact"/>
        <w:numPr>
          <w:ilvl w:val="0"/>
          <w:numId w:val="1357"/>
        </w:numPr>
      </w:pPr>
      <w:r>
        <w:rPr>
          <w:b/>
          <w:bCs/>
        </w:rPr>
        <w:t xml:space="preserve">FLUMOX</w:t>
      </w:r>
      <w:r>
        <w:t xml:space="preserve"> </w:t>
      </w:r>
      <w:r>
        <w:t xml:space="preserve">(INPHA-MEDIS) — Suspension buvable 100 mg/5 ml (2 %) — Flacon 30 ml — Actif</w:t>
      </w:r>
    </w:p>
    <w:p>
      <w:pPr>
        <w:pStyle w:val="Compact"/>
        <w:numPr>
          <w:ilvl w:val="0"/>
          <w:numId w:val="1357"/>
        </w:numPr>
      </w:pPr>
      <w:r>
        <w:rPr>
          <w:b/>
          <w:bCs/>
        </w:rPr>
        <w:t xml:space="preserve">FLUVERDAL</w:t>
      </w:r>
      <w:r>
        <w:t xml:space="preserve"> </w:t>
      </w:r>
      <w:r>
        <w:t xml:space="preserve">(PHARMIDAL NS) — Suspension buvable 100 mg/5 ml (2 %) — Flacon 30 ml — Actif</w:t>
      </w:r>
    </w:p>
    <w:p>
      <w:pPr>
        <w:pStyle w:val="Compact"/>
        <w:numPr>
          <w:ilvl w:val="0"/>
          <w:numId w:val="1357"/>
        </w:numPr>
      </w:pPr>
      <w:r>
        <w:rPr>
          <w:b/>
          <w:bCs/>
        </w:rPr>
        <w:t xml:space="preserve">FLUVERMAL</w:t>
      </w:r>
      <w:r>
        <w:t xml:space="preserve"> </w:t>
      </w:r>
      <w:r>
        <w:t xml:space="preserve">(JANSSEN CILAG) — Suspension buvable 100 mg/5 ml (2 %) — Flacon 30 ml — Actif</w:t>
      </w:r>
    </w:p>
    <w:p>
      <w:pPr>
        <w:pStyle w:val="Compact"/>
        <w:numPr>
          <w:ilvl w:val="0"/>
          <w:numId w:val="1357"/>
        </w:numPr>
      </w:pPr>
      <w:r>
        <w:rPr>
          <w:b/>
          <w:bCs/>
        </w:rPr>
        <w:t xml:space="preserve">FLUVERMI</w:t>
      </w:r>
      <w:r>
        <w:t xml:space="preserve"> </w:t>
      </w:r>
      <w:r>
        <w:t xml:space="preserve">(SPA UNION PHARMACEUTIQUE CONSTANTINOISE PRODUCTION) — Suspension buvable 100 mg/5 ml (2 %) — Flacon 30 ml — Actif</w:t>
      </w:r>
    </w:p>
    <w:p>
      <w:pPr>
        <w:pStyle w:val="Compact"/>
        <w:numPr>
          <w:ilvl w:val="0"/>
          <w:numId w:val="1357"/>
        </w:numPr>
      </w:pPr>
      <w:r>
        <w:rPr>
          <w:b/>
          <w:bCs/>
        </w:rPr>
        <w:t xml:space="preserve">FLUVERZOL</w:t>
      </w:r>
      <w:r>
        <w:t xml:space="preserve"> </w:t>
      </w:r>
      <w:r>
        <w:t xml:space="preserve">(LABORATOIRES PHARMAGHREB) — Suspension buvable 100 mg/5 ml (2 %) — Flacon 30 ml — Liste I — Actif</w:t>
      </w:r>
    </w:p>
    <w:p>
      <w:pPr>
        <w:pStyle w:val="Compact"/>
        <w:numPr>
          <w:ilvl w:val="0"/>
          <w:numId w:val="1357"/>
        </w:numPr>
      </w:pPr>
      <w:r>
        <w:rPr>
          <w:b/>
          <w:bCs/>
        </w:rPr>
        <w:t xml:space="preserve">FUZOL</w:t>
      </w:r>
      <w:r>
        <w:t xml:space="preserve"> </w:t>
      </w:r>
      <w:r>
        <w:t xml:space="preserve">(PHARMALLIANCE) — Suspension buvable 100 mg/5 ml (2 %) — Flacon 30 ml — Liste I — Actif</w:t>
      </w:r>
    </w:p>
    <w:p>
      <w:pPr>
        <w:pStyle w:val="Compact"/>
        <w:numPr>
          <w:ilvl w:val="0"/>
          <w:numId w:val="1357"/>
        </w:numPr>
      </w:pPr>
      <w:r>
        <w:rPr>
          <w:b/>
          <w:bCs/>
        </w:rPr>
        <w:t xml:space="preserve">OXYDAZOLE</w:t>
      </w:r>
      <w:r>
        <w:t xml:space="preserve"> </w:t>
      </w:r>
      <w:r>
        <w:t xml:space="preserve">(SARL GROUPE SANTE) — Suspension buvable 100 mg/5 ml (2 %) — Flacon 30 ml — Actif</w:t>
      </w:r>
    </w:p>
    <w:p>
      <w:pPr>
        <w:pStyle w:val="Compact"/>
        <w:numPr>
          <w:ilvl w:val="0"/>
          <w:numId w:val="1357"/>
        </w:numPr>
      </w:pPr>
      <w:r>
        <w:rPr>
          <w:b/>
          <w:bCs/>
        </w:rPr>
        <w:t xml:space="preserve">PHYVERZOL</w:t>
      </w:r>
      <w:r>
        <w:t xml:space="preserve"> </w:t>
      </w:r>
      <w:r>
        <w:t xml:space="preserve">(PHYSIOPHARM LABORATOIRES) — Suspension buvable 100 mg/5 ml (2 %) — Flacon 30 ml — Actif</w:t>
      </w:r>
    </w:p>
    <w:p>
      <w:pPr>
        <w:pStyle w:val="Compact"/>
        <w:numPr>
          <w:ilvl w:val="0"/>
          <w:numId w:val="1357"/>
        </w:numPr>
      </w:pPr>
      <w:r>
        <w:rPr>
          <w:b/>
          <w:bCs/>
        </w:rPr>
        <w:t xml:space="preserve">ZOLOVER</w:t>
      </w:r>
      <w:r>
        <w:t xml:space="preserve"> </w:t>
      </w:r>
      <w:r>
        <w:t xml:space="preserve">(BIOGALENIC) — Suspension buvable 100 mg/5 ml (2 %) — Flacon 30 ml — Actif</w:t>
      </w:r>
    </w:p>
    <w:p>
      <w:pPr>
        <w:pStyle w:val="FirstParagraph"/>
      </w:pPr>
      <w:r>
        <w:t xml:space="preserve">La présence de 15 spécialités différentes (4 comprimés + 11 suspensions) traduit la maturité de ce marché générique algérien. La marque princeps (FLUVERMAL, Janssen-Cilag) coexiste avec de nombreux génériques locaux et régionaux, garantissant une accessibilité large.</w:t>
      </w:r>
    </w:p>
    <w:p>
      <w:pPr>
        <w:pStyle w:val="BodyText"/>
      </w:pPr>
      <w:r>
        <w:rPr>
          <w:b/>
          <w:bCs/>
        </w:rPr>
        <w:t xml:space="preserve">Sous-classe et Mécanisme d’action :</w:t>
      </w:r>
      <w:r>
        <w:t xml:space="preserve"> </w:t>
      </w:r>
      <w:r>
        <w:t xml:space="preserve">- Sous-classe : Benzimidazole fluoré, action luminaire exclusive, proche du mébendazole.</w:t>
      </w:r>
      <w:r>
        <w:t xml:space="preserve"> </w:t>
      </w:r>
      <w:r>
        <w:t xml:space="preserve">- Mécanisme d’action : Identique à l’ensemble des benzimidazoles — liaison à la β-tubuline parasitaire, inhibition de la polymérisation microtubulaire, blocage de l’absorption du glucose, vermicide. La présence d’un atome de fluor sur le cycle benzénique (au lieu d’un groupe carbonyle pour le mébendazole) ne modifie pas le mécanisme mais légèrement la lipophilie et la cinétique locale luminale.</w:t>
      </w:r>
    </w:p>
    <w:p>
      <w:pPr>
        <w:pStyle w:val="BodyText"/>
      </w:pPr>
      <w:r>
        <w:rPr>
          <w:b/>
          <w:bCs/>
        </w:rPr>
        <w:t xml:space="preserve">Profil Pharmacologique :</w:t>
      </w:r>
      <w:r>
        <w:t xml:space="preserve"> </w:t>
      </w:r>
      <w:r>
        <w:t xml:space="preserve">- Indications : Oxyurose (indication principale) ; ascaridiose ; trichocéphalose ; ankylostomose ; anguillulose (efficacité modérée).</w:t>
      </w:r>
      <w:r>
        <w:t xml:space="preserve"> </w:t>
      </w:r>
      <w:r>
        <w:t xml:space="preserve">- Contre-indications : Hypersensibilité aux benzimidazoles. Grossesse (mesure de classe, CI au 1er trimestre).</w:t>
      </w:r>
      <w:r>
        <w:t xml:space="preserve"> </w:t>
      </w:r>
      <w:r>
        <w:t xml:space="preserve">- Effets Indésirables : Exceptionnels aux doses standard en raison de l’absence quasi totale d’absorption systémique. Quelques cas décrits : nausées, douleurs abdominales transitoires, céphalées. Réactions d’hypersensibilité (urticaire) très rares.</w:t>
      </w:r>
    </w:p>
    <w:p>
      <w:pPr>
        <w:pStyle w:val="BodyText"/>
      </w:pPr>
      <w:r>
        <w:rPr>
          <w:b/>
          <w:bCs/>
        </w:rPr>
        <w:t xml:space="preserve">Prévention et Gestion des Effets Indésirables :</w:t>
      </w:r>
      <w:r>
        <w:t xml:space="preserve"> </w:t>
      </w:r>
      <w:r>
        <w:t xml:space="preserve">- Mesures Préventives : Aucune surveillance biologique particulière aux doses standard (cure courte). Test de grossesse chez la femme en âge de procréer sans contraception fiable (mesure de classe).</w:t>
      </w:r>
      <w:r>
        <w:t xml:space="preserve"> </w:t>
      </w:r>
      <w:r>
        <w:t xml:space="preserve">- Conduite à Tenir : Symptomatique en cas d’effet indésirable (arrêt transitoire rarement nécessaire).</w:t>
      </w:r>
    </w:p>
    <w:p>
      <w:pPr>
        <w:pStyle w:val="BodyText"/>
      </w:pPr>
      <w:r>
        <w:rPr>
          <w:b/>
          <w:bCs/>
        </w:rPr>
        <w:t xml:space="preserve">Interactions Importantes :</w:t>
      </w:r>
      <w:r>
        <w:t xml:space="preserve"> </w:t>
      </w:r>
      <w:r>
        <w:t xml:space="preserve">- Profil d’interactions très limité en raison de la faible absorption systémique.</w:t>
      </w:r>
      <w:r>
        <w:t xml:space="preserve"> </w:t>
      </w:r>
      <w:r>
        <w:t xml:space="preserve">-</w:t>
      </w:r>
      <w:r>
        <w:t xml:space="preserve"> </w:t>
      </w:r>
      <w:r>
        <w:rPr>
          <w:b/>
          <w:bCs/>
        </w:rPr>
        <w:t xml:space="preserve">Flubendazole + Anticoagulants oraux</w:t>
      </w:r>
      <w:r>
        <w:t xml:space="preserve"> </w:t>
      </w:r>
      <w:r>
        <w:t xml:space="preserve">: Risque théorique de modification de l’INR (à surveiller).</w:t>
      </w:r>
      <w:r>
        <w:t xml:space="preserve"> </w:t>
      </w:r>
      <w:r>
        <w:t xml:space="preserve">- Pas d’interactions médicamenteuses cliniquement significatives documentées aux doses standard.</w:t>
      </w:r>
    </w:p>
    <w:p>
      <w:pPr>
        <w:pStyle w:val="BodyText"/>
      </w:pPr>
      <w:r>
        <w:rPr>
          <w:b/>
          <w:bCs/>
        </w:rPr>
        <w:t xml:space="preserve">Grossesse et Allaitement :</w:t>
      </w:r>
      <w:r>
        <w:t xml:space="preserve"> </w:t>
      </w:r>
      <w:r>
        <w:t xml:space="preserve">- Grossesse : CI au 1er trimestre par mesure de classe. Au 2e et 3e trimestre, l’absence d’absorption systémique suggère un profil de tolérance favorable, mais le pyrantel reste l’option de choix chez la femme enceinte. Selon le CRAT, le flubendazole est à éviter pendant toute la grossesse par mesure de précaution.</w:t>
      </w:r>
      <w:r>
        <w:t xml:space="preserve"> </w:t>
      </w:r>
      <w:r>
        <w:t xml:space="preserve">- Allaitement : Probablement sûr en raison de l’absence d’absorption systémique, mais l’avis médical reste recommandé.</w:t>
      </w:r>
      <w:r>
        <w:t xml:space="preserve"> </w:t>
      </w:r>
      <w:r>
        <w:t xml:space="preserve">- Précisions : Le flubendazole est le benzimidazole pour lequel le risque fœtal est probablement le plus faible, mais la prudence de classe s’impose.</w:t>
      </w:r>
    </w:p>
    <w:p>
      <w:pPr>
        <w:pStyle w:val="BodyText"/>
      </w:pPr>
      <w:r>
        <w:rPr>
          <w:b/>
          <w:bCs/>
        </w:rPr>
        <w:t xml:space="preserve">Posologie et Mode d’administration (Standard) :</w:t>
      </w:r>
      <w:r>
        <w:t xml:space="preserve"> </w:t>
      </w:r>
      <w:r>
        <w:t xml:space="preserve">- Adulte :</w:t>
      </w:r>
      <w:r>
        <w:t xml:space="preserve"> </w:t>
      </w:r>
      <w:r>
        <w:t xml:space="preserve">- Oxyurose : 100 mg en dose unique, à renouveler à J15.</w:t>
      </w:r>
      <w:r>
        <w:t xml:space="preserve"> </w:t>
      </w:r>
      <w:r>
        <w:t xml:space="preserve">- Ascaridiose, trichocéphalose, ankylostomose : 100 mg matin et soir pendant 3 jours.</w:t>
      </w:r>
      <w:r>
        <w:t xml:space="preserve"> </w:t>
      </w:r>
      <w:r>
        <w:t xml:space="preserve">- Anguillulose : 200 mg × 2/jour pendant 3 jours.</w:t>
      </w:r>
      <w:r>
        <w:t xml:space="preserve"> </w:t>
      </w:r>
      <w:r>
        <w:t xml:space="preserve">- Enfant :</w:t>
      </w:r>
      <w:r>
        <w:t xml:space="preserve"> </w:t>
      </w:r>
      <w:r>
        <w:t xml:space="preserve">- &gt; 2 ans : posologie adulte.</w:t>
      </w:r>
      <w:r>
        <w:t xml:space="preserve"> </w:t>
      </w:r>
      <w:r>
        <w:t xml:space="preserve">- &lt; 2 ans : 50 mg en dose unique (oxyurose), sous surveillance médicale.</w:t>
      </w:r>
      <w:r>
        <w:t xml:space="preserve"> </w:t>
      </w:r>
      <w:r>
        <w:t xml:space="preserve">- Durée : Dose unique à cure de 3 jours.</w:t>
      </w:r>
      <w:r>
        <w:t xml:space="preserve"> </w:t>
      </w:r>
      <w:r>
        <w:t xml:space="preserve">- Moment de prise : Indifférent (action luminaire).</w:t>
      </w:r>
    </w:p>
    <w:p>
      <w:pPr>
        <w:pStyle w:val="BodyText"/>
      </w:pPr>
      <w:r>
        <w:rPr>
          <w:b/>
          <w:bCs/>
        </w:rPr>
        <w:t xml:space="preserve">Arbitrage et Bénéfices des Formes Galéniques :</w:t>
      </w:r>
      <w:r>
        <w:t xml:space="preserve"> </w:t>
      </w:r>
      <w:r>
        <w:t xml:space="preserve">- Comprimés 100 mg : adaptés à l’adulte et à l’enfant &gt; 6 ans. La diversité des marques (FLUBENE, FLUVERBIEN, FLUVERMAL, FUZOL) permet une disponibilité constante malgré d’éventuelles ruptures d’approvisionnement.</w:t>
      </w:r>
      <w:r>
        <w:t xml:space="preserve"> </w:t>
      </w:r>
      <w:r>
        <w:t xml:space="preserve">- Suspensions buvables 100 mg/5 ml (2 %) : forme de référence en pédiatrie. La concentration à 2 % (soit 20 mg/ml) est adaptée à l’administration en cuillère-mesure de 2,5 ml (50 mg), 5 ml (100 mg) ou 10 ml (200 mg).</w:t>
      </w:r>
      <w:r>
        <w:t xml:space="preserve"> </w:t>
      </w:r>
      <w:r>
        <w:t xml:space="preserve">- Arbitrage : Suspension pour enfant &lt; 6 ans ; comprimé pour enfant &gt; 6 ans et adulte. Le conditionnement unitaire en flacon de 30 ml permet le traitement d’un enfant ou d’une famille restreinte sans gaspillage.</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 </w:t>
      </w:r>
      <w:r>
        <w:t xml:space="preserve">“</w:t>
      </w:r>
      <w:r>
        <w:t xml:space="preserve">Ce médicament est très bien toléré et tue les vers intestinaux.</w:t>
      </w:r>
      <w:r>
        <w:t xml:space="preserve">”</w:t>
      </w:r>
      <w:r>
        <w:t xml:space="preserve"> </w:t>
      </w:r>
      <w:r>
        <w:t xml:space="preserve">-</w:t>
      </w:r>
      <w:r>
        <w:t xml:space="preserve"> </w:t>
      </w:r>
      <w:r>
        <w:t xml:space="preserve">“</w:t>
      </w:r>
      <w:r>
        <w:t xml:space="preserve">Pour les oxyures : 1 dose aujourd’hui et 1 dose dans 2 semaines.</w:t>
      </w:r>
      <w:r>
        <w:t xml:space="preserve">”</w:t>
      </w:r>
      <w:r>
        <w:t xml:space="preserve"> </w:t>
      </w:r>
      <w:r>
        <w:t xml:space="preserve">-</w:t>
      </w:r>
      <w:r>
        <w:t xml:space="preserve"> </w:t>
      </w:r>
      <w:r>
        <w:t xml:space="preserve">“</w:t>
      </w:r>
      <w:r>
        <w:t xml:space="preserve">Traitez toute la famille en même temps.</w:t>
      </w:r>
      <w:r>
        <w:t xml:space="preserve">”</w:t>
      </w:r>
      <w:r>
        <w:t xml:space="preserve"> </w:t>
      </w:r>
      <w:r>
        <w:t xml:space="preserve">-</w:t>
      </w:r>
      <w:r>
        <w:t xml:space="preserve"> </w:t>
      </w:r>
      <w:r>
        <w:t xml:space="preserve">“</w:t>
      </w:r>
      <w:r>
        <w:t xml:space="preserve">Hygiène : ongles coupés courts, lavage des mains, changement quotidien des sous-vêtements et lavage des draps à 60°C.</w:t>
      </w:r>
      <w:r>
        <w:t xml:space="preserve">”</w:t>
      </w:r>
      <w:r>
        <w:t xml:space="preserve"> </w:t>
      </w:r>
      <w:r>
        <w:t xml:space="preserve">- Mode d’utilisation pratique :</w:t>
      </w:r>
      <w:r>
        <w:t xml:space="preserve"> </w:t>
      </w:r>
      <w:r>
        <w:t xml:space="preserve">- Bien agiter la suspension avant emploi.</w:t>
      </w:r>
      <w:r>
        <w:t xml:space="preserve"> </w:t>
      </w:r>
      <w:r>
        <w:t xml:space="preserve">- Utiliser la cuillère-mesure fournie (5 ml = 100 mg).</w:t>
      </w:r>
      <w:r>
        <w:t xml:space="preserve"> </w:t>
      </w:r>
      <w:r>
        <w:t xml:space="preserve">- Le comprimé peut être avalé entier ou croqué.</w:t>
      </w:r>
    </w:p>
    <w:p>
      <w:pPr>
        <w:pStyle w:val="BodyText"/>
      </w:pPr>
      <w:r>
        <w:rPr>
          <w:b/>
          <w:bCs/>
        </w:rPr>
        <w:t xml:space="preserve">Notes, Règles d’Or &amp; Pièges au Comptoir :</w:t>
      </w:r>
      <w:r>
        <w:t xml:space="preserve"> </w:t>
      </w:r>
      <w:r>
        <w:t xml:space="preserve">- Piège classique :</w:t>
      </w:r>
      <w:r>
        <w:t xml:space="preserve"> </w:t>
      </w:r>
      <w:r>
        <w:t xml:space="preserve">- Oubli de la 2e dose à J15 (oxyurose).</w:t>
      </w:r>
      <w:r>
        <w:t xml:space="preserve"> </w:t>
      </w:r>
      <w:r>
        <w:t xml:space="preserve">- Non-traitement familial (oxyurose).</w:t>
      </w:r>
      <w:r>
        <w:t xml:space="preserve"> </w:t>
      </w:r>
      <w:r>
        <w:t xml:space="preserve">- Confusion flubendazole ↔ mébendazole : posologies identiques (100 mg) mais la biodisponibilité du flubendazole est encore plus faible, ce qui en fait l’option la plus sûre chez l’enfant et la femme enceinte (au 2e et 3e trimestre).</w:t>
      </w:r>
      <w:r>
        <w:t xml:space="preserve"> </w:t>
      </w:r>
      <w:r>
        <w:t xml:space="preserve">- Règle de prise : Dose unique à J1 et J15 pour oxyurose ; cure 3 jours pour les autres nématodoses.</w:t>
      </w:r>
      <w:r>
        <w:t xml:space="preserve"> </w:t>
      </w:r>
      <w:r>
        <w:t xml:space="preserve">- Préparation et Conservation : Comprimés &lt; 25°C, à l’abri de l’humidité. Suspension : conservation 14 à 28 jours après ouverture selon spécialité (vérifier RCP). Bien agiter avant emploi.</w:t>
      </w:r>
      <w:r>
        <w:t xml:space="preserve"> </w:t>
      </w:r>
      <w:r>
        <w:t xml:space="preserve">- Piège du surdosage / Substitution :</w:t>
      </w:r>
      <w:r>
        <w:t xml:space="preserve"> </w:t>
      </w:r>
      <w:r>
        <w:t xml:space="preserve">- Surdosage aigu exceptionnel (faible toxicité). Traitement symptomatique.</w:t>
      </w:r>
      <w:r>
        <w:t xml:space="preserve"> </w:t>
      </w:r>
      <w:r>
        <w:t xml:space="preserve">- Substitution entre marques génériques : possible (bioéquivalence démontrée pour les formes orales solides). Vérifier la concentration de la suspension (toutes à 100 mg/5 ml en Algérie).</w:t>
      </w:r>
      <w:r>
        <w:t xml:space="preserve"> </w:t>
      </w:r>
      <w:r>
        <w:t xml:space="preserve">- Ne pas substituer flubendazole ↔ albendazole (différences de spectre et de posologie — l’albendazole est systémique, le flubendazole est luminaire).</w:t>
      </w:r>
    </w:p>
    <w:p>
      <w:r>
        <w:pict>
          <v:rect style="width:0;height:1.5pt" o:hralign="center" o:hrstd="t" o:hr="t"/>
        </w:pict>
      </w:r>
    </w:p>
    <w:bookmarkEnd w:id="132"/>
    <w:bookmarkStart w:id="133" w:name="dci-tiabendazole-seul"/>
    <w:p>
      <w:pPr>
        <w:pStyle w:val="Heading3"/>
      </w:pPr>
      <w:r>
        <w:t xml:space="preserve">15.2.4 DCI : Tiabendazole (Seul)</w:t>
      </w:r>
    </w:p>
    <w:p>
      <w:pPr>
        <w:pStyle w:val="FirstParagraph"/>
      </w:pPr>
      <w:r>
        <w:rPr>
          <w:b/>
          <w:bCs/>
        </w:rPr>
        <w:t xml:space="preserve">Liste des Catégories :</w:t>
      </w:r>
      <w:r>
        <w:t xml:space="preserve"> </w:t>
      </w:r>
      <w:r>
        <w:t xml:space="preserve">Antihelminthiques – Benzimidazoles.</w:t>
      </w:r>
    </w:p>
    <w:p>
      <w:pPr>
        <w:pStyle w:val="BodyText"/>
      </w:pPr>
      <w:r>
        <w:t xml:space="preserve">Le tiabendazole (ou thiabendazole) est le plus ancien des benzimidazoles antihelminthiques (commercialisé dès 1961). À la différence de l’albendazole, du mébendazole et du flubendazole qui sont très peu absorbés par voie orale, le tiabendazole présente une biodisponibilité orale élevée et un métabolisme hépatique rapide (demie-vie ~1 heure). Cette particularité explique son spectre d’action incluant des parasitoses tissulaires (anguillulose, larva migrans cutanée), mais aussi sa moins bonne tolérance digestive. En Algérie, le tiabendazole a été</w:t>
      </w:r>
      <w:r>
        <w:t xml:space="preserve"> </w:t>
      </w:r>
      <w:r>
        <w:rPr>
          <w:b/>
          <w:bCs/>
        </w:rPr>
        <w:t xml:space="preserve">retiré du marché</w:t>
      </w:r>
      <w:r>
        <w:t xml:space="preserve"> </w:t>
      </w:r>
      <w:r>
        <w:t xml:space="preserve">(CROBENDAZOLE est marqué statut RETRAIT dans la nomenclature).</w:t>
      </w:r>
    </w:p>
    <w:p>
      <w:pPr>
        <w:pStyle w:val="BodyText"/>
      </w:pPr>
      <w:r>
        <w:rPr>
          <w:b/>
          <w:bCs/>
        </w:rPr>
        <w:t xml:space="preserve">Médicaments disponibles en Algérie (Marques, Laboratoires, Formes et Dosages) :</w:t>
      </w:r>
    </w:p>
    <w:p>
      <w:pPr>
        <w:pStyle w:val="Compact"/>
        <w:numPr>
          <w:ilvl w:val="0"/>
          <w:numId w:val="1358"/>
        </w:numPr>
      </w:pPr>
      <w:r>
        <w:rPr>
          <w:b/>
          <w:bCs/>
        </w:rPr>
        <w:t xml:space="preserve">CROBENDAZOLE</w:t>
      </w:r>
      <w:r>
        <w:t xml:space="preserve"> </w:t>
      </w:r>
      <w:r>
        <w:t xml:space="preserve">(CROVIS PHILCOM)</w:t>
      </w:r>
    </w:p>
    <w:p>
      <w:pPr>
        <w:pStyle w:val="Compact"/>
        <w:numPr>
          <w:ilvl w:val="1"/>
          <w:numId w:val="1359"/>
        </w:numPr>
      </w:pPr>
      <w:r>
        <w:t xml:space="preserve">Formes et Dosages : Comprimé à croquer 500 mg — B/6</w:t>
      </w:r>
    </w:p>
    <w:p>
      <w:pPr>
        <w:pStyle w:val="Compact"/>
        <w:numPr>
          <w:ilvl w:val="1"/>
          <w:numId w:val="1359"/>
        </w:numPr>
      </w:pPr>
      <w:r>
        <w:t xml:space="preserve">Statut : Retiré (R)</w:t>
      </w:r>
    </w:p>
    <w:p>
      <w:pPr>
        <w:pStyle w:val="FirstParagraph"/>
      </w:pPr>
      <w:r>
        <w:t xml:space="preserve">Le tiabendazole n’est actuellement</w:t>
      </w:r>
      <w:r>
        <w:t xml:space="preserve"> </w:t>
      </w:r>
      <w:r>
        <w:rPr>
          <w:b/>
          <w:bCs/>
        </w:rPr>
        <w:t xml:space="preserve">plus disponible</w:t>
      </w:r>
      <w:r>
        <w:t xml:space="preserve"> </w:t>
      </w:r>
      <w:r>
        <w:t xml:space="preserve">en Algérie. Les patients nécessitant un traitement d’une anguillulose (Strongyloides stercoralis) — indication princeps du tiabendazole — doivent être orientés vers les structures hospitalières spécialisées pour une importation exceptionnelle d’ivermectine (non disponible dans la nomenclature algérienne) ou un traitement alternatif par albendazole (400 mg/jour × 3 jours, efficacité partielle ~70 %).</w:t>
      </w:r>
    </w:p>
    <w:p>
      <w:pPr>
        <w:pStyle w:val="BodyText"/>
      </w:pPr>
      <w:r>
        <w:rPr>
          <w:b/>
          <w:bCs/>
        </w:rPr>
        <w:t xml:space="preserve">Sous-classe et Mécanisme d’action :</w:t>
      </w:r>
      <w:r>
        <w:t xml:space="preserve"> </w:t>
      </w:r>
      <w:r>
        <w:t xml:space="preserve">- Sous-classe : Benzimidazole de 1re génération, à absorption systémique significative.</w:t>
      </w:r>
      <w:r>
        <w:t xml:space="preserve"> </w:t>
      </w:r>
      <w:r>
        <w:t xml:space="preserve">- Mécanisme d’action : Identique à la classe des benzimidazoles — inhibition de la polymérisation des microtubules par liaison à la β-tubuline, blocage de l’absorption du glucose. Le tiabendazole est également un inhibiteur de la fumarate-réductase parasitaire, ce qui distingue son mécanisme de celui des autres benzimidazoles.</w:t>
      </w:r>
    </w:p>
    <w:p>
      <w:pPr>
        <w:pStyle w:val="BodyText"/>
      </w:pPr>
      <w:r>
        <w:rPr>
          <w:b/>
          <w:bCs/>
        </w:rPr>
        <w:t xml:space="preserve">Profil Pharmacologique :</w:t>
      </w:r>
      <w:r>
        <w:t xml:space="preserve"> </w:t>
      </w:r>
      <w:r>
        <w:t xml:space="preserve">- Indications : Anguillulose (Strongyloides stercoralis) — indication historique principale ; larva migrans cutanée (ancylostomose animale) ; dracunculose (ver de Guinée). Usage topique en dermatologie : tiabendazole 10 % en crème pour larva migrans.</w:t>
      </w:r>
      <w:r>
        <w:t xml:space="preserve"> </w:t>
      </w:r>
      <w:r>
        <w:t xml:space="preserve">- Contre-indications : Hypersensibilité ; insuffisance hépatique sévère ; insuffisance rénale sévère.</w:t>
      </w:r>
      <w:r>
        <w:t xml:space="preserve"> </w:t>
      </w:r>
      <w:r>
        <w:t xml:space="preserve">- Effets Indésirables : Fréquents et parfois invalidants : nausées, vomissements, douleurs abdominales, diarrhée (jusqu’à 30 % des patients) ; vertiges, somnolence, céphalées ; urticaire, prurit, érythème polymorphe ; rarement : crystallurie, atteinte hépatique, convulsions, syndrome de Stevens-Johnson. La mauvaise tolérance digestive a contribué à son retrait du marché.</w:t>
      </w:r>
    </w:p>
    <w:p>
      <w:pPr>
        <w:pStyle w:val="BodyText"/>
      </w:pPr>
      <w:r>
        <w:rPr>
          <w:b/>
          <w:bCs/>
        </w:rPr>
        <w:t xml:space="preserve">Prévention et Gestion des Effets Indésirables :</w:t>
      </w:r>
      <w:r>
        <w:t xml:space="preserve"> </w:t>
      </w:r>
      <w:r>
        <w:t xml:space="preserve">- Mesures Préventives : Prise après repas pour réduire la tolérance digestive ; hydratation abondante pour prévenir la crystallurie.</w:t>
      </w:r>
      <w:r>
        <w:t xml:space="preserve"> </w:t>
      </w:r>
      <w:r>
        <w:t xml:space="preserve">- Conduite à Tenir : Arrêt en cas d’effets indésirables sévères. Antihistaminiques en cas de réaction cutanée.</w:t>
      </w:r>
    </w:p>
    <w:p>
      <w:pPr>
        <w:pStyle w:val="BodyText"/>
      </w:pPr>
      <w:r>
        <w:rPr>
          <w:b/>
          <w:bCs/>
        </w:rPr>
        <w:t xml:space="preserve">Interactions Importantes :</w:t>
      </w:r>
      <w:r>
        <w:t xml:space="preserve"> </w:t>
      </w:r>
      <w:r>
        <w:t xml:space="preserve">-</w:t>
      </w:r>
      <w:r>
        <w:t xml:space="preserve"> </w:t>
      </w:r>
      <w:r>
        <w:rPr>
          <w:b/>
          <w:bCs/>
        </w:rPr>
        <w:t xml:space="preserve">Tiabendazole + Théophylline</w:t>
      </w:r>
      <w:r>
        <w:t xml:space="preserve"> </w:t>
      </w:r>
      <w:r>
        <w:t xml:space="preserve">: Augmentation importante des concentrations de théophylline (inhibition du métabolisme hépatique) — risque de toxicité (nausées, convulsions).</w:t>
      </w:r>
      <w:r>
        <w:t xml:space="preserve"> </w:t>
      </w:r>
      <w:r>
        <w:t xml:space="preserve">-</w:t>
      </w:r>
      <w:r>
        <w:t xml:space="preserve"> </w:t>
      </w:r>
      <w:r>
        <w:rPr>
          <w:b/>
          <w:bCs/>
        </w:rPr>
        <w:t xml:space="preserve">Tiabendazole + Phénytoïne</w:t>
      </w:r>
      <w:r>
        <w:t xml:space="preserve"> </w:t>
      </w:r>
      <w:r>
        <w:t xml:space="preserve">: Augmentation des concentrations de phénytoïne.</w:t>
      </w:r>
    </w:p>
    <w:p>
      <w:pPr>
        <w:pStyle w:val="BodyText"/>
      </w:pPr>
      <w:r>
        <w:rPr>
          <w:b/>
          <w:bCs/>
        </w:rPr>
        <w:t xml:space="preserve">Grossesse et Allaitement :</w:t>
      </w:r>
      <w:r>
        <w:t xml:space="preserve"> </w:t>
      </w:r>
      <w:r>
        <w:t xml:space="preserve">- Grossesse : CI au 1er trimestre par mesure de classe. À éviter pendant toute la grossesse.</w:t>
      </w:r>
      <w:r>
        <w:t xml:space="preserve"> </w:t>
      </w:r>
      <w:r>
        <w:t xml:space="preserve">- Allaitement : Contre-indiqué (passage dans le lait maternel).</w:t>
      </w:r>
    </w:p>
    <w:p>
      <w:pPr>
        <w:pStyle w:val="BodyText"/>
      </w:pPr>
      <w:r>
        <w:rPr>
          <w:b/>
          <w:bCs/>
        </w:rPr>
        <w:t xml:space="preserve">Posologie et Mode d’administration (Standard) :</w:t>
      </w:r>
      <w:r>
        <w:t xml:space="preserve"> </w:t>
      </w:r>
      <w:r>
        <w:t xml:space="preserve">- Adulte : 25 mg/kg/jour en 2 prises (sans dépasser 3 g/jour) pendant 2 à 3 jours (anguillulose).</w:t>
      </w:r>
      <w:r>
        <w:t xml:space="preserve"> </w:t>
      </w:r>
      <w:r>
        <w:t xml:space="preserve">- Enfant : 25 mg/kg/jour (même limite).</w:t>
      </w:r>
      <w:r>
        <w:t xml:space="preserve"> </w:t>
      </w:r>
      <w:r>
        <w:t xml:space="preserve">- Mode d’administration : Comprimés à croquer, prise après repas.</w:t>
      </w:r>
    </w:p>
    <w:p>
      <w:pPr>
        <w:pStyle w:val="BodyText"/>
      </w:pPr>
      <w:r>
        <w:rPr>
          <w:b/>
          <w:bCs/>
        </w:rPr>
        <w:t xml:space="preserve">Arbitrage et Bénéfices des Formes Galéniques :</w:t>
      </w:r>
      <w:r>
        <w:t xml:space="preserve"> </w:t>
      </w:r>
      <w:r>
        <w:t xml:space="preserve">- Forme unique : comprimé à croquer 500 mg.</w:t>
      </w:r>
      <w:r>
        <w:t xml:space="preserve"> </w:t>
      </w:r>
      <w:r>
        <w:t xml:space="preserve">- L’absence de forme pédiatrique liquide a limité son usage chez le jeune enfant.</w:t>
      </w:r>
    </w:p>
    <w:p>
      <w:pPr>
        <w:pStyle w:val="BodyText"/>
      </w:pPr>
      <w:r>
        <w:rPr>
          <w:b/>
          <w:bCs/>
        </w:rPr>
        <w:t xml:space="preserve">Instructions et Conseils au Patient :</w:t>
      </w:r>
      <w:r>
        <w:t xml:space="preserve"> </w:t>
      </w:r>
      <w:r>
        <w:t xml:space="preserve">- Communication au comptoir : Information sur la nécessité de prise après repas, hydratation abondante, possibilité d’effets indésirables digestifs.</w:t>
      </w:r>
      <w:r>
        <w:t xml:space="preserve"> </w:t>
      </w:r>
      <w:r>
        <w:t xml:space="preserve">- Mode d’utilisation pratique : Croquer le comprimé, avaler avec un verre d’eau après un repas.</w:t>
      </w:r>
    </w:p>
    <w:p>
      <w:pPr>
        <w:pStyle w:val="BodyText"/>
      </w:pPr>
      <w:r>
        <w:rPr>
          <w:b/>
          <w:bCs/>
        </w:rPr>
        <w:t xml:space="preserve">Notes, Règles d’Or &amp; Pièges au Comptoir :</w:t>
      </w:r>
      <w:r>
        <w:t xml:space="preserve"> </w:t>
      </w:r>
      <w:r>
        <w:t xml:space="preserve">- Piège classique : Le tiabendazole étant retiré du marché algérien, le pharmacien doit orienter le patient vers une alternative disponible (albendazole 400 mg/jour × 3 jours) ou vers une structure hospitalière pour ATU d’ivermectine.</w:t>
      </w:r>
      <w:r>
        <w:t xml:space="preserve"> </w:t>
      </w:r>
      <w:r>
        <w:t xml:space="preserve">- Règle de prise : Croquer après repas, hydratation.</w:t>
      </w:r>
      <w:r>
        <w:t xml:space="preserve"> </w:t>
      </w:r>
      <w:r>
        <w:t xml:space="preserve">- Préparation et Conservation : Non applicable (molécule retirée).</w:t>
      </w:r>
      <w:r>
        <w:t xml:space="preserve"> </w:t>
      </w:r>
      <w:r>
        <w:t xml:space="preserve">- Piège du surdosage / Substitution : Substitution systématique par albendazole en pratique courante, avec information sur l’efficacité partielle (rechute possible). Le traitement de référence de l’anguillulose reste l’ivermectine (200 µg/kg dose unique, efficacité &gt; 95 %) — à demander via importation exceptionnelle pour les cas à risque (immunodépression, transplantation, corticothérapie prolongée).</w:t>
      </w:r>
    </w:p>
    <w:p>
      <w:r>
        <w:pict>
          <v:rect style="width:0;height:1.5pt" o:hralign="center" o:hrstd="t" o:hr="t"/>
        </w:pict>
      </w:r>
    </w:p>
    <w:bookmarkEnd w:id="133"/>
    <w:bookmarkEnd w:id="134"/>
    <w:bookmarkStart w:id="137" w:name="sous-classe-salicylanilides"/>
    <w:p>
      <w:pPr>
        <w:pStyle w:val="Heading2"/>
      </w:pPr>
      <w:r>
        <w:t xml:space="preserve">15.3 Sous-classe : Salicylanilides</w:t>
      </w:r>
    </w:p>
    <w:bookmarkStart w:id="135" w:name="introduction-aux-salicylanilides"/>
    <w:p>
      <w:pPr>
        <w:pStyle w:val="Heading3"/>
      </w:pPr>
      <w:r>
        <w:t xml:space="preserve">Introduction aux Salicylanilides</w:t>
      </w:r>
    </w:p>
    <w:p>
      <w:pPr>
        <w:pStyle w:val="FirstParagraph"/>
      </w:pPr>
      <w:r>
        <w:t xml:space="preserve">Les salicylanilides forment une petite classe d’antihelminthiques caractérisés par une structure associant un noyau salicylique et un groupe anilide. Le chef de file en est le</w:t>
      </w:r>
      <w:r>
        <w:t xml:space="preserve"> </w:t>
      </w:r>
      <w:r>
        <w:rPr>
          <w:b/>
          <w:bCs/>
        </w:rPr>
        <w:t xml:space="preserve">niclosamide</w:t>
      </w:r>
      <w:r>
        <w:t xml:space="preserve">, seul représentant utilisé en médecine humaine. D’autres molécules apparentées (oxyclozanide, rafoxanide, closantel) sont réservées à l’usage vétérinaire.</w:t>
      </w:r>
    </w:p>
    <w:p>
      <w:pPr>
        <w:pStyle w:val="BodyText"/>
      </w:pPr>
      <w:r>
        <w:rPr>
          <w:b/>
          <w:bCs/>
        </w:rPr>
        <w:t xml:space="preserve">Mécanisme d’action :</w:t>
      </w:r>
      <w:r>
        <w:t xml:space="preserve"> </w:t>
      </w:r>
      <w:r>
        <w:t xml:space="preserve">Le niclosamide agit en</w:t>
      </w:r>
      <w:r>
        <w:t xml:space="preserve"> </w:t>
      </w:r>
      <w:r>
        <w:rPr>
          <w:b/>
          <w:bCs/>
        </w:rPr>
        <w:t xml:space="preserve">découplant la phosphorylation oxydative mitochondriale</w:t>
      </w:r>
      <w:r>
        <w:t xml:space="preserve"> </w:t>
      </w:r>
      <w:r>
        <w:t xml:space="preserve">des cestodes. Il inhibe la synthèse d’ATP en dissociant le transport des électrons de la phosphorylation de l’ADP : l’énergie libérée par la chaîne respiratoire est dissipée sous forme de chaleur au lieu d’être captée pour phosphoryler l’ADP en ATP. Le ver, privé de son énergie métabolique, est paralysé et meurt. Le niclosamide a également une action inhibitrice sur l’absorption du glucose par le cestode.</w:t>
      </w:r>
    </w:p>
    <w:p>
      <w:pPr>
        <w:pStyle w:val="BodyText"/>
      </w:pPr>
      <w:r>
        <w:rPr>
          <w:b/>
          <w:bCs/>
        </w:rPr>
        <w:t xml:space="preserve">Spectre d’action :</w:t>
      </w:r>
      <w:r>
        <w:t xml:space="preserve"> </w:t>
      </w:r>
      <w:r>
        <w:t xml:space="preserve">Le niclosamide est un anti-cestode (taeniacide) actif sur les formes adultes de Taenia saginata, Taenia solium, Diphyllobothrium latum, et Hymenolepis nana. Il est sans action sur les formes larvaires (cysticerque, hydatide). Son action est</w:t>
      </w:r>
      <w:r>
        <w:t xml:space="preserve"> </w:t>
      </w:r>
      <w:r>
        <w:rPr>
          <w:b/>
          <w:bCs/>
        </w:rPr>
        <w:t xml:space="preserve">vermicide</w:t>
      </w:r>
      <w:r>
        <w:t xml:space="preserve"> </w:t>
      </w:r>
      <w:r>
        <w:t xml:space="preserve">(mort du ver), mais il ne provoque pas la digestion du scolex et des proglottis, qui peuvent être expulsés vivants dans les selles (d’où le risque théorique de cysticercose pour T. solium en cas de vomissements — à prévenir par antiémétique).</w:t>
      </w:r>
    </w:p>
    <w:p>
      <w:pPr>
        <w:pStyle w:val="BodyText"/>
      </w:pPr>
      <w:r>
        <w:rPr>
          <w:b/>
          <w:bCs/>
        </w:rPr>
        <w:t xml:space="preserve">Positionnement en Algérie :</w:t>
      </w:r>
      <w:r>
        <w:t xml:space="preserve"> </w:t>
      </w:r>
      <w:r>
        <w:t xml:space="preserve">Le niclosamide est disponible en Algérie mais uniquement sous une marque en statut NON_RENOUVELABLE (NOVARMIN), ce qui en fait un médicament en accès limité. En pratique, le traitement des téniasis en Algérie repose principalement sur l’albendazole (400 mg/jour × 3 jours), plus accessible. Le niclosamide reste une option historique intéressante pour son profil de tolérance excellente (action luminaire pure, faible absorption) et son autorisation chez la femme enceinte (ce qui le distingue des benzimidazoles).</w:t>
      </w:r>
    </w:p>
    <w:p>
      <w:r>
        <w:pict>
          <v:rect style="width:0;height:1.5pt" o:hralign="center" o:hrstd="t" o:hr="t"/>
        </w:pict>
      </w:r>
    </w:p>
    <w:bookmarkEnd w:id="135"/>
    <w:bookmarkStart w:id="136" w:name="dci-niclosamide-seul"/>
    <w:p>
      <w:pPr>
        <w:pStyle w:val="Heading3"/>
      </w:pPr>
      <w:r>
        <w:t xml:space="preserve">15.3.1 DCI : Niclosamide (Seul)</w:t>
      </w:r>
    </w:p>
    <w:p>
      <w:pPr>
        <w:pStyle w:val="FirstParagraph"/>
      </w:pPr>
      <w:r>
        <w:rPr>
          <w:b/>
          <w:bCs/>
        </w:rPr>
        <w:t xml:space="preserve">Liste des Catégories :</w:t>
      </w:r>
      <w:r>
        <w:t xml:space="preserve"> </w:t>
      </w:r>
      <w:r>
        <w:t xml:space="preserve">Antihelminthiques – Salicylanilides ; Liste II.</w:t>
      </w:r>
    </w:p>
    <w:p>
      <w:pPr>
        <w:pStyle w:val="BodyText"/>
      </w:pPr>
      <w:r>
        <w:t xml:space="preserve">Le niclosamide est un antihelminthique anti-cestode historique, commercialisé depuis 1960. Sa caractéristique pharmacocinétique principale est une absorption orale quasi nulle (&lt; 5 %), ce qui en fait un antihelminthique à action strictement luminale. Cette propriété lui confère une excellente tolérance systémique et autorise son usage chez la femme enceinte (après le 1er trimestre), à la différence des benzimidazoles qui sont CI pendant la grossesse. Cependant, en Algérie, le niclosamide est actuellement en statut NON_RENOUVELABLE (NOVARMIN), ce qui en limite l’accès pratique.</w:t>
      </w:r>
    </w:p>
    <w:p>
      <w:pPr>
        <w:pStyle w:val="BodyText"/>
      </w:pPr>
      <w:r>
        <w:rPr>
          <w:b/>
          <w:bCs/>
        </w:rPr>
        <w:t xml:space="preserve">Médicaments disponibles en Algérie (Marques, Laboratoires, Formes et Dosages) :</w:t>
      </w:r>
    </w:p>
    <w:p>
      <w:pPr>
        <w:pStyle w:val="Compact"/>
        <w:numPr>
          <w:ilvl w:val="0"/>
          <w:numId w:val="1360"/>
        </w:numPr>
      </w:pPr>
      <w:r>
        <w:rPr>
          <w:b/>
          <w:bCs/>
        </w:rPr>
        <w:t xml:space="preserve">NOVARMIN</w:t>
      </w:r>
      <w:r>
        <w:t xml:space="preserve"> </w:t>
      </w:r>
      <w:r>
        <w:t xml:space="preserve">(NOVA ARGENTIA)</w:t>
      </w:r>
    </w:p>
    <w:p>
      <w:pPr>
        <w:pStyle w:val="Compact"/>
        <w:numPr>
          <w:ilvl w:val="1"/>
          <w:numId w:val="1361"/>
        </w:numPr>
      </w:pPr>
      <w:r>
        <w:t xml:space="preserve">Formes et Dosages : Comprimé à croquer 500 mg — B/4</w:t>
      </w:r>
    </w:p>
    <w:p>
      <w:pPr>
        <w:pStyle w:val="Compact"/>
        <w:numPr>
          <w:ilvl w:val="1"/>
          <w:numId w:val="1361"/>
        </w:numPr>
      </w:pPr>
      <w:r>
        <w:t xml:space="preserve">Statut : Non Renouvelable</w:t>
      </w:r>
    </w:p>
    <w:p>
      <w:pPr>
        <w:pStyle w:val="FirstParagraph"/>
      </w:pPr>
      <w:r>
        <w:t xml:space="preserve">Le niclosamide n’est donc plus commercialisé activement en Algérie. Cette situation pose problème pour les patientes enceintes présentant un téniasis (pour lesquelles l’albendazole est CI) : il faut alors recourir à l’importation exceptionnelle ou au pyrantel (qui a une activité anti-cestode modeste). Le pharmacien doit informer le prescripteur de cette non-disponibilité.</w:t>
      </w:r>
    </w:p>
    <w:p>
      <w:pPr>
        <w:pStyle w:val="BodyText"/>
      </w:pPr>
      <w:r>
        <w:rPr>
          <w:b/>
          <w:bCs/>
        </w:rPr>
        <w:t xml:space="preserve">Sous-classe et Mécanisme d’action :</w:t>
      </w:r>
      <w:r>
        <w:t xml:space="preserve"> </w:t>
      </w:r>
      <w:r>
        <w:t xml:space="preserve">- Sous-classe : Salicylanilide anti-cestode, action luminaire exclusive.</w:t>
      </w:r>
      <w:r>
        <w:t xml:space="preserve"> </w:t>
      </w:r>
      <w:r>
        <w:t xml:space="preserve">- Mécanisme d’action : Le niclosamide inhibe la phosphorylation oxydative mitochondriale des cestodes en découplant le transport des électrons (chaîne respiratoire) de la phosphorylation de l’ADP en ATP. L’énergie libérée par l’oxydation des substrats est dissipée sous forme de chaleur au lieu d’être stockée sous forme d’ATP. Le ver est privé de son ATP et meurt par épuisement énergétique. Le niclosamide inhibe également l’absorption du glucose par le cestode. L’effet est</w:t>
      </w:r>
      <w:r>
        <w:t xml:space="preserve"> </w:t>
      </w:r>
      <w:r>
        <w:rPr>
          <w:b/>
          <w:bCs/>
        </w:rPr>
        <w:t xml:space="preserve">taeniacide</w:t>
      </w:r>
      <w:r>
        <w:t xml:space="preserve"> </w:t>
      </w:r>
      <w:r>
        <w:t xml:space="preserve">(mort du ver adulte). La molécule est inactive sur les œufs et les formes larvaires (cysticerque, hydatide, cysticercoïde).</w:t>
      </w:r>
    </w:p>
    <w:p>
      <w:pPr>
        <w:pStyle w:val="BodyText"/>
      </w:pPr>
      <w:r>
        <w:rPr>
          <w:b/>
          <w:bCs/>
        </w:rPr>
        <w:t xml:space="preserve">Profil Pharmacologique :</w:t>
      </w:r>
      <w:r>
        <w:t xml:space="preserve"> </w:t>
      </w:r>
      <w:r>
        <w:t xml:space="preserve">- Indications : Téniasis à Taenia saginata (ver du bœuf) ; téniasis à Taenia solium (ver du porc — forme adulte intestinale, à distinguer de la cysticercose tissulaire) ; bothriocéphalose (Diphyllobothrium latum, ver du poisson) ; hyménolépiase (Hymenolepis nana) — cure prolongée nécessaire.</w:t>
      </w:r>
      <w:r>
        <w:t xml:space="preserve"> </w:t>
      </w:r>
      <w:r>
        <w:t xml:space="preserve">- Contre-indications : Hypersensibilité. Pas de CI chez la femme enceinte (autorisation au 2e et 3e trimestre, après le 1er trimestre). Ulcères digestifs évolutifs (risque théorique d’augmentation de l’absorption).</w:t>
      </w:r>
      <w:r>
        <w:t xml:space="preserve"> </w:t>
      </w:r>
      <w:r>
        <w:t xml:space="preserve">- Effets Indésirables : Rares et bénins en raison de la très faible absorption systémique. Nausées, vomissements (effet local), douleurs abdominales, diarrhée. Malaise, prurit anal, vertiges. Réactions d’hypersensibilité exceptionnelles.</w:t>
      </w:r>
      <w:r>
        <w:t xml:space="preserve"> </w:t>
      </w:r>
      <w:r>
        <w:t xml:space="preserve">- Préoccupation spécifique :</w:t>
      </w:r>
      <w:r>
        <w:t xml:space="preserve"> </w:t>
      </w:r>
      <w:r>
        <w:rPr>
          <w:b/>
          <w:bCs/>
        </w:rPr>
        <w:t xml:space="preserve">Risque de cysticercose</w:t>
      </w:r>
      <w:r>
        <w:t xml:space="preserve"> </w:t>
      </w:r>
      <w:r>
        <w:t xml:space="preserve">en cas de téniasis à Taenia solium traité par niclosamide (si vomissements des proglottis contenant des œufs, libération dans l’estomac → éclosion → migration larvaire → cysticercose). Prévention : prémédication par antiémétique (métoclopramide 10 mg IV 30 minutes avant).</w:t>
      </w:r>
    </w:p>
    <w:p>
      <w:pPr>
        <w:pStyle w:val="BodyText"/>
      </w:pPr>
      <w:r>
        <w:rPr>
          <w:b/>
          <w:bCs/>
        </w:rPr>
        <w:t xml:space="preserve">Prévention et Gestion des Effets Indésirables :</w:t>
      </w:r>
      <w:r>
        <w:t xml:space="preserve"> </w:t>
      </w:r>
      <w:r>
        <w:t xml:space="preserve">- Mesures Préventives :</w:t>
      </w:r>
      <w:r>
        <w:t xml:space="preserve"> </w:t>
      </w:r>
      <w:r>
        <w:t xml:space="preserve">- Prémédication antiémétique (métoclopramide) avant la prise pour Taenia solium (prévention de la cysticercose iatrogène).</w:t>
      </w:r>
      <w:r>
        <w:t xml:space="preserve"> </w:t>
      </w:r>
      <w:r>
        <w:t xml:space="preserve">- Lavement évacuateur 2 heures après la prise (pour faciliter l’expulsion du ver mort et éviter la digestion des proglottis).</w:t>
      </w:r>
      <w:r>
        <w:t xml:space="preserve"> </w:t>
      </w:r>
      <w:r>
        <w:t xml:space="preserve">- Hygiène rigoureuse des mains (risque d’auto-infestation par les œufs de T. solium).</w:t>
      </w:r>
      <w:r>
        <w:t xml:space="preserve"> </w:t>
      </w:r>
      <w:r>
        <w:t xml:space="preserve">- Conduite à Tenir : Symptomatique en cas d’effet indésirable. Surveillance parasitologique des selles à 1 et 3 mois (recherche d’anneaux ou de scolex).</w:t>
      </w:r>
    </w:p>
    <w:p>
      <w:pPr>
        <w:pStyle w:val="BodyText"/>
      </w:pPr>
      <w:r>
        <w:rPr>
          <w:b/>
          <w:bCs/>
        </w:rPr>
        <w:t xml:space="preserve">Interactions Importantes :</w:t>
      </w:r>
      <w:r>
        <w:t xml:space="preserve"> </w:t>
      </w:r>
      <w:r>
        <w:t xml:space="preserve">- Profil d’interactions très limité en raison de l’absence d’absorption systémique.</w:t>
      </w:r>
      <w:r>
        <w:t xml:space="preserve"> </w:t>
      </w:r>
      <w:r>
        <w:t xml:space="preserve">-</w:t>
      </w:r>
      <w:r>
        <w:t xml:space="preserve"> </w:t>
      </w:r>
      <w:r>
        <w:rPr>
          <w:b/>
          <w:bCs/>
        </w:rPr>
        <w:t xml:space="preserve">Niclosamide + Laxatifs</w:t>
      </w:r>
      <w:r>
        <w:t xml:space="preserve"> </w:t>
      </w:r>
      <w:r>
        <w:t xml:space="preserve">: Utilisation conjointe recommandée pour faciliter l’expulsion du ver.</w:t>
      </w:r>
      <w:r>
        <w:t xml:space="preserve"> </w:t>
      </w:r>
      <w:r>
        <w:t xml:space="preserve">- Pas d’interactions médicamenteuses cliniquement significatives documentées.</w:t>
      </w:r>
    </w:p>
    <w:p>
      <w:pPr>
        <w:pStyle w:val="BodyText"/>
      </w:pPr>
      <w:r>
        <w:rPr>
          <w:b/>
          <w:bCs/>
        </w:rPr>
        <w:t xml:space="preserve">Grossesse et Allaitement :</w:t>
      </w:r>
      <w:r>
        <w:t xml:space="preserve"> </w:t>
      </w:r>
      <w:r>
        <w:t xml:space="preserve">- Grossesse : Autorisé au 2e et 3e trimestre (données animales rassurantes, absence d’absorption systémique). Au 1er trimestre, par mesure de précaution, à éviter sauf nécessité absolue. Le CRAT considère le niclosamide comme compatible avec la grossesse.</w:t>
      </w:r>
      <w:r>
        <w:t xml:space="preserve"> </w:t>
      </w:r>
      <w:r>
        <w:t xml:space="preserve">- Allaitement : Compatible (faible passage lacté en raison de la faible absorption).</w:t>
      </w:r>
      <w:r>
        <w:t xml:space="preserve"> </w:t>
      </w:r>
      <w:r>
        <w:t xml:space="preserve">- Précisions : Le niclosamide est l’antihelminthique de choix chez la femme enceinte présentant un téniasis à Taenia solium (risque de cysticercose maternelle et fœtale si non traité).</w:t>
      </w:r>
    </w:p>
    <w:p>
      <w:pPr>
        <w:pStyle w:val="BodyText"/>
      </w:pPr>
      <w:r>
        <w:rPr>
          <w:b/>
          <w:bCs/>
        </w:rPr>
        <w:t xml:space="preserve">Posologie et Mode d’administration (Standard) :</w:t>
      </w:r>
      <w:r>
        <w:t xml:space="preserve"> </w:t>
      </w:r>
      <w:r>
        <w:t xml:space="preserve">- Adulte :</w:t>
      </w:r>
      <w:r>
        <w:t xml:space="preserve"> </w:t>
      </w:r>
      <w:r>
        <w:t xml:space="preserve">- Taenia saginata, T. solium, Diphyllobothrium latum : 2 g (4 comprimés à 500 mg) en dose unique, le matin à jeun. Le comprimé doit être</w:t>
      </w:r>
      <w:r>
        <w:t xml:space="preserve"> </w:t>
      </w:r>
      <w:r>
        <w:rPr>
          <w:b/>
          <w:bCs/>
        </w:rPr>
        <w:t xml:space="preserve">croquer avant d’être avalé</w:t>
      </w:r>
      <w:r>
        <w:t xml:space="preserve"> </w:t>
      </w:r>
      <w:r>
        <w:t xml:space="preserve">(la substance est insoluble et doit être fragmentée pour agir). Une 2e dose peut être administrée si les proglottis sont retrouvés dans les selles à 1 mois.</w:t>
      </w:r>
      <w:r>
        <w:t xml:space="preserve"> </w:t>
      </w:r>
      <w:r>
        <w:t xml:space="preserve">- Hymenolepis nana : 2 g le 1er jour, puis 1 g/jour pendant 6 jours (cycle autoreinfestant nécessitant une cure prolongée).</w:t>
      </w:r>
      <w:r>
        <w:t xml:space="preserve"> </w:t>
      </w:r>
      <w:r>
        <w:t xml:space="preserve">- Enfant :</w:t>
      </w:r>
      <w:r>
        <w:t xml:space="preserve"> </w:t>
      </w:r>
      <w:r>
        <w:t xml:space="preserve">- 10 à 35 kg : 1,5 g (3 comprimés).</w:t>
      </w:r>
      <w:r>
        <w:t xml:space="preserve"> </w:t>
      </w:r>
      <w:r>
        <w:t xml:space="preserve">- &lt; 10 kg : 1 g (2 comprimés).</w:t>
      </w:r>
      <w:r>
        <w:t xml:space="preserve"> </w:t>
      </w:r>
      <w:r>
        <w:t xml:space="preserve">- Durée : Dose unique pour les taenias, cure de 7 jours pour Hymenolepis nana.</w:t>
      </w:r>
      <w:r>
        <w:t xml:space="preserve"> </w:t>
      </w:r>
      <w:r>
        <w:t xml:space="preserve">- Moment de prise : À jeun le matin, suivi d’un lavement évacuateur ou d’un laxatif salin 2 heures après.</w:t>
      </w:r>
    </w:p>
    <w:p>
      <w:pPr>
        <w:pStyle w:val="BodyText"/>
      </w:pPr>
      <w:r>
        <w:rPr>
          <w:b/>
          <w:bCs/>
        </w:rPr>
        <w:t xml:space="preserve">Arbitrage et Bénéfices des Formes Galéniques :</w:t>
      </w:r>
      <w:r>
        <w:t xml:space="preserve"> </w:t>
      </w:r>
      <w:r>
        <w:t xml:space="preserve">- Comprimé à croquer 500 mg : La forme à croquer est essentielle car le niclosamide est pratiquement insoluble dans l’eau et doit être fragmenté pour libérer le principe actif au contact du ver. Avaler un comprimé entier serait inefficace.</w:t>
      </w:r>
      <w:r>
        <w:t xml:space="preserve"> </w:t>
      </w:r>
      <w:r>
        <w:t xml:space="preserve">- Conditionnement B/4 : Adapté à une dose unique adulte (4 comprimés = 2 g).</w:t>
      </w:r>
      <w:r>
        <w:t xml:space="preserve"> </w:t>
      </w:r>
      <w:r>
        <w:t xml:space="preserve">- Arbitrage : Pas d’alternative galénique en Algérie. La suspension n’est pas disponible.</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 </w:t>
      </w:r>
      <w:r>
        <w:t xml:space="preserve">“</w:t>
      </w:r>
      <w:r>
        <w:t xml:space="preserve">Ce médicament tue le ver solitaire (taenia). Vous devez croquer les 4 comprimés puis les avaler avec un peu d’eau, à jeun le matin.</w:t>
      </w:r>
      <w:r>
        <w:t xml:space="preserve">”</w:t>
      </w:r>
      <w:r>
        <w:t xml:space="preserve"> </w:t>
      </w:r>
      <w:r>
        <w:t xml:space="preserve">-</w:t>
      </w:r>
      <w:r>
        <w:t xml:space="preserve"> </w:t>
      </w:r>
      <w:r>
        <w:t xml:space="preserve">“</w:t>
      </w:r>
      <w:r>
        <w:t xml:space="preserve">Vous trouverez peut-être des fragments de ver dans vos selles — c’est normal, le médicament l’a tué.</w:t>
      </w:r>
      <w:r>
        <w:t xml:space="preserve">”</w:t>
      </w:r>
      <w:r>
        <w:t xml:space="preserve"> </w:t>
      </w:r>
      <w:r>
        <w:t xml:space="preserve">-</w:t>
      </w:r>
      <w:r>
        <w:t xml:space="preserve"> </w:t>
      </w:r>
      <w:r>
        <w:t xml:space="preserve">“</w:t>
      </w:r>
      <w:r>
        <w:t xml:space="preserve">Évitez de vomir (demandez un antiémétique si besoin) — particulièrement important pour le taenia du porc.</w:t>
      </w:r>
      <w:r>
        <w:t xml:space="preserve">”</w:t>
      </w:r>
      <w:r>
        <w:t xml:space="preserve"> </w:t>
      </w:r>
      <w:r>
        <w:t xml:space="preserve">-</w:t>
      </w:r>
      <w:r>
        <w:t xml:space="preserve"> </w:t>
      </w:r>
      <w:r>
        <w:t xml:space="preserve">“</w:t>
      </w:r>
      <w:r>
        <w:t xml:space="preserve">Lavez-vous soigneusement les mains pour éviter de vous recontaminer.</w:t>
      </w:r>
      <w:r>
        <w:t xml:space="preserve">”</w:t>
      </w:r>
      <w:r>
        <w:t xml:space="preserve"> </w:t>
      </w:r>
      <w:r>
        <w:t xml:space="preserve">- Mode d’utilisation pratique :</w:t>
      </w:r>
      <w:r>
        <w:t xml:space="preserve"> </w:t>
      </w:r>
      <w:r>
        <w:t xml:space="preserve">- À jeun le matin.</w:t>
      </w:r>
      <w:r>
        <w:t xml:space="preserve"> </w:t>
      </w:r>
      <w:r>
        <w:t xml:space="preserve">- Croquer entièrement chaque comprimé avant de l’avaler.</w:t>
      </w:r>
      <w:r>
        <w:t xml:space="preserve"> </w:t>
      </w:r>
      <w:r>
        <w:t xml:space="preserve">- Prendre un laxatif salin (sulfate de sodium 15 g) ou réaliser un lavement 2 heures après la prise.</w:t>
      </w:r>
      <w:r>
        <w:t xml:space="preserve"> </w:t>
      </w:r>
      <w:r>
        <w:t xml:space="preserve">- Examen parasitologique des selles de contrôle à 1 et 3 mois.</w:t>
      </w:r>
    </w:p>
    <w:p>
      <w:pPr>
        <w:pStyle w:val="BodyText"/>
      </w:pPr>
      <w:r>
        <w:rPr>
          <w:b/>
          <w:bCs/>
        </w:rPr>
        <w:t xml:space="preserve">Notes, Règles d’Or &amp; Pièges au Comptoir :</w:t>
      </w:r>
      <w:r>
        <w:t xml:space="preserve"> </w:t>
      </w:r>
      <w:r>
        <w:t xml:space="preserve">- Piège classique :</w:t>
      </w:r>
      <w:r>
        <w:t xml:space="preserve"> </w:t>
      </w:r>
      <w:r>
        <w:t xml:space="preserve">- Avaler les comprimés entiers (sans croquer) → échec thérapeutique par défaut de libération du principe actif.</w:t>
      </w:r>
      <w:r>
        <w:t xml:space="preserve"> </w:t>
      </w:r>
      <w:r>
        <w:t xml:space="preserve">- Oubli du lavement post-thérapeutique → digestion des proglottis et risque théorique de cysticercose (T. solium).</w:t>
      </w:r>
      <w:r>
        <w:t xml:space="preserve"> </w:t>
      </w:r>
      <w:r>
        <w:t xml:space="preserve">- Absence de prémédication antiémétique chez un patient nauseeux → vomissements → cysticercose iatrogène.</w:t>
      </w:r>
      <w:r>
        <w:t xml:space="preserve"> </w:t>
      </w:r>
      <w:r>
        <w:t xml:space="preserve">- Confusion entre téniasis adulte (traité par niclosamide) et cysticercose tissulaire (traitée par albendazole + corticoïdes) — diagnostics et traitements radicalement différents.</w:t>
      </w:r>
      <w:r>
        <w:t xml:space="preserve"> </w:t>
      </w:r>
      <w:r>
        <w:t xml:space="preserve">- Règle de prise : À jeun, comprimés à croquer, laxatif 2 heures après.</w:t>
      </w:r>
      <w:r>
        <w:t xml:space="preserve"> </w:t>
      </w:r>
      <w:r>
        <w:t xml:space="preserve">- Préparation et Conservation : Comprimés à conserver à température &lt; 25°C, à l’abri de l’humidité. Ne pas écraser les comprimés à l’avance (la substance est photosensible).</w:t>
      </w:r>
      <w:r>
        <w:t xml:space="preserve"> </w:t>
      </w:r>
      <w:r>
        <w:t xml:space="preserve">- Piège du surdosage / Substitution :</w:t>
      </w:r>
      <w:r>
        <w:t xml:space="preserve"> </w:t>
      </w:r>
      <w:r>
        <w:t xml:space="preserve">- Surdosage aigu : faible toxicité en raison de l’absence d’absorption. Traitement symptomatique.</w:t>
      </w:r>
      <w:r>
        <w:t xml:space="preserve"> </w:t>
      </w:r>
      <w:r>
        <w:t xml:space="preserve">- Substitution : En Algérie, le niclosamide étant non renouvelable, le pharmacien doit orienter vers l’albendazole (400 mg/jour × 3 jours) comme alternative — sauf chez la femme enceinte (CI à l’albendazole). Pour la femme enceinte avec téniasis, le pyrantel peut être essayé (efficacité partielle sur les cestodes) ou une importation exceptionnelle de niclosamide doit être envisagée.</w:t>
      </w:r>
    </w:p>
    <w:p>
      <w:r>
        <w:pict>
          <v:rect style="width:0;height:1.5pt" o:hralign="center" o:hrstd="t" o:hr="t"/>
        </w:pict>
      </w:r>
    </w:p>
    <w:bookmarkEnd w:id="136"/>
    <w:bookmarkEnd w:id="137"/>
    <w:bookmarkStart w:id="140" w:name="sous-classe-pyrimidines"/>
    <w:p>
      <w:pPr>
        <w:pStyle w:val="Heading2"/>
      </w:pPr>
      <w:r>
        <w:t xml:space="preserve">15.4 Sous-classe : Pyrimidines</w:t>
      </w:r>
    </w:p>
    <w:bookmarkStart w:id="138" w:name="introduction-aux-pyrimidines"/>
    <w:p>
      <w:pPr>
        <w:pStyle w:val="Heading3"/>
      </w:pPr>
      <w:r>
        <w:t xml:space="preserve">Introduction aux Pyrimidines</w:t>
      </w:r>
    </w:p>
    <w:p>
      <w:pPr>
        <w:pStyle w:val="FirstParagraph"/>
      </w:pPr>
      <w:r>
        <w:t xml:space="preserve">Les pyrimidines antihelminthiques forment une classe représentée principalement par le</w:t>
      </w:r>
      <w:r>
        <w:t xml:space="preserve"> </w:t>
      </w:r>
      <w:r>
        <w:rPr>
          <w:b/>
          <w:bCs/>
        </w:rPr>
        <w:t xml:space="preserve">pyrantel</w:t>
      </w:r>
      <w:r>
        <w:t xml:space="preserve"> </w:t>
      </w:r>
      <w:r>
        <w:t xml:space="preserve">(et son dérivé l’</w:t>
      </w:r>
      <w:r>
        <w:rPr>
          <w:b/>
          <w:bCs/>
        </w:rPr>
        <w:t xml:space="preserve">oxantel</w:t>
      </w:r>
      <w:r>
        <w:t xml:space="preserve"> </w:t>
      </w:r>
      <w:r>
        <w:t xml:space="preserve">—</w:t>
      </w:r>
      <w:r>
        <w:t xml:space="preserve"> </w:t>
      </w:r>
      <w:r>
        <w:rPr>
          <w:i/>
          <w:iCs/>
        </w:rPr>
        <w:t xml:space="preserve">non disponible en Algérie</w:t>
      </w:r>
      <w:r>
        <w:t xml:space="preserve">). Le pyrantel est utilisé sous forme de sel d’embonate (pamoate) per os. Il agit comme un agoniste nicotinique spécifique des récepteurs de l’acétylcholine des helminthes.</w:t>
      </w:r>
    </w:p>
    <w:p>
      <w:pPr>
        <w:pStyle w:val="BodyText"/>
      </w:pPr>
      <w:r>
        <w:rPr>
          <w:b/>
          <w:bCs/>
        </w:rPr>
        <w:t xml:space="preserve">Mécanisme d’action :</w:t>
      </w:r>
      <w:r>
        <w:t xml:space="preserve"> </w:t>
      </w:r>
      <w:r>
        <w:t xml:space="preserve">Le pyrantel est un</w:t>
      </w:r>
      <w:r>
        <w:t xml:space="preserve"> </w:t>
      </w:r>
      <w:r>
        <w:rPr>
          <w:b/>
          <w:bCs/>
        </w:rPr>
        <w:t xml:space="preserve">agoniste des récepteurs nicotiniques de l’acétylcholine</w:t>
      </w:r>
      <w:r>
        <w:t xml:space="preserve"> </w:t>
      </w:r>
      <w:r>
        <w:t xml:space="preserve">présents sur la membrane musculaire des nématodes. La stimulation de ces récepteurs induit une dépolarisation persistante de la membrane musculaire du ver, provoquant une</w:t>
      </w:r>
      <w:r>
        <w:t xml:space="preserve"> </w:t>
      </w:r>
      <w:r>
        <w:rPr>
          <w:b/>
          <w:bCs/>
        </w:rPr>
        <w:t xml:space="preserve">contraction spastique</w:t>
      </w:r>
      <w:r>
        <w:t xml:space="preserve"> </w:t>
      </w:r>
      <w:r>
        <w:t xml:space="preserve">(tétanie) suivie d’une</w:t>
      </w:r>
      <w:r>
        <w:t xml:space="preserve"> </w:t>
      </w:r>
      <w:r>
        <w:rPr>
          <w:b/>
          <w:bCs/>
        </w:rPr>
        <w:t xml:space="preserve">paralysie neuromusculaire</w:t>
      </w:r>
      <w:r>
        <w:t xml:space="preserve">. Le ver, paralysé, est expulsé par le péristaltisme intestinal. Le pyrantel agit également comme inhibiteur de la cholinestérase parasitaire, ce qui prolonge l’effet de l’acétylcholine endogène.</w:t>
      </w:r>
    </w:p>
    <w:p>
      <w:pPr>
        <w:pStyle w:val="BodyText"/>
      </w:pPr>
      <w:r>
        <w:t xml:space="preserve">L’effet du pyrantel est</w:t>
      </w:r>
      <w:r>
        <w:t xml:space="preserve"> </w:t>
      </w:r>
      <w:r>
        <w:rPr>
          <w:b/>
          <w:bCs/>
        </w:rPr>
        <w:t xml:space="preserve">vermifuge</w:t>
      </w:r>
      <w:r>
        <w:t xml:space="preserve"> </w:t>
      </w:r>
      <w:r>
        <w:t xml:space="preserve">(expulsion du ver paralysé mais vivant), à la différence des benzimidazoles qui sont vermicides. Le ver expulsé peut encore être mobile dans les selles, ce qui peut surprendre le patient.</w:t>
      </w:r>
    </w:p>
    <w:p>
      <w:pPr>
        <w:pStyle w:val="BodyText"/>
      </w:pPr>
      <w:r>
        <w:rPr>
          <w:b/>
          <w:bCs/>
        </w:rPr>
        <w:t xml:space="preserve">Spectre d’action :</w:t>
      </w:r>
      <w:r>
        <w:t xml:space="preserve"> </w:t>
      </w:r>
      <w:r>
        <w:t xml:space="preserve">Nématodes intestinaux : Enterobius vermicularis (oxyurose — indication princeps), Ascaris lumbricoides (ascaridiose), et dans une moindre mesure Necator americanus, Ancylostoma duodenale (ankylostomose). Le pyrantel est</w:t>
      </w:r>
      <w:r>
        <w:t xml:space="preserve"> </w:t>
      </w:r>
      <w:r>
        <w:rPr>
          <w:b/>
          <w:bCs/>
        </w:rPr>
        <w:t xml:space="preserve">inactif sur les cestodes</w:t>
      </w:r>
      <w:r>
        <w:t xml:space="preserve"> </w:t>
      </w:r>
      <w:r>
        <w:t xml:space="preserve">(taenias) et</w:t>
      </w:r>
      <w:r>
        <w:t xml:space="preserve"> </w:t>
      </w:r>
      <w:r>
        <w:rPr>
          <w:b/>
          <w:bCs/>
        </w:rPr>
        <w:t xml:space="preserve">inactif sur les trématodes</w:t>
      </w:r>
      <w:r>
        <w:t xml:space="preserve">. L’oxantel (non disponible en Algérie) a une activité complémentaire sur Trichuris trichiura.</w:t>
      </w:r>
    </w:p>
    <w:p>
      <w:pPr>
        <w:pStyle w:val="BodyText"/>
      </w:pPr>
      <w:r>
        <w:rPr>
          <w:b/>
          <w:bCs/>
        </w:rPr>
        <w:t xml:space="preserve">Particularités pharmacocinétiques :</w:t>
      </w:r>
      <w:r>
        <w:t xml:space="preserve"> </w:t>
      </w:r>
      <w:r>
        <w:t xml:space="preserve">Le pyrantel embonate est très peu absorbé par voie orale (&lt; 10 %), ce qui en fait un antihelminthique à action luminaire avec une excellente tolérance systémique. La fraction absorbée est métabolisée au niveau hépatique et excrétée dans les urines.</w:t>
      </w:r>
    </w:p>
    <w:p>
      <w:pPr>
        <w:pStyle w:val="BodyText"/>
      </w:pPr>
      <w:r>
        <w:rPr>
          <w:b/>
          <w:bCs/>
        </w:rPr>
        <w:t xml:space="preserve">Positionnement en Algérie :</w:t>
      </w:r>
      <w:r>
        <w:t xml:space="preserve"> </w:t>
      </w:r>
      <w:r>
        <w:t xml:space="preserve">Le pyrantel est disponible en Algérie sous deux marques (COMBANTRIN — Pfizer, et HELMINTOX — Innotech International), en comprimé et en sirop. Sa particularité est d’être</w:t>
      </w:r>
      <w:r>
        <w:t xml:space="preserve"> </w:t>
      </w:r>
      <w:r>
        <w:rPr>
          <w:b/>
          <w:bCs/>
        </w:rPr>
        <w:t xml:space="preserve">autorisé pendant la grossesse</w:t>
      </w:r>
      <w:r>
        <w:t xml:space="preserve"> </w:t>
      </w:r>
      <w:r>
        <w:t xml:space="preserve">(2e et 3e trimestre), ce qui en fait l’alternative de choix aux benzimidazoles (CI) chez la femme enceinte présentant une oxyurose ou une ascaridiose.</w:t>
      </w:r>
    </w:p>
    <w:p>
      <w:r>
        <w:pict>
          <v:rect style="width:0;height:1.5pt" o:hralign="center" o:hrstd="t" o:hr="t"/>
        </w:pict>
      </w:r>
    </w:p>
    <w:bookmarkEnd w:id="138"/>
    <w:bookmarkStart w:id="139" w:name="dci-pyrantel-embonate-seul"/>
    <w:p>
      <w:pPr>
        <w:pStyle w:val="Heading3"/>
      </w:pPr>
      <w:r>
        <w:t xml:space="preserve">15.4.1 DCI : Pyrantel (Embonate) (Seul)</w:t>
      </w:r>
    </w:p>
    <w:p>
      <w:pPr>
        <w:pStyle w:val="FirstParagraph"/>
      </w:pPr>
      <w:r>
        <w:rPr>
          <w:b/>
          <w:bCs/>
        </w:rPr>
        <w:t xml:space="preserve">Liste des Catégories :</w:t>
      </w:r>
      <w:r>
        <w:t xml:space="preserve"> </w:t>
      </w:r>
      <w:r>
        <w:t xml:space="preserve">Antihelminthiques – Pyrimidines.</w:t>
      </w:r>
    </w:p>
    <w:p>
      <w:pPr>
        <w:pStyle w:val="BodyText"/>
      </w:pPr>
      <w:r>
        <w:t xml:space="preserve">Le pyrantel embonate (ou pamoate) est un antihelminthique de la famille des pyrimidines, indiqué principalement dans le traitement de l’oxyurose et de l’ascaridiose. Sa tolérance remarquable et son autorisation pendant la grossesse (2e et 3e trimestre) en font une alternative de choix aux benzimidazoles chez la femme enceinte, l’enfant en bas âge et le patient fragile. La forme sirop permet une administration aisée en pédiatrie.</w:t>
      </w:r>
    </w:p>
    <w:p>
      <w:pPr>
        <w:pStyle w:val="BodyText"/>
      </w:pPr>
      <w:r>
        <w:rPr>
          <w:b/>
          <w:bCs/>
        </w:rPr>
        <w:t xml:space="preserve">Médicaments disponibles en Algérie (Marques, Laboratoires, Formes et Dosages) :</w:t>
      </w:r>
    </w:p>
    <w:p>
      <w:pPr>
        <w:pStyle w:val="Compact"/>
        <w:numPr>
          <w:ilvl w:val="0"/>
          <w:numId w:val="1362"/>
        </w:numPr>
      </w:pPr>
      <w:r>
        <w:rPr>
          <w:b/>
          <w:bCs/>
        </w:rPr>
        <w:t xml:space="preserve">COMBANTRIN</w:t>
      </w:r>
      <w:r>
        <w:t xml:space="preserve"> </w:t>
      </w:r>
      <w:r>
        <w:t xml:space="preserve">(PFIZER PHARM ALGERIE)</w:t>
      </w:r>
    </w:p>
    <w:p>
      <w:pPr>
        <w:pStyle w:val="Compact"/>
        <w:numPr>
          <w:ilvl w:val="1"/>
          <w:numId w:val="1363"/>
        </w:numPr>
      </w:pPr>
      <w:r>
        <w:t xml:space="preserve">Formes et Dosages : Comprimé 125 mg — B/6 ; Sirop 125 mg/2,5 ml — Flacon 15 ml</w:t>
      </w:r>
    </w:p>
    <w:p>
      <w:pPr>
        <w:pStyle w:val="Compact"/>
        <w:numPr>
          <w:ilvl w:val="1"/>
          <w:numId w:val="1363"/>
        </w:numPr>
      </w:pPr>
      <w:r>
        <w:t xml:space="preserve">Statut : Actif</w:t>
      </w:r>
    </w:p>
    <w:p>
      <w:pPr>
        <w:pStyle w:val="Compact"/>
        <w:numPr>
          <w:ilvl w:val="0"/>
          <w:numId w:val="1362"/>
        </w:numPr>
      </w:pPr>
      <w:r>
        <w:rPr>
          <w:b/>
          <w:bCs/>
        </w:rPr>
        <w:t xml:space="preserve">HELMINTOX</w:t>
      </w:r>
      <w:r>
        <w:t xml:space="preserve"> </w:t>
      </w:r>
      <w:r>
        <w:t xml:space="preserve">(INNOTECH INTERNATIONAL / LABORATOIRE INNOTECH INTERNATIONAL)</w:t>
      </w:r>
    </w:p>
    <w:p>
      <w:pPr>
        <w:pStyle w:val="Compact"/>
        <w:numPr>
          <w:ilvl w:val="1"/>
          <w:numId w:val="1364"/>
        </w:numPr>
      </w:pPr>
      <w:r>
        <w:t xml:space="preserve">Formes et Dosages : Comprimé pelliculé sécable 125 mg — B/6 ; Sirop 125 mg/2,5 ml — Flacon 15 ml</w:t>
      </w:r>
    </w:p>
    <w:p>
      <w:pPr>
        <w:pStyle w:val="Compact"/>
        <w:numPr>
          <w:ilvl w:val="1"/>
          <w:numId w:val="1364"/>
        </w:numPr>
      </w:pPr>
      <w:r>
        <w:t xml:space="preserve">Statut : Actif</w:t>
      </w:r>
    </w:p>
    <w:p>
      <w:pPr>
        <w:pStyle w:val="FirstParagraph"/>
      </w:pPr>
      <w:r>
        <w:t xml:space="preserve">La disponibilité du pyrantel en Algérie repose donc sur deux marques concurrentes, l’une internationale (COMBANTRIN, Pfizer) et l’autre européenne (HELMINTOX, Innotech International). Les deux spécialités proposent une forme orale solide (comprimé 125 mg) et une forme liquide (sirop 125 mg/2,5 ml, soit 50 mg/ml). Le sirop est particulièrement adapté à l’enfant de moins de 6 ans.</w:t>
      </w:r>
    </w:p>
    <w:p>
      <w:pPr>
        <w:pStyle w:val="BodyText"/>
      </w:pPr>
      <w:r>
        <w:rPr>
          <w:b/>
          <w:bCs/>
        </w:rPr>
        <w:t xml:space="preserve">Sous-classe et Mécanisme d’action :</w:t>
      </w:r>
      <w:r>
        <w:t xml:space="preserve"> </w:t>
      </w:r>
      <w:r>
        <w:t xml:space="preserve">- Sous-classe : Pyrimidine antihelminthique, agoniste nicotinique, action luminaire.</w:t>
      </w:r>
      <w:r>
        <w:t xml:space="preserve"> </w:t>
      </w:r>
      <w:r>
        <w:t xml:space="preserve">- Mécanisme d’action : Le pyrantel est un agoniste dépolarisant des récepteurs nicotiniques de l’acétylcholine (nAChR) présents à la surface des cellules musculaires des nématodes. La fixation de la molécule sur ces récepteurs provoque une ouverture prolongée du canal sodique, une dépolarisation soutenue de la membrane postsynaptique, et une</w:t>
      </w:r>
      <w:r>
        <w:t xml:space="preserve"> </w:t>
      </w:r>
      <w:r>
        <w:rPr>
          <w:b/>
          <w:bCs/>
        </w:rPr>
        <w:t xml:space="preserve">contraction spastique tétanisante</w:t>
      </w:r>
      <w:r>
        <w:t xml:space="preserve"> </w:t>
      </w:r>
      <w:r>
        <w:t xml:space="preserve">des muscles du ver. Cette contraction est suivie d’une</w:t>
      </w:r>
      <w:r>
        <w:t xml:space="preserve"> </w:t>
      </w:r>
      <w:r>
        <w:rPr>
          <w:b/>
          <w:bCs/>
        </w:rPr>
        <w:t xml:space="preserve">paralysie neuromusculaire irréversible</w:t>
      </w:r>
      <w:r>
        <w:t xml:space="preserve"> </w:t>
      </w:r>
      <w:r>
        <w:t xml:space="preserve">(bloc dépolarisant). Le ver paralysé est expulsé par le péristaltisme intestinal dans les 24 à 72 heures suivant la prise. Le pyrantel inhibe également la cholinestérase parasitaire, ce qui potentialise l’effet de l’acétylcholine endogène. L’effet est</w:t>
      </w:r>
      <w:r>
        <w:t xml:space="preserve"> </w:t>
      </w:r>
      <w:r>
        <w:rPr>
          <w:b/>
          <w:bCs/>
        </w:rPr>
        <w:t xml:space="preserve">vermifuge</w:t>
      </w:r>
      <w:r>
        <w:t xml:space="preserve"> </w:t>
      </w:r>
      <w:r>
        <w:t xml:space="preserve">(ver expulsé vivant mais paralysé), à la différence des benzimidazoles (vermicides).</w:t>
      </w:r>
    </w:p>
    <w:p>
      <w:pPr>
        <w:pStyle w:val="BodyText"/>
      </w:pPr>
      <w:r>
        <w:rPr>
          <w:b/>
          <w:bCs/>
        </w:rPr>
        <w:t xml:space="preserve">Profil Pharmacologique :</w:t>
      </w:r>
      <w:r>
        <w:t xml:space="preserve"> </w:t>
      </w:r>
      <w:r>
        <w:t xml:space="preserve">- Indications : Oxyurose (Enterobius vermicularis) ; ascaridiose (Ascaris lumbricoides) ; ankylostomose (Necator americanus, Ancylostoma duodenale — efficacité modérée). Inactif sur les cestodes (taenias) et les trématodes. Inactif sur Strongyloides stercoralis (anguillulose).</w:t>
      </w:r>
      <w:r>
        <w:t xml:space="preserve"> </w:t>
      </w:r>
      <w:r>
        <w:t xml:space="preserve">- Contre-indications : Hypersensibilité au pyrantel ou à l’un des excipients ; insuffisance hépatique sévère (par prudence, en raison du métabolisme hépatique de la fraction absorbée) ; myasthénie (le pyrantel, en tant qu’agent dépolarisant, peut théoriquement aggraver le bloc neuromusculaire).</w:t>
      </w:r>
      <w:r>
        <w:t xml:space="preserve"> </w:t>
      </w:r>
      <w:r>
        <w:t xml:space="preserve">- Effets Indésirables :</w:t>
      </w:r>
      <w:r>
        <w:t xml:space="preserve"> </w:t>
      </w:r>
      <w:r>
        <w:t xml:space="preserve">- Digestifs : Anorexie, nausées, vomissements, douleurs abdominales, diarrhée (les plus fréquents, 5 à 10 % des patients).</w:t>
      </w:r>
      <w:r>
        <w:t xml:space="preserve"> </w:t>
      </w:r>
      <w:r>
        <w:t xml:space="preserve">- Neurologiques : Céphalées, vertiges, somnolence (rares, liés à la faible absorption systémique).</w:t>
      </w:r>
      <w:r>
        <w:t xml:space="preserve"> </w:t>
      </w:r>
      <w:r>
        <w:t xml:space="preserve">- Hépatiques : Élévation transitoire des transaminases (exceptionnelle).</w:t>
      </w:r>
      <w:r>
        <w:t xml:space="preserve"> </w:t>
      </w:r>
      <w:r>
        <w:t xml:space="preserve">- Cutanés : Rash, prurit (rares).</w:t>
      </w:r>
      <w:r>
        <w:t xml:space="preserve"> </w:t>
      </w:r>
      <w:r>
        <w:t xml:space="preserve">- La tolérance globale est excellente, comparable voire supérieure à celle des benzimidazoles.</w:t>
      </w:r>
    </w:p>
    <w:p>
      <w:pPr>
        <w:pStyle w:val="BodyText"/>
      </w:pPr>
      <w:r>
        <w:rPr>
          <w:b/>
          <w:bCs/>
        </w:rPr>
        <w:t xml:space="preserve">Prévention et Gestion des Effets Indésirables :</w:t>
      </w:r>
      <w:r>
        <w:t xml:space="preserve"> </w:t>
      </w:r>
      <w:r>
        <w:t xml:space="preserve">- Mesures Préventives :</w:t>
      </w:r>
      <w:r>
        <w:t xml:space="preserve"> </w:t>
      </w:r>
      <w:r>
        <w:t xml:space="preserve">- Prise au cours d’un repas pour réduire la tolérance digestive.</w:t>
      </w:r>
      <w:r>
        <w:t xml:space="preserve"> </w:t>
      </w:r>
      <w:r>
        <w:t xml:space="preserve">- Pas de surveillance biologique particulière aux doses standard.</w:t>
      </w:r>
      <w:r>
        <w:t xml:space="preserve"> </w:t>
      </w:r>
      <w:r>
        <w:t xml:space="preserve">- Chez le patient myasthénique : avis neurologique préalable.</w:t>
      </w:r>
      <w:r>
        <w:t xml:space="preserve"> </w:t>
      </w:r>
      <w:r>
        <w:t xml:space="preserve">- Conduite à Tenir : Symptomatique en cas d’effet indésirable. Arrêt transitoire rarement nécessaire.</w:t>
      </w:r>
    </w:p>
    <w:p>
      <w:pPr>
        <w:pStyle w:val="BodyText"/>
      </w:pPr>
      <w:r>
        <w:rPr>
          <w:b/>
          <w:bCs/>
        </w:rPr>
        <w:t xml:space="preserve">Interactions Importantes :</w:t>
      </w:r>
      <w:r>
        <w:t xml:space="preserve"> </w:t>
      </w:r>
      <w:r>
        <w:t xml:space="preserve">-</w:t>
      </w:r>
      <w:r>
        <w:t xml:space="preserve"> </w:t>
      </w:r>
      <w:r>
        <w:rPr>
          <w:b/>
          <w:bCs/>
        </w:rPr>
        <w:t xml:space="preserve">Pyrantel + Pipérazine</w:t>
      </w:r>
      <w:r>
        <w:t xml:space="preserve"> </w:t>
      </w:r>
      <w:r>
        <w:t xml:space="preserve">: Antagonisme pharmacodynamique (la pipérazine est un agoniste GABAergique qui hyperpolarise la membrane musculaire du ver, à l’opposé du pyrantel qui la dépolarise) — ne jamais associer. (Note : la pipérazine n’est pas disponible en Algérie.)</w:t>
      </w:r>
      <w:r>
        <w:t xml:space="preserve"> </w:t>
      </w:r>
      <w:r>
        <w:t xml:space="preserve">-</w:t>
      </w:r>
      <w:r>
        <w:t xml:space="preserve"> </w:t>
      </w:r>
      <w:r>
        <w:rPr>
          <w:b/>
          <w:bCs/>
        </w:rPr>
        <w:t xml:space="preserve">Pyrantel + Lévamisole</w:t>
      </w:r>
      <w:r>
        <w:t xml:space="preserve"> </w:t>
      </w:r>
      <w:r>
        <w:t xml:space="preserve">: Potentialisation de la toxicité neuromusculaire (à éviter).</w:t>
      </w:r>
      <w:r>
        <w:t xml:space="preserve"> </w:t>
      </w:r>
      <w:r>
        <w:t xml:space="preserve">-</w:t>
      </w:r>
      <w:r>
        <w:t xml:space="preserve"> </w:t>
      </w:r>
      <w:r>
        <w:rPr>
          <w:b/>
          <w:bCs/>
        </w:rPr>
        <w:t xml:space="preserve">Pyrantel + Théophylline</w:t>
      </w:r>
      <w:r>
        <w:t xml:space="preserve"> </w:t>
      </w:r>
      <w:r>
        <w:t xml:space="preserve">: Augmentation des concentrations de théophylline (description cas).</w:t>
      </w:r>
      <w:r>
        <w:t xml:space="preserve"> </w:t>
      </w:r>
      <w:r>
        <w:t xml:space="preserve">- Pas d’interaction majeure avec les benzimidazoles ou le niclosamide.</w:t>
      </w:r>
    </w:p>
    <w:p>
      <w:pPr>
        <w:pStyle w:val="BodyText"/>
      </w:pPr>
      <w:r>
        <w:rPr>
          <w:b/>
          <w:bCs/>
        </w:rPr>
        <w:t xml:space="preserve">Grossesse et Allaitement :</w:t>
      </w:r>
      <w:r>
        <w:t xml:space="preserve"> </w:t>
      </w:r>
      <w:r>
        <w:t xml:space="preserve">- Grossesse :</w:t>
      </w:r>
      <w:r>
        <w:t xml:space="preserve"> </w:t>
      </w:r>
      <w:r>
        <w:rPr>
          <w:b/>
          <w:bCs/>
        </w:rPr>
        <w:t xml:space="preserve">Autorisé au 2e et 3e trimestre</w:t>
      </w:r>
      <w:r>
        <w:t xml:space="preserve"> </w:t>
      </w:r>
      <w:r>
        <w:t xml:space="preserve">(données animales rassurantes, faible passage systémique, absence d’effet tératogène démontré). Au 1er trimestre, à éviter par mesure de précaution, sauf nécessité absolue (oxyurose très symptomatique). Le CRAT considère le pyrantel comme</w:t>
      </w:r>
      <w:r>
        <w:t xml:space="preserve"> </w:t>
      </w:r>
      <w:r>
        <w:rPr>
          <w:b/>
          <w:bCs/>
        </w:rPr>
        <w:t xml:space="preserve">compatible avec la grossesse</w:t>
      </w:r>
      <w:r>
        <w:t xml:space="preserve"> </w:t>
      </w:r>
      <w:r>
        <w:t xml:space="preserve">à tous les trimestres, ce qui en fait l’antihelminthique de référence chez la femme enceinte présentant une oxyurose ou une ascaridiose.</w:t>
      </w:r>
      <w:r>
        <w:t xml:space="preserve"> </w:t>
      </w:r>
      <w:r>
        <w:t xml:space="preserve">- Allaitement : Compatible (faible passage dans le lait en raison de la faible absorption systémique). Aucune interruption de l’allaitement n’est nécessaire.</w:t>
      </w:r>
      <w:r>
        <w:t xml:space="preserve"> </w:t>
      </w:r>
      <w:r>
        <w:t xml:space="preserve">- Précisions : Le pyrantel est l’antihelminthique de choix chez la femme enceinte allaitante présentant une oxyurose.</w:t>
      </w:r>
    </w:p>
    <w:p>
      <w:pPr>
        <w:pStyle w:val="BodyText"/>
      </w:pPr>
      <w:r>
        <w:rPr>
          <w:b/>
          <w:bCs/>
        </w:rPr>
        <w:t xml:space="preserve">Posologie et Mode d’administration (Standard) :</w:t>
      </w:r>
      <w:r>
        <w:t xml:space="preserve"> </w:t>
      </w:r>
      <w:r>
        <w:t xml:space="preserve">- Adulte et enfant &gt; 25 kg : 10 mg/kg en dose unique (soit environ 750 mg pour un adulte de 75 kg, correspondant à 6 comprimés à 125 mg).</w:t>
      </w:r>
      <w:r>
        <w:t xml:space="preserve"> </w:t>
      </w:r>
      <w:r>
        <w:t xml:space="preserve">- Enfant :</w:t>
      </w:r>
      <w:r>
        <w:t xml:space="preserve"> </w:t>
      </w:r>
      <w:r>
        <w:t xml:space="preserve">- 10 à 25 kg : 1 comprimé à 125 mg (ou 2,5 ml de sirop).</w:t>
      </w:r>
      <w:r>
        <w:t xml:space="preserve"> </w:t>
      </w:r>
      <w:r>
        <w:t xml:space="preserve">- 25 à 50 kg : 2 comprimés à 125 mg (ou 5 ml de sirop).</w:t>
      </w:r>
      <w:r>
        <w:t xml:space="preserve"> </w:t>
      </w:r>
      <w:r>
        <w:t xml:space="preserve">- &lt; 10 kg : sirop à raison de 10 mg/kg (à calculer selon le poids).</w:t>
      </w:r>
      <w:r>
        <w:t xml:space="preserve"> </w:t>
      </w:r>
      <w:r>
        <w:t xml:space="preserve">- Durée : Dose unique, à renouveler à J15 pour l’oxyurose (cycle de 3 semaines).</w:t>
      </w:r>
      <w:r>
        <w:t xml:space="preserve"> </w:t>
      </w:r>
      <w:r>
        <w:t xml:space="preserve">- Moment de prise : Au cours ou en dehors des repas, indifféremment. La prise avec un repas améliore la tolérance digestive.</w:t>
      </w:r>
    </w:p>
    <w:p>
      <w:pPr>
        <w:pStyle w:val="BodyText"/>
      </w:pPr>
      <w:r>
        <w:rPr>
          <w:b/>
          <w:bCs/>
        </w:rPr>
        <w:t xml:space="preserve">Arbitrage et Bénéfices des Formes Galéniques :</w:t>
      </w:r>
      <w:r>
        <w:t xml:space="preserve"> </w:t>
      </w:r>
      <w:r>
        <w:t xml:space="preserve">- Comprimé sécable 125 mg : Adapté à l’adulte et à l’enfant &gt; 10 kg (1 comprimé = 1 unité de dose pour 10 à 25 kg). La sécabilité permet une adaptation fine.</w:t>
      </w:r>
      <w:r>
        <w:t xml:space="preserve"> </w:t>
      </w:r>
      <w:r>
        <w:t xml:space="preserve">- Sirop 125 mg/2,5 ml (50 mg/ml) : Forme de référence pour le jeune enfant (&lt; 10 kg) et le nourrisson de plus de 6 mois. La graduation en mg/kg est facilitée par la concentration à 50 mg/ml.</w:t>
      </w:r>
      <w:r>
        <w:t xml:space="preserve"> </w:t>
      </w:r>
      <w:r>
        <w:t xml:space="preserve">- Arbitrage : Sirop pour enfant &lt; 6 ans ou &lt; 20 kg ; comprimé pour enfant &gt; 6 ans et adulte. Le conditionnement B/6 ou flacon 15 ml correspond à une dose unique adulte ou deux doses enfant, ce qui suffit pour un traitement familial.</w:t>
      </w:r>
    </w:p>
    <w:p>
      <w:pPr>
        <w:pStyle w:val="BodyText"/>
      </w:pPr>
      <w:r>
        <w:rPr>
          <w:b/>
          <w:bCs/>
        </w:rPr>
        <w:t xml:space="preserve">Instructions et Conseils au Patient :</w:t>
      </w:r>
      <w:r>
        <w:t xml:space="preserve"> </w:t>
      </w:r>
      <w:r>
        <w:t xml:space="preserve">- Communication au comptoir :</w:t>
      </w:r>
      <w:r>
        <w:t xml:space="preserve"> </w:t>
      </w:r>
      <w:r>
        <w:t xml:space="preserve">-</w:t>
      </w:r>
      <w:r>
        <w:t xml:space="preserve"> </w:t>
      </w:r>
      <w:r>
        <w:t xml:space="preserve">“</w:t>
      </w:r>
      <w:r>
        <w:t xml:space="preserve">Ce médicament paralyse les vers qui sont ensuite expulsés dans les selles.</w:t>
      </w:r>
      <w:r>
        <w:t xml:space="preserve">”</w:t>
      </w:r>
      <w:r>
        <w:t xml:space="preserve"> </w:t>
      </w:r>
      <w:r>
        <w:t xml:space="preserve">-</w:t>
      </w:r>
      <w:r>
        <w:t xml:space="preserve"> </w:t>
      </w:r>
      <w:r>
        <w:t xml:space="preserve">“</w:t>
      </w:r>
      <w:r>
        <w:t xml:space="preserve">Pour les oxyures : 1 dose aujourd’hui et 1 dose dans 15 jours.</w:t>
      </w:r>
      <w:r>
        <w:t xml:space="preserve">”</w:t>
      </w:r>
      <w:r>
        <w:t xml:space="preserve"> </w:t>
      </w:r>
      <w:r>
        <w:t xml:space="preserve">-</w:t>
      </w:r>
      <w:r>
        <w:t xml:space="preserve"> </w:t>
      </w:r>
      <w:r>
        <w:t xml:space="preserve">“</w:t>
      </w:r>
      <w:r>
        <w:t xml:space="preserve">Traitez toute la famille en même temps.</w:t>
      </w:r>
      <w:r>
        <w:t xml:space="preserve">”</w:t>
      </w:r>
      <w:r>
        <w:t xml:space="preserve"> </w:t>
      </w:r>
      <w:r>
        <w:t xml:space="preserve">-</w:t>
      </w:r>
      <w:r>
        <w:t xml:space="preserve"> </w:t>
      </w:r>
      <w:r>
        <w:t xml:space="preserve">“</w:t>
      </w:r>
      <w:r>
        <w:t xml:space="preserve">Vous pouvez prendre ce médicament pendant la grossesse (à partir du 2e trimestre) et l’allaitement — c’est l’antihelminthique recommandé chez la femme enceinte.</w:t>
      </w:r>
      <w:r>
        <w:t xml:space="preserve">”</w:t>
      </w:r>
      <w:r>
        <w:t xml:space="preserve"> </w:t>
      </w:r>
      <w:r>
        <w:t xml:space="preserve">-</w:t>
      </w:r>
      <w:r>
        <w:t xml:space="preserve"> </w:t>
      </w:r>
      <w:r>
        <w:t xml:space="preserve">“</w:t>
      </w:r>
      <w:r>
        <w:t xml:space="preserve">Hygiène : ongles coupés, lavage des mains, changement quotidien des sous-vêtements, lavage des draps à 60°C.</w:t>
      </w:r>
      <w:r>
        <w:t xml:space="preserve">”</w:t>
      </w:r>
      <w:r>
        <w:t xml:space="preserve"> </w:t>
      </w:r>
      <w:r>
        <w:t xml:space="preserve">- Mode d’utilisation pratique :</w:t>
      </w:r>
      <w:r>
        <w:t xml:space="preserve"> </w:t>
      </w:r>
      <w:r>
        <w:t xml:space="preserve">- Comprimé : avaler avec un verre d’eau, peut être croqué.</w:t>
      </w:r>
      <w:r>
        <w:t xml:space="preserve"> </w:t>
      </w:r>
      <w:r>
        <w:t xml:space="preserve">- Sirop : bien agiter, utiliser la cuillère-mesure fournie (2,5 ml = 125 mg).</w:t>
      </w:r>
      <w:r>
        <w:t xml:space="preserve"> </w:t>
      </w:r>
      <w:r>
        <w:t xml:space="preserve">- 2e dose à J15 indispensable pour l’oxyurose.</w:t>
      </w:r>
    </w:p>
    <w:p>
      <w:pPr>
        <w:pStyle w:val="BodyText"/>
      </w:pPr>
      <w:r>
        <w:rPr>
          <w:b/>
          <w:bCs/>
        </w:rPr>
        <w:t xml:space="preserve">Notes, Règles d’Or &amp; Pièges au Comptoir :</w:t>
      </w:r>
      <w:r>
        <w:t xml:space="preserve"> </w:t>
      </w:r>
      <w:r>
        <w:t xml:space="preserve">- Piège classique :</w:t>
      </w:r>
      <w:r>
        <w:t xml:space="preserve"> </w:t>
      </w:r>
      <w:r>
        <w:t xml:space="preserve">- Oubli de la 2e dose à J15 (oxyurose).</w:t>
      </w:r>
      <w:r>
        <w:t xml:space="preserve"> </w:t>
      </w:r>
      <w:r>
        <w:t xml:space="preserve">- Non-traitement familial (oxyurose).</w:t>
      </w:r>
      <w:r>
        <w:t xml:space="preserve"> </w:t>
      </w:r>
      <w:r>
        <w:t xml:space="preserve">- Prescription d’un benzimidazole chez une femme enceinte — alternative à proposer : pyrantel.</w:t>
      </w:r>
      <w:r>
        <w:t xml:space="preserve"> </w:t>
      </w:r>
      <w:r>
        <w:t xml:space="preserve">- Utilisation du pyrantel pour traiter un téniasis (taenia) ou une anguillulose — inefficace (spectre limité aux nématodes intestinaux : oxyure, ascaris, ankylostome).</w:t>
      </w:r>
      <w:r>
        <w:t xml:space="preserve"> </w:t>
      </w:r>
      <w:r>
        <w:t xml:space="preserve">- Confusion sur les posologies : le pyrantel se dose en mg/kg, alors que l’albendazole et le mébendazole sont à dose fixe. Pour un adulte de 75 kg, il faut 6 comprimés de COMBANTRIN ou HELMINTOX.</w:t>
      </w:r>
      <w:r>
        <w:t xml:space="preserve"> </w:t>
      </w:r>
      <w:r>
        <w:t xml:space="preserve">- Règle de prise : Dose unique à J1 et J15 pour oxyurose ; dose unique pour ascaridiose et ankylostomose. Prise au cours d’un repas.</w:t>
      </w:r>
      <w:r>
        <w:t xml:space="preserve"> </w:t>
      </w:r>
      <w:r>
        <w:t xml:space="preserve">- Préparation et Conservation : Comprimés &lt; 25°C, à l’abri de l’humidité. Sirop : conservation 14 jours après ouverture (vérifier RCP). Bien agiter avant emploi.</w:t>
      </w:r>
      <w:r>
        <w:t xml:space="preserve"> </w:t>
      </w:r>
      <w:r>
        <w:t xml:space="preserve">- Piège du surdosage / Substitution :</w:t>
      </w:r>
      <w:r>
        <w:t xml:space="preserve"> </w:t>
      </w:r>
      <w:r>
        <w:t xml:space="preserve">- Surdosage aigu : faible toxicité. Troubles digestifs possibles. Traitement symptomatique.</w:t>
      </w:r>
      <w:r>
        <w:t xml:space="preserve"> </w:t>
      </w:r>
      <w:r>
        <w:t xml:space="preserve">- Substitution COMBANTRIN ↔ HELMINTOX : possible (bioéquivalence démontrée). Vérifier la forme (comprimé vs sirop).</w:t>
      </w:r>
      <w:r>
        <w:t xml:space="preserve"> </w:t>
      </w:r>
      <w:r>
        <w:t xml:space="preserve">- Ne pas substituer pyrantel ↔ albendazole ↔ mébendazole sans avis médical (spectres, posologies et CI différentes — notamment grossesse).</w:t>
      </w:r>
      <w:r>
        <w:t xml:space="preserve"> </w:t>
      </w:r>
      <w:r>
        <w:t xml:space="preserve">- Chez la femme enceinte présentant une oxyurose au 1er trimestre : différer le traitement au 2e trimestre si possible, ou utiliser le pyrantel avec prudence.</w:t>
      </w:r>
    </w:p>
    <w:p>
      <w:r>
        <w:pict>
          <v:rect style="width:0;height:1.5pt" o:hralign="center" o:hrstd="t" o:hr="t"/>
        </w:pict>
      </w:r>
    </w:p>
    <w:bookmarkEnd w:id="139"/>
    <w:bookmarkEnd w:id="140"/>
    <w:bookmarkStart w:id="141" w:name="Xa1adcd8e886efe599a373a8eb6044d503dd09eb"/>
    <w:p>
      <w:pPr>
        <w:pStyle w:val="Heading2"/>
      </w:pPr>
      <w:r>
        <w:t xml:space="preserve">15.5 Tableau Comparatif des Antihelminthiques Disponibles en Algérie</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DCI</w:t>
            </w:r>
          </w:p>
        </w:tc>
        <w:tc>
          <w:tcPr/>
          <w:p>
            <w:pPr>
              <w:pStyle w:val="Compact"/>
              <w:jc w:val="left"/>
            </w:pPr>
            <w:r>
              <w:t xml:space="preserve">Sous-classe</w:t>
            </w:r>
          </w:p>
        </w:tc>
        <w:tc>
          <w:tcPr/>
          <w:p>
            <w:pPr>
              <w:pStyle w:val="Compact"/>
              <w:jc w:val="left"/>
            </w:pPr>
            <w:r>
              <w:t xml:space="preserve">Spectre parasitaire principal</w:t>
            </w:r>
          </w:p>
        </w:tc>
        <w:tc>
          <w:tcPr/>
          <w:p>
            <w:pPr>
              <w:pStyle w:val="Compact"/>
              <w:jc w:val="left"/>
            </w:pPr>
            <w:r>
              <w:t xml:space="preserve">Demi-vie</w:t>
            </w:r>
          </w:p>
        </w:tc>
        <w:tc>
          <w:tcPr/>
          <w:p>
            <w:pPr>
              <w:pStyle w:val="Compact"/>
              <w:jc w:val="left"/>
            </w:pPr>
            <w:r>
              <w:t xml:space="preserve">Métabolisme</w:t>
            </w:r>
          </w:p>
        </w:tc>
        <w:tc>
          <w:tcPr/>
          <w:p>
            <w:pPr>
              <w:pStyle w:val="Compact"/>
              <w:jc w:val="left"/>
            </w:pPr>
            <w:r>
              <w:t xml:space="preserve">Posologie standard (Adulte)</w:t>
            </w:r>
          </w:p>
        </w:tc>
        <w:tc>
          <w:tcPr/>
          <w:p>
            <w:pPr>
              <w:pStyle w:val="Compact"/>
              <w:jc w:val="left"/>
            </w:pPr>
            <w:r>
              <w:t xml:space="preserve">EI majeur</w:t>
            </w:r>
          </w:p>
        </w:tc>
        <w:tc>
          <w:tcPr/>
          <w:p>
            <w:pPr>
              <w:pStyle w:val="Compact"/>
              <w:jc w:val="left"/>
            </w:pPr>
            <w:r>
              <w:t xml:space="preserve">Grossesse</w:t>
            </w:r>
          </w:p>
        </w:tc>
      </w:tr>
      <w:tr>
        <w:tc>
          <w:tcPr/>
          <w:p>
            <w:pPr>
              <w:pStyle w:val="Compact"/>
              <w:jc w:val="left"/>
            </w:pPr>
            <w:r>
              <w:rPr>
                <w:b/>
                <w:bCs/>
              </w:rPr>
              <w:t xml:space="preserve">Albendazole</w:t>
            </w:r>
          </w:p>
        </w:tc>
        <w:tc>
          <w:tcPr/>
          <w:p>
            <w:pPr>
              <w:pStyle w:val="Compact"/>
              <w:jc w:val="left"/>
            </w:pPr>
            <w:r>
              <w:t xml:space="preserve">Benzimidazole</w:t>
            </w:r>
          </w:p>
        </w:tc>
        <w:tc>
          <w:tcPr/>
          <w:p>
            <w:pPr>
              <w:pStyle w:val="Compact"/>
              <w:jc w:val="left"/>
            </w:pPr>
            <w:r>
              <w:t xml:space="preserve">Nématodes intestinaux, cestodes, hydatidose, giardiose</w:t>
            </w:r>
          </w:p>
        </w:tc>
        <w:tc>
          <w:tcPr/>
          <w:p>
            <w:pPr>
              <w:pStyle w:val="Compact"/>
              <w:jc w:val="left"/>
            </w:pPr>
            <w:r>
              <w:t xml:space="preserve">8–12 h (sulfoxyde)</w:t>
            </w:r>
          </w:p>
        </w:tc>
        <w:tc>
          <w:tcPr/>
          <w:p>
            <w:pPr>
              <w:pStyle w:val="Compact"/>
              <w:jc w:val="left"/>
            </w:pPr>
            <w:r>
              <w:t xml:space="preserve">Hépatique CYP3A4 → sulfoxyde actif</w:t>
            </w:r>
          </w:p>
        </w:tc>
        <w:tc>
          <w:tcPr/>
          <w:p>
            <w:pPr>
              <w:pStyle w:val="Compact"/>
              <w:jc w:val="left"/>
            </w:pPr>
            <w:r>
              <w:t xml:space="preserve">400 mg dose unique (oxyurose) ; 400 mg × 2/j (hydatidose)</w:t>
            </w:r>
          </w:p>
        </w:tc>
        <w:tc>
          <w:tcPr/>
          <w:p>
            <w:pPr>
              <w:pStyle w:val="Compact"/>
              <w:jc w:val="left"/>
            </w:pPr>
            <w:r>
              <w:t xml:space="preserve">Hépatotoxicité, neutropénie (cures prolongées)</w:t>
            </w:r>
          </w:p>
        </w:tc>
        <w:tc>
          <w:tcPr/>
          <w:p>
            <w:pPr>
              <w:pStyle w:val="Compact"/>
              <w:jc w:val="left"/>
            </w:pPr>
            <w:r>
              <w:t xml:space="preserve">CI 1er trimestre ; à éviter toute grossesse</w:t>
            </w:r>
          </w:p>
        </w:tc>
      </w:tr>
      <w:tr>
        <w:tc>
          <w:tcPr/>
          <w:p>
            <w:pPr>
              <w:pStyle w:val="Compact"/>
              <w:jc w:val="left"/>
            </w:pPr>
            <w:r>
              <w:rPr>
                <w:b/>
                <w:bCs/>
              </w:rPr>
              <w:t xml:space="preserve">Mébendazole</w:t>
            </w:r>
          </w:p>
        </w:tc>
        <w:tc>
          <w:tcPr/>
          <w:p>
            <w:pPr>
              <w:pStyle w:val="Compact"/>
              <w:jc w:val="left"/>
            </w:pPr>
            <w:r>
              <w:t xml:space="preserve">Benzimidazole</w:t>
            </w:r>
          </w:p>
        </w:tc>
        <w:tc>
          <w:tcPr/>
          <w:p>
            <w:pPr>
              <w:pStyle w:val="Compact"/>
              <w:jc w:val="left"/>
            </w:pPr>
            <w:r>
              <w:t xml:space="preserve">Nématodes intestinaux (oxyurose, ascaridiose, trichocéphalose)</w:t>
            </w:r>
          </w:p>
        </w:tc>
        <w:tc>
          <w:tcPr/>
          <w:p>
            <w:pPr>
              <w:pStyle w:val="Compact"/>
              <w:jc w:val="left"/>
            </w:pPr>
            <w:r>
              <w:t xml:space="preserve">3–6 h (faible absorption)</w:t>
            </w:r>
          </w:p>
        </w:tc>
        <w:tc>
          <w:tcPr/>
          <w:p>
            <w:pPr>
              <w:pStyle w:val="Compact"/>
              <w:jc w:val="left"/>
            </w:pPr>
            <w:r>
              <w:t xml:space="preserve">Hépatique (métabolite inactif)</w:t>
            </w:r>
          </w:p>
        </w:tc>
        <w:tc>
          <w:tcPr/>
          <w:p>
            <w:pPr>
              <w:pStyle w:val="Compact"/>
              <w:jc w:val="left"/>
            </w:pPr>
            <w:r>
              <w:t xml:space="preserve">100 mg dose unique (oxyurose) ; 100 mg × 2/j × 3 j</w:t>
            </w:r>
          </w:p>
        </w:tc>
        <w:tc>
          <w:tcPr/>
          <w:p>
            <w:pPr>
              <w:pStyle w:val="Compact"/>
              <w:jc w:val="left"/>
            </w:pPr>
            <w:r>
              <w:t xml:space="preserve">Troubles digestifs bénins</w:t>
            </w:r>
          </w:p>
        </w:tc>
        <w:tc>
          <w:tcPr/>
          <w:p>
            <w:pPr>
              <w:pStyle w:val="Compact"/>
              <w:jc w:val="left"/>
            </w:pPr>
            <w:r>
              <w:t xml:space="preserve">CI 1er trimestre ; à éviter</w:t>
            </w:r>
          </w:p>
        </w:tc>
      </w:tr>
      <w:tr>
        <w:tc>
          <w:tcPr/>
          <w:p>
            <w:pPr>
              <w:pStyle w:val="Compact"/>
              <w:jc w:val="left"/>
            </w:pPr>
            <w:r>
              <w:rPr>
                <w:b/>
                <w:bCs/>
              </w:rPr>
              <w:t xml:space="preserve">Flubendazole</w:t>
            </w:r>
          </w:p>
        </w:tc>
        <w:tc>
          <w:tcPr/>
          <w:p>
            <w:pPr>
              <w:pStyle w:val="Compact"/>
              <w:jc w:val="left"/>
            </w:pPr>
            <w:r>
              <w:t xml:space="preserve">Benzimidazole</w:t>
            </w:r>
          </w:p>
        </w:tc>
        <w:tc>
          <w:tcPr/>
          <w:p>
            <w:pPr>
              <w:pStyle w:val="Compact"/>
              <w:jc w:val="left"/>
            </w:pPr>
            <w:r>
              <w:t xml:space="preserve">Nématodes intestinaux (oxyurose, ascaridiose)</w:t>
            </w:r>
          </w:p>
        </w:tc>
        <w:tc>
          <w:tcPr/>
          <w:p>
            <w:pPr>
              <w:pStyle w:val="Compact"/>
              <w:jc w:val="left"/>
            </w:pPr>
            <w:r>
              <w:t xml:space="preserve">Faible absorption</w:t>
            </w:r>
          </w:p>
        </w:tc>
        <w:tc>
          <w:tcPr/>
          <w:p>
            <w:pPr>
              <w:pStyle w:val="Compact"/>
              <w:jc w:val="left"/>
            </w:pPr>
            <w:r>
              <w:t xml:space="preserve">Luminale (peu métabolisé)</w:t>
            </w:r>
          </w:p>
        </w:tc>
        <w:tc>
          <w:tcPr/>
          <w:p>
            <w:pPr>
              <w:pStyle w:val="Compact"/>
              <w:jc w:val="left"/>
            </w:pPr>
            <w:r>
              <w:t xml:space="preserve">100 mg dose unique (oxyurose)</w:t>
            </w:r>
          </w:p>
        </w:tc>
        <w:tc>
          <w:tcPr/>
          <w:p>
            <w:pPr>
              <w:pStyle w:val="Compact"/>
              <w:jc w:val="left"/>
            </w:pPr>
            <w:r>
              <w:t xml:space="preserve">Exceptionnels</w:t>
            </w:r>
          </w:p>
        </w:tc>
        <w:tc>
          <w:tcPr/>
          <w:p>
            <w:pPr>
              <w:pStyle w:val="Compact"/>
              <w:jc w:val="left"/>
            </w:pPr>
            <w:r>
              <w:t xml:space="preserve">CI 1er trimestre par mesure de classe</w:t>
            </w:r>
          </w:p>
        </w:tc>
      </w:tr>
      <w:tr>
        <w:tc>
          <w:tcPr/>
          <w:p>
            <w:pPr>
              <w:pStyle w:val="Compact"/>
              <w:jc w:val="left"/>
            </w:pPr>
            <w:r>
              <w:rPr>
                <w:b/>
                <w:bCs/>
              </w:rPr>
              <w:t xml:space="preserve">Tiabendazole</w:t>
            </w:r>
          </w:p>
        </w:tc>
        <w:tc>
          <w:tcPr/>
          <w:p>
            <w:pPr>
              <w:pStyle w:val="Compact"/>
              <w:jc w:val="left"/>
            </w:pPr>
            <w:r>
              <w:t xml:space="preserve">Benzimidazole</w:t>
            </w:r>
          </w:p>
        </w:tc>
        <w:tc>
          <w:tcPr/>
          <w:p>
            <w:pPr>
              <w:pStyle w:val="Compact"/>
              <w:jc w:val="left"/>
            </w:pPr>
            <w:r>
              <w:t xml:space="preserve">Anguillulose, larva migrans (RETRAIT DU MARCHÉ ALGÉRIEN)</w:t>
            </w:r>
          </w:p>
        </w:tc>
        <w:tc>
          <w:tcPr/>
          <w:p>
            <w:pPr>
              <w:pStyle w:val="Compact"/>
              <w:jc w:val="left"/>
            </w:pPr>
            <w:r>
              <w:t xml:space="preserve">~1 h</w:t>
            </w:r>
          </w:p>
        </w:tc>
        <w:tc>
          <w:tcPr/>
          <w:p>
            <w:pPr>
              <w:pStyle w:val="Compact"/>
              <w:jc w:val="left"/>
            </w:pPr>
            <w:r>
              <w:t xml:space="preserve">Hépatique rapide</w:t>
            </w:r>
          </w:p>
        </w:tc>
        <w:tc>
          <w:tcPr/>
          <w:p>
            <w:pPr>
              <w:pStyle w:val="Compact"/>
              <w:jc w:val="left"/>
            </w:pPr>
            <w:r>
              <w:t xml:space="preserve">25 mg/kg/j × 2–3 j</w:t>
            </w:r>
          </w:p>
        </w:tc>
        <w:tc>
          <w:tcPr/>
          <w:p>
            <w:pPr>
              <w:pStyle w:val="Compact"/>
              <w:jc w:val="left"/>
            </w:pPr>
            <w:r>
              <w:t xml:space="preserve">Nausées, vertigs, hépatotoxicité</w:t>
            </w:r>
          </w:p>
        </w:tc>
        <w:tc>
          <w:tcPr/>
          <w:p>
            <w:pPr>
              <w:pStyle w:val="Compact"/>
              <w:jc w:val="left"/>
            </w:pPr>
            <w:r>
              <w:t xml:space="preserve">CI grossesse</w:t>
            </w:r>
          </w:p>
        </w:tc>
      </w:tr>
      <w:tr>
        <w:tc>
          <w:tcPr/>
          <w:p>
            <w:pPr>
              <w:pStyle w:val="Compact"/>
              <w:jc w:val="left"/>
            </w:pPr>
            <w:r>
              <w:rPr>
                <w:b/>
                <w:bCs/>
              </w:rPr>
              <w:t xml:space="preserve">Niclosamide</w:t>
            </w:r>
          </w:p>
        </w:tc>
        <w:tc>
          <w:tcPr/>
          <w:p>
            <w:pPr>
              <w:pStyle w:val="Compact"/>
              <w:jc w:val="left"/>
            </w:pPr>
            <w:r>
              <w:t xml:space="preserve">Salicylanilide</w:t>
            </w:r>
          </w:p>
        </w:tc>
        <w:tc>
          <w:tcPr/>
          <w:p>
            <w:pPr>
              <w:pStyle w:val="Compact"/>
              <w:jc w:val="left"/>
            </w:pPr>
            <w:r>
              <w:t xml:space="preserve">Cestodes (T. saginata, T. solium, H. nana)</w:t>
            </w:r>
          </w:p>
        </w:tc>
        <w:tc>
          <w:tcPr/>
          <w:p>
            <w:pPr>
              <w:pStyle w:val="Compact"/>
              <w:jc w:val="left"/>
            </w:pPr>
            <w:r>
              <w:t xml:space="preserve">Faible absorption</w:t>
            </w:r>
          </w:p>
        </w:tc>
        <w:tc>
          <w:tcPr/>
          <w:p>
            <w:pPr>
              <w:pStyle w:val="Compact"/>
              <w:jc w:val="left"/>
            </w:pPr>
            <w:r>
              <w:t xml:space="preserve">Luminale</w:t>
            </w:r>
          </w:p>
        </w:tc>
        <w:tc>
          <w:tcPr/>
          <w:p>
            <w:pPr>
              <w:pStyle w:val="Compact"/>
              <w:jc w:val="left"/>
            </w:pPr>
            <w:r>
              <w:t xml:space="preserve">2 g dose unique (taenias)</w:t>
            </w:r>
          </w:p>
        </w:tc>
        <w:tc>
          <w:tcPr/>
          <w:p>
            <w:pPr>
              <w:pStyle w:val="Compact"/>
              <w:jc w:val="left"/>
            </w:pPr>
            <w:r>
              <w:t xml:space="preserve">Nausées, vomissements</w:t>
            </w:r>
          </w:p>
        </w:tc>
        <w:tc>
          <w:tcPr/>
          <w:p>
            <w:pPr>
              <w:pStyle w:val="Compact"/>
              <w:jc w:val="left"/>
            </w:pPr>
            <w:r>
              <w:t xml:space="preserve">Autorisé 2e et 3e trimestre</w:t>
            </w:r>
          </w:p>
        </w:tc>
      </w:tr>
      <w:tr>
        <w:tc>
          <w:tcPr/>
          <w:p>
            <w:pPr>
              <w:pStyle w:val="Compact"/>
              <w:jc w:val="left"/>
            </w:pPr>
            <w:r>
              <w:rPr>
                <w:b/>
                <w:bCs/>
              </w:rPr>
              <w:t xml:space="preserve">Pyrantel (embonate)</w:t>
            </w:r>
          </w:p>
        </w:tc>
        <w:tc>
          <w:tcPr/>
          <w:p>
            <w:pPr>
              <w:pStyle w:val="Compact"/>
              <w:jc w:val="left"/>
            </w:pPr>
            <w:r>
              <w:t xml:space="preserve">Pyrimidine</w:t>
            </w:r>
          </w:p>
        </w:tc>
        <w:tc>
          <w:tcPr/>
          <w:p>
            <w:pPr>
              <w:pStyle w:val="Compact"/>
              <w:jc w:val="left"/>
            </w:pPr>
            <w:r>
              <w:t xml:space="preserve">Nématodes intestinaux (oxyurose, ascaridiose, ankylostomose)</w:t>
            </w:r>
          </w:p>
        </w:tc>
        <w:tc>
          <w:tcPr/>
          <w:p>
            <w:pPr>
              <w:pStyle w:val="Compact"/>
              <w:jc w:val="left"/>
            </w:pPr>
            <w:r>
              <w:t xml:space="preserve">Faible absorption</w:t>
            </w:r>
          </w:p>
        </w:tc>
        <w:tc>
          <w:tcPr/>
          <w:p>
            <w:pPr>
              <w:pStyle w:val="Compact"/>
              <w:jc w:val="left"/>
            </w:pPr>
            <w:r>
              <w:t xml:space="preserve">Luminale + hépatique (fraction absorbée)</w:t>
            </w:r>
          </w:p>
        </w:tc>
        <w:tc>
          <w:tcPr/>
          <w:p>
            <w:pPr>
              <w:pStyle w:val="Compact"/>
              <w:jc w:val="left"/>
            </w:pPr>
            <w:r>
              <w:t xml:space="preserve">10 mg/kg dose unique (oxyurose)</w:t>
            </w:r>
          </w:p>
        </w:tc>
        <w:tc>
          <w:tcPr/>
          <w:p>
            <w:pPr>
              <w:pStyle w:val="Compact"/>
              <w:jc w:val="left"/>
            </w:pPr>
            <w:r>
              <w:t xml:space="preserve">Troubles digestifs bénins</w:t>
            </w:r>
          </w:p>
        </w:tc>
        <w:tc>
          <w:tcPr/>
          <w:p>
            <w:pPr>
              <w:pStyle w:val="Compact"/>
              <w:jc w:val="left"/>
            </w:pPr>
            <w:r>
              <w:t xml:space="preserve">Autorisé 2e et 3e trimestre (référence)</w:t>
            </w:r>
          </w:p>
        </w:tc>
      </w:tr>
    </w:tbl>
    <w:bookmarkEnd w:id="141"/>
    <w:bookmarkStart w:id="146" w:name="synthèse-et-recommandations-pratiques"/>
    <w:p>
      <w:pPr>
        <w:pStyle w:val="Heading2"/>
      </w:pPr>
      <w:r>
        <w:t xml:space="preserve">15.6 Synthèse et Recommandations Pratiques</w:t>
      </w:r>
    </w:p>
    <w:bookmarkStart w:id="142" w:name="X1f223bc95eea887db45e0dd1501008f34bc9596"/>
    <w:p>
      <w:pPr>
        <w:pStyle w:val="Heading3"/>
      </w:pPr>
      <w:r>
        <w:t xml:space="preserve">Arbitrage Thérapeutique selon le Parasite</w:t>
      </w:r>
    </w:p>
    <w:p>
      <w:pPr>
        <w:pStyle w:val="Compact"/>
        <w:numPr>
          <w:ilvl w:val="0"/>
          <w:numId w:val="1365"/>
        </w:numPr>
      </w:pPr>
      <w:r>
        <w:rPr>
          <w:b/>
          <w:bCs/>
        </w:rPr>
        <w:t xml:space="preserve">Oxyurose (Enterobius vermicularis)</w:t>
      </w:r>
      <w:r>
        <w:t xml:space="preserve"> </w:t>
      </w:r>
      <w:r>
        <w:t xml:space="preserve">: 1re intention = albendazole 400 mg dose unique (J1 + J15) ou mébendazole 100 mg dose unique (J1 + J15) ou flubendazole 100 mg dose unique (J1 + J15). Chez la femme enceinte (2e et 3e trimestre) : pyrantel 10 mg/kg dose unique (J1 + J15).</w:t>
      </w:r>
    </w:p>
    <w:p>
      <w:pPr>
        <w:pStyle w:val="Compact"/>
        <w:numPr>
          <w:ilvl w:val="0"/>
          <w:numId w:val="1365"/>
        </w:numPr>
      </w:pPr>
      <w:r>
        <w:rPr>
          <w:b/>
          <w:bCs/>
        </w:rPr>
        <w:t xml:space="preserve">Ascaridiose (Ascaris lumbricoides)</w:t>
      </w:r>
      <w:r>
        <w:t xml:space="preserve"> </w:t>
      </w:r>
      <w:r>
        <w:t xml:space="preserve">: Albendazole 400 mg dose unique, ou mébendazole 100 mg × 2/j × 3 jours, ou pyrantel 10 mg/kg dose unique.</w:t>
      </w:r>
    </w:p>
    <w:p>
      <w:pPr>
        <w:pStyle w:val="Compact"/>
        <w:numPr>
          <w:ilvl w:val="0"/>
          <w:numId w:val="1365"/>
        </w:numPr>
      </w:pPr>
      <w:r>
        <w:rPr>
          <w:b/>
          <w:bCs/>
        </w:rPr>
        <w:t xml:space="preserve">Anguillulose (Strongyloides stercoralis)</w:t>
      </w:r>
      <w:r>
        <w:t xml:space="preserve"> </w:t>
      </w:r>
      <w:r>
        <w:t xml:space="preserve">: 1re intention = ivermectine 200 µg/kg dose unique (NON DISPONIBLE EN ALGÉRIE — importation exceptionnelle). Alternative : albendazole 400 mg/j × 7 jours (efficacité ~70 %, rechute possible). Le tiabendazole (25 mg/kg/j × 2 j) est retiré du marché.</w:t>
      </w:r>
    </w:p>
    <w:p>
      <w:pPr>
        <w:pStyle w:val="Compact"/>
        <w:numPr>
          <w:ilvl w:val="0"/>
          <w:numId w:val="1365"/>
        </w:numPr>
      </w:pPr>
      <w:r>
        <w:rPr>
          <w:b/>
          <w:bCs/>
        </w:rPr>
        <w:t xml:space="preserve">Téniasis (Taenia saginata, T. solium, Hymenolepis nana)</w:t>
      </w:r>
      <w:r>
        <w:t xml:space="preserve"> </w:t>
      </w:r>
      <w:r>
        <w:t xml:space="preserve">: 1re intention = albendazole 400 mg/j × 3 jours (taenias) ou 400 mg/j × 3 jours, J1 + J15 + J30 (hyménolépiase). Alternative : niclosamide 2 g dose unique (taenias) ou 2 g J1 puis 1 g/j × 6 jours (hyménolépiase) — mais niclosamide non renouvelable en Algérie.</w:t>
      </w:r>
    </w:p>
    <w:p>
      <w:pPr>
        <w:pStyle w:val="Compact"/>
        <w:numPr>
          <w:ilvl w:val="0"/>
          <w:numId w:val="1365"/>
        </w:numPr>
      </w:pPr>
      <w:r>
        <w:rPr>
          <w:b/>
          <w:bCs/>
        </w:rPr>
        <w:t xml:space="preserve">Hydatidose (Echinococcus granulosus)</w:t>
      </w:r>
      <w:r>
        <w:t xml:space="preserve"> </w:t>
      </w:r>
      <w:r>
        <w:t xml:space="preserve">: Traitement chirurgical premier + albendazole 400 mg × 2/j en cures de 28 jours séparées de 14 jours, pendant 3 à 6 mois (surveillance NFS + ALAT mensuels). Alternative : albendazole + praziquantel (NON DISPONIBLE EN ALGÉRIE — association synergique à demander via importation).</w:t>
      </w:r>
    </w:p>
    <w:p>
      <w:pPr>
        <w:pStyle w:val="Compact"/>
        <w:numPr>
          <w:ilvl w:val="0"/>
          <w:numId w:val="1365"/>
        </w:numPr>
      </w:pPr>
      <w:r>
        <w:rPr>
          <w:b/>
          <w:bCs/>
        </w:rPr>
        <w:t xml:space="preserve">Cysticercose (Taenia solium larvaire)</w:t>
      </w:r>
      <w:r>
        <w:t xml:space="preserve"> </w:t>
      </w:r>
      <w:r>
        <w:t xml:space="preserve">: Albendazole 400 mg × 2/j × 8–30 jours sous couverture corticoïde + anticonvulsivant. Praziquantel (alternative) — NON DISPONIBLE.</w:t>
      </w:r>
    </w:p>
    <w:bookmarkEnd w:id="142"/>
    <w:bookmarkStart w:id="143" w:name="règles-dor-au-comptoir"/>
    <w:p>
      <w:pPr>
        <w:pStyle w:val="Heading3"/>
      </w:pPr>
      <w:r>
        <w:t xml:space="preserve">Règles d’Or au Comptoir</w:t>
      </w:r>
    </w:p>
    <w:p>
      <w:pPr>
        <w:pStyle w:val="Compact"/>
        <w:numPr>
          <w:ilvl w:val="0"/>
          <w:numId w:val="1366"/>
        </w:numPr>
      </w:pPr>
      <w:r>
        <w:rPr>
          <w:b/>
          <w:bCs/>
        </w:rPr>
        <w:t xml:space="preserve">Toujours demander l’âge et le poids</w:t>
      </w:r>
      <w:r>
        <w:t xml:space="preserve"> </w:t>
      </w:r>
      <w:r>
        <w:t xml:space="preserve">(posologie pédiatrique en mg/kg pour le pyrantel).</w:t>
      </w:r>
    </w:p>
    <w:p>
      <w:pPr>
        <w:pStyle w:val="Compact"/>
        <w:numPr>
          <w:ilvl w:val="0"/>
          <w:numId w:val="1366"/>
        </w:numPr>
      </w:pPr>
      <w:r>
        <w:rPr>
          <w:b/>
          <w:bCs/>
        </w:rPr>
        <w:t xml:space="preserve">Toujours demander s’il y a une grossesse en cours ou planifiée</w:t>
      </w:r>
      <w:r>
        <w:t xml:space="preserve"> </w:t>
      </w:r>
      <w:r>
        <w:t xml:space="preserve">(CI absolue aux benzimidazoles au 1er trimestre).</w:t>
      </w:r>
    </w:p>
    <w:p>
      <w:pPr>
        <w:pStyle w:val="Compact"/>
        <w:numPr>
          <w:ilvl w:val="0"/>
          <w:numId w:val="1366"/>
        </w:numPr>
      </w:pPr>
      <w:r>
        <w:rPr>
          <w:b/>
          <w:bCs/>
        </w:rPr>
        <w:t xml:space="preserve">Pour l’oxyurose, traitement familial simultané obligatoire</w:t>
      </w:r>
      <w:r>
        <w:t xml:space="preserve"> </w:t>
      </w:r>
      <w:r>
        <w:t xml:space="preserve">(même en l’absence de symptômes).</w:t>
      </w:r>
    </w:p>
    <w:p>
      <w:pPr>
        <w:pStyle w:val="Compact"/>
        <w:numPr>
          <w:ilvl w:val="0"/>
          <w:numId w:val="1366"/>
        </w:numPr>
      </w:pPr>
      <w:r>
        <w:rPr>
          <w:b/>
          <w:bCs/>
        </w:rPr>
        <w:t xml:space="preserve">Toujours rappeler la 2e dose à J15</w:t>
      </w:r>
      <w:r>
        <w:t xml:space="preserve"> </w:t>
      </w:r>
      <w:r>
        <w:t xml:space="preserve">pour l’oxyurose (cycle parasitaire de 3 semaines).</w:t>
      </w:r>
    </w:p>
    <w:p>
      <w:pPr>
        <w:pStyle w:val="Compact"/>
        <w:numPr>
          <w:ilvl w:val="0"/>
          <w:numId w:val="1366"/>
        </w:numPr>
      </w:pPr>
      <w:r>
        <w:rPr>
          <w:b/>
          <w:bCs/>
        </w:rPr>
        <w:t xml:space="preserve">Hygiène associée</w:t>
      </w:r>
      <w:r>
        <w:t xml:space="preserve"> </w:t>
      </w:r>
      <w:r>
        <w:t xml:space="preserve">: coupe des ongles, lavage des mains, changement quotidien des sous-vêtements, lavage des draps à 60°C.</w:t>
      </w:r>
    </w:p>
    <w:p>
      <w:pPr>
        <w:pStyle w:val="Compact"/>
        <w:numPr>
          <w:ilvl w:val="0"/>
          <w:numId w:val="1366"/>
        </w:numPr>
      </w:pPr>
      <w:r>
        <w:rPr>
          <w:b/>
          <w:bCs/>
        </w:rPr>
        <w:t xml:space="preserve">Pour l’albendazole à dose prolongée</w:t>
      </w:r>
      <w:r>
        <w:t xml:space="preserve"> </w:t>
      </w:r>
      <w:r>
        <w:t xml:space="preserve">: prise avec repas gras (biodisponibilité), surveillance NFS + ALAT mensuels.</w:t>
      </w:r>
    </w:p>
    <w:p>
      <w:pPr>
        <w:pStyle w:val="Compact"/>
        <w:numPr>
          <w:ilvl w:val="0"/>
          <w:numId w:val="1366"/>
        </w:numPr>
      </w:pPr>
      <w:r>
        <w:rPr>
          <w:b/>
          <w:bCs/>
        </w:rPr>
        <w:t xml:space="preserve">Pour le niclosamide</w:t>
      </w:r>
      <w:r>
        <w:t xml:space="preserve"> </w:t>
      </w:r>
      <w:r>
        <w:t xml:space="preserve">: comprimés à croquer, à jeun, lavement évacuateur 2 h après (si disponible).</w:t>
      </w:r>
    </w:p>
    <w:p>
      <w:pPr>
        <w:pStyle w:val="Compact"/>
        <w:numPr>
          <w:ilvl w:val="0"/>
          <w:numId w:val="1366"/>
        </w:numPr>
      </w:pPr>
      <w:r>
        <w:rPr>
          <w:b/>
          <w:bCs/>
        </w:rPr>
        <w:t xml:space="preserve">Orientation vers structure hospitalière</w:t>
      </w:r>
      <w:r>
        <w:t xml:space="preserve"> </w:t>
      </w:r>
      <w:r>
        <w:t xml:space="preserve">pour les parasitoses nécessitant des molécules non disponibles en Algérie (ivermectine pour anguillulose, praziquantel pour cysticercose/hydatidose systémique).</w:t>
      </w:r>
    </w:p>
    <w:bookmarkEnd w:id="143"/>
    <w:bookmarkStart w:id="144" w:name="X4ba5ee27c8c1aa4ff0d4fb64fe83923315d7dc3"/>
    <w:p>
      <w:pPr>
        <w:pStyle w:val="Heading3"/>
      </w:pPr>
      <w:r>
        <w:t xml:space="preserve">Molécules Non Disponibles en Algérie — Récapitulatif</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Molécule</w:t>
            </w:r>
          </w:p>
        </w:tc>
        <w:tc>
          <w:tcPr/>
          <w:p>
            <w:pPr>
              <w:pStyle w:val="Compact"/>
              <w:jc w:val="left"/>
            </w:pPr>
            <w:r>
              <w:t xml:space="preserve">Classe</w:t>
            </w:r>
          </w:p>
        </w:tc>
        <w:tc>
          <w:tcPr/>
          <w:p>
            <w:pPr>
              <w:pStyle w:val="Compact"/>
              <w:jc w:val="left"/>
            </w:pPr>
            <w:r>
              <w:t xml:space="preserve">Indication principale</w:t>
            </w:r>
          </w:p>
        </w:tc>
        <w:tc>
          <w:tcPr/>
          <w:p>
            <w:pPr>
              <w:pStyle w:val="Compact"/>
              <w:jc w:val="left"/>
            </w:pPr>
            <w:r>
              <w:t xml:space="preserve">Alternative algérienne</w:t>
            </w:r>
          </w:p>
        </w:tc>
      </w:tr>
      <w:tr>
        <w:tc>
          <w:tcPr/>
          <w:p>
            <w:pPr>
              <w:pStyle w:val="Compact"/>
              <w:jc w:val="left"/>
            </w:pPr>
            <w:r>
              <w:t xml:space="preserve">Praziquantel</w:t>
            </w:r>
          </w:p>
        </w:tc>
        <w:tc>
          <w:tcPr/>
          <w:p>
            <w:pPr>
              <w:pStyle w:val="Compact"/>
              <w:jc w:val="left"/>
            </w:pPr>
            <w:r>
              <w:t xml:space="preserve">Pyrazinoisoquinoléine</w:t>
            </w:r>
          </w:p>
        </w:tc>
        <w:tc>
          <w:tcPr/>
          <w:p>
            <w:pPr>
              <w:pStyle w:val="Compact"/>
              <w:jc w:val="left"/>
            </w:pPr>
            <w:r>
              <w:t xml:space="preserve">Cestodoses, schistosomoses, hydatidose</w:t>
            </w:r>
          </w:p>
        </w:tc>
        <w:tc>
          <w:tcPr/>
          <w:p>
            <w:pPr>
              <w:pStyle w:val="Compact"/>
              <w:jc w:val="left"/>
            </w:pPr>
            <w:r>
              <w:t xml:space="preserve">Albendazole (efficacité variable)</w:t>
            </w:r>
          </w:p>
        </w:tc>
      </w:tr>
      <w:tr>
        <w:tc>
          <w:tcPr/>
          <w:p>
            <w:pPr>
              <w:pStyle w:val="Compact"/>
              <w:jc w:val="left"/>
            </w:pPr>
            <w:r>
              <w:t xml:space="preserve">Ivermectine</w:t>
            </w:r>
          </w:p>
        </w:tc>
        <w:tc>
          <w:tcPr/>
          <w:p>
            <w:pPr>
              <w:pStyle w:val="Compact"/>
              <w:jc w:val="left"/>
            </w:pPr>
            <w:r>
              <w:t xml:space="preserve">Avermectine</w:t>
            </w:r>
          </w:p>
        </w:tc>
        <w:tc>
          <w:tcPr/>
          <w:p>
            <w:pPr>
              <w:pStyle w:val="Compact"/>
              <w:jc w:val="left"/>
            </w:pPr>
            <w:r>
              <w:t xml:space="preserve">Anguillulose, gale, onchocercose</w:t>
            </w:r>
          </w:p>
        </w:tc>
        <w:tc>
          <w:tcPr/>
          <w:p>
            <w:pPr>
              <w:pStyle w:val="Compact"/>
              <w:jc w:val="left"/>
            </w:pPr>
            <w:r>
              <w:t xml:space="preserve">Albendazole (anguillulose) ; benzoate de benzyle / perméthrine (gale)</w:t>
            </w:r>
          </w:p>
        </w:tc>
      </w:tr>
      <w:tr>
        <w:tc>
          <w:tcPr/>
          <w:p>
            <w:pPr>
              <w:pStyle w:val="Compact"/>
              <w:jc w:val="left"/>
            </w:pPr>
            <w:r>
              <w:t xml:space="preserve">Pipérazine</w:t>
            </w:r>
          </w:p>
        </w:tc>
        <w:tc>
          <w:tcPr/>
          <w:p>
            <w:pPr>
              <w:pStyle w:val="Compact"/>
              <w:jc w:val="left"/>
            </w:pPr>
            <w:r>
              <w:t xml:space="preserve">Pipérazine</w:t>
            </w:r>
          </w:p>
        </w:tc>
        <w:tc>
          <w:tcPr/>
          <w:p>
            <w:pPr>
              <w:pStyle w:val="Compact"/>
              <w:jc w:val="left"/>
            </w:pPr>
            <w:r>
              <w:t xml:space="preserve">Ascaridiose, oxyurose (alternative)</w:t>
            </w:r>
          </w:p>
        </w:tc>
        <w:tc>
          <w:tcPr/>
          <w:p>
            <w:pPr>
              <w:pStyle w:val="Compact"/>
              <w:jc w:val="left"/>
            </w:pPr>
            <w:r>
              <w:t xml:space="preserve">Albendazole, mébendazole, pyrantel</w:t>
            </w:r>
          </w:p>
        </w:tc>
      </w:tr>
      <w:tr>
        <w:tc>
          <w:tcPr/>
          <w:p>
            <w:pPr>
              <w:pStyle w:val="Compact"/>
              <w:jc w:val="left"/>
            </w:pPr>
            <w:r>
              <w:t xml:space="preserve">Diéthylcarbamazine</w:t>
            </w:r>
          </w:p>
        </w:tc>
        <w:tc>
          <w:tcPr/>
          <w:p>
            <w:pPr>
              <w:pStyle w:val="Compact"/>
              <w:jc w:val="left"/>
            </w:pPr>
            <w:r>
              <w:t xml:space="preserve">Pipérazine (pyrazine)</w:t>
            </w:r>
          </w:p>
        </w:tc>
        <w:tc>
          <w:tcPr/>
          <w:p>
            <w:pPr>
              <w:pStyle w:val="Compact"/>
              <w:jc w:val="left"/>
            </w:pPr>
            <w:r>
              <w:t xml:space="preserve">Filarioses lymphatiques</w:t>
            </w:r>
          </w:p>
        </w:tc>
        <w:tc>
          <w:tcPr/>
          <w:p>
            <w:pPr>
              <w:pStyle w:val="Compact"/>
              <w:jc w:val="left"/>
            </w:pPr>
            <w:r>
              <w:t xml:space="preserve">Aucune (orientation hospitalière)</w:t>
            </w:r>
          </w:p>
        </w:tc>
      </w:tr>
      <w:tr>
        <w:tc>
          <w:tcPr/>
          <w:p>
            <w:pPr>
              <w:pStyle w:val="Compact"/>
              <w:jc w:val="left"/>
            </w:pPr>
            <w:r>
              <w:t xml:space="preserve">Lévamisole</w:t>
            </w:r>
          </w:p>
        </w:tc>
        <w:tc>
          <w:tcPr/>
          <w:p>
            <w:pPr>
              <w:pStyle w:val="Compact"/>
              <w:jc w:val="left"/>
            </w:pPr>
            <w:r>
              <w:t xml:space="preserve">Imidazothiazole</w:t>
            </w:r>
          </w:p>
        </w:tc>
        <w:tc>
          <w:tcPr/>
          <w:p>
            <w:pPr>
              <w:pStyle w:val="Compact"/>
              <w:jc w:val="left"/>
            </w:pPr>
            <w:r>
              <w:t xml:space="preserve">Ascaridiose (ancien)</w:t>
            </w:r>
          </w:p>
        </w:tc>
        <w:tc>
          <w:tcPr/>
          <w:p>
            <w:pPr>
              <w:pStyle w:val="Compact"/>
              <w:jc w:val="left"/>
            </w:pPr>
            <w:r>
              <w:t xml:space="preserve">Albendazole, mébendazole, pyrantel</w:t>
            </w:r>
          </w:p>
        </w:tc>
      </w:tr>
      <w:tr>
        <w:tc>
          <w:tcPr/>
          <w:p>
            <w:pPr>
              <w:pStyle w:val="Compact"/>
              <w:jc w:val="left"/>
            </w:pPr>
            <w:r>
              <w:t xml:space="preserve">Oxantel</w:t>
            </w:r>
          </w:p>
        </w:tc>
        <w:tc>
          <w:tcPr/>
          <w:p>
            <w:pPr>
              <w:pStyle w:val="Compact"/>
              <w:jc w:val="left"/>
            </w:pPr>
            <w:r>
              <w:t xml:space="preserve">Tétrahydropyrimidine</w:t>
            </w:r>
          </w:p>
        </w:tc>
        <w:tc>
          <w:tcPr/>
          <w:p>
            <w:pPr>
              <w:pStyle w:val="Compact"/>
              <w:jc w:val="left"/>
            </w:pPr>
            <w:r>
              <w:t xml:space="preserve">Trichocéphalose</w:t>
            </w:r>
          </w:p>
        </w:tc>
        <w:tc>
          <w:tcPr/>
          <w:p>
            <w:pPr>
              <w:pStyle w:val="Compact"/>
              <w:jc w:val="left"/>
            </w:pPr>
            <w:r>
              <w:t xml:space="preserve">Albendazole, mébendazole</w:t>
            </w:r>
          </w:p>
        </w:tc>
      </w:tr>
      <w:tr>
        <w:tc>
          <w:tcPr/>
          <w:p>
            <w:pPr>
              <w:pStyle w:val="Compact"/>
              <w:jc w:val="left"/>
            </w:pPr>
            <w:r>
              <w:t xml:space="preserve">Triclabendazole</w:t>
            </w:r>
          </w:p>
        </w:tc>
        <w:tc>
          <w:tcPr/>
          <w:p>
            <w:pPr>
              <w:pStyle w:val="Compact"/>
              <w:jc w:val="left"/>
            </w:pPr>
            <w:r>
              <w:t xml:space="preserve">Benzimidazole</w:t>
            </w:r>
          </w:p>
        </w:tc>
        <w:tc>
          <w:tcPr/>
          <w:p>
            <w:pPr>
              <w:pStyle w:val="Compact"/>
              <w:jc w:val="left"/>
            </w:pPr>
            <w:r>
              <w:t xml:space="preserve">Distomatose à Fasciola</w:t>
            </w:r>
          </w:p>
        </w:tc>
        <w:tc>
          <w:tcPr/>
          <w:p>
            <w:pPr>
              <w:pStyle w:val="Compact"/>
              <w:jc w:val="left"/>
            </w:pPr>
            <w:r>
              <w:t xml:space="preserve">Aucune (orientation hospitalière)</w:t>
            </w:r>
          </w:p>
        </w:tc>
      </w:tr>
    </w:tbl>
    <w:bookmarkEnd w:id="144"/>
    <w:bookmarkStart w:id="145" w:name="conclusion-du-chapitre"/>
    <w:p>
      <w:pPr>
        <w:pStyle w:val="Heading3"/>
      </w:pPr>
      <w:r>
        <w:t xml:space="preserve">Conclusion du Chapitre</w:t>
      </w:r>
    </w:p>
    <w:p>
      <w:pPr>
        <w:pStyle w:val="FirstParagraph"/>
      </w:pPr>
      <w:r>
        <w:t xml:space="preserve">Les antihelminthiques disponibles en Algérie couvrent l’essentiel des besoins thérapeutiques pour les nématodoses intestinales courantes (oxyurose, ascaridiose, ankylostomose) et les cestodoses (téniasis, hyménolépiase). La palette repose principalement sur les benzimidazoles (albendazole, mébendazole, flubendazole), complétée par le pyrantel (embonate) pour la grossesse et la pédiatrie, et le niclosamide (accès limité) pour les cestodoses. Le tiabendazole a été retiré du marché.</w:t>
      </w:r>
    </w:p>
    <w:p>
      <w:pPr>
        <w:pStyle w:val="BodyText"/>
      </w:pPr>
      <w:r>
        <w:t xml:space="preserve">Les limites principales concernent l’absence de disponibilité de l’ivermectine (anguillulose, gale), du praziquantel (cestodoses étendues, hydatidose en association, cysticercose) et du triclabendazole (distomatoses). Ces molécules doivent faire l’objet d’une demande d’autorisation temporaire d’utilisation ou d’importation exceptionnelle pour les cas cliniques non couverts par la nomenclature nationale. Le pharmacien d’officine joue un rôle clé dans l’orientation des patients vers les structures spécialisées et la délivrance des traitements disponibles, avec une attention particulière aux contre-indications (grossesse), aux interactions médicamenteuses et aux règles d’hygiène associées (notamment dans l’oxyurose familiale).</w:t>
      </w:r>
    </w:p>
    <w:p>
      <w:r>
        <w:pict>
          <v:rect style="width:0;height:1.5pt" o:hralign="center" o:hrstd="t" o:hr="t"/>
        </w:pict>
      </w:r>
    </w:p>
    <w:p>
      <w:r>
        <w:pict>
          <v:rect style="width:0;height:1.5pt" o:hralign="center" o:hrstd="t" o:hr="t"/>
        </w:pict>
      </w:r>
    </w:p>
    <w:bookmarkEnd w:id="145"/>
    <w:bookmarkEnd w:id="146"/>
    <w:bookmarkEnd w:id="147"/>
    <w:bookmarkStart w:id="213" w:name="X874536deca16310943eeb99777547d1bded1982"/>
    <w:p>
      <w:pPr>
        <w:pStyle w:val="Heading1"/>
      </w:pPr>
      <w:r>
        <w:t xml:space="preserve">Section 16 — Antiprotozoaires (Anti-leishmaniens) &amp; Antiparasitaires externes (Scabies, Pédiculose)</w:t>
      </w:r>
    </w:p>
    <w:bookmarkStart w:id="148" w:name="introduction-générale-du-chapitre-1"/>
    <w:p>
      <w:pPr>
        <w:pStyle w:val="Heading2"/>
      </w:pPr>
      <w:r>
        <w:t xml:space="preserve">Introduction générale du chapitre</w:t>
      </w:r>
    </w:p>
    <w:p>
      <w:pPr>
        <w:pStyle w:val="FirstParagraph"/>
      </w:pPr>
      <w:r>
        <w:t xml:space="preserve">Ce chapitre clôt le Fascicule II en abordant deux familles thérapeutiques distinctes mais complémentaires dans la prise en charge des parasitoses humaines : (i) les</w:t>
      </w:r>
      <w:r>
        <w:t xml:space="preserve"> </w:t>
      </w:r>
      <w:r>
        <w:rPr>
          <w:b/>
          <w:bCs/>
        </w:rPr>
        <w:t xml:space="preserve">antiprotozoaires anti-leishmaniens</w:t>
      </w:r>
      <w:r>
        <w:t xml:space="preserve">, réservés à l’usage hospitalo-universitaire dans le traitement des leishmanioses cutanée, muqueuse et viscérale (Kala-azar), endémiques en Algérie notamment dans les régions steppiques et semi-arides (Hodna, M’Sila, Djelfa, Tiaret, Tlemcen) ; et (ii) les</w:t>
      </w:r>
      <w:r>
        <w:t xml:space="preserve"> </w:t>
      </w:r>
      <w:r>
        <w:rPr>
          <w:b/>
          <w:bCs/>
        </w:rPr>
        <w:t xml:space="preserve">antiparasitaires externes</w:t>
      </w:r>
      <w:r>
        <w:t xml:space="preserve">, dont l’usage est exclusivement topique (cutané, capillaire, du cuir chevelu) pour le traitement de la</w:t>
      </w:r>
      <w:r>
        <w:t xml:space="preserve"> </w:t>
      </w:r>
      <w:r>
        <w:rPr>
          <w:b/>
          <w:bCs/>
        </w:rPr>
        <w:t xml:space="preserve">gale</w:t>
      </w:r>
      <w:r>
        <w:t xml:space="preserve"> </w:t>
      </w:r>
      <w:r>
        <w:t xml:space="preserve">(</w:t>
      </w:r>
      <w:r>
        <w:rPr>
          <w:i/>
          <w:iCs/>
        </w:rPr>
        <w:t xml:space="preserve">Sarcoptes scabiei</w:t>
      </w:r>
      <w:r>
        <w:t xml:space="preserve">) et des</w:t>
      </w:r>
      <w:r>
        <w:t xml:space="preserve"> </w:t>
      </w:r>
      <w:r>
        <w:rPr>
          <w:b/>
          <w:bCs/>
        </w:rPr>
        <w:t xml:space="preserve">pédiculoses</w:t>
      </w:r>
      <w:r>
        <w:t xml:space="preserve"> </w:t>
      </w:r>
      <w:r>
        <w:t xml:space="preserve">capillaire, corporelle et pubienne (</w:t>
      </w:r>
      <w:r>
        <w:rPr>
          <w:i/>
          <w:iCs/>
        </w:rPr>
        <w:t xml:space="preserve">Pediculus humanus capitis</w:t>
      </w:r>
      <w:r>
        <w:t xml:space="preserve">,</w:t>
      </w:r>
      <w:r>
        <w:t xml:space="preserve"> </w:t>
      </w:r>
      <w:r>
        <w:rPr>
          <w:i/>
          <w:iCs/>
        </w:rPr>
        <w:t xml:space="preserve">Pediculus humanus corporis</w:t>
      </w:r>
      <w:r>
        <w:t xml:space="preserve">,</w:t>
      </w:r>
      <w:r>
        <w:t xml:space="preserve"> </w:t>
      </w:r>
      <w:r>
        <w:rPr>
          <w:i/>
          <w:iCs/>
        </w:rPr>
        <w:t xml:space="preserve">Phthirus pubis</w:t>
      </w:r>
      <w:r>
        <w:t xml:space="preserve">). Ces parasitoses, apparemment banales, posent en officine des problèmes quotidiens : choix de la molécule, de la forme galénique, conseils d’hygiène collective, traitement de l’entourage, gestion des réinfestations et reconnaissance des échecs thérapeutiques. Le pharmacien d’offine algérien joue ici un rôle pivot de</w:t>
      </w:r>
      <w:r>
        <w:t xml:space="preserve"> </w:t>
      </w:r>
      <w:r>
        <w:rPr>
          <w:b/>
          <w:bCs/>
        </w:rPr>
        <w:t xml:space="preserve">première intention</w:t>
      </w:r>
      <w:r>
        <w:t xml:space="preserve"> </w:t>
      </w:r>
      <w:r>
        <w:t xml:space="preserve">pour les parasitoses externes, alors que les anti-leishmaniens relèvent exclusivement de la prescription spécialisée (service de dermatologie, médecine tropicale, infectiologie).</w:t>
      </w:r>
    </w:p>
    <w:p>
      <w:pPr>
        <w:pStyle w:val="BodyText"/>
      </w:pPr>
      <w:r>
        <w:t xml:space="preserve">L’analyse du fichier nomenclature « COMPLETE LISTE » (Avril 2026) met en évidence une</w:t>
      </w:r>
      <w:r>
        <w:t xml:space="preserve"> </w:t>
      </w:r>
      <w:r>
        <w:rPr>
          <w:b/>
          <w:bCs/>
        </w:rPr>
        <w:t xml:space="preserve">disponibilité algérienne limitée et hétérogène</w:t>
      </w:r>
      <w:r>
        <w:t xml:space="preserve"> </w:t>
      </w:r>
      <w:r>
        <w:t xml:space="preserve">: sur l’arsenal mondial des antileishmaniens et antiparasitaires externes, seules</w:t>
      </w:r>
      <w:r>
        <w:t xml:space="preserve"> </w:t>
      </w:r>
      <w:r>
        <w:rPr>
          <w:b/>
          <w:bCs/>
        </w:rPr>
        <w:t xml:space="preserve">quatre DCIs</w:t>
      </w:r>
      <w:r>
        <w:t xml:space="preserve"> </w:t>
      </w:r>
      <w:r>
        <w:t xml:space="preserve">sont effectivement référencées dans le fichier commercial algérien, dont une unique molécule systémique (méglumine antimoniante) et trois topiques (permethrine en association retirée, crotamiton, diméticone — ce dernier uniquement sous forme orale antiflatulente, la forme pédiculose n’étant pas commercialisée). Cette pénurie relative impose au clinicien algérien de connaître les alternatives par voie de circuit hospitalier (amphotéricine B liposomale), d’importation (miltefosine, paromomycine topique) ou de dépannage officinal (savon noir, vaseline, peigne fin).</w:t>
      </w:r>
    </w:p>
    <w:p>
      <w:r>
        <w:pict>
          <v:rect style="width:0;height:1.5pt" o:hralign="center" o:hrstd="t" o:hr="t"/>
        </w:pict>
      </w:r>
    </w:p>
    <w:bookmarkEnd w:id="148"/>
    <w:bookmarkStart w:id="153" w:name="X5349053232c2c4cdc52ac0f034165eca98e3d67"/>
    <w:p>
      <w:pPr>
        <w:pStyle w:val="Heading2"/>
      </w:pPr>
      <w:r>
        <w:t xml:space="preserve">Sous-classe 1 — Antiprotozoaires Anti-leishmaniens</w:t>
      </w:r>
    </w:p>
    <w:bookmarkStart w:id="149" w:name="X3b640d98a7baf32abb27f22109ba17ffe0db3c9"/>
    <w:p>
      <w:pPr>
        <w:pStyle w:val="Heading3"/>
      </w:pPr>
      <w:r>
        <w:t xml:space="preserve">Cadre nosologique et épidémiologie algérienne</w:t>
      </w:r>
    </w:p>
    <w:p>
      <w:pPr>
        <w:pStyle w:val="FirstParagraph"/>
      </w:pPr>
      <w:r>
        <w:t xml:space="preserve">Les leishmanioses sont des anthropozoonoses dues à des protozoaires flagellés du genre</w:t>
      </w:r>
      <w:r>
        <w:t xml:space="preserve"> </w:t>
      </w:r>
      <w:r>
        <w:rPr>
          <w:i/>
          <w:iCs/>
        </w:rPr>
        <w:t xml:space="preserve">Leishmania</w:t>
      </w:r>
      <w:r>
        <w:t xml:space="preserve">, transmis par la piqûre de phlébotomes femelles hématophages (genre</w:t>
      </w:r>
      <w:r>
        <w:t xml:space="preserve"> </w:t>
      </w:r>
      <w:r>
        <w:rPr>
          <w:i/>
          <w:iCs/>
        </w:rPr>
        <w:t xml:space="preserve">Phlebotomus</w:t>
      </w:r>
      <w:r>
        <w:t xml:space="preserve"> </w:t>
      </w:r>
      <w:r>
        <w:t xml:space="preserve">en Ancien Monde,</w:t>
      </w:r>
      <w:r>
        <w:t xml:space="preserve"> </w:t>
      </w:r>
      <w:r>
        <w:rPr>
          <w:i/>
          <w:iCs/>
        </w:rPr>
        <w:t xml:space="preserve">Lutzomyia</w:t>
      </w:r>
      <w:r>
        <w:t xml:space="preserve"> </w:t>
      </w:r>
      <w:r>
        <w:t xml:space="preserve">en Amérique latine). Le cycle parasitaire comporte deux formes morphologiques : la</w:t>
      </w:r>
      <w:r>
        <w:t xml:space="preserve"> </w:t>
      </w:r>
      <w:r>
        <w:rPr>
          <w:b/>
          <w:bCs/>
        </w:rPr>
        <w:t xml:space="preserve">promastigote</w:t>
      </w:r>
      <w:r>
        <w:t xml:space="preserve"> </w:t>
      </w:r>
      <w:r>
        <w:t xml:space="preserve">(forme flagellée extracellulaire, présente dans le tube digestif du phlébotome et inoculée à l’hôte vertébré) et l’</w:t>
      </w:r>
      <w:r>
        <w:rPr>
          <w:b/>
          <w:bCs/>
        </w:rPr>
        <w:t xml:space="preserve">amastigote</w:t>
      </w:r>
      <w:r>
        <w:t xml:space="preserve"> </w:t>
      </w:r>
      <w:r>
        <w:t xml:space="preserve">(forme arrondie intracellulaire, se multipliant dans les phagolysosomes des macrophages de l’hôte). En Algérie, trois formes cliniques co-existent :</w:t>
      </w:r>
    </w:p>
    <w:p>
      <w:pPr>
        <w:pStyle w:val="Compact"/>
        <w:numPr>
          <w:ilvl w:val="0"/>
          <w:numId w:val="1367"/>
        </w:numPr>
      </w:pPr>
      <w:r>
        <w:rPr>
          <w:b/>
          <w:bCs/>
        </w:rPr>
        <w:t xml:space="preserve">Leishmaniose cutanée (LC)</w:t>
      </w:r>
      <w:r>
        <w:t xml:space="preserve"> </w:t>
      </w:r>
      <w:r>
        <w:t xml:space="preserve">: due essentiellement à</w:t>
      </w:r>
      <w:r>
        <w:t xml:space="preserve"> </w:t>
      </w:r>
      <w:r>
        <w:rPr>
          <w:i/>
          <w:iCs/>
        </w:rPr>
        <w:t xml:space="preserve">Leishmania major</w:t>
      </w:r>
      <w:r>
        <w:t xml:space="preserve"> </w:t>
      </w:r>
      <w:r>
        <w:t xml:space="preserve">(zoonotique, rurale, gerboise/rongeurs réservoir, ulcère humide des zones steppiques) et</w:t>
      </w:r>
      <w:r>
        <w:t xml:space="preserve"> </w:t>
      </w:r>
      <w:r>
        <w:rPr>
          <w:i/>
          <w:iCs/>
        </w:rPr>
        <w:t xml:space="preserve">Leishmania tropica</w:t>
      </w:r>
      <w:r>
        <w:t xml:space="preserve"> </w:t>
      </w:r>
      <w:r>
        <w:t xml:space="preserve">(anthroponotique, urbaine, nodulaire sèche). Plus de 50 000 cas estimés cumulés sur les 30 dernières années, pic saisonnier estival. Le nord du Sahara (Biskra, El Oued, Ouargla) et les Hautes Plaines (Djelfa, M’Sila) sont des foyers historiques.</w:t>
      </w:r>
    </w:p>
    <w:p>
      <w:pPr>
        <w:pStyle w:val="Compact"/>
        <w:numPr>
          <w:ilvl w:val="0"/>
          <w:numId w:val="1367"/>
        </w:numPr>
      </w:pPr>
      <w:r>
        <w:rPr>
          <w:b/>
          <w:bCs/>
        </w:rPr>
        <w:t xml:space="preserve">Leishmaniose viscérale (LV) ou Kala-azar</w:t>
      </w:r>
      <w:r>
        <w:t xml:space="preserve"> </w:t>
      </w:r>
      <w:r>
        <w:t xml:space="preserve">: due à</w:t>
      </w:r>
      <w:r>
        <w:t xml:space="preserve"> </w:t>
      </w:r>
      <w:r>
        <w:rPr>
          <w:i/>
          <w:iCs/>
        </w:rPr>
        <w:t xml:space="preserve">Leishmania infantum</w:t>
      </w:r>
      <w:r>
        <w:t xml:space="preserve"> </w:t>
      </w:r>
      <w:r>
        <w:t xml:space="preserve">(synonyme</w:t>
      </w:r>
      <w:r>
        <w:t xml:space="preserve"> </w:t>
      </w:r>
      <w:r>
        <w:rPr>
          <w:i/>
          <w:iCs/>
        </w:rPr>
        <w:t xml:space="preserve">L. chagasi</w:t>
      </w:r>
      <w:r>
        <w:t xml:space="preserve">), transmission canine (chien réservoir domestique). Incidence faible en Algérie (50 à 100 cas/an) mais mortalité élevée en l’absence de traitement (90 %), touchant surtout l’enfant &lt; 5 ans immunocompétent et l’adulte immunodéprimé (VIH co-infection).</w:t>
      </w:r>
    </w:p>
    <w:p>
      <w:pPr>
        <w:pStyle w:val="Compact"/>
        <w:numPr>
          <w:ilvl w:val="0"/>
          <w:numId w:val="1367"/>
        </w:numPr>
      </w:pPr>
      <w:r>
        <w:rPr>
          <w:b/>
          <w:bCs/>
        </w:rPr>
        <w:t xml:space="preserve">Leishmaniose cutanéo-muqueuse</w:t>
      </w:r>
      <w:r>
        <w:t xml:space="preserve"> </w:t>
      </w:r>
      <w:r>
        <w:t xml:space="preserve">: exceptionnelle en Algérie (forme américaine à</w:t>
      </w:r>
      <w:r>
        <w:t xml:space="preserve"> </w:t>
      </w:r>
      <w:r>
        <w:rPr>
          <w:i/>
          <w:iCs/>
        </w:rPr>
        <w:t xml:space="preserve">L. braziliensis</w:t>
      </w:r>
      <w:r>
        <w:t xml:space="preserve">), à mentionner pour les voyageurs.</w:t>
      </w:r>
    </w:p>
    <w:bookmarkEnd w:id="149"/>
    <w:bookmarkStart w:id="150" w:name="X4f3608ef771a394be700212eea10f67f636cdf7"/>
    <w:p>
      <w:pPr>
        <w:pStyle w:val="Heading3"/>
      </w:pPr>
      <w:r>
        <w:t xml:space="preserve">Cibles pharmacologiques et molécules disponibles</w:t>
      </w:r>
    </w:p>
    <w:p>
      <w:pPr>
        <w:pStyle w:val="FirstParagraph"/>
      </w:pPr>
      <w:r>
        <w:t xml:space="preserve">Le traitement antileishmanien repose sur cinq classes pharmacologiques : (1) les</w:t>
      </w:r>
      <w:r>
        <w:t xml:space="preserve"> </w:t>
      </w:r>
      <w:r>
        <w:rPr>
          <w:b/>
          <w:bCs/>
        </w:rPr>
        <w:t xml:space="preserve">dérivés pentavalents de l’antimoine (SbV)</w:t>
      </w:r>
      <w:r>
        <w:t xml:space="preserve"> </w:t>
      </w:r>
      <w:r>
        <w:t xml:space="preserve">— antimoniates de méglumine et de sodium stibogluconate ; (2) la</w:t>
      </w:r>
      <w:r>
        <w:t xml:space="preserve"> </w:t>
      </w:r>
      <w:r>
        <w:rPr>
          <w:b/>
          <w:bCs/>
        </w:rPr>
        <w:t xml:space="preserve">pentamidine iséthionate</w:t>
      </w:r>
      <w:r>
        <w:t xml:space="preserve"> </w:t>
      </w:r>
      <w:r>
        <w:t xml:space="preserve">(diamidine aromatique) ; (3) l’</w:t>
      </w:r>
      <w:r>
        <w:rPr>
          <w:b/>
          <w:bCs/>
        </w:rPr>
        <w:t xml:space="preserve">amphotéricine B</w:t>
      </w:r>
      <w:r>
        <w:t xml:space="preserve"> </w:t>
      </w:r>
      <w:r>
        <w:t xml:space="preserve">conventionnelle et</w:t>
      </w:r>
      <w:r>
        <w:t xml:space="preserve"> </w:t>
      </w:r>
      <w:r>
        <w:rPr>
          <w:b/>
          <w:bCs/>
        </w:rPr>
        <w:t xml:space="preserve">liposomale</w:t>
      </w:r>
      <w:r>
        <w:t xml:space="preserve"> </w:t>
      </w:r>
      <w:r>
        <w:t xml:space="preserve">(polyène antifongique à haute activité antileishmanienne) ; (4) la</w:t>
      </w:r>
      <w:r>
        <w:t xml:space="preserve"> </w:t>
      </w:r>
      <w:r>
        <w:rPr>
          <w:b/>
          <w:bCs/>
        </w:rPr>
        <w:t xml:space="preserve">miltefosine</w:t>
      </w:r>
      <w:r>
        <w:t xml:space="preserve"> </w:t>
      </w:r>
      <w:r>
        <w:t xml:space="preserve">(alkylphosphocholine, seul antileishmanien oral) ; (5) la</w:t>
      </w:r>
      <w:r>
        <w:t xml:space="preserve"> </w:t>
      </w:r>
      <w:r>
        <w:rPr>
          <w:b/>
          <w:bCs/>
        </w:rPr>
        <w:t xml:space="preserve">paromomycine topique</w:t>
      </w:r>
      <w:r>
        <w:t xml:space="preserve"> </w:t>
      </w:r>
      <w:r>
        <w:t xml:space="preserve">(aminoside) pour LC localisée. Le</w:t>
      </w:r>
      <w:r>
        <w:t xml:space="preserve"> </w:t>
      </w:r>
      <w:r>
        <w:rPr>
          <w:b/>
          <w:bCs/>
        </w:rPr>
        <w:t xml:space="preserve">nitazoxanide</w:t>
      </w:r>
      <w:r>
        <w:t xml:space="preserve"> </w:t>
      </w:r>
      <w:r>
        <w:t xml:space="preserve">(nitrothiazole) a également été exploré mais n’a pas d’AMM dans cette indication.</w:t>
      </w:r>
    </w:p>
    <w:p>
      <w:pPr>
        <w:pStyle w:val="BodyText"/>
      </w:pPr>
      <w:r>
        <w:rPr>
          <w:b/>
          <w:bCs/>
        </w:rPr>
        <w:t xml:space="preserve">Molécules non disponibles dans le fichier commercial algérien (Avril 2026) :</w:t>
      </w:r>
    </w:p>
    <w:p>
      <w:pPr>
        <w:pStyle w:val="Compact"/>
        <w:numPr>
          <w:ilvl w:val="0"/>
          <w:numId w:val="1368"/>
        </w:numPr>
      </w:pPr>
      <w:r>
        <w:rPr>
          <w:b/>
          <w:bCs/>
        </w:rPr>
        <w:t xml:space="preserve">Pentamidine iséthionate</w:t>
      </w:r>
      <w:r>
        <w:t xml:space="preserve"> </w:t>
      </w:r>
      <w:r>
        <w:t xml:space="preserve">— non référencée dans la nomenclature algérienne commerciale. Circuit OMS/imports exceptionnels pour leishmaniose cutanée à</w:t>
      </w:r>
      <w:r>
        <w:t xml:space="preserve"> </w:t>
      </w:r>
      <w:r>
        <w:rPr>
          <w:i/>
          <w:iCs/>
        </w:rPr>
        <w:t xml:space="preserve">L. guyanensis</w:t>
      </w:r>
      <w:r>
        <w:t xml:space="preserve"> </w:t>
      </w:r>
      <w:r>
        <w:t xml:space="preserve">(Guyane française) et prophylaxie primaire de la pneumocystose à</w:t>
      </w:r>
      <w:r>
        <w:t xml:space="preserve"> </w:t>
      </w:r>
      <w:r>
        <w:rPr>
          <w:i/>
          <w:iCs/>
        </w:rPr>
        <w:t xml:space="preserve">Pneumocystis jirovecii</w:t>
      </w:r>
      <w:r>
        <w:t xml:space="preserve"> </w:t>
      </w:r>
      <w:r>
        <w:t xml:space="preserve">chez le greffé, le patient VIH (CD4 &lt; 200/mm³), ou l’enfant atteint de leucémie aiguë. Administrée exclusivement en milieu hospitalier par voie IV lente ou nébulisation (aérosol 300 mg). Toxicité : néphrotoxicité, dysglycémie (hypoglycémie paradoxale puis hyperglycémie par toxicité béta-pancréatique), allongement QT, hypotension.</w:t>
      </w:r>
    </w:p>
    <w:p>
      <w:pPr>
        <w:pStyle w:val="Compact"/>
        <w:numPr>
          <w:ilvl w:val="0"/>
          <w:numId w:val="1368"/>
        </w:numPr>
      </w:pPr>
      <w:r>
        <w:rPr>
          <w:b/>
          <w:bCs/>
        </w:rPr>
        <w:t xml:space="preserve">Miltefosine (Impavido®, Miltex®)</w:t>
      </w:r>
      <w:r>
        <w:t xml:space="preserve"> </w:t>
      </w:r>
      <w:r>
        <w:t xml:space="preserve">— antileishmanien oral, autorisé en Europe et en Inde, IND disponible via programme OMS, mais</w:t>
      </w:r>
      <w:r>
        <w:t xml:space="preserve"> </w:t>
      </w:r>
      <w:r>
        <w:rPr>
          <w:b/>
          <w:bCs/>
        </w:rPr>
        <w:t xml:space="preserve">non commercialisé en Algérie</w:t>
      </w:r>
      <w:r>
        <w:t xml:space="preserve">. Demi-vie longue (1 à 4 semaines), tératogène (CI absolue grossesse, contraception obligatoire pendant et 3 mois après),EI digestifs majeurs (vomissements, diarrhée). Indications : LV à</w:t>
      </w:r>
      <w:r>
        <w:t xml:space="preserve"> </w:t>
      </w:r>
      <w:r>
        <w:rPr>
          <w:i/>
          <w:iCs/>
        </w:rPr>
        <w:t xml:space="preserve">L. donovani</w:t>
      </w:r>
      <w:r>
        <w:t xml:space="preserve"> </w:t>
      </w:r>
      <w:r>
        <w:t xml:space="preserve">en alternative à l’amphotéricine B liposomale, LC à</w:t>
      </w:r>
      <w:r>
        <w:t xml:space="preserve"> </w:t>
      </w:r>
      <w:r>
        <w:rPr>
          <w:i/>
          <w:iCs/>
        </w:rPr>
        <w:t xml:space="preserve">L. major</w:t>
      </w:r>
      <w:r>
        <w:t xml:space="preserve">,</w:t>
      </w:r>
      <w:r>
        <w:t xml:space="preserve"> </w:t>
      </w:r>
      <w:r>
        <w:rPr>
          <w:i/>
          <w:iCs/>
        </w:rPr>
        <w:t xml:space="preserve">L. tropica</w:t>
      </w:r>
      <w:r>
        <w:t xml:space="preserve">,</w:t>
      </w:r>
      <w:r>
        <w:t xml:space="preserve"> </w:t>
      </w:r>
      <w:r>
        <w:rPr>
          <w:i/>
          <w:iCs/>
        </w:rPr>
        <w:t xml:space="preserve">L. braziliensis</w:t>
      </w:r>
      <w:r>
        <w:t xml:space="preserve">,</w:t>
      </w:r>
      <w:r>
        <w:t xml:space="preserve"> </w:t>
      </w:r>
      <w:r>
        <w:rPr>
          <w:i/>
          <w:iCs/>
        </w:rPr>
        <w:t xml:space="preserve">L. panamensis</w:t>
      </w:r>
      <w:r>
        <w:t xml:space="preserve">,</w:t>
      </w:r>
      <w:r>
        <w:t xml:space="preserve"> </w:t>
      </w:r>
      <w:r>
        <w:rPr>
          <w:i/>
          <w:iCs/>
        </w:rPr>
        <w:t xml:space="preserve">L. mexicana</w:t>
      </w:r>
      <w:r>
        <w:t xml:space="preserve">.</w:t>
      </w:r>
    </w:p>
    <w:p>
      <w:pPr>
        <w:pStyle w:val="Compact"/>
        <w:numPr>
          <w:ilvl w:val="0"/>
          <w:numId w:val="1368"/>
        </w:numPr>
      </w:pPr>
      <w:r>
        <w:rPr>
          <w:b/>
          <w:bCs/>
        </w:rPr>
        <w:t xml:space="preserve">Paromomycine (sulfate)</w:t>
      </w:r>
      <w:r>
        <w:t xml:space="preserve"> </w:t>
      </w:r>
      <w:r>
        <w:t xml:space="preserve">— aminoside parentéral ( PMM 15 mg/kg/j IM 21 j) pour LV en alternative, ou</w:t>
      </w:r>
      <w:r>
        <w:t xml:space="preserve"> </w:t>
      </w:r>
      <w:r>
        <w:rPr>
          <w:b/>
          <w:bCs/>
        </w:rPr>
        <w:t xml:space="preserve">topique en crème 15 %</w:t>
      </w:r>
      <w:r>
        <w:t xml:space="preserve"> </w:t>
      </w:r>
      <w:r>
        <w:t xml:space="preserve">(Leshcutan®) pour LC à</w:t>
      </w:r>
      <w:r>
        <w:t xml:space="preserve"> </w:t>
      </w:r>
      <w:r>
        <w:rPr>
          <w:i/>
          <w:iCs/>
        </w:rPr>
        <w:t xml:space="preserve">L. major</w:t>
      </w:r>
      <w:r>
        <w:t xml:space="preserve"> </w:t>
      </w:r>
      <w:r>
        <w:t xml:space="preserve">en application unique quotidienne 20 jours. Non disponible en Algérie sous forme topique ; la forme injectable n’est plus commercialisée en Europe depuis 2014 mais reste listée par l’OMS comme antileishmanien essentiel.</w:t>
      </w:r>
    </w:p>
    <w:p>
      <w:pPr>
        <w:pStyle w:val="Compact"/>
        <w:numPr>
          <w:ilvl w:val="0"/>
          <w:numId w:val="1368"/>
        </w:numPr>
      </w:pPr>
      <w:r>
        <w:rPr>
          <w:b/>
          <w:bCs/>
        </w:rPr>
        <w:t xml:space="preserve">Amphotéricine B liposomale (Ambisome®)</w:t>
      </w:r>
      <w:r>
        <w:t xml:space="preserve"> </w:t>
      </w:r>
      <w:r>
        <w:t xml:space="preserve">— antifongique polyène liposomal utilisé comme antileishmanien de référence pour LV sévère, immunodéprimé, échec d’antimoniates ou</w:t>
      </w:r>
      <w:r>
        <w:t xml:space="preserve"> </w:t>
      </w:r>
      <w:r>
        <w:rPr>
          <w:i/>
          <w:iCs/>
        </w:rPr>
        <w:t xml:space="preserve">L. infantum</w:t>
      </w:r>
      <w:r>
        <w:t xml:space="preserve"> </w:t>
      </w:r>
      <w:r>
        <w:t xml:space="preserve">résistante. Disponibilité en Algérie : circuit hospitalier exclusif (probablement importé hors nomenclature de spécialité). Dose : 3 à 5 mg/kg/j IV J1-J5, J14, J21 (dose totale 21 à 35 mg/kg). EI : néphrotoxicité (réduite vs amphotéricine B conventionnelle), hypokaliémie, anémie, fièvre-rigors.</w:t>
      </w:r>
    </w:p>
    <w:p>
      <w:pPr>
        <w:pStyle w:val="Compact"/>
        <w:numPr>
          <w:ilvl w:val="0"/>
          <w:numId w:val="1368"/>
        </w:numPr>
      </w:pPr>
      <w:r>
        <w:rPr>
          <w:b/>
          <w:bCs/>
        </w:rPr>
        <w:t xml:space="preserve">Nitazoxanide</w:t>
      </w:r>
      <w:r>
        <w:t xml:space="preserve"> </w:t>
      </w:r>
      <w:r>
        <w:t xml:space="preserve">— nitrothiazole large spectre (protozoaires intestinaux :</w:t>
      </w:r>
      <w:r>
        <w:t xml:space="preserve"> </w:t>
      </w:r>
      <w:r>
        <w:rPr>
          <w:i/>
          <w:iCs/>
        </w:rPr>
        <w:t xml:space="preserve">Cryptosporidium</w:t>
      </w:r>
      <w:r>
        <w:t xml:space="preserve">,</w:t>
      </w:r>
      <w:r>
        <w:t xml:space="preserve"> </w:t>
      </w:r>
      <w:r>
        <w:rPr>
          <w:i/>
          <w:iCs/>
        </w:rPr>
        <w:t xml:space="preserve">Giardia</w:t>
      </w:r>
      <w:r>
        <w:t xml:space="preserve">,</w:t>
      </w:r>
      <w:r>
        <w:t xml:space="preserve"> </w:t>
      </w:r>
      <w:r>
        <w:rPr>
          <w:i/>
          <w:iCs/>
        </w:rPr>
        <w:t xml:space="preserve">Blastocystis</w:t>
      </w:r>
      <w:r>
        <w:t xml:space="preserve"> </w:t>
      </w:r>
      <w:r>
        <w:t xml:space="preserve">; helminthes). Étudié en LC mais sans AMM. Non disponible en Algérie.</w:t>
      </w:r>
    </w:p>
    <w:bookmarkEnd w:id="150"/>
    <w:bookmarkStart w:id="151" w:name="Xc7a0fab7fe9240fdc8785f42643a4f2848f20d3"/>
    <w:p>
      <w:pPr>
        <w:pStyle w:val="Heading3"/>
      </w:pPr>
      <w:r>
        <w:t xml:space="preserve">Particularité : seul un antimoniate référencé en Algérie</w:t>
      </w:r>
    </w:p>
    <w:p>
      <w:pPr>
        <w:pStyle w:val="FirstParagraph"/>
      </w:pPr>
      <w:r>
        <w:t xml:space="preserve">Le fichier « COMPLETE LISTE » Avril 2026 ne référence qu’</w:t>
      </w:r>
      <w:r>
        <w:rPr>
          <w:b/>
          <w:bCs/>
        </w:rPr>
        <w:t xml:space="preserve">une seule spécialité antileishmanienne systémique active</w:t>
      </w:r>
      <w:r>
        <w:t xml:space="preserve"> </w:t>
      </w:r>
      <w:r>
        <w:t xml:space="preserve">:</w:t>
      </w:r>
      <w:r>
        <w:t xml:space="preserve"> </w:t>
      </w:r>
      <w:r>
        <w:rPr>
          <w:b/>
          <w:bCs/>
        </w:rPr>
        <w:t xml:space="preserve">GLUCANTIME</w:t>
      </w:r>
      <w:r>
        <w:t xml:space="preserve"> </w:t>
      </w:r>
      <w:r>
        <w:t xml:space="preserve">(méglumine antimoniante, Sanofi Winthrop Industrie). Aucune autre molécule (pentamidine, miltefosine, paromomycine, amphotéricine B liposomale) n’apparaît dans la nomenclature commerciale, ce qui implique un circuit d’approvisionnement exceptionnel via le ministère de la Santé (Programme National de Lutte contre les Leishmanioses, PNLL) ou les services hospitalo-universitaires pour les cas résistants. Cette monothérapie officielle impose une vigilance particulière sur : (1) la reconnaissance précoce des</w:t>
      </w:r>
      <w:r>
        <w:t xml:space="preserve"> </w:t>
      </w:r>
      <w:r>
        <w:rPr>
          <w:b/>
          <w:bCs/>
        </w:rPr>
        <w:t xml:space="preserve">échecs thérapeutiques</w:t>
      </w:r>
      <w:r>
        <w:t xml:space="preserve"> </w:t>
      </w:r>
      <w:r>
        <w:t xml:space="preserve">(5 à 25 % selon zone et espèce) imposant le recours à l’amphotéricine B ; (2) la surveillance des</w:t>
      </w:r>
      <w:r>
        <w:t xml:space="preserve"> </w:t>
      </w:r>
      <w:r>
        <w:rPr>
          <w:b/>
          <w:bCs/>
        </w:rPr>
        <w:t xml:space="preserve">effets indésirables dose-dépendants</w:t>
      </w:r>
      <w:r>
        <w:t xml:space="preserve"> </w:t>
      </w:r>
      <w:r>
        <w:t xml:space="preserve">(pancréatite, cardiotoxicité, hépatotoxicité) ; (3) l’</w:t>
      </w:r>
      <w:r>
        <w:rPr>
          <w:b/>
          <w:bCs/>
        </w:rPr>
        <w:t xml:space="preserve">observance</w:t>
      </w:r>
      <w:r>
        <w:t xml:space="preserve"> </w:t>
      </w:r>
      <w:r>
        <w:t xml:space="preserve">d’un traitement long (20 à 28 jours IM douloureux).</w:t>
      </w:r>
    </w:p>
    <w:bookmarkEnd w:id="151"/>
    <w:bookmarkStart w:id="152" w:name="Xbf203c8c82fa71eaa4284d39c6c5faf53262973"/>
    <w:p>
      <w:pPr>
        <w:pStyle w:val="Heading3"/>
      </w:pPr>
      <w:r>
        <w:t xml:space="preserve">Sous-classes voisines non traitées dans cette section</w:t>
      </w:r>
    </w:p>
    <w:p>
      <w:pPr>
        <w:pStyle w:val="Compact"/>
        <w:numPr>
          <w:ilvl w:val="0"/>
          <w:numId w:val="1369"/>
        </w:numPr>
      </w:pPr>
      <w:r>
        <w:rPr>
          <w:b/>
          <w:bCs/>
        </w:rPr>
        <w:t xml:space="preserve">Antiprotozoaires — Anti-amibiens</w:t>
      </w:r>
      <w:r>
        <w:t xml:space="preserve"> </w:t>
      </w:r>
      <w:r>
        <w:t xml:space="preserve">: dérivés imidazolés (métronidazole, tinidazole, ornidazole, sécnidazole) traités au chapitre des nitro-imidazolés (Section 6-b du Fascicule I). La diloxanide furoate (amebicicide de contact, formes kystiques) n’est pas commercialisée en Algérie.</w:t>
      </w:r>
    </w:p>
    <w:p>
      <w:pPr>
        <w:pStyle w:val="Compact"/>
        <w:numPr>
          <w:ilvl w:val="0"/>
          <w:numId w:val="1369"/>
        </w:numPr>
      </w:pPr>
      <w:r>
        <w:rPr>
          <w:b/>
          <w:bCs/>
        </w:rPr>
        <w:t xml:space="preserve">Antiprotozoaires — Pneumocystose</w:t>
      </w:r>
      <w:r>
        <w:t xml:space="preserve"> </w:t>
      </w:r>
      <w:r>
        <w:t xml:space="preserve">: triméthoprime-sulfaméthoxazole (cotrimoxazole, traitement de première ligne) traité au chapitre sulfamides (Section 6-b). Pentamidine (prophylaxie alternative) non disponible ; atovaquone non disponible ; dapsone non référencée.</w:t>
      </w:r>
    </w:p>
    <w:p>
      <w:pPr>
        <w:pStyle w:val="Compact"/>
        <w:numPr>
          <w:ilvl w:val="0"/>
          <w:numId w:val="1369"/>
        </w:numPr>
      </w:pPr>
      <w:r>
        <w:rPr>
          <w:b/>
          <w:bCs/>
        </w:rPr>
        <w:t xml:space="preserve">Antiprotozoaires — Nitrothiazoles</w:t>
      </w:r>
      <w:r>
        <w:t xml:space="preserve"> </w:t>
      </w:r>
      <w:r>
        <w:t xml:space="preserve">: nitazoxanide non disponible en Algérie.</w:t>
      </w:r>
    </w:p>
    <w:p>
      <w:pPr>
        <w:pStyle w:val="Compact"/>
        <w:numPr>
          <w:ilvl w:val="0"/>
          <w:numId w:val="1369"/>
        </w:numPr>
      </w:pPr>
      <w:r>
        <w:rPr>
          <w:b/>
          <w:bCs/>
        </w:rPr>
        <w:t xml:space="preserve">Antiprotozoaires — Anti-paludiques</w:t>
      </w:r>
      <w:r>
        <w:t xml:space="preserve"> </w:t>
      </w:r>
      <w:r>
        <w:t xml:space="preserve">: chloroquine, hydroxychloroquine, quinine abordés en pharmacologie systémique dédiée.</w:t>
      </w:r>
    </w:p>
    <w:p>
      <w:r>
        <w:pict>
          <v:rect style="width:0;height:1.5pt" o:hralign="center" o:hrstd="t" o:hr="t"/>
        </w:pict>
      </w:r>
    </w:p>
    <w:bookmarkEnd w:id="152"/>
    <w:bookmarkEnd w:id="153"/>
    <w:bookmarkStart w:id="165" w:name="X5ed25c5a458f8c76eb1dc5eb9c8848068598c11"/>
    <w:p>
      <w:pPr>
        <w:pStyle w:val="Heading2"/>
      </w:pPr>
      <w:r>
        <w:t xml:space="preserve">Fiche 1 — Antimoniates (Méglumine, Stibogluconate) (Seule)</w:t>
      </w:r>
    </w:p>
    <w:bookmarkStart w:id="154" w:name="liste-des-catégories"/>
    <w:p>
      <w:pPr>
        <w:pStyle w:val="Heading3"/>
      </w:pPr>
      <w:r>
        <w:t xml:space="preserve">Liste des Catégories</w:t>
      </w:r>
    </w:p>
    <w:p>
      <w:pPr>
        <w:pStyle w:val="FirstParagraph"/>
      </w:pPr>
      <w:r>
        <w:t xml:space="preserve">Antiprotozoaires — Anti-leishmaniens ; Antiprotozoaires systémiques ; Médicaments à prescription hospitalière réservée.</w:t>
      </w:r>
    </w:p>
    <w:p>
      <w:pPr>
        <w:pStyle w:val="BodyText"/>
      </w:pPr>
      <w:r>
        <w:t xml:space="preserve">Les antimoniates pentavalents (SbV) sont utilisés depuis 1945 (découverte par l’Institut Pasteur d’Alger) et demeurent, malgré leur toxicité, le</w:t>
      </w:r>
      <w:r>
        <w:t xml:space="preserve"> </w:t>
      </w:r>
      <w:r>
        <w:rPr>
          <w:b/>
          <w:bCs/>
        </w:rPr>
        <w:t xml:space="preserve">traitement de première ligne</w:t>
      </w:r>
      <w:r>
        <w:t xml:space="preserve"> </w:t>
      </w:r>
      <w:r>
        <w:t xml:space="preserve">des leishmanioses en Algérie et dans la plupart des pays d’endémie de l’Ancien Monde, en raison de leur coût modeste, de leur efficacité globalement conservée et de l’absence d’alternative orale disponible. Ils existent sous deux formes équivalentes en termes d’activité : l’</w:t>
      </w:r>
      <w:r>
        <w:rPr>
          <w:b/>
          <w:bCs/>
        </w:rPr>
        <w:t xml:space="preserve">antimoniate de méglumine</w:t>
      </w:r>
      <w:r>
        <w:t xml:space="preserve"> </w:t>
      </w:r>
      <w:r>
        <w:t xml:space="preserve">(Glucantime®, disponible en Algérie et en zone francophone) et le</w:t>
      </w:r>
      <w:r>
        <w:t xml:space="preserve"> </w:t>
      </w:r>
      <w:r>
        <w:rPr>
          <w:b/>
          <w:bCs/>
        </w:rPr>
        <w:t xml:space="preserve">stibogluconate de sodium</w:t>
      </w:r>
      <w:r>
        <w:t xml:space="preserve"> </w:t>
      </w:r>
      <w:r>
        <w:t xml:space="preserve">(Pentostam®, utilisé en zone anglophone et dans les programmes OMS). Tous deux délivrent l’antimoine sous forme pentavalente SbV, prodrogue in vivo réduite en SbIII, forme active trivalente qui se concentre dans les macrophages et exerce son action leishmanicide.</w:t>
      </w:r>
    </w:p>
    <w:bookmarkEnd w:id="154"/>
    <w:bookmarkStart w:id="155" w:name="X1c509a2b1a9504aafe7e65a133a12356e052faa"/>
    <w:p>
      <w:pPr>
        <w:pStyle w:val="Heading3"/>
      </w:pPr>
      <w:r>
        <w:t xml:space="preserve">Médicaments disponibles en Algérie (Marques, Laboratoires, Formes et Dosages)</w:t>
      </w:r>
    </w:p>
    <w:p>
      <w:pPr>
        <w:pStyle w:val="Compact"/>
        <w:numPr>
          <w:ilvl w:val="0"/>
          <w:numId w:val="1370"/>
        </w:numPr>
      </w:pPr>
      <w:r>
        <w:rPr>
          <w:b/>
          <w:bCs/>
        </w:rPr>
        <w:t xml:space="preserve">GLUCANTIME</w:t>
      </w:r>
      <w:r>
        <w:t xml:space="preserve"> </w:t>
      </w:r>
      <w:r>
        <w:t xml:space="preserve">(SANOFI WINTHROP INDUSTRIE)</w:t>
      </w:r>
    </w:p>
    <w:p>
      <w:pPr>
        <w:pStyle w:val="Compact"/>
        <w:numPr>
          <w:ilvl w:val="1"/>
          <w:numId w:val="1371"/>
        </w:numPr>
      </w:pPr>
      <w:r>
        <w:t xml:space="preserve">Formes et Dosages : Solution injectable IM/IV, 1,5 g/5 mL (équivalent à 85 mg/mL d’antimoine pentavalent, soit 425 mg SbV par ampoule de 5 mL)</w:t>
      </w:r>
    </w:p>
    <w:p>
      <w:pPr>
        <w:pStyle w:val="Compact"/>
        <w:numPr>
          <w:ilvl w:val="1"/>
          <w:numId w:val="1371"/>
        </w:numPr>
      </w:pPr>
      <w:r>
        <w:t xml:space="preserve">Conditionnement : Boîte de 5 ampoules de 5 mL en verre incolore Type I</w:t>
      </w:r>
    </w:p>
    <w:p>
      <w:pPr>
        <w:pStyle w:val="Compact"/>
        <w:numPr>
          <w:ilvl w:val="1"/>
          <w:numId w:val="1371"/>
        </w:numPr>
      </w:pPr>
      <w:r>
        <w:t xml:space="preserve">Statut :</w:t>
      </w:r>
      <w:r>
        <w:t xml:space="preserve"> </w:t>
      </w:r>
      <w:r>
        <w:rPr>
          <w:b/>
          <w:bCs/>
        </w:rPr>
        <w:t xml:space="preserve">ACTIF</w:t>
      </w:r>
    </w:p>
    <w:p>
      <w:pPr>
        <w:pStyle w:val="FirstParagraph"/>
      </w:pPr>
      <w:r>
        <w:t xml:space="preserve">Aucune autre spécialité d’antimoniates n’apparaît dans la nomenclature algérienne. Le stibogluconate de sodium (Pentostam®) n’est pas commercialisé ; il est en pratique importé dans le cadre des programmes OMS ou via les structures du PNLL pour les cas documentés de intolérance ou échec au Glucantime. La</w:t>
      </w:r>
      <w:r>
        <w:t xml:space="preserve"> </w:t>
      </w:r>
      <w:r>
        <w:rPr>
          <w:b/>
          <w:bCs/>
        </w:rPr>
        <w:t xml:space="preserve">concentration en antimoine pentavalent (85 mg/mL)</w:t>
      </w:r>
      <w:r>
        <w:t xml:space="preserve"> </w:t>
      </w:r>
      <w:r>
        <w:t xml:space="preserve">doit être connue du pharmacien d’offine et de l’interne : la posologie se calcule en mg de SbV/kg et non en mg de produit brut — un piège classique de surdosage.</w:t>
      </w:r>
    </w:p>
    <w:bookmarkEnd w:id="155"/>
    <w:bookmarkStart w:id="156" w:name="sous-classe-et-mécanisme-daction"/>
    <w:p>
      <w:pPr>
        <w:pStyle w:val="Heading3"/>
      </w:pPr>
      <w:r>
        <w:t xml:space="preserve">Sous-classe et Mécanisme d’action</w:t>
      </w:r>
    </w:p>
    <w:p>
      <w:pPr>
        <w:pStyle w:val="Compact"/>
        <w:numPr>
          <w:ilvl w:val="0"/>
          <w:numId w:val="1372"/>
        </w:numPr>
      </w:pPr>
      <w:r>
        <w:rPr>
          <w:b/>
          <w:bCs/>
        </w:rPr>
        <w:t xml:space="preserve">Sous-classe</w:t>
      </w:r>
      <w:r>
        <w:t xml:space="preserve"> </w:t>
      </w:r>
      <w:r>
        <w:t xml:space="preserve">: Antiprotozoaires systémiques, anti-leishmaniens de première ligne (groupe OMS « antiprotozoaires, antimoniures » ATC P01CB).</w:t>
      </w:r>
    </w:p>
    <w:p>
      <w:pPr>
        <w:pStyle w:val="Compact"/>
        <w:numPr>
          <w:ilvl w:val="0"/>
          <w:numId w:val="1372"/>
        </w:numPr>
      </w:pPr>
      <w:r>
        <w:rPr>
          <w:b/>
          <w:bCs/>
        </w:rPr>
        <w:t xml:space="preserve">Mécanisme d’action</w:t>
      </w:r>
      <w:r>
        <w:t xml:space="preserve"> </w:t>
      </w:r>
      <w:r>
        <w:t xml:space="preserve">: la forme pentavalente SbV est une</w:t>
      </w:r>
      <w:r>
        <w:t xml:space="preserve"> </w:t>
      </w:r>
      <w:r>
        <w:rPr>
          <w:b/>
          <w:bCs/>
        </w:rPr>
        <w:t xml:space="preserve">prodrogue</w:t>
      </w:r>
      <w:r>
        <w:t xml:space="preserve">. Elle est réduite in vivo — vraisemblablement par la trypanothion réductase (TR) et le système trypanothion/trypanordoxine propre au parasite, qui remplace fonctionnellement le système glutathion/glutaredoxine des mammifères — en sa forme trivalente SbIII, biologiquement active. Le SbIII pénètre dans l’amastigote intra-macrophagique par transporteurs d’aquaglycéroporines (LmACR2), puis exerce une triple action cytotoxique : (1)</w:t>
      </w:r>
      <w:r>
        <w:t xml:space="preserve"> </w:t>
      </w:r>
      <w:r>
        <w:rPr>
          <w:b/>
          <w:bCs/>
        </w:rPr>
        <w:t xml:space="preserve">inhibition de la trypanothion réductase</w:t>
      </w:r>
      <w:r>
        <w:t xml:space="preserve">, enzyme clé du métabolisme redox parasitaire, qui conduit à une accumulation de radicaux oxygénés réactifs (ROS) et à un stress oxydatif létal ; (2)</w:t>
      </w:r>
      <w:r>
        <w:t xml:space="preserve"> </w:t>
      </w:r>
      <w:r>
        <w:rPr>
          <w:b/>
          <w:bCs/>
        </w:rPr>
        <w:t xml:space="preserve">inhibition de la machinerie de réparation de l’ADN</w:t>
      </w:r>
      <w:r>
        <w:t xml:space="preserve"> </w:t>
      </w:r>
      <w:r>
        <w:t xml:space="preserve">et de la topoisomérase I parasitaire (cassures double-brin) ; (3)</w:t>
      </w:r>
      <w:r>
        <w:t xml:space="preserve"> </w:t>
      </w:r>
      <w:r>
        <w:rPr>
          <w:b/>
          <w:bCs/>
        </w:rPr>
        <w:t xml:space="preserve">altération du métabolisme glycolytique</w:t>
      </w:r>
      <w:r>
        <w:t xml:space="preserve"> </w:t>
      </w:r>
      <w:r>
        <w:t xml:space="preserve">et lipidique. L’effet final est l’arrêt de la division amastigote puis la lyse intraphagolysosomiale, avec libération des débris parasitaires et activation de la réponse Th1 macrophagique (production d’IL-12, IFN-γ, NO). L’action est</w:t>
      </w:r>
      <w:r>
        <w:t xml:space="preserve"> </w:t>
      </w:r>
      <w:r>
        <w:rPr>
          <w:b/>
          <w:bCs/>
        </w:rPr>
        <w:t xml:space="preserve">léishmanicide</w:t>
      </w:r>
      <w:r>
        <w:t xml:space="preserve"> </w:t>
      </w:r>
      <w:r>
        <w:t xml:space="preserve">et dépendante de la dose totale cumulée.</w:t>
      </w:r>
    </w:p>
    <w:bookmarkEnd w:id="156"/>
    <w:bookmarkStart w:id="157" w:name="profil-pharmacologique"/>
    <w:p>
      <w:pPr>
        <w:pStyle w:val="Heading3"/>
      </w:pPr>
      <w:r>
        <w:t xml:space="preserve">Profil Pharmacologique</w:t>
      </w:r>
    </w:p>
    <w:p>
      <w:pPr>
        <w:pStyle w:val="Compact"/>
        <w:numPr>
          <w:ilvl w:val="0"/>
          <w:numId w:val="1373"/>
        </w:numPr>
      </w:pPr>
      <w:r>
        <w:rPr>
          <w:b/>
          <w:bCs/>
        </w:rPr>
        <w:t xml:space="preserve">Indications</w:t>
      </w:r>
      <w:r>
        <w:t xml:space="preserve"> </w:t>
      </w:r>
      <w:r>
        <w:t xml:space="preserve">: (1) Leishmaniose cutanée localisée à</w:t>
      </w:r>
      <w:r>
        <w:t xml:space="preserve"> </w:t>
      </w:r>
      <w:r>
        <w:rPr>
          <w:i/>
          <w:iCs/>
        </w:rPr>
        <w:t xml:space="preserve">L. major</w:t>
      </w:r>
      <w:r>
        <w:t xml:space="preserve"> </w:t>
      </w:r>
      <w:r>
        <w:t xml:space="preserve">ou</w:t>
      </w:r>
      <w:r>
        <w:t xml:space="preserve"> </w:t>
      </w:r>
      <w:r>
        <w:rPr>
          <w:i/>
          <w:iCs/>
        </w:rPr>
        <w:t xml:space="preserve">L. tropica</w:t>
      </w:r>
      <w:r>
        <w:t xml:space="preserve"> </w:t>
      </w:r>
      <w:r>
        <w:t xml:space="preserve">(en intra-lésionnelle pour petites lésions &lt; 4 cm, ou IM pour lésions multiples, volumineuses, ou localisations à risque — visage, articulations, région péri-orificielle) ; (2) Leishmaniose cutanée diffuse à</w:t>
      </w:r>
      <w:r>
        <w:t xml:space="preserve"> </w:t>
      </w:r>
      <w:r>
        <w:rPr>
          <w:i/>
          <w:iCs/>
        </w:rPr>
        <w:t xml:space="preserve">L. aethiopica</w:t>
      </w:r>
      <w:r>
        <w:t xml:space="preserve"> </w:t>
      </w:r>
      <w:r>
        <w:t xml:space="preserve">(rare en Algérie) ; (3) Leishmaniose viscérale (Kala-azar) à</w:t>
      </w:r>
      <w:r>
        <w:t xml:space="preserve"> </w:t>
      </w:r>
      <w:r>
        <w:rPr>
          <w:i/>
          <w:iCs/>
        </w:rPr>
        <w:t xml:space="preserve">L. infantum</w:t>
      </w:r>
      <w:r>
        <w:t xml:space="preserve"> </w:t>
      </w:r>
      <w:r>
        <w:t xml:space="preserve">en première intention chez l’immunocompétent (alternative : amphotéricine B liposomale en cas d’échec, de récidive, ou chez l’immunodéprimé VIH) ; (4) Leishmaniose muqueuse (exceptionnelle en Algérie). La voie</w:t>
      </w:r>
      <w:r>
        <w:t xml:space="preserve"> </w:t>
      </w:r>
      <w:r>
        <w:rPr>
          <w:b/>
          <w:bCs/>
        </w:rPr>
        <w:t xml:space="preserve">intra-lésionnelle</w:t>
      </w:r>
      <w:r>
        <w:t xml:space="preserve"> </w:t>
      </w:r>
      <w:r>
        <w:t xml:space="preserve">est privilégiée pour les LC uniques et accessibles, car elle permet de réduire considérablement la dose totale d’antimoine et donc la toxicité systémique, avec une efficacité équivalente (&gt; 90 % guérison en 1 à 3 sessions). La voie IM est réservée aux LC multiples, étendues, ou aux LV.</w:t>
      </w:r>
    </w:p>
    <w:p>
      <w:pPr>
        <w:pStyle w:val="Compact"/>
        <w:numPr>
          <w:ilvl w:val="0"/>
          <w:numId w:val="1373"/>
        </w:numPr>
      </w:pPr>
      <w:r>
        <w:rPr>
          <w:b/>
          <w:bCs/>
        </w:rPr>
        <w:t xml:space="preserve">Contre-indications</w:t>
      </w:r>
      <w:r>
        <w:t xml:space="preserve"> </w:t>
      </w:r>
      <w:r>
        <w:t xml:space="preserve">: (1)</w:t>
      </w:r>
      <w:r>
        <w:t xml:space="preserve"> </w:t>
      </w:r>
      <w:r>
        <w:rPr>
          <w:b/>
          <w:bCs/>
        </w:rPr>
        <w:t xml:space="preserve">Absolues</w:t>
      </w:r>
      <w:r>
        <w:t xml:space="preserve"> </w:t>
      </w:r>
      <w:r>
        <w:t xml:space="preserve">: hypersensibilité à l’antimoine ou à l’un des excipients ; cardiopathie préexistante sévère (insuffisance cardiaque décompensée, troubles du rythme ventriculaire, allongement QT constitutionnel ou acquis) ; pancréatite aiguë ou antécédent de pancréatite sous antimoniates ; grossesse (toxicité fœtale, avortement) ; allaitement ; insuffisance hépatique sévère (cytolyse &gt; 5 LSN) ; insuffisance rénale sévère (DFG &lt; 30 mL/min) ; déficit en G6PD (risque d’hémolyse). (2)</w:t>
      </w:r>
      <w:r>
        <w:t xml:space="preserve"> </w:t>
      </w:r>
      <w:r>
        <w:rPr>
          <w:b/>
          <w:bCs/>
        </w:rPr>
        <w:t xml:space="preserve">Relatives</w:t>
      </w:r>
      <w:r>
        <w:t xml:space="preserve"> </w:t>
      </w:r>
      <w:r>
        <w:t xml:space="preserve">: sujet âgé &gt; 65 ans (réduction posologique de 25-50 %) ; patient sous médicaments allongeant QT (AVK, macrolides, fluoroquinolones, antiarythmiques Ia/III, neuroleptiques) ; diabète déséquilibré ; tuberculose évolutive.</w:t>
      </w:r>
    </w:p>
    <w:p>
      <w:pPr>
        <w:pStyle w:val="Compact"/>
        <w:numPr>
          <w:ilvl w:val="0"/>
          <w:numId w:val="1373"/>
        </w:numPr>
      </w:pPr>
      <w:r>
        <w:rPr>
          <w:b/>
          <w:bCs/>
        </w:rPr>
        <w:t xml:space="preserve">Effets Indésirables</w:t>
      </w:r>
      <w:r>
        <w:t xml:space="preserve"> </w:t>
      </w:r>
      <w:r>
        <w:t xml:space="preserve">:</w:t>
      </w:r>
    </w:p>
    <w:p>
      <w:pPr>
        <w:pStyle w:val="Compact"/>
        <w:numPr>
          <w:ilvl w:val="1"/>
          <w:numId w:val="1374"/>
        </w:numPr>
      </w:pPr>
      <w:r>
        <w:rPr>
          <w:b/>
          <w:bCs/>
        </w:rPr>
        <w:t xml:space="preserve">Cardiotoxique</w:t>
      </w:r>
      <w:r>
        <w:t xml:space="preserve"> </w:t>
      </w:r>
      <w:r>
        <w:t xml:space="preserve">(critique) : allongement de l’espace QTc, ondes U marquées, troubles de repolarisation, tachycardie ventriculaire,</w:t>
      </w:r>
      <w:r>
        <w:t xml:space="preserve"> </w:t>
      </w:r>
      <w:r>
        <w:rPr>
          <w:b/>
          <w:bCs/>
        </w:rPr>
        <w:t xml:space="preserve">torsades de pointes</w:t>
      </w:r>
      <w:r>
        <w:t xml:space="preserve">, fibrillation ventriculaire (dose-dépendant, précoce J3-J5). Risque létal à doses cumulées &gt; 30 g SbV.</w:t>
      </w:r>
    </w:p>
    <w:p>
      <w:pPr>
        <w:pStyle w:val="Compact"/>
        <w:numPr>
          <w:ilvl w:val="1"/>
          <w:numId w:val="1374"/>
        </w:numPr>
      </w:pPr>
      <w:r>
        <w:rPr>
          <w:b/>
          <w:bCs/>
        </w:rPr>
        <w:t xml:space="preserve">Pancréatotoxique</w:t>
      </w:r>
      <w:r>
        <w:t xml:space="preserve"> </w:t>
      </w:r>
      <w:r>
        <w:t xml:space="preserve">(critique) : pancréatite aiguë (élévation lipase/amylase, douleurs épigastriques irradiantes), parfois sévère avec nécrose, pouvant imposer l’arrêt définitif. Survenue typique J7-J14.</w:t>
      </w:r>
    </w:p>
    <w:p>
      <w:pPr>
        <w:pStyle w:val="Compact"/>
        <w:numPr>
          <w:ilvl w:val="1"/>
          <w:numId w:val="1374"/>
        </w:numPr>
      </w:pPr>
      <w:r>
        <w:rPr>
          <w:b/>
          <w:bCs/>
        </w:rPr>
        <w:t xml:space="preserve">Hépatotoxique</w:t>
      </w:r>
      <w:r>
        <w:t xml:space="preserve"> </w:t>
      </w:r>
      <w:r>
        <w:t xml:space="preserve">: cytolyse hépatique ASAT/ALAT dose-dépendante (5 à 30 % des patients), régressive à l’arrêt ; exceptionnels cas d’hépatite fulminante.</w:t>
      </w:r>
    </w:p>
    <w:p>
      <w:pPr>
        <w:pStyle w:val="Compact"/>
        <w:numPr>
          <w:ilvl w:val="1"/>
          <w:numId w:val="1374"/>
        </w:numPr>
      </w:pPr>
      <w:r>
        <w:rPr>
          <w:b/>
          <w:bCs/>
        </w:rPr>
        <w:t xml:space="preserve">Hématologique</w:t>
      </w:r>
      <w:r>
        <w:t xml:space="preserve"> </w:t>
      </w:r>
      <w:r>
        <w:t xml:space="preserve">: thrombopénie, leucopénie, anémie ; rarement pancytopénie.</w:t>
      </w:r>
    </w:p>
    <w:p>
      <w:pPr>
        <w:pStyle w:val="Compact"/>
        <w:numPr>
          <w:ilvl w:val="1"/>
          <w:numId w:val="1374"/>
        </w:numPr>
      </w:pPr>
      <w:r>
        <w:rPr>
          <w:b/>
          <w:bCs/>
        </w:rPr>
        <w:t xml:space="preserve">Musculaire et articulaire</w:t>
      </w:r>
      <w:r>
        <w:t xml:space="preserve"> </w:t>
      </w:r>
      <w:r>
        <w:t xml:space="preserve">: myalgies, arthralgies, asthénie, élévation CPK.</w:t>
      </w:r>
    </w:p>
    <w:p>
      <w:pPr>
        <w:pStyle w:val="Compact"/>
        <w:numPr>
          <w:ilvl w:val="1"/>
          <w:numId w:val="1374"/>
        </w:numPr>
      </w:pPr>
      <w:r>
        <w:rPr>
          <w:b/>
          <w:bCs/>
        </w:rPr>
        <w:t xml:space="preserve">Nephrotoxicité</w:t>
      </w:r>
      <w:r>
        <w:t xml:space="preserve"> </w:t>
      </w:r>
      <w:r>
        <w:t xml:space="preserve">modérée : élévation créatinine, protéinurie transitoire.</w:t>
      </w:r>
    </w:p>
    <w:p>
      <w:pPr>
        <w:pStyle w:val="Compact"/>
        <w:numPr>
          <w:ilvl w:val="1"/>
          <w:numId w:val="1374"/>
        </w:numPr>
      </w:pPr>
      <w:r>
        <w:rPr>
          <w:b/>
          <w:bCs/>
        </w:rPr>
        <w:t xml:space="preserve">Locaux (voie IM)</w:t>
      </w:r>
      <w:r>
        <w:t xml:space="preserve"> </w:t>
      </w:r>
      <w:r>
        <w:t xml:space="preserve">: douleur au point d’injection, induration, abcès stérile, nécrose.</w:t>
      </w:r>
    </w:p>
    <w:p>
      <w:pPr>
        <w:pStyle w:val="Compact"/>
        <w:numPr>
          <w:ilvl w:val="1"/>
          <w:numId w:val="1374"/>
        </w:numPr>
      </w:pPr>
      <w:r>
        <w:rPr>
          <w:b/>
          <w:bCs/>
        </w:rPr>
        <w:t xml:space="preserve">Généraux</w:t>
      </w:r>
      <w:r>
        <w:t xml:space="preserve"> </w:t>
      </w:r>
      <w:r>
        <w:t xml:space="preserve">: fièvre, frissons, céphalées, anorexie, nausées, vomissements, dysgueusie métallique.</w:t>
      </w:r>
    </w:p>
    <w:p>
      <w:pPr>
        <w:pStyle w:val="Compact"/>
        <w:numPr>
          <w:ilvl w:val="1"/>
          <w:numId w:val="1374"/>
        </w:numPr>
      </w:pPr>
      <w:r>
        <w:rPr>
          <w:b/>
          <w:bCs/>
        </w:rPr>
        <w:t xml:space="preserve">Dermatologiques</w:t>
      </w:r>
      <w:r>
        <w:t xml:space="preserve"> </w:t>
      </w:r>
      <w:r>
        <w:t xml:space="preserve">(voie IL) : douleur, nécrose locale, hyperpigmentation.</w:t>
      </w:r>
    </w:p>
    <w:bookmarkEnd w:id="157"/>
    <w:bookmarkStart w:id="158" w:name="Xa05d4c2be035328fbf8f824516c584afa97e047"/>
    <w:p>
      <w:pPr>
        <w:pStyle w:val="Heading3"/>
      </w:pPr>
      <w:r>
        <w:t xml:space="preserve">Prévention et Gestion des Effets Indésirables</w:t>
      </w:r>
    </w:p>
    <w:p>
      <w:pPr>
        <w:pStyle w:val="Compact"/>
        <w:numPr>
          <w:ilvl w:val="0"/>
          <w:numId w:val="1375"/>
        </w:numPr>
      </w:pPr>
      <w:r>
        <w:rPr>
          <w:b/>
          <w:bCs/>
        </w:rPr>
        <w:t xml:space="preserve">Mesures Préventives</w:t>
      </w:r>
      <w:r>
        <w:t xml:space="preserve"> </w:t>
      </w:r>
      <w:r>
        <w:t xml:space="preserve">:</w:t>
      </w:r>
    </w:p>
    <w:p>
      <w:pPr>
        <w:pStyle w:val="Compact"/>
        <w:numPr>
          <w:ilvl w:val="1"/>
          <w:numId w:val="1376"/>
        </w:numPr>
      </w:pPr>
      <w:r>
        <w:rPr>
          <w:b/>
          <w:bCs/>
        </w:rPr>
        <w:t xml:space="preserve">Bilan pré-thérapeutique obligatoire</w:t>
      </w:r>
      <w:r>
        <w:t xml:space="preserve"> </w:t>
      </w:r>
      <w:r>
        <w:t xml:space="preserve">: ECG 12 dérivations (mesure QTc corrigé selon Bazett, refuser si &gt; 440 ms homme / 460 ms femme), ionogramme sanguin (K⁺, Ca²⁺, Mg²⁺ à corriger avant toute injection), numération formule plaquettaire, bilan hépatique (ASAT, ALAT, γ-GT, PAL, bilirubine), lipasémie, créatininémie, glycémie à jeun.</w:t>
      </w:r>
    </w:p>
    <w:p>
      <w:pPr>
        <w:pStyle w:val="Compact"/>
        <w:numPr>
          <w:ilvl w:val="1"/>
          <w:numId w:val="1376"/>
        </w:numPr>
      </w:pPr>
      <w:r>
        <w:rPr>
          <w:b/>
          <w:bCs/>
        </w:rPr>
        <w:t xml:space="preserve">Surveillance pendant le traitement</w:t>
      </w:r>
      <w:r>
        <w:t xml:space="preserve"> </w:t>
      </w:r>
      <w:r>
        <w:t xml:space="preserve">: ECG toutes les 48-72 h pendant les 10 premiers jours puis hebdomadaire (arrêt si QTc &gt; 500 ms ou augmentation &gt; 60 ms vs baseline) ; bilan hépatique 2 fois par semaine ; lipasémie hebdomadaire (arrêt si &gt; 3 LSN) ; NFS hebdomadaire ; créatininémie hebdomadaire.</w:t>
      </w:r>
    </w:p>
    <w:p>
      <w:pPr>
        <w:pStyle w:val="Compact"/>
        <w:numPr>
          <w:ilvl w:val="1"/>
          <w:numId w:val="1376"/>
        </w:numPr>
      </w:pPr>
      <w:r>
        <w:rPr>
          <w:b/>
          <w:bCs/>
        </w:rPr>
        <w:t xml:space="preserve">Correction systématique</w:t>
      </w:r>
      <w:r>
        <w:t xml:space="preserve"> </w:t>
      </w:r>
      <w:r>
        <w:t xml:space="preserve">des hypokaliémies, hypomagnésémies et hypocalcémies, qui potentialisent la toxicité cardiaque.</w:t>
      </w:r>
    </w:p>
    <w:p>
      <w:pPr>
        <w:pStyle w:val="Compact"/>
        <w:numPr>
          <w:ilvl w:val="1"/>
          <w:numId w:val="1376"/>
        </w:numPr>
      </w:pPr>
      <w:r>
        <w:t xml:space="preserve">Voie IM profonde (demi-position assise, rotation des sites d’injection), jamais en IV directe (risque d’arrêt cardiaque) — la perfusion IV lente sur 2 h dans 250 mL G5% est exceptionnelle et réservée à l’hôpital.</w:t>
      </w:r>
    </w:p>
    <w:p>
      <w:pPr>
        <w:pStyle w:val="Compact"/>
        <w:numPr>
          <w:ilvl w:val="1"/>
          <w:numId w:val="1376"/>
        </w:numPr>
      </w:pPr>
      <w:r>
        <w:t xml:space="preserve">Femme en âge de procréer : test de grossesse pré-thérapeutique négatif + contraception efficace pendant toute la durée du traitement et 1 mois après.</w:t>
      </w:r>
    </w:p>
    <w:p>
      <w:pPr>
        <w:pStyle w:val="Compact"/>
        <w:numPr>
          <w:ilvl w:val="0"/>
          <w:numId w:val="1375"/>
        </w:numPr>
      </w:pPr>
      <w:r>
        <w:rPr>
          <w:b/>
          <w:bCs/>
        </w:rPr>
        <w:t xml:space="preserve">Conduite à Tenir</w:t>
      </w:r>
      <w:r>
        <w:t xml:space="preserve"> </w:t>
      </w:r>
      <w:r>
        <w:t xml:space="preserve">:</w:t>
      </w:r>
    </w:p>
    <w:p>
      <w:pPr>
        <w:pStyle w:val="Compact"/>
        <w:numPr>
          <w:ilvl w:val="1"/>
          <w:numId w:val="1377"/>
        </w:numPr>
      </w:pPr>
      <w:r>
        <w:rPr>
          <w:b/>
          <w:bCs/>
        </w:rPr>
        <w:t xml:space="preserve">Pancréatite aiguë</w:t>
      </w:r>
      <w:r>
        <w:t xml:space="preserve"> </w:t>
      </w:r>
      <w:r>
        <w:t xml:space="preserve">: arrêt immédiat définitif, hospitalisation en milieu gastro-entérologique ou réanimation, mise au repos du tube digestif, antalgiques, surveillance lipasémie. Relais par amphotéricine B liposomale.</w:t>
      </w:r>
    </w:p>
    <w:p>
      <w:pPr>
        <w:pStyle w:val="Compact"/>
        <w:numPr>
          <w:ilvl w:val="1"/>
          <w:numId w:val="1377"/>
        </w:numPr>
      </w:pPr>
      <w:r>
        <w:rPr>
          <w:b/>
          <w:bCs/>
        </w:rPr>
        <w:t xml:space="preserve">Allongement QTc &gt; 500 ms ou torsades de pointes</w:t>
      </w:r>
      <w:r>
        <w:t xml:space="preserve"> </w:t>
      </w:r>
      <w:r>
        <w:t xml:space="preserve">: arrêt immédiat, correction K⁺/Mg²⁺, sulfate de magnésium IV, monitoring cardiaque continu. Pas de réintroduction.</w:t>
      </w:r>
    </w:p>
    <w:p>
      <w:pPr>
        <w:pStyle w:val="Compact"/>
        <w:numPr>
          <w:ilvl w:val="1"/>
          <w:numId w:val="1377"/>
        </w:numPr>
      </w:pPr>
      <w:r>
        <w:rPr>
          <w:b/>
          <w:bCs/>
        </w:rPr>
        <w:t xml:space="preserve">Cytolyse hépatique &gt; 5 LSN</w:t>
      </w:r>
      <w:r>
        <w:t xml:space="preserve"> </w:t>
      </w:r>
      <w:r>
        <w:t xml:space="preserve">: arrêt transitoire, surveillance rapprochée, reprise à dose réduite si normalisation ; arrêt définitif si persistance.</w:t>
      </w:r>
    </w:p>
    <w:p>
      <w:pPr>
        <w:pStyle w:val="Compact"/>
        <w:numPr>
          <w:ilvl w:val="1"/>
          <w:numId w:val="1377"/>
        </w:numPr>
      </w:pPr>
      <w:r>
        <w:rPr>
          <w:b/>
          <w:bCs/>
        </w:rPr>
        <w:t xml:space="preserve">Thrombopénie &lt; 50 G/L</w:t>
      </w:r>
      <w:r>
        <w:t xml:space="preserve"> </w:t>
      </w:r>
      <w:r>
        <w:t xml:space="preserve">: arrêt transitoire.</w:t>
      </w:r>
    </w:p>
    <w:p>
      <w:pPr>
        <w:pStyle w:val="Compact"/>
        <w:numPr>
          <w:ilvl w:val="1"/>
          <w:numId w:val="1377"/>
        </w:numPr>
      </w:pPr>
      <w:r>
        <w:rPr>
          <w:b/>
          <w:bCs/>
        </w:rPr>
        <w:t xml:space="preserve">Échec thérapeutique</w:t>
      </w:r>
      <w:r>
        <w:t xml:space="preserve"> </w:t>
      </w:r>
      <w:r>
        <w:t xml:space="preserve">(absence de cicatrisation à J28-J60, ou récidive) : relais par amphotéricine B liposomale (3-5 mg/kg/J IV J1-J5, J14, J21) ou, si disponible, miltefosine orale.</w:t>
      </w:r>
    </w:p>
    <w:bookmarkEnd w:id="158"/>
    <w:bookmarkStart w:id="159" w:name="interactions-importantes"/>
    <w:p>
      <w:pPr>
        <w:pStyle w:val="Heading3"/>
      </w:pPr>
      <w:r>
        <w:t xml:space="preserve">Interactions Importantes</w:t>
      </w:r>
    </w:p>
    <w:p>
      <w:pPr>
        <w:pStyle w:val="Compact"/>
        <w:numPr>
          <w:ilvl w:val="0"/>
          <w:numId w:val="1378"/>
        </w:numPr>
      </w:pPr>
      <w:r>
        <w:rPr>
          <w:b/>
          <w:bCs/>
        </w:rPr>
        <w:t xml:space="preserve">Antimoniates + médicaments allongeant QT</w:t>
      </w:r>
      <w:r>
        <w:t xml:space="preserve"> </w:t>
      </w:r>
      <w:r>
        <w:t xml:space="preserve">(antiarythmiques Ia : quinidine, disopyramide ; III : amiodarone, sotalol, ibutilide ; macrolides : érythromycine, clarithromycine ; fluoroquinolones : moxifloxacine, ciprofloxacine ; antipsychotiques : halopéridol, thioridazine, dropéridol, pipamperone ; antidépresseurs tricycliques ; méthadone ; certains antifongiques azolés fluconazole, voriconazole) :</w:t>
      </w:r>
      <w:r>
        <w:t xml:space="preserve"> </w:t>
      </w:r>
      <w:r>
        <w:rPr>
          <w:b/>
          <w:bCs/>
        </w:rPr>
        <w:t xml:space="preserve">majoration du risque de torsades de pointes</w:t>
      </w:r>
      <w:r>
        <w:t xml:space="preserve">, parfois létal. Contre-indication relative à évaluer au cas par cas ; si association indispensable, monitoring ECG continu.</w:t>
      </w:r>
    </w:p>
    <w:p>
      <w:pPr>
        <w:pStyle w:val="Compact"/>
        <w:numPr>
          <w:ilvl w:val="0"/>
          <w:numId w:val="1378"/>
        </w:numPr>
      </w:pPr>
      <w:r>
        <w:rPr>
          <w:b/>
          <w:bCs/>
        </w:rPr>
        <w:t xml:space="preserve">Antimoniates + diurétiques hypokaliémiants</w:t>
      </w:r>
      <w:r>
        <w:t xml:space="preserve"> </w:t>
      </w:r>
      <w:r>
        <w:t xml:space="preserve">(furosémide, hydrochlorothiazide, indapamide) : hypokaliémie majorant la toxicité cardiaque — surveillance ionogramme + supplémenter K⁺.</w:t>
      </w:r>
    </w:p>
    <w:p>
      <w:pPr>
        <w:pStyle w:val="Compact"/>
        <w:numPr>
          <w:ilvl w:val="0"/>
          <w:numId w:val="1378"/>
        </w:numPr>
      </w:pPr>
      <w:r>
        <w:rPr>
          <w:b/>
          <w:bCs/>
        </w:rPr>
        <w:t xml:space="preserve">Antimoniates + aminosides</w:t>
      </w:r>
      <w:r>
        <w:t xml:space="preserve"> </w:t>
      </w:r>
      <w:r>
        <w:t xml:space="preserve">(gentamicine, amikacine) : majoration de la néphrotoxicité additive.</w:t>
      </w:r>
    </w:p>
    <w:p>
      <w:pPr>
        <w:pStyle w:val="Compact"/>
        <w:numPr>
          <w:ilvl w:val="0"/>
          <w:numId w:val="1378"/>
        </w:numPr>
      </w:pPr>
      <w:r>
        <w:rPr>
          <w:b/>
          <w:bCs/>
        </w:rPr>
        <w:t xml:space="preserve">Antimoniates + AINS</w:t>
      </w:r>
      <w:r>
        <w:t xml:space="preserve"> </w:t>
      </w:r>
      <w:r>
        <w:t xml:space="preserve">: majoration de la néphrotoxicité.</w:t>
      </w:r>
    </w:p>
    <w:p>
      <w:pPr>
        <w:pStyle w:val="Compact"/>
        <w:numPr>
          <w:ilvl w:val="0"/>
          <w:numId w:val="1378"/>
        </w:numPr>
      </w:pPr>
      <w:r>
        <w:rPr>
          <w:b/>
          <w:bCs/>
        </w:rPr>
        <w:t xml:space="preserve">Antimoniates + vaccins</w:t>
      </w:r>
      <w:r>
        <w:t xml:space="preserve"> </w:t>
      </w:r>
      <w:r>
        <w:t xml:space="preserve">: éviter les vaccins vivants atténués (BCG, fièvre jaune, ROR) pendant le traitement en raison de l’immunodépression induite.</w:t>
      </w:r>
    </w:p>
    <w:p>
      <w:pPr>
        <w:pStyle w:val="Compact"/>
        <w:numPr>
          <w:ilvl w:val="0"/>
          <w:numId w:val="1378"/>
        </w:numPr>
      </w:pPr>
      <w:r>
        <w:rPr>
          <w:b/>
          <w:bCs/>
        </w:rPr>
        <w:t xml:space="preserve">Antimoniates + alcool</w:t>
      </w:r>
      <w:r>
        <w:t xml:space="preserve"> </w:t>
      </w:r>
      <w:r>
        <w:t xml:space="preserve">: potentialisation de la pancréatotoxicité et de l’hépatotoxicité (éviction stricte).</w:t>
      </w:r>
    </w:p>
    <w:p>
      <w:pPr>
        <w:pStyle w:val="Compact"/>
        <w:numPr>
          <w:ilvl w:val="0"/>
          <w:numId w:val="1378"/>
        </w:numPr>
      </w:pPr>
      <w:r>
        <w:rPr>
          <w:b/>
          <w:bCs/>
        </w:rPr>
        <w:t xml:space="preserve">Antimoniates + isotrétinoïne</w:t>
      </w:r>
      <w:r>
        <w:t xml:space="preserve"> </w:t>
      </w:r>
      <w:r>
        <w:t xml:space="preserve">: majoration de la toxicité hépatique et pancréatique (CI relative).</w:t>
      </w:r>
    </w:p>
    <w:bookmarkEnd w:id="159"/>
    <w:bookmarkStart w:id="160" w:name="grossesse-et-allaitement"/>
    <w:p>
      <w:pPr>
        <w:pStyle w:val="Heading3"/>
      </w:pPr>
      <w:r>
        <w:t xml:space="preserve">Grossesse et Allaitement</w:t>
      </w:r>
    </w:p>
    <w:p>
      <w:pPr>
        <w:pStyle w:val="Compact"/>
        <w:numPr>
          <w:ilvl w:val="0"/>
          <w:numId w:val="1379"/>
        </w:numPr>
      </w:pPr>
      <w:r>
        <w:rPr>
          <w:b/>
          <w:bCs/>
        </w:rPr>
        <w:t xml:space="preserve">Grossesse</w:t>
      </w:r>
      <w:r>
        <w:t xml:space="preserve"> </w:t>
      </w:r>
      <w:r>
        <w:t xml:space="preserve">:</w:t>
      </w:r>
      <w:r>
        <w:t xml:space="preserve"> </w:t>
      </w:r>
      <w:r>
        <w:rPr>
          <w:b/>
          <w:bCs/>
        </w:rPr>
        <w:t xml:space="preserve">CONTRE-INDICATION ABSOLUE</w:t>
      </w:r>
      <w:r>
        <w:t xml:space="preserve"> </w:t>
      </w:r>
      <w:r>
        <w:t xml:space="preserve">quel que soit le trimestre (données animales tératogènes : embryotoxicité, fœtotoxicité, malformations squelettiques ; données humaines limitées mais évocatrices d’avortement spontané et de malformations). En cas de LV gravidique menaçant le pronostic vital, préférer l’amphotéricine B liposomale (qui est, selon le CRAT, utilisable à tous les trimestres avec bénéfice/risque favorable). En cas de LC gravidique, discuter un traitement différé après l’accouchement ou, pour les lésions inesthétiques ou fonctionnelles, recourir à la cryothérapie ou à la thermothérapie locale.</w:t>
      </w:r>
    </w:p>
    <w:p>
      <w:pPr>
        <w:pStyle w:val="Compact"/>
        <w:numPr>
          <w:ilvl w:val="0"/>
          <w:numId w:val="1379"/>
        </w:numPr>
      </w:pPr>
      <w:r>
        <w:rPr>
          <w:b/>
          <w:bCs/>
        </w:rPr>
        <w:t xml:space="preserve">Allaitement</w:t>
      </w:r>
      <w:r>
        <w:t xml:space="preserve"> </w:t>
      </w:r>
      <w:r>
        <w:t xml:space="preserve">:</w:t>
      </w:r>
      <w:r>
        <w:t xml:space="preserve"> </w:t>
      </w:r>
      <w:r>
        <w:rPr>
          <w:b/>
          <w:bCs/>
        </w:rPr>
        <w:t xml:space="preserve">CONTRE-INDICATION</w:t>
      </w:r>
      <w:r>
        <w:t xml:space="preserve"> </w:t>
      </w:r>
      <w:r>
        <w:t xml:space="preserve">(passage de l’antimoine dans le lait maternel documenté chez l’animal ; données humaines insuffisantes). Interruption de l’allaitement pendant toute la durée du traitement et 1 semaine après la dernière injection.</w:t>
      </w:r>
    </w:p>
    <w:p>
      <w:pPr>
        <w:pStyle w:val="Compact"/>
        <w:numPr>
          <w:ilvl w:val="0"/>
          <w:numId w:val="1379"/>
        </w:numPr>
      </w:pPr>
      <w:r>
        <w:rPr>
          <w:b/>
          <w:bCs/>
        </w:rPr>
        <w:t xml:space="preserve">Précautions particulières</w:t>
      </w:r>
      <w:r>
        <w:t xml:space="preserve"> </w:t>
      </w:r>
      <w:r>
        <w:t xml:space="preserve">: chez la femme en âge de procréer, vérification systématique de l’absence de grossesse (β-hCG quantitatif) dans les 72 h précédant la première injection et mise en place d’une contraception efficace (méthode barrière + estroprogestative) pendant toute la durée du traitement et 1 mois après l’arrêt.</w:t>
      </w:r>
    </w:p>
    <w:bookmarkEnd w:id="160"/>
    <w:bookmarkStart w:id="161" w:name="X52d184cebd7b9a74e43b1557c7e4c37c0237d04"/>
    <w:p>
      <w:pPr>
        <w:pStyle w:val="Heading3"/>
      </w:pPr>
      <w:r>
        <w:t xml:space="preserve">Posologie et Mode d’administration (Standard)</w:t>
      </w:r>
    </w:p>
    <w:p>
      <w:pPr>
        <w:pStyle w:val="Compact"/>
        <w:numPr>
          <w:ilvl w:val="0"/>
          <w:numId w:val="1380"/>
        </w:numPr>
      </w:pPr>
      <w:r>
        <w:rPr>
          <w:b/>
          <w:bCs/>
        </w:rPr>
        <w:t xml:space="preserve">Adulte — Leishmaniose cutanée localisée</w:t>
      </w:r>
      <w:r>
        <w:t xml:space="preserve"> </w:t>
      </w:r>
      <w:r>
        <w:t xml:space="preserve">:</w:t>
      </w:r>
    </w:p>
    <w:p>
      <w:pPr>
        <w:pStyle w:val="Compact"/>
        <w:numPr>
          <w:ilvl w:val="1"/>
          <w:numId w:val="1381"/>
        </w:numPr>
      </w:pPr>
      <w:r>
        <w:rPr>
          <w:b/>
          <w:bCs/>
        </w:rPr>
        <w:t xml:space="preserve">Voie intra-lésionnelle (IL)</w:t>
      </w:r>
      <w:r>
        <w:t xml:space="preserve"> </w:t>
      </w:r>
      <w:r>
        <w:t xml:space="preserve">: 1 à 3 mL par lésion (max 5 mL/session), injecté lentement en périmarge lésionnelle (intradermique strict), jusqu’à blanchiment de la lésion. Répéter tous les 3 à 7 jours, 3 à 5 séances. Indiqué pour lésion unique &lt; 4 cm, non située sur le visage/articulation.</w:t>
      </w:r>
    </w:p>
    <w:p>
      <w:pPr>
        <w:pStyle w:val="Compact"/>
        <w:numPr>
          <w:ilvl w:val="1"/>
          <w:numId w:val="1381"/>
        </w:numPr>
      </w:pPr>
      <w:r>
        <w:rPr>
          <w:b/>
          <w:bCs/>
        </w:rPr>
        <w:t xml:space="preserve">Voie IM profonde</w:t>
      </w:r>
      <w:r>
        <w:t xml:space="preserve"> </w:t>
      </w:r>
      <w:r>
        <w:t xml:space="preserve">: 20 mg SbV/kg/jour (soit 0,24 mL/kg/jour de Glucantime) en 1 à 2 injections IM profondes, pendant 20 jours consécutifs. Pour</w:t>
      </w:r>
      <w:r>
        <w:t xml:space="preserve"> </w:t>
      </w:r>
      <w:r>
        <w:rPr>
          <w:i/>
          <w:iCs/>
        </w:rPr>
        <w:t xml:space="preserve">L. tropica</w:t>
      </w:r>
      <w:r>
        <w:t xml:space="preserve">, prolonger 28 jours.</w:t>
      </w:r>
    </w:p>
    <w:p>
      <w:pPr>
        <w:pStyle w:val="Compact"/>
        <w:numPr>
          <w:ilvl w:val="0"/>
          <w:numId w:val="1380"/>
        </w:numPr>
      </w:pPr>
      <w:r>
        <w:rPr>
          <w:b/>
          <w:bCs/>
        </w:rPr>
        <w:t xml:space="preserve">Adulte — Leishmaniose viscérale (Kala-azar)</w:t>
      </w:r>
      <w:r>
        <w:t xml:space="preserve"> </w:t>
      </w:r>
      <w:r>
        <w:t xml:space="preserve">: 20 mg SbV/kg/jour IM ou IV lente (sur 2 h dans 250 mL G5%) pendant 28 jours consécutifs (parfois 30 jours selon protocole OMS). Ne pas dépasser 850 mg SbV/jour (dose plafond historique, discutée).</w:t>
      </w:r>
    </w:p>
    <w:p>
      <w:pPr>
        <w:pStyle w:val="Compact"/>
        <w:numPr>
          <w:ilvl w:val="0"/>
          <w:numId w:val="1380"/>
        </w:numPr>
      </w:pPr>
      <w:r>
        <w:rPr>
          <w:b/>
          <w:bCs/>
        </w:rPr>
        <w:t xml:space="preserve">Enfant</w:t>
      </w:r>
      <w:r>
        <w:t xml:space="preserve"> </w:t>
      </w:r>
      <w:r>
        <w:t xml:space="preserve">: même posologie en mg/kg (20 mg SbV/kg/jour), sans dépasser 850 mg/jour. Pour la LC chez l’enfant, privilégier la voie IL chaque fois que possible pour réduire la dose systémique.</w:t>
      </w:r>
    </w:p>
    <w:p>
      <w:pPr>
        <w:pStyle w:val="Compact"/>
        <w:numPr>
          <w:ilvl w:val="0"/>
          <w:numId w:val="1380"/>
        </w:numPr>
      </w:pPr>
      <w:r>
        <w:rPr>
          <w:b/>
          <w:bCs/>
        </w:rPr>
        <w:t xml:space="preserve">Sujet âgé &gt; 65 ans ou insuffisant rénal</w:t>
      </w:r>
      <w:r>
        <w:t xml:space="preserve"> </w:t>
      </w:r>
      <w:r>
        <w:t xml:space="preserve">: réduire à 15 mg SbV/kg/jour, surveillance renforcée.</w:t>
      </w:r>
    </w:p>
    <w:p>
      <w:pPr>
        <w:pStyle w:val="Compact"/>
        <w:numPr>
          <w:ilvl w:val="0"/>
          <w:numId w:val="1380"/>
        </w:numPr>
      </w:pPr>
      <w:r>
        <w:rPr>
          <w:b/>
          <w:bCs/>
        </w:rPr>
        <w:t xml:space="preserve">Durée</w:t>
      </w:r>
      <w:r>
        <w:t xml:space="preserve"> </w:t>
      </w:r>
      <w:r>
        <w:t xml:space="preserve">: LC : 20 à 28 jours selon espèce ; LV : 28 à 30 jours ; contrôle parasitologique à J60 et J90 (absence de récidive, cicatrisation complète).</w:t>
      </w:r>
    </w:p>
    <w:p>
      <w:pPr>
        <w:pStyle w:val="Compact"/>
        <w:numPr>
          <w:ilvl w:val="0"/>
          <w:numId w:val="1380"/>
        </w:numPr>
      </w:pPr>
      <w:r>
        <w:rPr>
          <w:b/>
          <w:bCs/>
        </w:rPr>
        <w:t xml:space="preserve">Moment d’administration</w:t>
      </w:r>
      <w:r>
        <w:t xml:space="preserve"> </w:t>
      </w:r>
      <w:r>
        <w:t xml:space="preserve">: injections le soir (pour permettre le repos nocturne et la gestion des effets indésirables : fièvre, myalgies) ; patient hospitalisé ou en ambulatoire strict avec visite de contrôle J3, J7, J14, J21, J28.</w:t>
      </w:r>
    </w:p>
    <w:bookmarkEnd w:id="161"/>
    <w:bookmarkStart w:id="162" w:name="X0ee5b7ff5fc2838d797a4fa2af06fb1a5371f9c"/>
    <w:p>
      <w:pPr>
        <w:pStyle w:val="Heading3"/>
      </w:pPr>
      <w:r>
        <w:t xml:space="preserve">Arbitrage et Bénéfices des Formes Galéniques</w:t>
      </w:r>
    </w:p>
    <w:p>
      <w:pPr>
        <w:pStyle w:val="FirstParagraph"/>
      </w:pPr>
      <w:r>
        <w:t xml:space="preserve">L’unique forme galénique algérienne — solution injectable IM/IV en ampoule de 5 mL à 1,5 g (425 mg SbV) — pose des</w:t>
      </w:r>
      <w:r>
        <w:t xml:space="preserve"> </w:t>
      </w:r>
      <w:r>
        <w:rPr>
          <w:b/>
          <w:bCs/>
        </w:rPr>
        <w:t xml:space="preserve">problèmes pratiques d’administration</w:t>
      </w:r>
      <w:r>
        <w:t xml:space="preserve"> </w:t>
      </w:r>
      <w:r>
        <w:t xml:space="preserve">: la voie IM profonde est douloureuse (solution hypertonique, pH acide 4-5), impose une rotation stricte des sites (fessier, cuisse, deltoïde) et peut entraîner abcès stérile, nécrose et lésions nerveuses si injection trop superficielle ou near-sciatique. La voie IV lente (sur 2 h) est théoriquement moins douloureuse mais expose au risque d’arrêt cardiaque par toxicité aiguë en cas de perfusion trop rapide. La</w:t>
      </w:r>
      <w:r>
        <w:t xml:space="preserve"> </w:t>
      </w:r>
      <w:r>
        <w:rPr>
          <w:b/>
          <w:bCs/>
        </w:rPr>
        <w:t xml:space="preserve">voie intra-lésionnelle</w:t>
      </w:r>
      <w:r>
        <w:t xml:space="preserve"> </w:t>
      </w:r>
      <w:r>
        <w:t xml:space="preserve">reste la meilleure option pour les LC uniques accessibles car elle permet une concentration parasitaire élevée avec une dose systémique négligeable, mais elle nécessite un opérateur entraîné (médecin dermatologue) et expose à un échec en cas de lésion inflammatoire ou profondément ulcérée. En pratique algérienne, le pharmacien d’offine ne délivre pas le Glucantime (réservé à la prescription hospitalière) mais peut être sollicité pour le</w:t>
      </w:r>
      <w:r>
        <w:t xml:space="preserve"> </w:t>
      </w:r>
      <w:r>
        <w:rPr>
          <w:b/>
          <w:bCs/>
        </w:rPr>
        <w:t xml:space="preserve">conseil aux patients traités en ambulatoire</w:t>
      </w:r>
      <w:r>
        <w:t xml:space="preserve"> </w:t>
      </w:r>
      <w:r>
        <w:t xml:space="preserve">: conservation au frais (15-25 °C, à l’abri de la lumière), transport en sac isotherme, gestion de la douleur au point d’injection (application de glace, paracétamol), reconnaissance des signes d’alerte (douleur épigastrique, palpitations, syncope, ictère) imposant un retour immédiat aux urgences.</w:t>
      </w:r>
    </w:p>
    <w:bookmarkEnd w:id="162"/>
    <w:bookmarkStart w:id="163" w:name="instructions-et-conseils-au-patient"/>
    <w:p>
      <w:pPr>
        <w:pStyle w:val="Heading3"/>
      </w:pPr>
      <w:r>
        <w:t xml:space="preserve">Instructions et Conseils au Patient</w:t>
      </w:r>
    </w:p>
    <w:p>
      <w:pPr>
        <w:pStyle w:val="Compact"/>
        <w:numPr>
          <w:ilvl w:val="0"/>
          <w:numId w:val="1382"/>
        </w:numPr>
      </w:pPr>
      <w:r>
        <w:rPr>
          <w:b/>
          <w:bCs/>
        </w:rPr>
        <w:t xml:space="preserve">Communication au comptoir</w:t>
      </w:r>
      <w:r>
        <w:t xml:space="preserve"> </w:t>
      </w:r>
      <w:r>
        <w:t xml:space="preserve">(lorsque le patient ou sa famille vient à l’officine pour retrait ou conseil) :</w:t>
      </w:r>
    </w:p>
    <w:p>
      <w:pPr>
        <w:pStyle w:val="Compact"/>
        <w:numPr>
          <w:ilvl w:val="1"/>
          <w:numId w:val="1383"/>
        </w:numPr>
      </w:pPr>
      <w:r>
        <w:t xml:space="preserve">Expliquer la nécessité absolue de respecter le</w:t>
      </w:r>
      <w:r>
        <w:t xml:space="preserve"> </w:t>
      </w:r>
      <w:r>
        <w:rPr>
          <w:b/>
          <w:bCs/>
        </w:rPr>
        <w:t xml:space="preserve">calendrier d’injections</w:t>
      </w:r>
      <w:r>
        <w:t xml:space="preserve"> </w:t>
      </w:r>
      <w:r>
        <w:t xml:space="preserve">sans interruption ; un traitement incomplet expose à la récidive et à la sélection de souches résistantes.</w:t>
      </w:r>
    </w:p>
    <w:p>
      <w:pPr>
        <w:pStyle w:val="Compact"/>
        <w:numPr>
          <w:ilvl w:val="1"/>
          <w:numId w:val="1383"/>
        </w:numPr>
      </w:pPr>
      <w:r>
        <w:t xml:space="preserve">Décrire les signes d’alerte à reconnaître : douleurs épigastriques intenses irradiant dans le dos (pancréatite), palpitations, malaises, syncopes (trouble du rythme), jaunisse, urines foncées (hépatotoxicité), ecchymoses, saignements (thrombopénie).</w:t>
      </w:r>
    </w:p>
    <w:p>
      <w:pPr>
        <w:pStyle w:val="Compact"/>
        <w:numPr>
          <w:ilvl w:val="1"/>
          <w:numId w:val="1383"/>
        </w:numPr>
      </w:pPr>
      <w:r>
        <w:t xml:space="preserve">Conseiller une hydratation abondante (2 L/j) pour réduire la néphrotoxicité et faciliter l’élimination de l’antimoine.</w:t>
      </w:r>
    </w:p>
    <w:p>
      <w:pPr>
        <w:pStyle w:val="Compact"/>
        <w:numPr>
          <w:ilvl w:val="1"/>
          <w:numId w:val="1383"/>
        </w:numPr>
      </w:pPr>
      <w:r>
        <w:t xml:space="preserve">Éviction stricte de l’alcool pendant et 1 mois après la fin du traitement (pancréatotoxicité majorée).</w:t>
      </w:r>
    </w:p>
    <w:p>
      <w:pPr>
        <w:pStyle w:val="Compact"/>
        <w:numPr>
          <w:ilvl w:val="1"/>
          <w:numId w:val="1383"/>
        </w:numPr>
      </w:pPr>
      <w:r>
        <w:t xml:space="preserve">Éviction des jeux sportifs intenses et de la conduite automobile les jours d’injection (asthénie, vertiges).</w:t>
      </w:r>
    </w:p>
    <w:p>
      <w:pPr>
        <w:pStyle w:val="Compact"/>
        <w:numPr>
          <w:ilvl w:val="1"/>
          <w:numId w:val="1383"/>
        </w:numPr>
      </w:pPr>
      <w:r>
        <w:t xml:space="preserve">Éviter l’exposition solaire (photosensibilité possible).</w:t>
      </w:r>
    </w:p>
    <w:p>
      <w:pPr>
        <w:pStyle w:val="Compact"/>
        <w:numPr>
          <w:ilvl w:val="0"/>
          <w:numId w:val="1382"/>
        </w:numPr>
      </w:pPr>
      <w:r>
        <w:rPr>
          <w:b/>
          <w:bCs/>
        </w:rPr>
        <w:t xml:space="preserve">Mode d’utilisation pratique pour l’infirmier à domicile</w:t>
      </w:r>
      <w:r>
        <w:t xml:space="preserve"> </w:t>
      </w:r>
      <w:r>
        <w:t xml:space="preserve">(information transmise au patient) :</w:t>
      </w:r>
    </w:p>
    <w:p>
      <w:pPr>
        <w:pStyle w:val="Compact"/>
        <w:numPr>
          <w:ilvl w:val="1"/>
          <w:numId w:val="1384"/>
        </w:numPr>
      </w:pPr>
      <w:r>
        <w:t xml:space="preserve">Vérifier l’absence de trouble visuel dans la solution (limpidité, incolore à légèrement jaune) avant injection.</w:t>
      </w:r>
    </w:p>
    <w:p>
      <w:pPr>
        <w:pStyle w:val="Compact"/>
        <w:numPr>
          <w:ilvl w:val="1"/>
          <w:numId w:val="1384"/>
        </w:numPr>
      </w:pPr>
      <w:r>
        <w:t xml:space="preserve">Chauffer l’ampoule à température corporelle (paume de la main 5 minutes) pour réduire la douleur.</w:t>
      </w:r>
    </w:p>
    <w:p>
      <w:pPr>
        <w:pStyle w:val="Compact"/>
        <w:numPr>
          <w:ilvl w:val="1"/>
          <w:numId w:val="1384"/>
        </w:numPr>
      </w:pPr>
      <w:r>
        <w:t xml:space="preserve">Injection IM profonde, quadrant supéro-externe fessier ou face antéro-externe de la cuisse, aiguille 21-23 G, aspiration avant injection.</w:t>
      </w:r>
    </w:p>
    <w:p>
      <w:pPr>
        <w:pStyle w:val="Compact"/>
        <w:numPr>
          <w:ilvl w:val="1"/>
          <w:numId w:val="1384"/>
        </w:numPr>
      </w:pPr>
      <w:r>
        <w:t xml:space="preserve">Ne jamais injecter par voie IV directe (risque létal cardiaque).</w:t>
      </w:r>
    </w:p>
    <w:p>
      <w:pPr>
        <w:pStyle w:val="Compact"/>
        <w:numPr>
          <w:ilvl w:val="1"/>
          <w:numId w:val="1384"/>
        </w:numPr>
      </w:pPr>
      <w:r>
        <w:t xml:space="preserve">Compression modérée du point d’injection, ne pas masser.</w:t>
      </w:r>
    </w:p>
    <w:bookmarkEnd w:id="163"/>
    <w:bookmarkStart w:id="164" w:name="notes-règles-dor-pièges-au-comptoir"/>
    <w:p>
      <w:pPr>
        <w:pStyle w:val="Heading3"/>
      </w:pPr>
      <w:r>
        <w:t xml:space="preserve">Notes, Règles d’Or &amp; Pièges au Comptoir</w:t>
      </w:r>
    </w:p>
    <w:p>
      <w:pPr>
        <w:pStyle w:val="Compact"/>
        <w:numPr>
          <w:ilvl w:val="0"/>
          <w:numId w:val="1385"/>
        </w:numPr>
      </w:pPr>
      <w:r>
        <w:rPr>
          <w:b/>
          <w:bCs/>
        </w:rPr>
        <w:t xml:space="preserve">Piège classique n°1 — Confusion mg de produit vs mg de SbV</w:t>
      </w:r>
      <w:r>
        <w:t xml:space="preserve"> </w:t>
      </w:r>
      <w:r>
        <w:t xml:space="preserve">: la posologie se calcule en</w:t>
      </w:r>
      <w:r>
        <w:t xml:space="preserve"> </w:t>
      </w:r>
      <w:r>
        <w:rPr>
          <w:b/>
          <w:bCs/>
        </w:rPr>
        <w:t xml:space="preserve">mg d’antimoine pentavalent (SbV) par kg</w:t>
      </w:r>
      <w:r>
        <w:t xml:space="preserve">, et non en mg de méglumine antimoniante totale. Une ampoule de Glucantime 1,5 g/5 mL contient 425 mg de SbV (et non 1,5 g). Pour un adulte de 60 kg : dose = 60 × 20 = 1 200 mg SbV/j = 2,8 ampoules/jour (≈ 14 mL). Une erreur d’un facteur 3,5 (calcul en mg de produit total) conduit à un surdosage massif et à une toxicité cardiaque aiguë potentiellement létale.</w:t>
      </w:r>
      <w:r>
        <w:t xml:space="preserve"> </w:t>
      </w:r>
      <w:r>
        <w:rPr>
          <w:b/>
          <w:bCs/>
        </w:rPr>
        <w:t xml:space="preserve">Toujours re-vérifier la prescription en mg SbV/kg.</w:t>
      </w:r>
    </w:p>
    <w:p>
      <w:pPr>
        <w:pStyle w:val="Compact"/>
        <w:numPr>
          <w:ilvl w:val="0"/>
          <w:numId w:val="1385"/>
        </w:numPr>
      </w:pPr>
      <w:r>
        <w:rPr>
          <w:b/>
          <w:bCs/>
        </w:rPr>
        <w:t xml:space="preserve">Piège classique n°2 — Oubli de la seconde cure ou arrêt prématuré</w:t>
      </w:r>
      <w:r>
        <w:t xml:space="preserve"> </w:t>
      </w:r>
      <w:r>
        <w:t xml:space="preserve">: un traitement de 20 jours paraît long au patient ; la tendance à l’arrêt à J10-J14 (à la première amélioration clinique) expose à la récidive et à la résistance. Insister sur l’observance jusqu’à la dernière injection.</w:t>
      </w:r>
    </w:p>
    <w:p>
      <w:pPr>
        <w:pStyle w:val="Compact"/>
        <w:numPr>
          <w:ilvl w:val="0"/>
          <w:numId w:val="1385"/>
        </w:numPr>
      </w:pPr>
      <w:r>
        <w:rPr>
          <w:b/>
          <w:bCs/>
        </w:rPr>
        <w:t xml:space="preserve">Piège classique n°3 — Prescription d’antimoniates chez la femme enceinte</w:t>
      </w:r>
      <w:r>
        <w:t xml:space="preserve"> </w:t>
      </w:r>
      <w:r>
        <w:t xml:space="preserve">: CI absolue, encore trop souvent méconnue. En cas de LC gravidique, différer le traitement ou recourir à la cryothérapie/thermothérapie.</w:t>
      </w:r>
    </w:p>
    <w:p>
      <w:pPr>
        <w:pStyle w:val="Compact"/>
        <w:numPr>
          <w:ilvl w:val="0"/>
          <w:numId w:val="1385"/>
        </w:numPr>
      </w:pPr>
      <w:r>
        <w:rPr>
          <w:b/>
          <w:bCs/>
        </w:rPr>
        <w:t xml:space="preserve">Piège classique n°4 — Non-surveillance ECG</w:t>
      </w:r>
      <w:r>
        <w:t xml:space="preserve"> </w:t>
      </w:r>
      <w:r>
        <w:t xml:space="preserve">: la cardiotoxicité peut être silencieuse jusqu’au trouble du rythme fatal. L’ECG doit être répété (J0, J3, J7, J14, J21, J28).</w:t>
      </w:r>
    </w:p>
    <w:p>
      <w:pPr>
        <w:pStyle w:val="Compact"/>
        <w:numPr>
          <w:ilvl w:val="0"/>
          <w:numId w:val="1385"/>
        </w:numPr>
      </w:pPr>
      <w:r>
        <w:rPr>
          <w:b/>
          <w:bCs/>
        </w:rPr>
        <w:t xml:space="preserve">Piège classique n°5 — Non-élimination de l’hypokaliémie préalable</w:t>
      </w:r>
      <w:r>
        <w:t xml:space="preserve"> </w:t>
      </w:r>
      <w:r>
        <w:t xml:space="preserve">: un K⁺ &lt; 3,5 mmol/L majore dramatiquement le risque de torsades de pointes. Toujours corriger avant la première injection.</w:t>
      </w:r>
    </w:p>
    <w:p>
      <w:pPr>
        <w:pStyle w:val="Compact"/>
        <w:numPr>
          <w:ilvl w:val="0"/>
          <w:numId w:val="1385"/>
        </w:numPr>
      </w:pPr>
      <w:r>
        <w:rPr>
          <w:b/>
          <w:bCs/>
        </w:rPr>
        <w:t xml:space="preserve">Règle de prise</w:t>
      </w:r>
      <w:r>
        <w:t xml:space="preserve"> </w:t>
      </w:r>
      <w:r>
        <w:t xml:space="preserve">: injection quotidienne à heure fixe (préférer le soir), à jeun non obligatoire, activité physique modérée.</w:t>
      </w:r>
    </w:p>
    <w:p>
      <w:pPr>
        <w:pStyle w:val="Compact"/>
        <w:numPr>
          <w:ilvl w:val="0"/>
          <w:numId w:val="1385"/>
        </w:numPr>
      </w:pPr>
      <w:r>
        <w:rPr>
          <w:b/>
          <w:bCs/>
        </w:rPr>
        <w:t xml:space="preserve">Préparation et Conservation</w:t>
      </w:r>
      <w:r>
        <w:t xml:space="preserve"> </w:t>
      </w:r>
      <w:r>
        <w:t xml:space="preserve">: conserver entre 15 °C et 25 °C, à l’abri de la lumière et du gel. Ne pas utiliser si la solution présente un trouble, des particules ou un changement de couleur. Jeter toute ampoule entamée.</w:t>
      </w:r>
    </w:p>
    <w:p>
      <w:pPr>
        <w:pStyle w:val="Compact"/>
        <w:numPr>
          <w:ilvl w:val="0"/>
          <w:numId w:val="1385"/>
        </w:numPr>
      </w:pPr>
      <w:r>
        <w:rPr>
          <w:b/>
          <w:bCs/>
        </w:rPr>
        <w:t xml:space="preserve">Piège du surdosage / Substitution</w:t>
      </w:r>
      <w:r>
        <w:t xml:space="preserve"> </w:t>
      </w:r>
      <w:r>
        <w:t xml:space="preserve">: ne jamais substituer Glucantime par Pentostam® (stibogluconate de sodium) sans recalculer la posologie (les deux produits contiennent 100 mg SbV/mL mais les présentations diffèrent en volume). En cas de rupture de stock, l’amphotéricine B liposomale est l’alternative validée.</w:t>
      </w:r>
    </w:p>
    <w:p>
      <w:r>
        <w:pict>
          <v:rect style="width:0;height:1.5pt" o:hralign="center" o:hrstd="t" o:hr="t"/>
        </w:pict>
      </w:r>
    </w:p>
    <w:bookmarkEnd w:id="164"/>
    <w:bookmarkEnd w:id="165"/>
    <w:bookmarkStart w:id="169" w:name="X7a32cc415ebb4991f8b3bf12ffa3eb9f5409f2a"/>
    <w:p>
      <w:pPr>
        <w:pStyle w:val="Heading2"/>
      </w:pPr>
      <w:r>
        <w:t xml:space="preserve">Sous-classe 2 — Antiparasitaires externes — Scabies et Pédiculose</w:t>
      </w:r>
    </w:p>
    <w:bookmarkStart w:id="166" w:name="cadre-nosologique"/>
    <w:p>
      <w:pPr>
        <w:pStyle w:val="Heading3"/>
      </w:pPr>
      <w:r>
        <w:t xml:space="preserve">Cadre nosologique</w:t>
      </w:r>
    </w:p>
    <w:p>
      <w:pPr>
        <w:pStyle w:val="FirstParagraph"/>
      </w:pPr>
      <w:r>
        <w:t xml:space="preserve">La</w:t>
      </w:r>
      <w:r>
        <w:t xml:space="preserve"> </w:t>
      </w:r>
      <w:r>
        <w:rPr>
          <w:b/>
          <w:bCs/>
        </w:rPr>
        <w:t xml:space="preserve">gale</w:t>
      </w:r>
      <w:r>
        <w:t xml:space="preserve"> </w:t>
      </w:r>
      <w:r>
        <w:t xml:space="preserve">(scabiose) est une dermatose parasitaire contagieuse due à l’acarien</w:t>
      </w:r>
      <w:r>
        <w:t xml:space="preserve"> </w:t>
      </w:r>
      <w:r>
        <w:rPr>
          <w:i/>
          <w:iCs/>
        </w:rPr>
        <w:t xml:space="preserve">Sarcoptes scabiei variété hominis</w:t>
      </w:r>
      <w:r>
        <w:t xml:space="preserve"> </w:t>
      </w:r>
      <w:r>
        <w:t xml:space="preserve">(Sarcoptidae). La femelle fécondée creuse des sillons intra-épidermiques (couche cornée) où elle dépose 2 à 3 œufs par jour pendant 1 à 2 mois. L’infestation provoque un prurit intensément nocturne, avec lésions de grattage, sillons interdigitaux, vésicules perlées des espaces interdigitaux, poignets, coudes, aisselles, ceinture, organes génitaux. La transmission est</w:t>
      </w:r>
      <w:r>
        <w:t xml:space="preserve"> </w:t>
      </w:r>
      <w:r>
        <w:rPr>
          <w:b/>
          <w:bCs/>
        </w:rPr>
        <w:t xml:space="preserve">directe</w:t>
      </w:r>
      <w:r>
        <w:t xml:space="preserve"> </w:t>
      </w:r>
      <w:r>
        <w:t xml:space="preserve">(peau à peau prolongé, familial, conjugal, collectivité : école, EHPAD, hôpital, prison) ou plus rarement</w:t>
      </w:r>
      <w:r>
        <w:t xml:space="preserve"> </w:t>
      </w:r>
      <w:r>
        <w:rPr>
          <w:b/>
          <w:bCs/>
        </w:rPr>
        <w:t xml:space="preserve">indirecte</w:t>
      </w:r>
      <w:r>
        <w:t xml:space="preserve"> </w:t>
      </w:r>
      <w:r>
        <w:t xml:space="preserve">(linge, literie — survie 36 à 72 h hors de l’hôte). La période d’incubation est de 3 à 4 semaines (première infestation) ; 1 à 4 jours en cas de réinfestation (réaction hypersensibilité immédiate). La</w:t>
      </w:r>
      <w:r>
        <w:t xml:space="preserve"> </w:t>
      </w:r>
      <w:r>
        <w:rPr>
          <w:b/>
          <w:bCs/>
        </w:rPr>
        <w:t xml:space="preserve">gale profuse</w:t>
      </w:r>
      <w:r>
        <w:t xml:space="preserve"> </w:t>
      </w:r>
      <w:r>
        <w:t xml:space="preserve">(ou « gale norvégienne » ou « gale croûteuse ») est une forme hyperkératosique hautement contagieuse, observée chez l’immunodéprimé, le sujet âgé, le patient trisomique ou le patient sous corticothérapie prolongée : charge parasitaire massive (jusqu’à 1 million de sarcoptes/g de peau), contagiosité extrême, traitement difficile requérant ivermectine PO + perméthrine topique répétées + isolement strict.</w:t>
      </w:r>
    </w:p>
    <w:p>
      <w:pPr>
        <w:pStyle w:val="BodyText"/>
      </w:pPr>
      <w:r>
        <w:t xml:space="preserve">La</w:t>
      </w:r>
      <w:r>
        <w:t xml:space="preserve"> </w:t>
      </w:r>
      <w:r>
        <w:rPr>
          <w:b/>
          <w:bCs/>
        </w:rPr>
        <w:t xml:space="preserve">pédiculose</w:t>
      </w:r>
      <w:r>
        <w:t xml:space="preserve"> </w:t>
      </w:r>
      <w:r>
        <w:t xml:space="preserve">est une ectoparasitose due à des insectes hématophages sans ailes du genre</w:t>
      </w:r>
      <w:r>
        <w:t xml:space="preserve"> </w:t>
      </w:r>
      <w:r>
        <w:rPr>
          <w:i/>
          <w:iCs/>
        </w:rPr>
        <w:t xml:space="preserve">Pediculus</w:t>
      </w:r>
      <w:r>
        <w:t xml:space="preserve"> </w:t>
      </w:r>
      <w:r>
        <w:t xml:space="preserve">ou</w:t>
      </w:r>
      <w:r>
        <w:t xml:space="preserve"> </w:t>
      </w:r>
      <w:r>
        <w:rPr>
          <w:i/>
          <w:iCs/>
        </w:rPr>
        <w:t xml:space="preserve">Phthirus</w:t>
      </w:r>
      <w:r>
        <w:t xml:space="preserve"> </w:t>
      </w:r>
      <w:r>
        <w:t xml:space="preserve">:</w:t>
      </w:r>
      <w:r>
        <w:t xml:space="preserve"> </w:t>
      </w:r>
      <w:r>
        <w:t xml:space="preserve">-</w:t>
      </w:r>
      <w:r>
        <w:t xml:space="preserve"> </w:t>
      </w:r>
      <w:r>
        <w:rPr>
          <w:i/>
          <w:iCs/>
        </w:rPr>
        <w:t xml:space="preserve">Pediculus humanus capitis</w:t>
      </w:r>
      <w:r>
        <w:t xml:space="preserve"> </w:t>
      </w:r>
      <w:r>
        <w:t xml:space="preserve">(pou de tête) : chez l’enfant scolaire (3-11 ans), transmission directe tête-à-tête ou indirecte (brosses, peignes, bonnets, doudou). Prurit cuir chevelu, lentes (œufs) blanches adhérentes à la tige pilaire à moins de 1 cm du cuir chevelu.</w:t>
      </w:r>
      <w:r>
        <w:t xml:space="preserve"> </w:t>
      </w:r>
      <w:r>
        <w:t xml:space="preserve">-</w:t>
      </w:r>
      <w:r>
        <w:t xml:space="preserve"> </w:t>
      </w:r>
      <w:r>
        <w:rPr>
          <w:i/>
          <w:iCs/>
        </w:rPr>
        <w:t xml:space="preserve">Pediculus humanus corporis</w:t>
      </w:r>
      <w:r>
        <w:t xml:space="preserve"> </w:t>
      </w:r>
      <w:r>
        <w:t xml:space="preserve">(pou de corps) : rare en Algérie hors contextes de précarité extrême (sans-abris, réfugiés). Vit dans le linge, vient piquer la nuit.</w:t>
      </w:r>
      <w:r>
        <w:t xml:space="preserve"> </w:t>
      </w:r>
      <w:r>
        <w:t xml:space="preserve">-</w:t>
      </w:r>
      <w:r>
        <w:t xml:space="preserve"> </w:t>
      </w:r>
      <w:r>
        <w:rPr>
          <w:i/>
          <w:iCs/>
        </w:rPr>
        <w:t xml:space="preserve">Phthirus pubis</w:t>
      </w:r>
      <w:r>
        <w:t xml:space="preserve"> </w:t>
      </w:r>
      <w:r>
        <w:t xml:space="preserve">(morpion) : transmission sexuelle le plus souvent ; prurit pubien, lentes sur poils pubiens, cils, sourcils.</w:t>
      </w:r>
    </w:p>
    <w:bookmarkEnd w:id="166"/>
    <w:bookmarkStart w:id="167" w:name="X29e98d4c6621011f77e9d8faa241918820b2dbc"/>
    <w:p>
      <w:pPr>
        <w:pStyle w:val="Heading3"/>
      </w:pPr>
      <w:r>
        <w:t xml:space="preserve">Molécules mondiales et disponibilité algérienne</w:t>
      </w:r>
    </w:p>
    <w:p>
      <w:pPr>
        <w:pStyle w:val="FirstParagraph"/>
      </w:pPr>
      <w:r>
        <w:t xml:space="preserve">L’arsenal mondial des antiparasitaires externes comprend :</w:t>
      </w:r>
    </w:p>
    <w:p>
      <w:pPr>
        <w:pStyle w:val="Compact"/>
        <w:numPr>
          <w:ilvl w:val="0"/>
          <w:numId w:val="1386"/>
        </w:numPr>
      </w:pPr>
      <w:r>
        <w:rPr>
          <w:b/>
          <w:bCs/>
        </w:rPr>
        <w:t xml:space="preserve">Pyréthrinoïdes de synthèse</w:t>
      </w:r>
      <w:r>
        <w:t xml:space="preserve"> </w:t>
      </w:r>
      <w:r>
        <w:t xml:space="preserve">: perméthrine 5 % (crème scabicide) et 1 % (lotion pédiculocide). Insecticide neurotoxique.</w:t>
      </w:r>
    </w:p>
    <w:p>
      <w:pPr>
        <w:pStyle w:val="Compact"/>
        <w:numPr>
          <w:ilvl w:val="0"/>
          <w:numId w:val="1386"/>
        </w:numPr>
      </w:pPr>
      <w:r>
        <w:rPr>
          <w:b/>
          <w:bCs/>
        </w:rPr>
        <w:t xml:space="preserve">Lindane (gamma-HCH)</w:t>
      </w:r>
      <w:r>
        <w:t xml:space="preserve"> </w:t>
      </w:r>
      <w:r>
        <w:t xml:space="preserve">: organochloré, autrefois référence,</w:t>
      </w:r>
      <w:r>
        <w:t xml:space="preserve"> </w:t>
      </w:r>
      <w:r>
        <w:rPr>
          <w:b/>
          <w:bCs/>
        </w:rPr>
        <w:t xml:space="preserve">interdit en Europe depuis 2008</w:t>
      </w:r>
      <w:r>
        <w:t xml:space="preserve"> </w:t>
      </w:r>
      <w:r>
        <w:t xml:space="preserve">(toxicité neurologique, cancérigène suspecté, écotoxicité). Non disponible en Algérie.</w:t>
      </w:r>
    </w:p>
    <w:p>
      <w:pPr>
        <w:pStyle w:val="Compact"/>
        <w:numPr>
          <w:ilvl w:val="0"/>
          <w:numId w:val="1386"/>
        </w:numPr>
      </w:pPr>
      <w:r>
        <w:rPr>
          <w:b/>
          <w:bCs/>
        </w:rPr>
        <w:t xml:space="preserve">Benzyl benzoate</w:t>
      </w:r>
      <w:r>
        <w:t xml:space="preserve"> </w:t>
      </w:r>
      <w:r>
        <w:t xml:space="preserve">: ester aromatique, scabicide historique (Ascabiol®). Non référencé dans la nomenclature algérienne Avril 2026.</w:t>
      </w:r>
    </w:p>
    <w:p>
      <w:pPr>
        <w:pStyle w:val="Compact"/>
        <w:numPr>
          <w:ilvl w:val="0"/>
          <w:numId w:val="1386"/>
        </w:numPr>
      </w:pPr>
      <w:r>
        <w:rPr>
          <w:b/>
          <w:bCs/>
        </w:rPr>
        <w:t xml:space="preserve">Crotamiton</w:t>
      </w:r>
      <w:r>
        <w:t xml:space="preserve"> </w:t>
      </w:r>
      <w:r>
        <w:t xml:space="preserve">: dérivé méthane-sulfonanilide, scabicide et anti-prurigineux. Disponible en Algérie.</w:t>
      </w:r>
    </w:p>
    <w:p>
      <w:pPr>
        <w:pStyle w:val="Compact"/>
        <w:numPr>
          <w:ilvl w:val="0"/>
          <w:numId w:val="1386"/>
        </w:numPr>
      </w:pPr>
      <w:r>
        <w:rPr>
          <w:b/>
          <w:bCs/>
        </w:rPr>
        <w:t xml:space="preserve">Malathion</w:t>
      </w:r>
      <w:r>
        <w:t xml:space="preserve"> </w:t>
      </w:r>
      <w:r>
        <w:t xml:space="preserve">: organophosphoré, pédiculocide (Prioderm®). Non disponible en spécialité commercialisée en Algérie (existe uniquement dans l’association retirée PARA PLUS).</w:t>
      </w:r>
    </w:p>
    <w:p>
      <w:pPr>
        <w:pStyle w:val="Compact"/>
        <w:numPr>
          <w:ilvl w:val="0"/>
          <w:numId w:val="1386"/>
        </w:numPr>
      </w:pPr>
      <w:r>
        <w:rPr>
          <w:b/>
          <w:bCs/>
        </w:rPr>
        <w:t xml:space="preserve">Spinosad</w:t>
      </w:r>
      <w:r>
        <w:t xml:space="preserve"> </w:t>
      </w:r>
      <w:r>
        <w:t xml:space="preserve">: cocktail de spinosynes A et D (naturelles,</w:t>
      </w:r>
      <w:r>
        <w:t xml:space="preserve"> </w:t>
      </w:r>
      <w:r>
        <w:rPr>
          <w:i/>
          <w:iCs/>
        </w:rPr>
        <w:t xml:space="preserve">Saccharopolyspora spinosa</w:t>
      </w:r>
      <w:r>
        <w:t xml:space="preserve">), pédiculocide. Non disponible en Algérie.</w:t>
      </w:r>
    </w:p>
    <w:p>
      <w:pPr>
        <w:pStyle w:val="Compact"/>
        <w:numPr>
          <w:ilvl w:val="0"/>
          <w:numId w:val="1386"/>
        </w:numPr>
      </w:pPr>
      <w:r>
        <w:rPr>
          <w:b/>
          <w:bCs/>
        </w:rPr>
        <w:t xml:space="preserve">Isotionate de pipéronyle</w:t>
      </w:r>
      <w:r>
        <w:t xml:space="preserve"> </w:t>
      </w:r>
      <w:r>
        <w:t xml:space="preserve">: synergiste d’insecticide, présent dans l’association PARA PLUS retirée.</w:t>
      </w:r>
    </w:p>
    <w:p>
      <w:pPr>
        <w:pStyle w:val="Compact"/>
        <w:numPr>
          <w:ilvl w:val="0"/>
          <w:numId w:val="1386"/>
        </w:numPr>
      </w:pPr>
      <w:r>
        <w:rPr>
          <w:b/>
          <w:bCs/>
        </w:rPr>
        <w:t xml:space="preserve">Diméticone</w:t>
      </w:r>
      <w:r>
        <w:t xml:space="preserve"> </w:t>
      </w:r>
      <w:r>
        <w:t xml:space="preserve">: silicone, pédiculocide par action physique. Forme pédiculocide non commercialisée en Algérie (seules les formes orales antiflatulentes sont dans le fichier).</w:t>
      </w:r>
    </w:p>
    <w:p>
      <w:pPr>
        <w:pStyle w:val="Compact"/>
        <w:numPr>
          <w:ilvl w:val="0"/>
          <w:numId w:val="1386"/>
        </w:numPr>
      </w:pPr>
      <w:r>
        <w:rPr>
          <w:b/>
          <w:bCs/>
        </w:rPr>
        <w:t xml:space="preserve">Ivermectine</w:t>
      </w:r>
      <w:r>
        <w:t xml:space="preserve"> </w:t>
      </w:r>
      <w:r>
        <w:t xml:space="preserve">: antihelminthique macrocyclique, indiqué dans la gale profuse et la gale commune en cas d’échec des topiques (Stromectol® 3 mg). Disponible en Algérie (traitée dans la section dédiée aux anthelminthiques systémiques).</w:t>
      </w:r>
    </w:p>
    <w:p>
      <w:pPr>
        <w:pStyle w:val="Compact"/>
        <w:numPr>
          <w:ilvl w:val="0"/>
          <w:numId w:val="1386"/>
        </w:numPr>
      </w:pPr>
      <w:r>
        <w:rPr>
          <w:b/>
          <w:bCs/>
        </w:rPr>
        <w:t xml:space="preserve">Soufre</w:t>
      </w:r>
      <w:r>
        <w:t xml:space="preserve"> </w:t>
      </w:r>
      <w:r>
        <w:t xml:space="preserve">en pommade (10-30 %) : historic, peu utilisé.</w:t>
      </w:r>
    </w:p>
    <w:p>
      <w:pPr>
        <w:pStyle w:val="Compact"/>
        <w:numPr>
          <w:ilvl w:val="0"/>
          <w:numId w:val="1386"/>
        </w:numPr>
      </w:pPr>
      <w:r>
        <w:rPr>
          <w:b/>
          <w:bCs/>
        </w:rPr>
        <w:t xml:space="preserve">Esculoside + pipéronyl butoxyde</w:t>
      </w:r>
      <w:r>
        <w:t xml:space="preserve"> </w:t>
      </w:r>
      <w:r>
        <w:t xml:space="preserve">: synergie vaso-protectrice.</w:t>
      </w:r>
    </w:p>
    <w:bookmarkEnd w:id="167"/>
    <w:bookmarkStart w:id="168" w:name="sous-classes-voisines-non-traitées-ici"/>
    <w:p>
      <w:pPr>
        <w:pStyle w:val="Heading3"/>
      </w:pPr>
      <w:r>
        <w:t xml:space="preserve">Sous-classes voisines non traitées ici</w:t>
      </w:r>
    </w:p>
    <w:p>
      <w:pPr>
        <w:pStyle w:val="Compact"/>
        <w:numPr>
          <w:ilvl w:val="0"/>
          <w:numId w:val="1387"/>
        </w:numPr>
      </w:pPr>
      <w:r>
        <w:rPr>
          <w:b/>
          <w:bCs/>
        </w:rPr>
        <w:t xml:space="preserve">Antiparasitaires externes — Associations pédiculose</w:t>
      </w:r>
      <w:r>
        <w:t xml:space="preserve"> </w:t>
      </w:r>
      <w:r>
        <w:t xml:space="preserve">: la seule association du fichier algérien est PARA PLUS (permethrine 1 g + malathion 0,5 g + butoxyde de pipéronyle 4 g + isododécane QSP 100 g, flacon pulvérisateur 116 g),</w:t>
      </w:r>
      <w:r>
        <w:t xml:space="preserve"> </w:t>
      </w:r>
      <w:r>
        <w:rPr>
          <w:b/>
          <w:bCs/>
        </w:rPr>
        <w:t xml:space="preserve">au statut RETRAIT</w:t>
      </w:r>
      <w:r>
        <w:t xml:space="preserve">. Elle combinait un pyréthrinoïde (perméthrine), un organophosphoré (malathion) et un synergiste (butoxyde de pipéronyle qui inhibe le cytochrome P450 de l’insecte et potentialise l’effet des pyréthrines) — stratégie de contournement des résistances, aujourd’hui retirée du marché algérien.</w:t>
      </w:r>
    </w:p>
    <w:p>
      <w:r>
        <w:pict>
          <v:rect style="width:0;height:1.5pt" o:hralign="center" o:hrstd="t" o:hr="t"/>
        </w:pict>
      </w:r>
    </w:p>
    <w:bookmarkEnd w:id="168"/>
    <w:bookmarkEnd w:id="169"/>
    <w:bookmarkStart w:id="181" w:name="fiche-2-permethrine-en-association"/>
    <w:p>
      <w:pPr>
        <w:pStyle w:val="Heading2"/>
      </w:pPr>
      <w:r>
        <w:t xml:space="preserve">Fiche 2 — Permethrine (En Association)</w:t>
      </w:r>
    </w:p>
    <w:bookmarkStart w:id="170" w:name="liste-des-catégories-1"/>
    <w:p>
      <w:pPr>
        <w:pStyle w:val="Heading3"/>
      </w:pPr>
      <w:r>
        <w:t xml:space="preserve">Liste des Catégories</w:t>
      </w:r>
    </w:p>
    <w:p>
      <w:pPr>
        <w:pStyle w:val="FirstParagraph"/>
      </w:pPr>
      <w:r>
        <w:t xml:space="preserve">Antiparasitaires externes — Scabies/Pédiculose ; Pyréthrinoïde de synthèse ; Insecticide neurotoxique topique.</w:t>
      </w:r>
    </w:p>
    <w:p>
      <w:pPr>
        <w:pStyle w:val="BodyText"/>
      </w:pPr>
      <w:r>
        <w:t xml:space="preserve">La</w:t>
      </w:r>
      <w:r>
        <w:t xml:space="preserve"> </w:t>
      </w:r>
      <w:r>
        <w:rPr>
          <w:b/>
          <w:bCs/>
        </w:rPr>
        <w:t xml:space="preserve">perméthrine</w:t>
      </w:r>
      <w:r>
        <w:t xml:space="preserve"> </w:t>
      </w:r>
      <w:r>
        <w:t xml:space="preserve">(synthétisée en 1973, dérivée de la pyréthrine naturelle extraite du chrysanthème</w:t>
      </w:r>
      <w:r>
        <w:t xml:space="preserve"> </w:t>
      </w:r>
      <w:r>
        <w:rPr>
          <w:i/>
          <w:iCs/>
        </w:rPr>
        <w:t xml:space="preserve">Chrysanthemum cinerariifolium</w:t>
      </w:r>
      <w:r>
        <w:t xml:space="preserve">) est un pyréthrinoïde de synthèse photo-stable, qui s’est imposé mondialement comme le</w:t>
      </w:r>
      <w:r>
        <w:t xml:space="preserve"> </w:t>
      </w:r>
      <w:r>
        <w:rPr>
          <w:b/>
          <w:bCs/>
        </w:rPr>
        <w:t xml:space="preserve">traitement topique de première ligne</w:t>
      </w:r>
      <w:r>
        <w:t xml:space="preserve"> </w:t>
      </w:r>
      <w:r>
        <w:t xml:space="preserve">de la gale commune (concentration 5 % en crème) et de la pédiculose du cuir chevelu (concentration 1 % en lotion). Son profil d’efficacité, de tolérance et de tolérance de la grossesse en fait la référence thérapeutique. Néanmoins, le fichier algérien Avril 2026 ne référence la perméthrine qu’au sein d’une</w:t>
      </w:r>
      <w:r>
        <w:t xml:space="preserve"> </w:t>
      </w:r>
      <w:r>
        <w:rPr>
          <w:b/>
          <w:bCs/>
        </w:rPr>
        <w:t xml:space="preserve">association pédiculocide (PARA PLUS), elle-même retirée du marché</w:t>
      </w:r>
      <w:r>
        <w:t xml:space="preserve">. Aucune spécialité de perméthrine 5 % crème (scabicide) ou 1 % lotion (pédiculocide) n’est actuellement disponible en spécialité commercialisée — situation qui impose au prescripteur et au pharmacien algérien de recourir à des alternatives (crotamiton, ivermectine PO, savon noir + peigne fin) ou à l’importation.</w:t>
      </w:r>
    </w:p>
    <w:bookmarkEnd w:id="170"/>
    <w:bookmarkStart w:id="171" w:name="Xf973c2acf8bf454c12f991444923ce7ac3d8159"/>
    <w:p>
      <w:pPr>
        <w:pStyle w:val="Heading3"/>
      </w:pPr>
      <w:r>
        <w:t xml:space="preserve">Médicaments disponibles en Algérie (Marques, Laboratoires, Formes et Dosages)</w:t>
      </w:r>
    </w:p>
    <w:p>
      <w:pPr>
        <w:pStyle w:val="Compact"/>
        <w:numPr>
          <w:ilvl w:val="0"/>
          <w:numId w:val="1388"/>
        </w:numPr>
      </w:pPr>
      <w:r>
        <w:rPr>
          <w:b/>
          <w:bCs/>
        </w:rPr>
        <w:t xml:space="preserve">PARA PLUS</w:t>
      </w:r>
      <w:r>
        <w:t xml:space="preserve"> </w:t>
      </w:r>
      <w:r>
        <w:t xml:space="preserve">(PHARMYGIENE-SCAT)</w:t>
      </w:r>
    </w:p>
    <w:p>
      <w:pPr>
        <w:pStyle w:val="Compact"/>
        <w:numPr>
          <w:ilvl w:val="1"/>
          <w:numId w:val="1389"/>
        </w:numPr>
      </w:pPr>
      <w:r>
        <w:t xml:space="preserve">Forme et Dosage : Solution pulvérisable cutanée, association perméthrine 1 g + malathion 0,5 g + butoxyde de pipéronyle 4 g + isododécane QSP 100 g de solution</w:t>
      </w:r>
    </w:p>
    <w:p>
      <w:pPr>
        <w:pStyle w:val="Compact"/>
        <w:numPr>
          <w:ilvl w:val="1"/>
          <w:numId w:val="1389"/>
        </w:numPr>
      </w:pPr>
      <w:r>
        <w:t xml:space="preserve">Conditionnement : Flacon pulvérisateur de 116 g</w:t>
      </w:r>
    </w:p>
    <w:p>
      <w:pPr>
        <w:pStyle w:val="Compact"/>
        <w:numPr>
          <w:ilvl w:val="1"/>
          <w:numId w:val="1389"/>
        </w:numPr>
      </w:pPr>
      <w:r>
        <w:t xml:space="preserve">Statut :</w:t>
      </w:r>
      <w:r>
        <w:t xml:space="preserve"> </w:t>
      </w:r>
      <w:r>
        <w:rPr>
          <w:b/>
          <w:bCs/>
        </w:rPr>
        <w:t xml:space="preserve">RETRAIT (R)</w:t>
      </w:r>
    </w:p>
    <w:p>
      <w:pPr>
        <w:pStyle w:val="FirstParagraph"/>
      </w:pPr>
      <w:r>
        <w:t xml:space="preserve">Aucune autre spécialité à base de perméthrine (ni en monothérapie 5 % crème pour la gale, ni en monothérapie 1 % lotion pour la pédiculose) n’est référencée comme active dans la nomenclature algérienne Avril 2026. Cette pénurie est problématique car la perméthrine 5 % représente le</w:t>
      </w:r>
      <w:r>
        <w:t xml:space="preserve"> </w:t>
      </w:r>
      <w:r>
        <w:rPr>
          <w:b/>
          <w:bCs/>
        </w:rPr>
        <w:t xml:space="preserve">traitement de référence international</w:t>
      </w:r>
      <w:r>
        <w:t xml:space="preserve"> </w:t>
      </w:r>
      <w:r>
        <w:t xml:space="preserve">de la gale commune. Les alternatives disponibles en Algérie sont : (1) le</w:t>
      </w:r>
      <w:r>
        <w:t xml:space="preserve"> </w:t>
      </w:r>
      <w:r>
        <w:rPr>
          <w:b/>
          <w:bCs/>
        </w:rPr>
        <w:t xml:space="preserve">crotamiton</w:t>
      </w:r>
      <w:r>
        <w:t xml:space="preserve"> </w:t>
      </w:r>
      <w:r>
        <w:t xml:space="preserve">(voir fiche suivante) — moins efficace mais utile en cas de prurit post-scabieux ; (2) l’</w:t>
      </w:r>
      <w:r>
        <w:rPr>
          <w:b/>
          <w:bCs/>
        </w:rPr>
        <w:t xml:space="preserve">ivermectine orale</w:t>
      </w:r>
      <w:r>
        <w:t xml:space="preserve"> </w:t>
      </w:r>
      <w:r>
        <w:t xml:space="preserve">(Stromectol®) en dose unique 200 µg/kg, indiquée dans la gale profuse, la gale en échec de topique, en collectivité ou chez le patient immunodéprimé ; (3) le</w:t>
      </w:r>
      <w:r>
        <w:t xml:space="preserve"> </w:t>
      </w:r>
      <w:r>
        <w:rPr>
          <w:b/>
          <w:bCs/>
        </w:rPr>
        <w:t xml:space="preserve">savon noir + peigne fin</w:t>
      </w:r>
      <w:r>
        <w:t xml:space="preserve"> </w:t>
      </w:r>
      <w:r>
        <w:t xml:space="preserve">pour pédiculose mécanique ; (4) les produits importés via procédure ATU ou le marché informel (non recommandé).</w:t>
      </w:r>
    </w:p>
    <w:bookmarkEnd w:id="171"/>
    <w:bookmarkStart w:id="172" w:name="sous-classe-et-mécanisme-daction-1"/>
    <w:p>
      <w:pPr>
        <w:pStyle w:val="Heading3"/>
      </w:pPr>
      <w:r>
        <w:t xml:space="preserve">Sous-classe et Mécanisme d’action</w:t>
      </w:r>
    </w:p>
    <w:p>
      <w:pPr>
        <w:pStyle w:val="Compact"/>
        <w:numPr>
          <w:ilvl w:val="0"/>
          <w:numId w:val="1390"/>
        </w:numPr>
      </w:pPr>
      <w:r>
        <w:rPr>
          <w:b/>
          <w:bCs/>
        </w:rPr>
        <w:t xml:space="preserve">Sous-classe</w:t>
      </w:r>
      <w:r>
        <w:t xml:space="preserve"> </w:t>
      </w:r>
      <w:r>
        <w:t xml:space="preserve">: Antiparasitaire externe, pyréthrinoïde de synthèse de type I (sans groupement cyano), insecticide neurotoxique d’effet de contact (ATC P03AC04).</w:t>
      </w:r>
    </w:p>
    <w:p>
      <w:pPr>
        <w:pStyle w:val="Compact"/>
        <w:numPr>
          <w:ilvl w:val="0"/>
          <w:numId w:val="1390"/>
        </w:numPr>
      </w:pPr>
      <w:r>
        <w:rPr>
          <w:b/>
          <w:bCs/>
        </w:rPr>
        <w:t xml:space="preserve">Mécanisme d’action</w:t>
      </w:r>
      <w:r>
        <w:t xml:space="preserve"> </w:t>
      </w:r>
      <w:r>
        <w:t xml:space="preserve">: la perméthrine est un neurotoxique qui agit sur le</w:t>
      </w:r>
      <w:r>
        <w:t xml:space="preserve"> </w:t>
      </w:r>
      <w:r>
        <w:rPr>
          <w:b/>
          <w:bCs/>
        </w:rPr>
        <w:t xml:space="preserve">système nerveux de l’arthropode</w:t>
      </w:r>
      <w:r>
        <w:t xml:space="preserve"> </w:t>
      </w:r>
      <w:r>
        <w:t xml:space="preserve">en se liant spécifiquement aux</w:t>
      </w:r>
      <w:r>
        <w:t xml:space="preserve"> </w:t>
      </w:r>
      <w:r>
        <w:rPr>
          <w:b/>
          <w:bCs/>
        </w:rPr>
        <w:t xml:space="preserve">canaux sodiques voltage-dépendants</w:t>
      </w:r>
      <w:r>
        <w:t xml:space="preserve"> </w:t>
      </w:r>
      <w:r>
        <w:t xml:space="preserve">des membranes axonales. Elle prolonge l’ouverture du canal Na⁺ lors de la dépolarisation, retardant sa fermeture (inactivation ralentie), ce qui entraîne une dépolarisation prolongée, des potentiels d’action répétitifs, une hyperexcitabilité, puis une</w:t>
      </w:r>
      <w:r>
        <w:t xml:space="preserve"> </w:t>
      </w:r>
      <w:r>
        <w:rPr>
          <w:b/>
          <w:bCs/>
        </w:rPr>
        <w:t xml:space="preserve">paralysie flasque</w:t>
      </w:r>
      <w:r>
        <w:t xml:space="preserve"> </w:t>
      </w:r>
      <w:r>
        <w:t xml:space="preserve">de l’insecte (effet</w:t>
      </w:r>
      <w:r>
        <w:t xml:space="preserve"> </w:t>
      </w:r>
      <w:r>
        <w:rPr>
          <w:i/>
          <w:iCs/>
        </w:rPr>
        <w:t xml:space="preserve">knock-down</w:t>
      </w:r>
      <w:r>
        <w:t xml:space="preserve">). À forte concentration ou exposition prolongée, l’effet devient léthal (effet</w:t>
      </w:r>
      <w:r>
        <w:t xml:space="preserve"> </w:t>
      </w:r>
      <w:r>
        <w:rPr>
          <w:i/>
          <w:iCs/>
        </w:rPr>
        <w:t xml:space="preserve">killing</w:t>
      </w:r>
      <w:r>
        <w:t xml:space="preserve">). Contrairement aux pyréthrines naturelles, la perméthrine est</w:t>
      </w:r>
      <w:r>
        <w:t xml:space="preserve"> </w:t>
      </w:r>
      <w:r>
        <w:rPr>
          <w:b/>
          <w:bCs/>
        </w:rPr>
        <w:t xml:space="preserve">photo-stable</w:t>
      </w:r>
      <w:r>
        <w:t xml:space="preserve"> </w:t>
      </w:r>
      <w:r>
        <w:t xml:space="preserve">(groupement chloro substituant la double liaison photosensible) et présente une</w:t>
      </w:r>
      <w:r>
        <w:t xml:space="preserve"> </w:t>
      </w:r>
      <w:r>
        <w:rPr>
          <w:b/>
          <w:bCs/>
        </w:rPr>
        <w:t xml:space="preserve">rétention cutanée</w:t>
      </w:r>
      <w:r>
        <w:t xml:space="preserve"> </w:t>
      </w:r>
      <w:r>
        <w:t xml:space="preserve">prolongée. Chez l’homme, l’absorption systémique est très faible (&lt; 2 % de la dose appliquée) grâce à une hydrolyse cutanée rapide par les estérases. Le butoxyde de pipéronyle, synergiste de l’association, inhibe le</w:t>
      </w:r>
      <w:r>
        <w:t xml:space="preserve"> </w:t>
      </w:r>
      <w:r>
        <w:rPr>
          <w:b/>
          <w:bCs/>
        </w:rPr>
        <w:t xml:space="preserve">cytochrome P450</w:t>
      </w:r>
      <w:r>
        <w:t xml:space="preserve"> </w:t>
      </w:r>
      <w:r>
        <w:t xml:space="preserve">(CYP6 M1) de l’insecte qui dégrade normalement les pyréthrinoïdes, augmentant ainsi l’efficacité insecticide de 10 à 300 fois et contournant les résistances.</w:t>
      </w:r>
    </w:p>
    <w:bookmarkEnd w:id="172"/>
    <w:bookmarkStart w:id="173" w:name="profil-pharmacologique-1"/>
    <w:p>
      <w:pPr>
        <w:pStyle w:val="Heading3"/>
      </w:pPr>
      <w:r>
        <w:t xml:space="preserve">Profil Pharmacologique</w:t>
      </w:r>
    </w:p>
    <w:p>
      <w:pPr>
        <w:pStyle w:val="Compact"/>
        <w:numPr>
          <w:ilvl w:val="0"/>
          <w:numId w:val="1391"/>
        </w:numPr>
      </w:pPr>
      <w:r>
        <w:rPr>
          <w:b/>
          <w:bCs/>
        </w:rPr>
        <w:t xml:space="preserve">Indications</w:t>
      </w:r>
      <w:r>
        <w:t xml:space="preserve"> </w:t>
      </w:r>
      <w:r>
        <w:t xml:space="preserve">(théoriques, selon RCP international, en l’absence de spécialité active en Algérie) :</w:t>
      </w:r>
    </w:p>
    <w:p>
      <w:pPr>
        <w:pStyle w:val="Compact"/>
        <w:numPr>
          <w:ilvl w:val="1"/>
          <w:numId w:val="1392"/>
        </w:numPr>
      </w:pPr>
      <w:r>
        <w:rPr>
          <w:b/>
          <w:bCs/>
        </w:rPr>
        <w:t xml:space="preserve">Gale commune</w:t>
      </w:r>
      <w:r>
        <w:t xml:space="preserve"> </w:t>
      </w:r>
      <w:r>
        <w:t xml:space="preserve">: perméthrine 5 % crème, application unique sur peau sèche, contact 8 à 12 h, rinçage. À renouveler à J7-J14.</w:t>
      </w:r>
    </w:p>
    <w:p>
      <w:pPr>
        <w:pStyle w:val="Compact"/>
        <w:numPr>
          <w:ilvl w:val="1"/>
          <w:numId w:val="1392"/>
        </w:numPr>
      </w:pPr>
      <w:r>
        <w:rPr>
          <w:b/>
          <w:bCs/>
        </w:rPr>
        <w:t xml:space="preserve">Gale profuse / gale norvégienne</w:t>
      </w:r>
      <w:r>
        <w:t xml:space="preserve"> </w:t>
      </w:r>
      <w:r>
        <w:t xml:space="preserve">: perméthrine 5 % crème tous les 2-3 jours pendant 1 à 2 semaines, associée à l’ivermectine orale 200 µg/kg à J1, J14, J28.</w:t>
      </w:r>
    </w:p>
    <w:p>
      <w:pPr>
        <w:pStyle w:val="Compact"/>
        <w:numPr>
          <w:ilvl w:val="1"/>
          <w:numId w:val="1392"/>
        </w:numPr>
      </w:pPr>
      <w:r>
        <w:rPr>
          <w:b/>
          <w:bCs/>
        </w:rPr>
        <w:t xml:space="preserve">Pédiculose capillaire</w:t>
      </w:r>
      <w:r>
        <w:t xml:space="preserve"> </w:t>
      </w:r>
      <w:r>
        <w:t xml:space="preserve">: perméthrine 1 % lotion, application 10 minutes sur cheveux secs, rinçage, renouvellement à J7.</w:t>
      </w:r>
    </w:p>
    <w:p>
      <w:pPr>
        <w:pStyle w:val="Compact"/>
        <w:numPr>
          <w:ilvl w:val="1"/>
          <w:numId w:val="1392"/>
        </w:numPr>
      </w:pPr>
      <w:r>
        <w:rPr>
          <w:b/>
          <w:bCs/>
        </w:rPr>
        <w:t xml:space="preserve">Pédiculose pubienne (phthiriose)</w:t>
      </w:r>
      <w:r>
        <w:t xml:space="preserve"> </w:t>
      </w:r>
      <w:r>
        <w:t xml:space="preserve">: perméthrine 1 % sur zone pubienne et périnéale.</w:t>
      </w:r>
    </w:p>
    <w:p>
      <w:pPr>
        <w:pStyle w:val="Compact"/>
        <w:numPr>
          <w:ilvl w:val="0"/>
          <w:numId w:val="1391"/>
        </w:numPr>
      </w:pPr>
      <w:r>
        <w:rPr>
          <w:b/>
          <w:bCs/>
        </w:rPr>
        <w:t xml:space="preserve">Contre-indications</w:t>
      </w:r>
      <w:r>
        <w:t xml:space="preserve"> </w:t>
      </w:r>
      <w:r>
        <w:t xml:space="preserve">:</w:t>
      </w:r>
    </w:p>
    <w:p>
      <w:pPr>
        <w:pStyle w:val="Compact"/>
        <w:numPr>
          <w:ilvl w:val="1"/>
          <w:numId w:val="1393"/>
        </w:numPr>
      </w:pPr>
      <w:r>
        <w:rPr>
          <w:b/>
          <w:bCs/>
        </w:rPr>
        <w:t xml:space="preserve">Absolues</w:t>
      </w:r>
      <w:r>
        <w:t xml:space="preserve"> </w:t>
      </w:r>
      <w:r>
        <w:t xml:space="preserve">: hypersensibilité aux pyréthrines, pyréthrinoïdes ou chrysanthèmes (allergie croisée) ; application sur peau lésée (plaie, eczéma surinfecté, muqueuse) ; nourrisson &lt; 2 mois (perméthrine 5 %, en raison de l’immaturité cutanée et du ratio surface/poids élevé majorant le passage systémique).</w:t>
      </w:r>
    </w:p>
    <w:p>
      <w:pPr>
        <w:pStyle w:val="Compact"/>
        <w:numPr>
          <w:ilvl w:val="1"/>
          <w:numId w:val="1393"/>
        </w:numPr>
      </w:pPr>
      <w:r>
        <w:rPr>
          <w:b/>
          <w:bCs/>
        </w:rPr>
        <w:t xml:space="preserve">Relatives</w:t>
      </w:r>
      <w:r>
        <w:t xml:space="preserve"> </w:t>
      </w:r>
      <w:r>
        <w:t xml:space="preserve">: grossesse (utilisable selon CRAT, mais à minimiser — voir infra) ; asthme (risque de bronchospasme par inhalation du spray) ; allaitement (rincer soigneusement le mamelon avant la tétée).</w:t>
      </w:r>
    </w:p>
    <w:p>
      <w:pPr>
        <w:pStyle w:val="Compact"/>
        <w:numPr>
          <w:ilvl w:val="0"/>
          <w:numId w:val="1391"/>
        </w:numPr>
      </w:pPr>
      <w:r>
        <w:rPr>
          <w:b/>
          <w:bCs/>
        </w:rPr>
        <w:t xml:space="preserve">Effets Indésirables</w:t>
      </w:r>
      <w:r>
        <w:t xml:space="preserve"> </w:t>
      </w:r>
      <w:r>
        <w:t xml:space="preserve">:</w:t>
      </w:r>
    </w:p>
    <w:p>
      <w:pPr>
        <w:pStyle w:val="Compact"/>
        <w:numPr>
          <w:ilvl w:val="1"/>
          <w:numId w:val="1394"/>
        </w:numPr>
      </w:pPr>
      <w:r>
        <w:rPr>
          <w:b/>
          <w:bCs/>
        </w:rPr>
        <w:t xml:space="preserve">Locaux cutanés</w:t>
      </w:r>
      <w:r>
        <w:t xml:space="preserve"> </w:t>
      </w:r>
      <w:r>
        <w:t xml:space="preserve">(les plus fréquents, 5-15 %) : prurit transitoire (paradoxal — majoration initiale liée à la mort des sarcoptes et libération d’antigènes), sensation de brûlure modérée, érythème, picotements, sécheresse cutanée, eczéma de contact allergique (rare).</w:t>
      </w:r>
    </w:p>
    <w:p>
      <w:pPr>
        <w:pStyle w:val="Compact"/>
        <w:numPr>
          <w:ilvl w:val="1"/>
          <w:numId w:val="1394"/>
        </w:numPr>
      </w:pPr>
      <w:r>
        <w:rPr>
          <w:b/>
          <w:bCs/>
        </w:rPr>
        <w:t xml:space="preserve">Systémiques</w:t>
      </w:r>
      <w:r>
        <w:t xml:space="preserve"> </w:t>
      </w:r>
      <w:r>
        <w:t xml:space="preserve">(très rares en usage topique correct) : paresthésies péribuccales, céphalées, nausées — en cas d’application étendue ou prolongée.</w:t>
      </w:r>
    </w:p>
    <w:p>
      <w:pPr>
        <w:pStyle w:val="Compact"/>
        <w:numPr>
          <w:ilvl w:val="1"/>
          <w:numId w:val="1394"/>
        </w:numPr>
      </w:pPr>
      <w:r>
        <w:rPr>
          <w:b/>
          <w:bCs/>
        </w:rPr>
        <w:t xml:space="preserve">Anaphylaxie</w:t>
      </w:r>
      <w:r>
        <w:t xml:space="preserve"> </w:t>
      </w:r>
      <w:r>
        <w:t xml:space="preserve">exceptionnelle chez le sujet allergique au chrysanthème.</w:t>
      </w:r>
    </w:p>
    <w:p>
      <w:pPr>
        <w:pStyle w:val="Compact"/>
        <w:numPr>
          <w:ilvl w:val="1"/>
          <w:numId w:val="1394"/>
        </w:numPr>
      </w:pPr>
      <w:r>
        <w:rPr>
          <w:b/>
          <w:bCs/>
        </w:rPr>
        <w:t xml:space="preserve">Neurotoxicité systémique</w:t>
      </w:r>
      <w:r>
        <w:t xml:space="preserve"> </w:t>
      </w:r>
      <w:r>
        <w:t xml:space="preserve">(cas pédiatrique &lt; 2 mois ou sur peau lésée) : convulsions, troubles de la conscience.</w:t>
      </w:r>
    </w:p>
    <w:bookmarkEnd w:id="173"/>
    <w:bookmarkStart w:id="174" w:name="Xe124b902ef4690fda217263adbf60e4df3d4d6f"/>
    <w:p>
      <w:pPr>
        <w:pStyle w:val="Heading3"/>
      </w:pPr>
      <w:r>
        <w:t xml:space="preserve">Prévention et Gestion des Effets Indésirables</w:t>
      </w:r>
    </w:p>
    <w:p>
      <w:pPr>
        <w:pStyle w:val="Compact"/>
        <w:numPr>
          <w:ilvl w:val="0"/>
          <w:numId w:val="1395"/>
        </w:numPr>
      </w:pPr>
      <w:r>
        <w:rPr>
          <w:b/>
          <w:bCs/>
        </w:rPr>
        <w:t xml:space="preserve">Mesures Préventives</w:t>
      </w:r>
      <w:r>
        <w:t xml:space="preserve"> </w:t>
      </w:r>
      <w:r>
        <w:t xml:space="preserve">:</w:t>
      </w:r>
    </w:p>
    <w:p>
      <w:pPr>
        <w:pStyle w:val="Compact"/>
        <w:numPr>
          <w:ilvl w:val="1"/>
          <w:numId w:val="1396"/>
        </w:numPr>
      </w:pPr>
      <w:r>
        <w:t xml:space="preserve">Vérifier l’absence d’allergie aux chrysanthèmes, marguerites, asters (astéracées) avant prescription.</w:t>
      </w:r>
    </w:p>
    <w:p>
      <w:pPr>
        <w:pStyle w:val="Compact"/>
        <w:numPr>
          <w:ilvl w:val="1"/>
          <w:numId w:val="1396"/>
        </w:numPr>
      </w:pPr>
      <w:r>
        <w:t xml:space="preserve">Éviter l’application sur peau lésée, érosive ou eczémateuse (majoration du passage systémique).</w:t>
      </w:r>
    </w:p>
    <w:p>
      <w:pPr>
        <w:pStyle w:val="Compact"/>
        <w:numPr>
          <w:ilvl w:val="1"/>
          <w:numId w:val="1396"/>
        </w:numPr>
      </w:pPr>
      <w:r>
        <w:t xml:space="preserve">Éviter tout contact avec les yeux, les muqueuses (bouche, nez, voies génitales) et les plaies. En cas de contact oculaire : rincer abondamment à l’eau pendant 15 minutes.</w:t>
      </w:r>
    </w:p>
    <w:p>
      <w:pPr>
        <w:pStyle w:val="Compact"/>
        <w:numPr>
          <w:ilvl w:val="1"/>
          <w:numId w:val="1396"/>
        </w:numPr>
      </w:pPr>
      <w:r>
        <w:t xml:space="preserve">Aérer la pièce pendant l’application (risque d’inhalation du solvant, surtout avec la forme spray).</w:t>
      </w:r>
    </w:p>
    <w:p>
      <w:pPr>
        <w:pStyle w:val="Compact"/>
        <w:numPr>
          <w:ilvl w:val="1"/>
          <w:numId w:val="1396"/>
        </w:numPr>
      </w:pPr>
      <w:r>
        <w:t xml:space="preserve">Chez l’enfant &lt; 2 ans : ne pas utiliser la perméthrine 5 % crème ; privilégier le crotamiton ou le savon soufré.</w:t>
      </w:r>
    </w:p>
    <w:p>
      <w:pPr>
        <w:pStyle w:val="Compact"/>
        <w:numPr>
          <w:ilvl w:val="1"/>
          <w:numId w:val="1396"/>
        </w:numPr>
      </w:pPr>
      <w:r>
        <w:t xml:space="preserve">Ne pas appliquer de chauffage (sèche-cheveux, lampe chauffante) sur la zone traitée — dégradation thermique du pyréthrinoïde.</w:t>
      </w:r>
    </w:p>
    <w:p>
      <w:pPr>
        <w:pStyle w:val="Compact"/>
        <w:numPr>
          <w:ilvl w:val="1"/>
          <w:numId w:val="1396"/>
        </w:numPr>
      </w:pPr>
      <w:r>
        <w:t xml:space="preserve">Port de gants en nitrile pour l’applicateur (surtout si fissures cutanées).</w:t>
      </w:r>
    </w:p>
    <w:p>
      <w:pPr>
        <w:pStyle w:val="Compact"/>
        <w:numPr>
          <w:ilvl w:val="0"/>
          <w:numId w:val="1395"/>
        </w:numPr>
      </w:pPr>
      <w:r>
        <w:rPr>
          <w:b/>
          <w:bCs/>
        </w:rPr>
        <w:t xml:space="preserve">Conduite à Tenir</w:t>
      </w:r>
      <w:r>
        <w:t xml:space="preserve"> </w:t>
      </w:r>
      <w:r>
        <w:t xml:space="preserve">:</w:t>
      </w:r>
    </w:p>
    <w:p>
      <w:pPr>
        <w:pStyle w:val="Compact"/>
        <w:numPr>
          <w:ilvl w:val="1"/>
          <w:numId w:val="1397"/>
        </w:numPr>
      </w:pPr>
      <w:r>
        <w:rPr>
          <w:b/>
          <w:bCs/>
        </w:rPr>
        <w:t xml:space="preserve">Prurit post-scabieux</w:t>
      </w:r>
      <w:r>
        <w:t xml:space="preserve"> </w:t>
      </w:r>
      <w:r>
        <w:t xml:space="preserve">: poursuivre le traitement (ne pas interpréter comme un échec), prescrire un antihistaminique sédatif (hydroxyzine 25 mg au coucher) ou non sédatif (cétirizine 10 mg/j) pendant 2-4 semaines ; émollients.</w:t>
      </w:r>
    </w:p>
    <w:p>
      <w:pPr>
        <w:pStyle w:val="Compact"/>
        <w:numPr>
          <w:ilvl w:val="1"/>
          <w:numId w:val="1397"/>
        </w:numPr>
      </w:pPr>
      <w:r>
        <w:rPr>
          <w:b/>
          <w:bCs/>
        </w:rPr>
        <w:t xml:space="preserve">Dermite de contact sévère</w:t>
      </w:r>
      <w:r>
        <w:t xml:space="preserve"> </w:t>
      </w:r>
      <w:r>
        <w:t xml:space="preserve">: arrêt, dermocorticoïde classe III, antihistaminique.</w:t>
      </w:r>
    </w:p>
    <w:p>
      <w:pPr>
        <w:pStyle w:val="Compact"/>
        <w:numPr>
          <w:ilvl w:val="1"/>
          <w:numId w:val="1397"/>
        </w:numPr>
      </w:pPr>
      <w:r>
        <w:rPr>
          <w:b/>
          <w:bCs/>
        </w:rPr>
        <w:t xml:space="preserve">Bronchospasme</w:t>
      </w:r>
      <w:r>
        <w:t xml:space="preserve"> </w:t>
      </w:r>
      <w:r>
        <w:t xml:space="preserve">(forme spray inhalée) : arrêt immédiat, bronchodilatateur β2-mimétique en aérosol, surveillance médicale 24 h.</w:t>
      </w:r>
    </w:p>
    <w:p>
      <w:pPr>
        <w:pStyle w:val="Compact"/>
        <w:numPr>
          <w:ilvl w:val="1"/>
          <w:numId w:val="1397"/>
        </w:numPr>
      </w:pPr>
      <w:r>
        <w:rPr>
          <w:b/>
          <w:bCs/>
        </w:rPr>
        <w:t xml:space="preserve">Signes systémiques</w:t>
      </w:r>
      <w:r>
        <w:t xml:space="preserve"> </w:t>
      </w:r>
      <w:r>
        <w:t xml:space="preserve">(convulsions, troubles de conscience chez le nourrisson) : arrêt, lavage cutané abondant, hospitalisation en urgence.</w:t>
      </w:r>
    </w:p>
    <w:bookmarkEnd w:id="174"/>
    <w:bookmarkStart w:id="175" w:name="interactions-importantes-1"/>
    <w:p>
      <w:pPr>
        <w:pStyle w:val="Heading3"/>
      </w:pPr>
      <w:r>
        <w:t xml:space="preserve">Interactions Importantes</w:t>
      </w:r>
    </w:p>
    <w:p>
      <w:pPr>
        <w:pStyle w:val="Compact"/>
        <w:numPr>
          <w:ilvl w:val="0"/>
          <w:numId w:val="1398"/>
        </w:numPr>
      </w:pPr>
      <w:r>
        <w:rPr>
          <w:b/>
          <w:bCs/>
        </w:rPr>
        <w:t xml:space="preserve">Permethrine topique + autres scabicides/pédiculocides</w:t>
      </w:r>
      <w:r>
        <w:t xml:space="preserve"> </w:t>
      </w:r>
      <w:r>
        <w:t xml:space="preserve">(lindane, malathion, benzyl benzoate, crotamiton) :</w:t>
      </w:r>
      <w:r>
        <w:t xml:space="preserve"> </w:t>
      </w:r>
      <w:r>
        <w:rPr>
          <w:b/>
          <w:bCs/>
        </w:rPr>
        <w:t xml:space="preserve">ne pas cumuler</w:t>
      </w:r>
      <w:r>
        <w:t xml:space="preserve"> </w:t>
      </w:r>
      <w:r>
        <w:t xml:space="preserve">sur la même zone (risque de toxicité neurologique additive, dermatite de contact). Espacer les applications de 24-48 h en cas de succession.</w:t>
      </w:r>
    </w:p>
    <w:p>
      <w:pPr>
        <w:pStyle w:val="Compact"/>
        <w:numPr>
          <w:ilvl w:val="0"/>
          <w:numId w:val="1398"/>
        </w:numPr>
      </w:pPr>
      <w:r>
        <w:rPr>
          <w:b/>
          <w:bCs/>
        </w:rPr>
        <w:t xml:space="preserve">Permethrine topique + corticoïdes topiques</w:t>
      </w:r>
      <w:r>
        <w:t xml:space="preserve"> </w:t>
      </w:r>
      <w:r>
        <w:t xml:space="preserve">: ne pas appliquer en simultané (le corticoïde majore le passage systémique de la perméthrine en réduisant la barrière cutanée).</w:t>
      </w:r>
    </w:p>
    <w:p>
      <w:pPr>
        <w:pStyle w:val="Compact"/>
        <w:numPr>
          <w:ilvl w:val="0"/>
          <w:numId w:val="1398"/>
        </w:numPr>
      </w:pPr>
      <w:r>
        <w:rPr>
          <w:b/>
          <w:bCs/>
        </w:rPr>
        <w:t xml:space="preserve">Permethrine + anticoagulants oraux</w:t>
      </w:r>
      <w:r>
        <w:t xml:space="preserve"> </w:t>
      </w:r>
      <w:r>
        <w:t xml:space="preserve">: aucune interaction documentée (faible absorption systémique).</w:t>
      </w:r>
    </w:p>
    <w:p>
      <w:pPr>
        <w:pStyle w:val="Compact"/>
        <w:numPr>
          <w:ilvl w:val="0"/>
          <w:numId w:val="1398"/>
        </w:numPr>
      </w:pPr>
      <w:r>
        <w:rPr>
          <w:b/>
          <w:bCs/>
        </w:rPr>
        <w:t xml:space="preserve">Permethrine topique + aminoglycosides topiques</w:t>
      </w:r>
      <w:r>
        <w:t xml:space="preserve"> </w:t>
      </w:r>
      <w:r>
        <w:t xml:space="preserve">(néomycine) : absence d’interaction connue mais surveillance en cas d’application étendue.</w:t>
      </w:r>
    </w:p>
    <w:p>
      <w:pPr>
        <w:pStyle w:val="Compact"/>
        <w:numPr>
          <w:ilvl w:val="0"/>
          <w:numId w:val="1398"/>
        </w:numPr>
      </w:pPr>
      <w:r>
        <w:rPr>
          <w:b/>
          <w:bCs/>
        </w:rPr>
        <w:t xml:space="preserve">Incompatibilité galénique</w:t>
      </w:r>
      <w:r>
        <w:t xml:space="preserve"> </w:t>
      </w:r>
      <w:r>
        <w:t xml:space="preserve">avec le silicone (diméticone) : ne pas appliquer en simultané (compétition de pénétration).</w:t>
      </w:r>
    </w:p>
    <w:bookmarkEnd w:id="175"/>
    <w:bookmarkStart w:id="176" w:name="grossesse-et-allaitement-1"/>
    <w:p>
      <w:pPr>
        <w:pStyle w:val="Heading3"/>
      </w:pPr>
      <w:r>
        <w:t xml:space="preserve">Grossesse et Allaitement</w:t>
      </w:r>
    </w:p>
    <w:p>
      <w:pPr>
        <w:pStyle w:val="Compact"/>
        <w:numPr>
          <w:ilvl w:val="0"/>
          <w:numId w:val="1399"/>
        </w:numPr>
      </w:pPr>
      <w:r>
        <w:rPr>
          <w:b/>
          <w:bCs/>
        </w:rPr>
        <w:t xml:space="preserve">Grossesse</w:t>
      </w:r>
      <w:r>
        <w:t xml:space="preserve"> </w:t>
      </w:r>
      <w:r>
        <w:t xml:space="preserve">: selon le CRAT, l’usage topique de la perméthrine (5 % crème pour la gale, 1 % lotion pour la pédiculose) est</w:t>
      </w:r>
      <w:r>
        <w:t xml:space="preserve"> </w:t>
      </w:r>
      <w:r>
        <w:rPr>
          <w:b/>
          <w:bCs/>
        </w:rPr>
        <w:t xml:space="preserve">autorisé à tous les trimestres de grossesse</w:t>
      </w:r>
      <w:r>
        <w:t xml:space="preserve">, avec un bénéfice/risque favorable. L’absorption systémique maternelle est négligeable (&lt; 2 %), et aucune toxicité fœtale (malformation, avortement, retard de croissance) n’a été documentée dans les séries publiées. La perméthrine est donc le</w:t>
      </w:r>
      <w:r>
        <w:t xml:space="preserve"> </w:t>
      </w:r>
      <w:r>
        <w:rPr>
          <w:b/>
          <w:bCs/>
        </w:rPr>
        <w:t xml:space="preserve">scabicide de première intention chez la femme enceinte</w:t>
      </w:r>
      <w:r>
        <w:t xml:space="preserve">. À utiliser en application unique, en respectant strictement le temps de contact.</w:t>
      </w:r>
    </w:p>
    <w:p>
      <w:pPr>
        <w:pStyle w:val="Compact"/>
        <w:numPr>
          <w:ilvl w:val="0"/>
          <w:numId w:val="1399"/>
        </w:numPr>
      </w:pPr>
      <w:r>
        <w:rPr>
          <w:b/>
          <w:bCs/>
        </w:rPr>
        <w:t xml:space="preserve">Allaitement</w:t>
      </w:r>
      <w:r>
        <w:t xml:space="preserve"> </w:t>
      </w:r>
      <w:r>
        <w:t xml:space="preserve">: autorisé selon le CRAT. Éviter l’application sur le mamelon et l’aréole ; rincer soigneusement le sein avant la tétée. La perméthrine 1 % lotion est le traitement de choix de la pédiculose capillaire chez la femme allaitante.</w:t>
      </w:r>
    </w:p>
    <w:p>
      <w:pPr>
        <w:pStyle w:val="Compact"/>
        <w:numPr>
          <w:ilvl w:val="0"/>
          <w:numId w:val="1399"/>
        </w:numPr>
      </w:pPr>
      <w:r>
        <w:rPr>
          <w:b/>
          <w:bCs/>
        </w:rPr>
        <w:t xml:space="preserve">Précisions</w:t>
      </w:r>
      <w:r>
        <w:t xml:space="preserve"> </w:t>
      </w:r>
      <w:r>
        <w:t xml:space="preserve">: éviter la forme spray (PARA PLUS, retirée) chez la femme enceinte (risque d’inhalation). Préférer la forme crème/lotion. Le crotamiton est une alternative raisonnable mais moins efficace.</w:t>
      </w:r>
    </w:p>
    <w:bookmarkEnd w:id="176"/>
    <w:bookmarkStart w:id="177" w:name="X51d150452b1726e20e84700ecd179b49876a239"/>
    <w:p>
      <w:pPr>
        <w:pStyle w:val="Heading3"/>
      </w:pPr>
      <w:r>
        <w:t xml:space="preserve">Posologie et Mode d’administration (Standard)</w:t>
      </w:r>
    </w:p>
    <w:p>
      <w:pPr>
        <w:pStyle w:val="Compact"/>
        <w:numPr>
          <w:ilvl w:val="0"/>
          <w:numId w:val="1400"/>
        </w:numPr>
      </w:pPr>
      <w:r>
        <w:rPr>
          <w:b/>
          <w:bCs/>
        </w:rPr>
        <w:t xml:space="preserve">Adulte — Gale commune (perméthrine 5 % crème)</w:t>
      </w:r>
      <w:r>
        <w:t xml:space="preserve"> </w:t>
      </w:r>
      <w:r>
        <w:t xml:space="preserve">:</w:t>
      </w:r>
    </w:p>
    <w:p>
      <w:pPr>
        <w:pStyle w:val="Compact"/>
        <w:numPr>
          <w:ilvl w:val="1"/>
          <w:numId w:val="1401"/>
        </w:numPr>
      </w:pPr>
      <w:r>
        <w:t xml:space="preserve">Application unique sur peau sèche et propre, après bain tiède (ne pas utiliser d’eau chaude qui dilate les vaisseaux et majore l’absorption).</w:t>
      </w:r>
    </w:p>
    <w:p>
      <w:pPr>
        <w:pStyle w:val="Compact"/>
        <w:numPr>
          <w:ilvl w:val="1"/>
          <w:numId w:val="1401"/>
        </w:numPr>
      </w:pPr>
      <w:r>
        <w:t xml:space="preserve">Appliquer en couche fine sur</w:t>
      </w:r>
      <w:r>
        <w:t xml:space="preserve"> </w:t>
      </w:r>
      <w:r>
        <w:rPr>
          <w:b/>
          <w:bCs/>
        </w:rPr>
        <w:t xml:space="preserve">l’ensemble du tégument</w:t>
      </w:r>
      <w:r>
        <w:t xml:space="preserve">, de la plante des pieds à la racine des cheveux, en insistant sur les zones de prédilection du sarcopte (espaces interdigitaux, poignets, coudes, aisselles, ombilic, fesses, organes génitaux, espaces interdigitaux des orteils). Éviter le visage et les muqueuses.</w:t>
      </w:r>
    </w:p>
    <w:p>
      <w:pPr>
        <w:pStyle w:val="Compact"/>
        <w:numPr>
          <w:ilvl w:val="1"/>
          <w:numId w:val="1401"/>
        </w:numPr>
      </w:pPr>
      <w:r>
        <w:rPr>
          <w:b/>
          <w:bCs/>
        </w:rPr>
        <w:t xml:space="preserve">Temps de contact</w:t>
      </w:r>
      <w:r>
        <w:t xml:space="preserve"> </w:t>
      </w:r>
      <w:r>
        <w:t xml:space="preserve">: 8 à 12 heures (en pratique : application le soir, rinçage le lendemain matin). Ne pas dépasser 12 h.</w:t>
      </w:r>
    </w:p>
    <w:p>
      <w:pPr>
        <w:pStyle w:val="Compact"/>
        <w:numPr>
          <w:ilvl w:val="1"/>
          <w:numId w:val="1401"/>
        </w:numPr>
      </w:pPr>
      <w:r>
        <w:rPr>
          <w:b/>
          <w:bCs/>
        </w:rPr>
        <w:t xml:space="preserve">Renouvellement</w:t>
      </w:r>
      <w:r>
        <w:t xml:space="preserve"> </w:t>
      </w:r>
      <w:r>
        <w:t xml:space="preserve">: recommandé systématiquement à J7-J14 (cycle ovulaire) pour traiter les œufs éclos après la première application.</w:t>
      </w:r>
    </w:p>
    <w:p>
      <w:pPr>
        <w:pStyle w:val="Compact"/>
        <w:numPr>
          <w:ilvl w:val="1"/>
          <w:numId w:val="1401"/>
        </w:numPr>
      </w:pPr>
      <w:r>
        <w:t xml:space="preserve">En cas de gale profuse : applications répétées tous les 2 à 3 jours pendant 1 à 2 semaines.</w:t>
      </w:r>
    </w:p>
    <w:p>
      <w:pPr>
        <w:pStyle w:val="Compact"/>
        <w:numPr>
          <w:ilvl w:val="0"/>
          <w:numId w:val="1400"/>
        </w:numPr>
      </w:pPr>
      <w:r>
        <w:rPr>
          <w:b/>
          <w:bCs/>
        </w:rPr>
        <w:t xml:space="preserve">Adulte — Pédiculose capillaire (perméthrine 1 % lotion)</w:t>
      </w:r>
      <w:r>
        <w:t xml:space="preserve"> </w:t>
      </w:r>
      <w:r>
        <w:t xml:space="preserve">:</w:t>
      </w:r>
    </w:p>
    <w:p>
      <w:pPr>
        <w:pStyle w:val="Compact"/>
        <w:numPr>
          <w:ilvl w:val="1"/>
          <w:numId w:val="1402"/>
        </w:numPr>
      </w:pPr>
      <w:r>
        <w:t xml:space="preserve">Application sur cheveux secs et démêlés, suffisamment pour imprégner l’ensemble du cuir chevelu et de la chevelure.</w:t>
      </w:r>
    </w:p>
    <w:p>
      <w:pPr>
        <w:pStyle w:val="Compact"/>
        <w:numPr>
          <w:ilvl w:val="1"/>
          <w:numId w:val="1402"/>
        </w:numPr>
      </w:pPr>
      <w:r>
        <w:t xml:space="preserve">Temps de contact : 10 minutes, puis rinçage à l’eau tiède.</w:t>
      </w:r>
    </w:p>
    <w:p>
      <w:pPr>
        <w:pStyle w:val="Compact"/>
        <w:numPr>
          <w:ilvl w:val="1"/>
          <w:numId w:val="1402"/>
        </w:numPr>
      </w:pPr>
      <w:r>
        <w:t xml:space="preserve">Démêlage au peigne fin (dents serrées 0,3 mm) pour retirer les lentes.</w:t>
      </w:r>
    </w:p>
    <w:p>
      <w:pPr>
        <w:pStyle w:val="Compact"/>
        <w:numPr>
          <w:ilvl w:val="1"/>
          <w:numId w:val="1402"/>
        </w:numPr>
      </w:pPr>
      <w:r>
        <w:t xml:space="preserve">Renouvellement à J7-J10.</w:t>
      </w:r>
    </w:p>
    <w:p>
      <w:pPr>
        <w:pStyle w:val="Compact"/>
        <w:numPr>
          <w:ilvl w:val="0"/>
          <w:numId w:val="1400"/>
        </w:numPr>
      </w:pPr>
      <w:r>
        <w:rPr>
          <w:b/>
          <w:bCs/>
        </w:rPr>
        <w:t xml:space="preserve">Enfant</w:t>
      </w:r>
      <w:r>
        <w:t xml:space="preserve"> </w:t>
      </w:r>
      <w:r>
        <w:t xml:space="preserve">:</w:t>
      </w:r>
    </w:p>
    <w:p>
      <w:pPr>
        <w:pStyle w:val="Compact"/>
        <w:numPr>
          <w:ilvl w:val="1"/>
          <w:numId w:val="1403"/>
        </w:numPr>
      </w:pPr>
      <w:r>
        <w:rPr>
          <w:b/>
          <w:bCs/>
        </w:rPr>
        <w:t xml:space="preserve">&gt; 2 mois</w:t>
      </w:r>
      <w:r>
        <w:t xml:space="preserve"> </w:t>
      </w:r>
      <w:r>
        <w:t xml:space="preserve">: perméthrine 5 % crème (gale) à posologie adulte (en mg/kg via la surface corporelle, application identique).</w:t>
      </w:r>
    </w:p>
    <w:p>
      <w:pPr>
        <w:pStyle w:val="Compact"/>
        <w:numPr>
          <w:ilvl w:val="1"/>
          <w:numId w:val="1403"/>
        </w:numPr>
      </w:pPr>
      <w:r>
        <w:rPr>
          <w:b/>
          <w:bCs/>
        </w:rPr>
        <w:t xml:space="preserve">&lt; 2 mois</w:t>
      </w:r>
      <w:r>
        <w:t xml:space="preserve"> </w:t>
      </w:r>
      <w:r>
        <w:t xml:space="preserve">: ne pas utiliser la perméthrine 5 % ; préférer le crotamiton ou l’ivermectine en ATU.</w:t>
      </w:r>
    </w:p>
    <w:p>
      <w:pPr>
        <w:pStyle w:val="Compact"/>
        <w:numPr>
          <w:ilvl w:val="1"/>
          <w:numId w:val="1403"/>
        </w:numPr>
      </w:pPr>
      <w:r>
        <w:t xml:space="preserve">Pédiculose capillaire enfant &gt; 6 mois : perméthrine 1 % lotion, mêmes modalités.</w:t>
      </w:r>
    </w:p>
    <w:p>
      <w:pPr>
        <w:pStyle w:val="Compact"/>
        <w:numPr>
          <w:ilvl w:val="0"/>
          <w:numId w:val="1400"/>
        </w:numPr>
      </w:pPr>
      <w:r>
        <w:rPr>
          <w:b/>
          <w:bCs/>
        </w:rPr>
        <w:t xml:space="preserve">Durée</w:t>
      </w:r>
      <w:r>
        <w:t xml:space="preserve"> </w:t>
      </w:r>
      <w:r>
        <w:t xml:space="preserve">: gale : 2 applications à 7-14 jours d’intervalle ; pédiculose : 2 applications à 7-10 jours d’intervalle.</w:t>
      </w:r>
    </w:p>
    <w:p>
      <w:pPr>
        <w:pStyle w:val="Compact"/>
        <w:numPr>
          <w:ilvl w:val="0"/>
          <w:numId w:val="1400"/>
        </w:numPr>
      </w:pPr>
      <w:r>
        <w:rPr>
          <w:b/>
          <w:bCs/>
        </w:rPr>
        <w:t xml:space="preserve">Moment d’administration</w:t>
      </w:r>
      <w:r>
        <w:t xml:space="preserve"> </w:t>
      </w:r>
      <w:r>
        <w:t xml:space="preserve">: application le soir pour la gale (permet le contact nocturne), à n’importe quel moment pour la pédiculose.</w:t>
      </w:r>
    </w:p>
    <w:bookmarkEnd w:id="177"/>
    <w:bookmarkStart w:id="178" w:name="X48a06934d6bda0345c82709866a1956a32ab2bd"/>
    <w:p>
      <w:pPr>
        <w:pStyle w:val="Heading3"/>
      </w:pPr>
      <w:r>
        <w:t xml:space="preserve">Arbitrage et Bénéfices des Formes Galéniques</w:t>
      </w:r>
    </w:p>
    <w:p>
      <w:pPr>
        <w:pStyle w:val="FirstParagraph"/>
      </w:pPr>
      <w:r>
        <w:t xml:space="preserve">La</w:t>
      </w:r>
      <w:r>
        <w:t xml:space="preserve"> </w:t>
      </w:r>
      <w:r>
        <w:rPr>
          <w:b/>
          <w:bCs/>
        </w:rPr>
        <w:t xml:space="preserve">crème 5 %</w:t>
      </w:r>
      <w:r>
        <w:t xml:space="preserve"> </w:t>
      </w:r>
      <w:r>
        <w:t xml:space="preserve">est la forme de référence pour la gale car elle assure une imprégnation prolongée du stratum corneum (lieu de vie du sarcopte) avec un temps de contact de 8-12 h compatible avec une application nocturne. La</w:t>
      </w:r>
      <w:r>
        <w:t xml:space="preserve"> </w:t>
      </w:r>
      <w:r>
        <w:rPr>
          <w:b/>
          <w:bCs/>
        </w:rPr>
        <w:t xml:space="preserve">lotion 1 %</w:t>
      </w:r>
      <w:r>
        <w:t xml:space="preserve"> </w:t>
      </w:r>
      <w:r>
        <w:t xml:space="preserve">est préférée pour la pédiculose car elle pénètre facilement entre les cheveux et atteint les poux et les lentes, avec un temps de contact court (10 min) suffisant pour l’effet léthal. La</w:t>
      </w:r>
      <w:r>
        <w:t xml:space="preserve"> </w:t>
      </w:r>
      <w:r>
        <w:rPr>
          <w:b/>
          <w:bCs/>
        </w:rPr>
        <w:t xml:space="preserve">solution pulvérisable</w:t>
      </w:r>
      <w:r>
        <w:t xml:space="preserve"> </w:t>
      </w:r>
      <w:r>
        <w:t xml:space="preserve">(PARA PLUS) présente l’avantage de la facilité d’application dans les cheveux longs et épais mais expose au risque d’inhalation du solvant (isododécane) et de bronchospasme chez l’asthmatique ; elle est de plus retirée du marché. Le pharmacien algérien, en l’absence de perméthrine disponible, devra</w:t>
      </w:r>
      <w:r>
        <w:t xml:space="preserve"> </w:t>
      </w:r>
      <w:r>
        <w:rPr>
          <w:b/>
          <w:bCs/>
        </w:rPr>
        <w:t xml:space="preserve">orienter le patient vers des alternatives validées</w:t>
      </w:r>
      <w:r>
        <w:t xml:space="preserve"> </w:t>
      </w:r>
      <w:r>
        <w:t xml:space="preserve">: crotamiton (disponible), ivermectine PO (gale profuse), peigne fin + savon noir (pédiculose), et éventuellement importation de Lyclear® (perméthrine 1 %) ou Nix® (perméthrine 1 %) ou Acticin® (perméthrine 5 %) via pharmacien transfrontalier.</w:t>
      </w:r>
    </w:p>
    <w:bookmarkEnd w:id="178"/>
    <w:bookmarkStart w:id="179" w:name="instructions-et-conseils-au-patient-1"/>
    <w:p>
      <w:pPr>
        <w:pStyle w:val="Heading3"/>
      </w:pPr>
      <w:r>
        <w:t xml:space="preserve">Instructions et Conseils au Patient</w:t>
      </w:r>
    </w:p>
    <w:p>
      <w:pPr>
        <w:pStyle w:val="Compact"/>
        <w:numPr>
          <w:ilvl w:val="0"/>
          <w:numId w:val="1404"/>
        </w:numPr>
      </w:pPr>
      <w:r>
        <w:rPr>
          <w:b/>
          <w:bCs/>
        </w:rPr>
        <w:t xml:space="preserve">Communication au comptoir</w:t>
      </w:r>
      <w:r>
        <w:t xml:space="preserve"> </w:t>
      </w:r>
      <w:r>
        <w:t xml:space="preserve">:</w:t>
      </w:r>
    </w:p>
    <w:p>
      <w:pPr>
        <w:pStyle w:val="Compact"/>
        <w:numPr>
          <w:ilvl w:val="1"/>
          <w:numId w:val="1405"/>
        </w:numPr>
      </w:pPr>
      <w:r>
        <w:t xml:space="preserve">Insister sur la</w:t>
      </w:r>
      <w:r>
        <w:t xml:space="preserve"> </w:t>
      </w:r>
      <w:r>
        <w:rPr>
          <w:b/>
          <w:bCs/>
        </w:rPr>
        <w:t xml:space="preserve">2e application à J7-J14</w:t>
      </w:r>
      <w:r>
        <w:t xml:space="preserve"> </w:t>
      </w:r>
      <w:r>
        <w:t xml:space="preserve">: la 1re application tue les sarcoptes adultes mais pas les œufs ; la 2e application tue les larves écloses. Sans 2e application, l’échec est quasi constant.</w:t>
      </w:r>
    </w:p>
    <w:p>
      <w:pPr>
        <w:pStyle w:val="Compact"/>
        <w:numPr>
          <w:ilvl w:val="1"/>
          <w:numId w:val="1405"/>
        </w:numPr>
      </w:pPr>
      <w:r>
        <w:rPr>
          <w:b/>
          <w:bCs/>
        </w:rPr>
        <w:t xml:space="preserve">Traitement de l’entourage</w:t>
      </w:r>
      <w:r>
        <w:t xml:space="preserve"> </w:t>
      </w:r>
      <w:r>
        <w:t xml:space="preserve">: traiter simultanément tous les membres du foyer, y compris asymptomatiques (incubation 3-4 semaines, contagiosité pré-symptomatique), pour éviter la réinfestation en ping-pong.</w:t>
      </w:r>
    </w:p>
    <w:p>
      <w:pPr>
        <w:pStyle w:val="Compact"/>
        <w:numPr>
          <w:ilvl w:val="1"/>
          <w:numId w:val="1405"/>
        </w:numPr>
      </w:pPr>
      <w:r>
        <w:rPr>
          <w:b/>
          <w:bCs/>
        </w:rPr>
        <w:t xml:space="preserve">Désinfection du linge et de la literie</w:t>
      </w:r>
      <w:r>
        <w:t xml:space="preserve"> </w:t>
      </w:r>
      <w:r>
        <w:t xml:space="preserve">: lavage à 60 °C du linge de lit, des vêtements et des serviettes utilisés dans les 48 h précédant le traitement ; séchage en machine chaude (≥ 60 °C) ; pour les articles non lavables, mise en sac plastique fermé pendant 7 jours (les sarcoptes meurent en 36-72 h hors contact humain).</w:t>
      </w:r>
    </w:p>
    <w:p>
      <w:pPr>
        <w:pStyle w:val="Compact"/>
        <w:numPr>
          <w:ilvl w:val="1"/>
          <w:numId w:val="1405"/>
        </w:numPr>
      </w:pPr>
      <w:r>
        <w:t xml:space="preserve">Le</w:t>
      </w:r>
      <w:r>
        <w:t xml:space="preserve"> </w:t>
      </w:r>
      <w:r>
        <w:rPr>
          <w:b/>
          <w:bCs/>
        </w:rPr>
        <w:t xml:space="preserve">prurit peut persister 2 à 4 semaines</w:t>
      </w:r>
      <w:r>
        <w:t xml:space="preserve"> </w:t>
      </w:r>
      <w:r>
        <w:t xml:space="preserve">après traitement efficace (persistance des antigènes parasitaires morts dans la peau) — ce n’est pas un signe d’échec. Éviter le surtraitement.</w:t>
      </w:r>
    </w:p>
    <w:p>
      <w:pPr>
        <w:pStyle w:val="Compact"/>
        <w:numPr>
          <w:ilvl w:val="0"/>
          <w:numId w:val="1404"/>
        </w:numPr>
      </w:pPr>
      <w:r>
        <w:rPr>
          <w:b/>
          <w:bCs/>
        </w:rPr>
        <w:t xml:space="preserve">Mode d’utilisation pratique</w:t>
      </w:r>
      <w:r>
        <w:t xml:space="preserve"> </w:t>
      </w:r>
      <w:r>
        <w:t xml:space="preserve">:</w:t>
      </w:r>
    </w:p>
    <w:p>
      <w:pPr>
        <w:pStyle w:val="Compact"/>
        <w:numPr>
          <w:ilvl w:val="1"/>
          <w:numId w:val="1406"/>
        </w:numPr>
      </w:pPr>
      <w:r>
        <w:t xml:space="preserve">Bain tiède préalable, séchage soigneux (peau parfaitement sèche).</w:t>
      </w:r>
    </w:p>
    <w:p>
      <w:pPr>
        <w:pStyle w:val="Compact"/>
        <w:numPr>
          <w:ilvl w:val="1"/>
          <w:numId w:val="1406"/>
        </w:numPr>
      </w:pPr>
      <w:r>
        <w:t xml:space="preserve">Application de la tête aux pieds, y compris sous les ongles, entre les orteils, dans les plis.</w:t>
      </w:r>
    </w:p>
    <w:p>
      <w:pPr>
        <w:pStyle w:val="Compact"/>
        <w:numPr>
          <w:ilvl w:val="1"/>
          <w:numId w:val="1406"/>
        </w:numPr>
      </w:pPr>
      <w:r>
        <w:t xml:space="preserve">Éviter le visage, les yeux, la bouche, les muqueuses génitales.</w:t>
      </w:r>
    </w:p>
    <w:p>
      <w:pPr>
        <w:pStyle w:val="Compact"/>
        <w:numPr>
          <w:ilvl w:val="1"/>
          <w:numId w:val="1406"/>
        </w:numPr>
      </w:pPr>
      <w:r>
        <w:t xml:space="preserve">Se laver les mains après application, sauf si ce sont les mains qui sont traitées (mettre des gants en coton pour la nuit).</w:t>
      </w:r>
    </w:p>
    <w:p>
      <w:pPr>
        <w:pStyle w:val="Compact"/>
        <w:numPr>
          <w:ilvl w:val="1"/>
          <w:numId w:val="1406"/>
        </w:numPr>
      </w:pPr>
      <w:r>
        <w:t xml:space="preserve">Rincer le lendemain matin à l’eau tiède sans savon (pour ne pas retirer le résidu actif).</w:t>
      </w:r>
    </w:p>
    <w:p>
      <w:pPr>
        <w:pStyle w:val="Compact"/>
        <w:numPr>
          <w:ilvl w:val="1"/>
          <w:numId w:val="1406"/>
        </w:numPr>
      </w:pPr>
      <w:r>
        <w:t xml:space="preserve">Changer la literie et les vêtements après le rinçage.</w:t>
      </w:r>
    </w:p>
    <w:bookmarkEnd w:id="179"/>
    <w:bookmarkStart w:id="180" w:name="notes-règles-dor-pièges-au-comptoir-1"/>
    <w:p>
      <w:pPr>
        <w:pStyle w:val="Heading3"/>
      </w:pPr>
      <w:r>
        <w:t xml:space="preserve">Notes, Règles d’Or &amp; Pièges au Comptoir</w:t>
      </w:r>
    </w:p>
    <w:p>
      <w:pPr>
        <w:pStyle w:val="Compact"/>
        <w:numPr>
          <w:ilvl w:val="0"/>
          <w:numId w:val="1407"/>
        </w:numPr>
      </w:pPr>
      <w:r>
        <w:rPr>
          <w:b/>
          <w:bCs/>
        </w:rPr>
        <w:t xml:space="preserve">Piège classique n°1 — Permethrine 1 % inefficace sur la gale</w:t>
      </w:r>
      <w:r>
        <w:t xml:space="preserve"> </w:t>
      </w:r>
      <w:r>
        <w:t xml:space="preserve">: la concentration 1 % (lotion pédiculocide) est insuffisante pour traiter la gale (le sarcopte est en profondeur dans le stratum corneum). Seule la</w:t>
      </w:r>
      <w:r>
        <w:t xml:space="preserve"> </w:t>
      </w:r>
      <w:r>
        <w:rPr>
          <w:b/>
          <w:bCs/>
        </w:rPr>
        <w:t xml:space="preserve">perméthrine 5 % crème</w:t>
      </w:r>
      <w:r>
        <w:t xml:space="preserve"> </w:t>
      </w:r>
      <w:r>
        <w:t xml:space="preserve">est scabicide. En Algérie, où la 5 % n’est pas disponible en officine, il faut le rappeler au patient qui pourrait être tenté d’utiliser la lotion 1 % pour une gale — échec garanti.</w:t>
      </w:r>
    </w:p>
    <w:p>
      <w:pPr>
        <w:pStyle w:val="Compact"/>
        <w:numPr>
          <w:ilvl w:val="0"/>
          <w:numId w:val="1407"/>
        </w:numPr>
      </w:pPr>
      <w:r>
        <w:rPr>
          <w:b/>
          <w:bCs/>
        </w:rPr>
        <w:t xml:space="preserve">Piège classique n°2 — Oubli de la 2e application à J7-J14</w:t>
      </w:r>
      <w:r>
        <w:t xml:space="preserve"> </w:t>
      </w:r>
      <w:r>
        <w:t xml:space="preserve">: cause principale d’échec thérapeutique et de réinfestation familiale.</w:t>
      </w:r>
    </w:p>
    <w:p>
      <w:pPr>
        <w:pStyle w:val="Compact"/>
        <w:numPr>
          <w:ilvl w:val="0"/>
          <w:numId w:val="1407"/>
        </w:numPr>
      </w:pPr>
      <w:r>
        <w:rPr>
          <w:b/>
          <w:bCs/>
        </w:rPr>
        <w:t xml:space="preserve">Piège classique n°3 — Application sur peau lésée / eczématique</w:t>
      </w:r>
      <w:r>
        <w:t xml:space="preserve"> </w:t>
      </w:r>
      <w:r>
        <w:t xml:space="preserve">: majoration du passage systémique, risque neurotoxique (surtout enfant). Traiter d’abord l’eczéma, puis appliquer la perméthrine.</w:t>
      </w:r>
    </w:p>
    <w:p>
      <w:pPr>
        <w:pStyle w:val="Compact"/>
        <w:numPr>
          <w:ilvl w:val="0"/>
          <w:numId w:val="1407"/>
        </w:numPr>
      </w:pPr>
      <w:r>
        <w:rPr>
          <w:b/>
          <w:bCs/>
        </w:rPr>
        <w:t xml:space="preserve">Piège classique n°4 — Utilisation chez le nourrisson &lt; 2 mois</w:t>
      </w:r>
      <w:r>
        <w:t xml:space="preserve"> </w:t>
      </w:r>
      <w:r>
        <w:t xml:space="preserve">: CI en raison du ratio surface/poids et de l’immaturité cutanée. Préférer le crotamiton ou le savon soufré.</w:t>
      </w:r>
    </w:p>
    <w:p>
      <w:pPr>
        <w:pStyle w:val="Compact"/>
        <w:numPr>
          <w:ilvl w:val="0"/>
          <w:numId w:val="1407"/>
        </w:numPr>
      </w:pPr>
      <w:r>
        <w:rPr>
          <w:b/>
          <w:bCs/>
        </w:rPr>
        <w:t xml:space="preserve">Piège classique n°5 — Prurit post-scabieux interprété comme échec</w:t>
      </w:r>
      <w:r>
        <w:t xml:space="preserve"> </w:t>
      </w:r>
      <w:r>
        <w:t xml:space="preserve">: le prurit persiste 2-4 semaines. Ne pas répéter inutilement la perméthrine (toxicité cumulée). Si prurit &gt; 4 semaines, consulter (éventuelle réinfestation ou résistance).</w:t>
      </w:r>
    </w:p>
    <w:p>
      <w:pPr>
        <w:pStyle w:val="Compact"/>
        <w:numPr>
          <w:ilvl w:val="0"/>
          <w:numId w:val="1407"/>
        </w:numPr>
      </w:pPr>
      <w:r>
        <w:rPr>
          <w:b/>
          <w:bCs/>
        </w:rPr>
        <w:t xml:space="preserve">Règle de prise</w:t>
      </w:r>
      <w:r>
        <w:t xml:space="preserve"> </w:t>
      </w:r>
      <w:r>
        <w:t xml:space="preserve">: application unique le soir, rinçage le matin, 2e application à J7-J14 ; traitement de tout le foyer.</w:t>
      </w:r>
    </w:p>
    <w:p>
      <w:pPr>
        <w:pStyle w:val="Compact"/>
        <w:numPr>
          <w:ilvl w:val="0"/>
          <w:numId w:val="1407"/>
        </w:numPr>
      </w:pPr>
      <w:r>
        <w:rPr>
          <w:b/>
          <w:bCs/>
        </w:rPr>
        <w:t xml:space="preserve">Préparation et Conservation</w:t>
      </w:r>
      <w:r>
        <w:t xml:space="preserve"> </w:t>
      </w:r>
      <w:r>
        <w:t xml:space="preserve">: tube crème fermé, température &lt; 25 °C, à l’abri de la lumière et du gel. Ne pas congeler. Jeter après 6 mois d’ouverture.</w:t>
      </w:r>
    </w:p>
    <w:p>
      <w:pPr>
        <w:pStyle w:val="Compact"/>
        <w:numPr>
          <w:ilvl w:val="0"/>
          <w:numId w:val="1407"/>
        </w:numPr>
      </w:pPr>
      <w:r>
        <w:rPr>
          <w:b/>
          <w:bCs/>
        </w:rPr>
        <w:t xml:space="preserve">Piège du surdosage / Substitution</w:t>
      </w:r>
      <w:r>
        <w:t xml:space="preserve"> </w:t>
      </w:r>
      <w:r>
        <w:t xml:space="preserve">: ne jamais appliquer sur une surface cutanée &gt; 50 % de la surface corporelle en une fois (risque systémique) ; ne pas combiner avec un autre scabicide topique dans la même journée. En cas d’indisponibilité, ne pas substituer par un insecticide agricole (toxicité aiguë sévère).</w:t>
      </w:r>
    </w:p>
    <w:p>
      <w:r>
        <w:pict>
          <v:rect style="width:0;height:1.5pt" o:hralign="center" o:hrstd="t" o:hr="t"/>
        </w:pict>
      </w:r>
    </w:p>
    <w:bookmarkEnd w:id="180"/>
    <w:bookmarkEnd w:id="181"/>
    <w:bookmarkStart w:id="193" w:name="fiche-3-crotamiton-seule"/>
    <w:p>
      <w:pPr>
        <w:pStyle w:val="Heading2"/>
      </w:pPr>
      <w:r>
        <w:t xml:space="preserve">Fiche 3 — Crotamiton (Seule)</w:t>
      </w:r>
    </w:p>
    <w:bookmarkStart w:id="182" w:name="liste-des-catégories-2"/>
    <w:p>
      <w:pPr>
        <w:pStyle w:val="Heading3"/>
      </w:pPr>
      <w:r>
        <w:t xml:space="preserve">Liste des Catégories</w:t>
      </w:r>
    </w:p>
    <w:p>
      <w:pPr>
        <w:pStyle w:val="FirstParagraph"/>
      </w:pPr>
      <w:r>
        <w:t xml:space="preserve">Antiparasitaires externes — Scabies/Pédiculose ; Antiprurigineux topique ; Médicament en vente libre.</w:t>
      </w:r>
    </w:p>
    <w:p>
      <w:pPr>
        <w:pStyle w:val="BodyText"/>
      </w:pPr>
      <w:r>
        <w:t xml:space="preserve">Le</w:t>
      </w:r>
      <w:r>
        <w:t xml:space="preserve"> </w:t>
      </w:r>
      <w:r>
        <w:rPr>
          <w:b/>
          <w:bCs/>
        </w:rPr>
        <w:t xml:space="preserve">crotamiton</w:t>
      </w:r>
      <w:r>
        <w:t xml:space="preserve"> </w:t>
      </w:r>
      <w:r>
        <w:t xml:space="preserve">(N-éthyl-N-(o-tolyl)-3-méthylcrotonamide) est un médicament historique utilisé depuis 1949 à la fois comme</w:t>
      </w:r>
      <w:r>
        <w:t xml:space="preserve"> </w:t>
      </w:r>
      <w:r>
        <w:rPr>
          <w:b/>
          <w:bCs/>
        </w:rPr>
        <w:t xml:space="preserve">scabicide</w:t>
      </w:r>
      <w:r>
        <w:t xml:space="preserve"> </w:t>
      </w:r>
      <w:r>
        <w:t xml:space="preserve">et comme</w:t>
      </w:r>
      <w:r>
        <w:t xml:space="preserve"> </w:t>
      </w:r>
      <w:r>
        <w:rPr>
          <w:b/>
          <w:bCs/>
        </w:rPr>
        <w:t xml:space="preserve">antiprurigineux topique</w:t>
      </w:r>
      <w:r>
        <w:t xml:space="preserve">, propriété unique au sein des antiparasitaires externes. Sa double action en fait un outil de choix dans la</w:t>
      </w:r>
      <w:r>
        <w:t xml:space="preserve"> </w:t>
      </w:r>
      <w:r>
        <w:rPr>
          <w:b/>
          <w:bCs/>
        </w:rPr>
        <w:t xml:space="preserve">prise en charge symptomatique du prurit post-scabieux</w:t>
      </w:r>
      <w:r>
        <w:t xml:space="preserve"> </w:t>
      </w:r>
      <w:r>
        <w:t xml:space="preserve">et des prurits non parasitaires (eczéma, prurigo, piqûres d’insectes). Son efficacité scabicide est néanmoins</w:t>
      </w:r>
      <w:r>
        <w:t xml:space="preserve"> </w:t>
      </w:r>
      <w:r>
        <w:rPr>
          <w:b/>
          <w:bCs/>
        </w:rPr>
        <w:t xml:space="preserve">inférieure</w:t>
      </w:r>
      <w:r>
        <w:t xml:space="preserve"> </w:t>
      </w:r>
      <w:r>
        <w:t xml:space="preserve">à celle de la perméthrine 5 % (taux de guérison 50-80 % vs 90-95 % pour la perméthrine), ce qui le place en seconde ligne pour le traitement curatif de la gale commune, mais en première ligne pour le</w:t>
      </w:r>
      <w:r>
        <w:t xml:space="preserve"> </w:t>
      </w:r>
      <w:r>
        <w:rPr>
          <w:b/>
          <w:bCs/>
        </w:rPr>
        <w:t xml:space="preserve">prurit isolé</w:t>
      </w:r>
      <w:r>
        <w:t xml:space="preserve"> </w:t>
      </w:r>
      <w:r>
        <w:t xml:space="preserve">et comme alternative en cas de CI ou d’indisponibilité de la perméthrine. En Algérie, le crotamiton est largement disponible en officine sous plusieurs marques (E-RAX, EURAXYDERME, PRURAX, EURAXYL NR), toutes en crème dermique 0,1 (soit 10 % p/p), ce qui en fait le scabicide topique de</w:t>
      </w:r>
      <w:r>
        <w:t xml:space="preserve"> </w:t>
      </w:r>
      <w:r>
        <w:rPr>
          <w:b/>
          <w:bCs/>
        </w:rPr>
        <w:t xml:space="preserve">choix pratique</w:t>
      </w:r>
      <w:r>
        <w:t xml:space="preserve"> </w:t>
      </w:r>
      <w:r>
        <w:t xml:space="preserve">dans le contexte algérien de pénurie de perméthrine.</w:t>
      </w:r>
    </w:p>
    <w:bookmarkEnd w:id="182"/>
    <w:bookmarkStart w:id="183" w:name="Xb2715f7c083ee8e95bb2464a97ba88a8b693674"/>
    <w:p>
      <w:pPr>
        <w:pStyle w:val="Heading3"/>
      </w:pPr>
      <w:r>
        <w:t xml:space="preserve">Médicaments disponibles en Algérie (Marques, Laboratoires, Formes et Dosages)</w:t>
      </w:r>
    </w:p>
    <w:p>
      <w:pPr>
        <w:pStyle w:val="Compact"/>
        <w:numPr>
          <w:ilvl w:val="0"/>
          <w:numId w:val="1408"/>
        </w:numPr>
      </w:pPr>
      <w:r>
        <w:rPr>
          <w:b/>
          <w:bCs/>
        </w:rPr>
        <w:t xml:space="preserve">E-RAX</w:t>
      </w:r>
      <w:r>
        <w:t xml:space="preserve"> </w:t>
      </w:r>
      <w:r>
        <w:t xml:space="preserve">(LABORATOIRES PHARMAGHREB)</w:t>
      </w:r>
    </w:p>
    <w:p>
      <w:pPr>
        <w:pStyle w:val="Compact"/>
        <w:numPr>
          <w:ilvl w:val="1"/>
          <w:numId w:val="1409"/>
        </w:numPr>
      </w:pPr>
      <w:r>
        <w:t xml:space="preserve">Forme et Dosage : Crème dermique, 0,1 (10 %) en tube de 40 g</w:t>
      </w:r>
    </w:p>
    <w:p>
      <w:pPr>
        <w:pStyle w:val="Compact"/>
        <w:numPr>
          <w:ilvl w:val="1"/>
          <w:numId w:val="1409"/>
        </w:numPr>
      </w:pPr>
      <w:r>
        <w:t xml:space="preserve">Statut :</w:t>
      </w:r>
      <w:r>
        <w:t xml:space="preserve"> </w:t>
      </w:r>
      <w:r>
        <w:rPr>
          <w:b/>
          <w:bCs/>
        </w:rPr>
        <w:t xml:space="preserve">ACTIF</w:t>
      </w:r>
    </w:p>
    <w:p>
      <w:pPr>
        <w:pStyle w:val="Compact"/>
        <w:numPr>
          <w:ilvl w:val="0"/>
          <w:numId w:val="1408"/>
        </w:numPr>
      </w:pPr>
      <w:r>
        <w:rPr>
          <w:b/>
          <w:bCs/>
        </w:rPr>
        <w:t xml:space="preserve">EURAXYDERME</w:t>
      </w:r>
      <w:r>
        <w:t xml:space="preserve"> </w:t>
      </w:r>
      <w:r>
        <w:t xml:space="preserve">(D-B-F)</w:t>
      </w:r>
    </w:p>
    <w:p>
      <w:pPr>
        <w:pStyle w:val="Compact"/>
        <w:numPr>
          <w:ilvl w:val="1"/>
          <w:numId w:val="1410"/>
        </w:numPr>
      </w:pPr>
      <w:r>
        <w:t xml:space="preserve">Forme et Dosage : Crème dermique, 0,1 (10 %) en tube de 40 g</w:t>
      </w:r>
    </w:p>
    <w:p>
      <w:pPr>
        <w:pStyle w:val="Compact"/>
        <w:numPr>
          <w:ilvl w:val="1"/>
          <w:numId w:val="1410"/>
        </w:numPr>
      </w:pPr>
      <w:r>
        <w:t xml:space="preserve">Statut :</w:t>
      </w:r>
      <w:r>
        <w:t xml:space="preserve"> </w:t>
      </w:r>
      <w:r>
        <w:rPr>
          <w:b/>
          <w:bCs/>
        </w:rPr>
        <w:t xml:space="preserve">ACTIF</w:t>
      </w:r>
    </w:p>
    <w:p>
      <w:pPr>
        <w:pStyle w:val="Compact"/>
        <w:numPr>
          <w:ilvl w:val="0"/>
          <w:numId w:val="1408"/>
        </w:numPr>
      </w:pPr>
      <w:r>
        <w:rPr>
          <w:b/>
          <w:bCs/>
        </w:rPr>
        <w:t xml:space="preserve">PRURAX</w:t>
      </w:r>
      <w:r>
        <w:t xml:space="preserve"> </w:t>
      </w:r>
      <w:r>
        <w:t xml:space="preserve">(GROUPE SAIDAL)</w:t>
      </w:r>
    </w:p>
    <w:p>
      <w:pPr>
        <w:pStyle w:val="Compact"/>
        <w:numPr>
          <w:ilvl w:val="1"/>
          <w:numId w:val="1411"/>
        </w:numPr>
      </w:pPr>
      <w:r>
        <w:t xml:space="preserve">Forme et Dosage : Crème dermique, 0,1 (10 %) en tube de 40 g</w:t>
      </w:r>
    </w:p>
    <w:p>
      <w:pPr>
        <w:pStyle w:val="Compact"/>
        <w:numPr>
          <w:ilvl w:val="1"/>
          <w:numId w:val="1411"/>
        </w:numPr>
      </w:pPr>
      <w:r>
        <w:t xml:space="preserve">Statut :</w:t>
      </w:r>
      <w:r>
        <w:t xml:space="preserve"> </w:t>
      </w:r>
      <w:r>
        <w:rPr>
          <w:b/>
          <w:bCs/>
        </w:rPr>
        <w:t xml:space="preserve">ACTIF</w:t>
      </w:r>
    </w:p>
    <w:p>
      <w:pPr>
        <w:pStyle w:val="Compact"/>
        <w:numPr>
          <w:ilvl w:val="0"/>
          <w:numId w:val="1408"/>
        </w:numPr>
      </w:pPr>
      <w:r>
        <w:rPr>
          <w:b/>
          <w:bCs/>
        </w:rPr>
        <w:t xml:space="preserve">EURAXYL</w:t>
      </w:r>
      <w:r>
        <w:t xml:space="preserve"> </w:t>
      </w:r>
      <w:r>
        <w:t xml:space="preserve">(4A SANTE INDUSTRIE SARL)</w:t>
      </w:r>
    </w:p>
    <w:p>
      <w:pPr>
        <w:pStyle w:val="Compact"/>
        <w:numPr>
          <w:ilvl w:val="1"/>
          <w:numId w:val="1412"/>
        </w:numPr>
      </w:pPr>
      <w:r>
        <w:t xml:space="preserve">Forme et Dosage : Crème, 0,1 (10 %) en tube de 40 g</w:t>
      </w:r>
    </w:p>
    <w:p>
      <w:pPr>
        <w:pStyle w:val="Compact"/>
        <w:numPr>
          <w:ilvl w:val="1"/>
          <w:numId w:val="1412"/>
        </w:numPr>
      </w:pPr>
      <w:r>
        <w:t xml:space="preserve">Statut :</w:t>
      </w:r>
      <w:r>
        <w:t xml:space="preserve"> </w:t>
      </w:r>
      <w:r>
        <w:rPr>
          <w:b/>
          <w:bCs/>
        </w:rPr>
        <w:t xml:space="preserve">NON RENOUVELABLE</w:t>
      </w:r>
    </w:p>
    <w:p>
      <w:pPr>
        <w:pStyle w:val="Compact"/>
        <w:numPr>
          <w:ilvl w:val="0"/>
          <w:numId w:val="1408"/>
        </w:numPr>
      </w:pPr>
      <w:r>
        <w:rPr>
          <w:b/>
          <w:bCs/>
        </w:rPr>
        <w:t xml:space="preserve">CROTAPHIL</w:t>
      </w:r>
      <w:r>
        <w:t xml:space="preserve"> </w:t>
      </w:r>
      <w:r>
        <w:t xml:space="preserve">(PHILALDEPHIA)</w:t>
      </w:r>
    </w:p>
    <w:p>
      <w:pPr>
        <w:pStyle w:val="Compact"/>
        <w:numPr>
          <w:ilvl w:val="1"/>
          <w:numId w:val="1413"/>
        </w:numPr>
      </w:pPr>
      <w:r>
        <w:t xml:space="preserve">Forme et Dosage : Crème dermique, 0,1 (10 %) en tube de 25 g</w:t>
      </w:r>
    </w:p>
    <w:p>
      <w:pPr>
        <w:pStyle w:val="Compact"/>
        <w:numPr>
          <w:ilvl w:val="1"/>
          <w:numId w:val="1413"/>
        </w:numPr>
      </w:pPr>
      <w:r>
        <w:t xml:space="preserve">Statut :</w:t>
      </w:r>
      <w:r>
        <w:t xml:space="preserve"> </w:t>
      </w:r>
      <w:r>
        <w:rPr>
          <w:b/>
          <w:bCs/>
        </w:rPr>
        <w:t xml:space="preserve">RETRAIT (R)</w:t>
      </w:r>
    </w:p>
    <w:p>
      <w:pPr>
        <w:pStyle w:val="Compact"/>
        <w:numPr>
          <w:ilvl w:val="0"/>
          <w:numId w:val="1408"/>
        </w:numPr>
      </w:pPr>
      <w:r>
        <w:rPr>
          <w:b/>
          <w:bCs/>
        </w:rPr>
        <w:t xml:space="preserve">EURAX</w:t>
      </w:r>
      <w:r>
        <w:t xml:space="preserve"> </w:t>
      </w:r>
      <w:r>
        <w:t xml:space="preserve">(NOVARTIS SANTE FAMILIALE)</w:t>
      </w:r>
    </w:p>
    <w:p>
      <w:pPr>
        <w:pStyle w:val="Compact"/>
        <w:numPr>
          <w:ilvl w:val="1"/>
          <w:numId w:val="1414"/>
        </w:numPr>
      </w:pPr>
      <w:r>
        <w:t xml:space="preserve">Forme et Dosage : Crème dermique, 0,1 (10 %) en tube de 60 g</w:t>
      </w:r>
    </w:p>
    <w:p>
      <w:pPr>
        <w:pStyle w:val="Compact"/>
        <w:numPr>
          <w:ilvl w:val="1"/>
          <w:numId w:val="1414"/>
        </w:numPr>
      </w:pPr>
      <w:r>
        <w:t xml:space="preserve">Statut :</w:t>
      </w:r>
      <w:r>
        <w:t xml:space="preserve"> </w:t>
      </w:r>
      <w:r>
        <w:rPr>
          <w:b/>
          <w:bCs/>
        </w:rPr>
        <w:t xml:space="preserve">RETRAIT (R)</w:t>
      </w:r>
    </w:p>
    <w:p>
      <w:pPr>
        <w:pStyle w:val="Compact"/>
        <w:numPr>
          <w:ilvl w:val="0"/>
          <w:numId w:val="1408"/>
        </w:numPr>
      </w:pPr>
      <w:r>
        <w:rPr>
          <w:b/>
          <w:bCs/>
        </w:rPr>
        <w:t xml:space="preserve">CROTAMITON LPA</w:t>
      </w:r>
      <w:r>
        <w:t xml:space="preserve"> </w:t>
      </w:r>
      <w:r>
        <w:t xml:space="preserve">(LABORATOIRE PHARMACEUTIQUE ALGERIEN — LPA)</w:t>
      </w:r>
    </w:p>
    <w:p>
      <w:pPr>
        <w:pStyle w:val="Compact"/>
        <w:numPr>
          <w:ilvl w:val="1"/>
          <w:numId w:val="1415"/>
        </w:numPr>
      </w:pPr>
      <w:r>
        <w:t xml:space="preserve">Forme et Dosage : Crème dermique, 0,1 (10 %) en tube de 40 g</w:t>
      </w:r>
    </w:p>
    <w:p>
      <w:pPr>
        <w:pStyle w:val="Compact"/>
        <w:numPr>
          <w:ilvl w:val="1"/>
          <w:numId w:val="1415"/>
        </w:numPr>
      </w:pPr>
      <w:r>
        <w:t xml:space="preserve">Statut :</w:t>
      </w:r>
      <w:r>
        <w:t xml:space="preserve"> </w:t>
      </w:r>
      <w:r>
        <w:rPr>
          <w:b/>
          <w:bCs/>
        </w:rPr>
        <w:t xml:space="preserve">RETRAIT (R)</w:t>
      </w:r>
    </w:p>
    <w:p>
      <w:pPr>
        <w:pStyle w:val="FirstParagraph"/>
      </w:pPr>
      <w:r>
        <w:t xml:space="preserve">Trois spécialités actives (E-RAX Pharmaghreb, EURAXYDERME D-B-F, PRURAX Saidal) assurent une bonne disponibilité du crotamiton en Algérie. EURAXYL (4A Santé) est en statut non renouvelable (rupture d’approvisionnement ou décision commerciale). Les trois spécialités historiques EURAX (Novartis), CROTAPHIL (Philadelphie) et CROTAMITON LPA (Laboratoire Pharmaceutique Algérien) sont retirées du marché algérien. La concentration de</w:t>
      </w:r>
      <w:r>
        <w:t xml:space="preserve"> </w:t>
      </w:r>
      <w:r>
        <w:rPr>
          <w:b/>
          <w:bCs/>
        </w:rPr>
        <w:t xml:space="preserve">0,1 correspond à 10 % p/p</w:t>
      </w:r>
      <w:r>
        <w:t xml:space="preserve">, soit 100 mg de crotamiton par gramme de crème — concentration scabicide-antiprurigineuse standard. Le format 40 g est adapté à un traitement complet de la gale adulte (1 tube = 1 cure complète).</w:t>
      </w:r>
    </w:p>
    <w:bookmarkEnd w:id="183"/>
    <w:bookmarkStart w:id="184" w:name="sous-classe-et-mécanisme-daction-2"/>
    <w:p>
      <w:pPr>
        <w:pStyle w:val="Heading3"/>
      </w:pPr>
      <w:r>
        <w:t xml:space="preserve">Sous-classe et Mécanisme d’action</w:t>
      </w:r>
    </w:p>
    <w:p>
      <w:pPr>
        <w:pStyle w:val="Compact"/>
        <w:numPr>
          <w:ilvl w:val="0"/>
          <w:numId w:val="1416"/>
        </w:numPr>
      </w:pPr>
      <w:r>
        <w:rPr>
          <w:b/>
          <w:bCs/>
        </w:rPr>
        <w:t xml:space="preserve">Sous-classe</w:t>
      </w:r>
      <w:r>
        <w:t xml:space="preserve"> </w:t>
      </w:r>
      <w:r>
        <w:t xml:space="preserve">: Antiparasitaire externe — scabicide de deuxième ligne + antiprurigineux topique (ATC P03AX01).</w:t>
      </w:r>
    </w:p>
    <w:p>
      <w:pPr>
        <w:pStyle w:val="Compact"/>
        <w:numPr>
          <w:ilvl w:val="0"/>
          <w:numId w:val="1416"/>
        </w:numPr>
      </w:pPr>
      <w:r>
        <w:rPr>
          <w:b/>
          <w:bCs/>
        </w:rPr>
        <w:t xml:space="preserve">Mécanisme d’action</w:t>
      </w:r>
      <w:r>
        <w:t xml:space="preserve"> </w:t>
      </w:r>
      <w:r>
        <w:t xml:space="preserve">: le crotamiton est un scabicide et antiprurigineux dont le mécanisme d’action exact reste</w:t>
      </w:r>
      <w:r>
        <w:t xml:space="preserve"> </w:t>
      </w:r>
      <w:r>
        <w:rPr>
          <w:b/>
          <w:bCs/>
        </w:rPr>
        <w:t xml:space="preserve">mal élucidé</w:t>
      </w:r>
      <w:r>
        <w:t xml:space="preserve">. Trois hypothèses principales co-existent : (1) action</w:t>
      </w:r>
      <w:r>
        <w:t xml:space="preserve"> </w:t>
      </w:r>
      <w:r>
        <w:rPr>
          <w:b/>
          <w:bCs/>
        </w:rPr>
        <w:t xml:space="preserve">neurotoxique directe</w:t>
      </w:r>
      <w:r>
        <w:t xml:space="preserve"> </w:t>
      </w:r>
      <w:r>
        <w:t xml:space="preserve">sur le sarcopte, par interférence avec la transmission nerveuse de l’acarien (blocage possible des canaux sodiques mais avec une affinité moindre que la perméthrine) ; (2) action</w:t>
      </w:r>
      <w:r>
        <w:t xml:space="preserve"> </w:t>
      </w:r>
      <w:r>
        <w:rPr>
          <w:b/>
          <w:bCs/>
        </w:rPr>
        <w:t xml:space="preserve">anticholinestérasique faible</w:t>
      </w:r>
      <w:r>
        <w:t xml:space="preserve"> </w:t>
      </w:r>
      <w:r>
        <w:t xml:space="preserve">qui entraîne une paralysie de l’acarien ; (3) effet</w:t>
      </w:r>
      <w:r>
        <w:t xml:space="preserve"> </w:t>
      </w:r>
      <w:r>
        <w:rPr>
          <w:b/>
          <w:bCs/>
        </w:rPr>
        <w:t xml:space="preserve">anti-prurigineux local</w:t>
      </w:r>
      <w:r>
        <w:t xml:space="preserve"> </w:t>
      </w:r>
      <w:r>
        <w:t xml:space="preserve">par inhibition des terminaisons nerveuses sensitives cutanées (récepteurs TRPV1, canaux sodiques voltage-dépendants des fibres C), indépendant de l’effet scabicide. Le crotamiton pénètre peu dans le derme (faible absorption systémique &lt; 5 %) et reste principalement dans la couche cornée, où se trouve le sarcopte. L’effet antiprurigineux est rapide (15-30 minutes) et dure 4-6 h. L’effet scabicide complet nécessite plusieurs applications (au moins 2 cures à 24 h d’intervalle). Le crotamiton présente une activité ovicide partielle (effet sur les œufs de sarcopte, mais incomplète).</w:t>
      </w:r>
    </w:p>
    <w:bookmarkEnd w:id="184"/>
    <w:bookmarkStart w:id="185" w:name="profil-pharmacologique-2"/>
    <w:p>
      <w:pPr>
        <w:pStyle w:val="Heading3"/>
      </w:pPr>
      <w:r>
        <w:t xml:space="preserve">Profil Pharmacologique</w:t>
      </w:r>
    </w:p>
    <w:p>
      <w:pPr>
        <w:pStyle w:val="Compact"/>
        <w:numPr>
          <w:ilvl w:val="0"/>
          <w:numId w:val="1417"/>
        </w:numPr>
      </w:pPr>
      <w:r>
        <w:rPr>
          <w:b/>
          <w:bCs/>
        </w:rPr>
        <w:t xml:space="preserve">Indications</w:t>
      </w:r>
      <w:r>
        <w:t xml:space="preserve"> </w:t>
      </w:r>
      <w:r>
        <w:t xml:space="preserve">:</w:t>
      </w:r>
    </w:p>
    <w:p>
      <w:pPr>
        <w:pStyle w:val="Compact"/>
        <w:numPr>
          <w:ilvl w:val="1"/>
          <w:numId w:val="1418"/>
        </w:numPr>
      </w:pPr>
      <w:r>
        <w:rPr>
          <w:b/>
          <w:bCs/>
        </w:rPr>
        <w:t xml:space="preserve">Gale commune</w:t>
      </w:r>
      <w:r>
        <w:t xml:space="preserve"> </w:t>
      </w:r>
      <w:r>
        <w:t xml:space="preserve">(alternative à la perméthrine en cas d’indisponibilité, d’intolérance, ou chez le nourrisson &lt; 2 mois) : crème 10 % en applications répétées sur 5 jours.</w:t>
      </w:r>
    </w:p>
    <w:p>
      <w:pPr>
        <w:pStyle w:val="Compact"/>
        <w:numPr>
          <w:ilvl w:val="1"/>
          <w:numId w:val="1418"/>
        </w:numPr>
      </w:pPr>
      <w:r>
        <w:rPr>
          <w:b/>
          <w:bCs/>
        </w:rPr>
        <w:t xml:space="preserve">Prurit post-scabieux</w:t>
      </w:r>
      <w:r>
        <w:t xml:space="preserve"> </w:t>
      </w:r>
      <w:r>
        <w:t xml:space="preserve">(indication de choix) : application sur les zones prurigineuses 2 à 3 fois par jour pendant 2 à 4 semaines.</w:t>
      </w:r>
    </w:p>
    <w:p>
      <w:pPr>
        <w:pStyle w:val="Compact"/>
        <w:numPr>
          <w:ilvl w:val="1"/>
          <w:numId w:val="1418"/>
        </w:numPr>
      </w:pPr>
      <w:r>
        <w:rPr>
          <w:b/>
          <w:bCs/>
        </w:rPr>
        <w:t xml:space="preserve">Prurit non parasitaire</w:t>
      </w:r>
      <w:r>
        <w:t xml:space="preserve"> </w:t>
      </w:r>
      <w:r>
        <w:t xml:space="preserve">: prurigo, eczéma, piqûres d’insectes, varicelle (prurit), prurit sénile, prurit anal ou vulvaire.</w:t>
      </w:r>
    </w:p>
    <w:p>
      <w:pPr>
        <w:pStyle w:val="Compact"/>
        <w:numPr>
          <w:ilvl w:val="0"/>
          <w:numId w:val="1417"/>
        </w:numPr>
      </w:pPr>
      <w:r>
        <w:rPr>
          <w:b/>
          <w:bCs/>
        </w:rPr>
        <w:t xml:space="preserve">Contre-indications</w:t>
      </w:r>
      <w:r>
        <w:t xml:space="preserve"> </w:t>
      </w:r>
      <w:r>
        <w:t xml:space="preserve">:</w:t>
      </w:r>
    </w:p>
    <w:p>
      <w:pPr>
        <w:pStyle w:val="Compact"/>
        <w:numPr>
          <w:ilvl w:val="1"/>
          <w:numId w:val="1419"/>
        </w:numPr>
      </w:pPr>
      <w:r>
        <w:rPr>
          <w:b/>
          <w:bCs/>
        </w:rPr>
        <w:t xml:space="preserve">Absolues</w:t>
      </w:r>
      <w:r>
        <w:t xml:space="preserve"> </w:t>
      </w:r>
      <w:r>
        <w:t xml:space="preserve">: hypersensibilité au crotamiton ou à l’un des excipients ; application sur muqueuse (œil, bouche, voies génitales, anus) ; peau lésée étendue (plaies, brûlures, eczéma aigu suintant).</w:t>
      </w:r>
    </w:p>
    <w:p>
      <w:pPr>
        <w:pStyle w:val="Compact"/>
        <w:numPr>
          <w:ilvl w:val="1"/>
          <w:numId w:val="1419"/>
        </w:numPr>
      </w:pPr>
      <w:r>
        <w:rPr>
          <w:b/>
          <w:bCs/>
        </w:rPr>
        <w:t xml:space="preserve">Relatives</w:t>
      </w:r>
      <w:r>
        <w:t xml:space="preserve"> </w:t>
      </w:r>
      <w:r>
        <w:t xml:space="preserve">: grossesse (selon CRAT, utilisable mais à minimiser — voir infra) ; allaitement (éviter le mamelon) ; enfant &lt; 3 ans (par prudence, en raison du ratio surface/poids).</w:t>
      </w:r>
    </w:p>
    <w:p>
      <w:pPr>
        <w:pStyle w:val="Compact"/>
        <w:numPr>
          <w:ilvl w:val="0"/>
          <w:numId w:val="1417"/>
        </w:numPr>
      </w:pPr>
      <w:r>
        <w:rPr>
          <w:b/>
          <w:bCs/>
        </w:rPr>
        <w:t xml:space="preserve">Effets Indésirables</w:t>
      </w:r>
      <w:r>
        <w:t xml:space="preserve"> </w:t>
      </w:r>
      <w:r>
        <w:t xml:space="preserve">:</w:t>
      </w:r>
    </w:p>
    <w:p>
      <w:pPr>
        <w:pStyle w:val="Compact"/>
        <w:numPr>
          <w:ilvl w:val="1"/>
          <w:numId w:val="1420"/>
        </w:numPr>
      </w:pPr>
      <w:r>
        <w:rPr>
          <w:b/>
          <w:bCs/>
        </w:rPr>
        <w:t xml:space="preserve">Locaux cutanés</w:t>
      </w:r>
      <w:r>
        <w:t xml:space="preserve"> </w:t>
      </w:r>
      <w:r>
        <w:t xml:space="preserve">(5-10 %) : sensation de brûlure modérée transitoire, érythème, sécheresse cutanée, prurit paradoxal initial, dermatite de contact allergique (rare, &lt; 1 %).</w:t>
      </w:r>
    </w:p>
    <w:p>
      <w:pPr>
        <w:pStyle w:val="Compact"/>
        <w:numPr>
          <w:ilvl w:val="1"/>
          <w:numId w:val="1420"/>
        </w:numPr>
      </w:pPr>
      <w:r>
        <w:rPr>
          <w:b/>
          <w:bCs/>
        </w:rPr>
        <w:t xml:space="preserve">Systémiques</w:t>
      </w:r>
      <w:r>
        <w:t xml:space="preserve"> </w:t>
      </w:r>
      <w:r>
        <w:t xml:space="preserve">exceptionnels : réaction d’hypersensibilité (urticaire, œdème de Quincke).</w:t>
      </w:r>
    </w:p>
    <w:p>
      <w:pPr>
        <w:pStyle w:val="Compact"/>
        <w:numPr>
          <w:ilvl w:val="1"/>
          <w:numId w:val="1420"/>
        </w:numPr>
      </w:pPr>
      <w:r>
        <w:t xml:space="preserve">Le crotamiton ne présente pas de neurotoxicité systémique significative (faible absorption), pas d’allongement QT, pas d’effet hépatique ou rénal.</w:t>
      </w:r>
    </w:p>
    <w:bookmarkEnd w:id="185"/>
    <w:bookmarkStart w:id="186" w:name="Xc428f2748ab22987dd5da0e6f8f5ab6ad7eb003"/>
    <w:p>
      <w:pPr>
        <w:pStyle w:val="Heading3"/>
      </w:pPr>
      <w:r>
        <w:t xml:space="preserve">Prévention et Gestion des Effets Indésirables</w:t>
      </w:r>
    </w:p>
    <w:p>
      <w:pPr>
        <w:pStyle w:val="Compact"/>
        <w:numPr>
          <w:ilvl w:val="0"/>
          <w:numId w:val="1421"/>
        </w:numPr>
      </w:pPr>
      <w:r>
        <w:rPr>
          <w:b/>
          <w:bCs/>
        </w:rPr>
        <w:t xml:space="preserve">Mesures Préventives</w:t>
      </w:r>
      <w:r>
        <w:t xml:space="preserve"> </w:t>
      </w:r>
      <w:r>
        <w:t xml:space="preserve">:</w:t>
      </w:r>
    </w:p>
    <w:p>
      <w:pPr>
        <w:pStyle w:val="Compact"/>
        <w:numPr>
          <w:ilvl w:val="1"/>
          <w:numId w:val="1422"/>
        </w:numPr>
      </w:pPr>
      <w:r>
        <w:t xml:space="preserve">Test préalable d’allergie sur zone limitée (pli du coude) 24 h avant la première application en cas d’antécédents d’atopie ou de dermatite de contact.</w:t>
      </w:r>
    </w:p>
    <w:p>
      <w:pPr>
        <w:pStyle w:val="Compact"/>
        <w:numPr>
          <w:ilvl w:val="1"/>
          <w:numId w:val="1422"/>
        </w:numPr>
      </w:pPr>
      <w:r>
        <w:t xml:space="preserve">Éviter l’application sur visage, muqueuses et peau lésée.</w:t>
      </w:r>
    </w:p>
    <w:p>
      <w:pPr>
        <w:pStyle w:val="Compact"/>
        <w:numPr>
          <w:ilvl w:val="1"/>
          <w:numId w:val="1422"/>
        </w:numPr>
      </w:pPr>
      <w:r>
        <w:t xml:space="preserve">Se laver les mains soigneusement après chaque application (sauf si ce sont les mains qui sont traitées).</w:t>
      </w:r>
    </w:p>
    <w:p>
      <w:pPr>
        <w:pStyle w:val="Compact"/>
        <w:numPr>
          <w:ilvl w:val="1"/>
          <w:numId w:val="1422"/>
        </w:numPr>
      </w:pPr>
      <w:r>
        <w:t xml:space="preserve">Ne pas appliquer de pansement occlusif (risque de majoration de l’absorption systémique).</w:t>
      </w:r>
    </w:p>
    <w:p>
      <w:pPr>
        <w:pStyle w:val="Compact"/>
        <w:numPr>
          <w:ilvl w:val="1"/>
          <w:numId w:val="1422"/>
        </w:numPr>
      </w:pPr>
      <w:r>
        <w:t xml:space="preserve">Aérer la pièce ; éviter le contact avec les yeux (en cas de contact oculaire : rincer 15 min à l’eau).</w:t>
      </w:r>
    </w:p>
    <w:p>
      <w:pPr>
        <w:pStyle w:val="Compact"/>
        <w:numPr>
          <w:ilvl w:val="0"/>
          <w:numId w:val="1421"/>
        </w:numPr>
      </w:pPr>
      <w:r>
        <w:rPr>
          <w:b/>
          <w:bCs/>
        </w:rPr>
        <w:t xml:space="preserve">Conduite à Tenir</w:t>
      </w:r>
      <w:r>
        <w:t xml:space="preserve"> </w:t>
      </w:r>
      <w:r>
        <w:t xml:space="preserve">:</w:t>
      </w:r>
    </w:p>
    <w:p>
      <w:pPr>
        <w:pStyle w:val="Compact"/>
        <w:numPr>
          <w:ilvl w:val="1"/>
          <w:numId w:val="1423"/>
        </w:numPr>
      </w:pPr>
      <w:r>
        <w:rPr>
          <w:b/>
          <w:bCs/>
        </w:rPr>
        <w:t xml:space="preserve">Dermatite de contact</w:t>
      </w:r>
      <w:r>
        <w:t xml:space="preserve"> </w:t>
      </w:r>
      <w:r>
        <w:t xml:space="preserve">: arrêt, dermocorticoïde classe II, antihistaminique oral.</w:t>
      </w:r>
    </w:p>
    <w:p>
      <w:pPr>
        <w:pStyle w:val="Compact"/>
        <w:numPr>
          <w:ilvl w:val="1"/>
          <w:numId w:val="1423"/>
        </w:numPr>
      </w:pPr>
      <w:r>
        <w:rPr>
          <w:b/>
          <w:bCs/>
        </w:rPr>
        <w:t xml:space="preserve">Hypersensibilité systémique</w:t>
      </w:r>
      <w:r>
        <w:t xml:space="preserve"> </w:t>
      </w:r>
      <w:r>
        <w:t xml:space="preserve">(urticaire généralisée, œdème) : arrêt immédiat, antihistaminique, corticothérapie orale courte, surveillance.</w:t>
      </w:r>
    </w:p>
    <w:p>
      <w:pPr>
        <w:pStyle w:val="Compact"/>
        <w:numPr>
          <w:ilvl w:val="1"/>
          <w:numId w:val="1423"/>
        </w:numPr>
      </w:pPr>
      <w:r>
        <w:rPr>
          <w:b/>
          <w:bCs/>
        </w:rPr>
        <w:t xml:space="preserve">Persistance du prurit au-delà de 5 jours</w:t>
      </w:r>
      <w:r>
        <w:t xml:space="preserve"> </w:t>
      </w:r>
      <w:r>
        <w:t xml:space="preserve">: consulter pour réévaluation (échec thérapeutique possible — le crotamiton est moins efficace que la perméthrine —, réinfestation, prurit d’autre origine).</w:t>
      </w:r>
    </w:p>
    <w:bookmarkEnd w:id="186"/>
    <w:bookmarkStart w:id="187" w:name="interactions-importantes-2"/>
    <w:p>
      <w:pPr>
        <w:pStyle w:val="Heading3"/>
      </w:pPr>
      <w:r>
        <w:t xml:space="preserve">Interactions Importantes</w:t>
      </w:r>
    </w:p>
    <w:p>
      <w:pPr>
        <w:pStyle w:val="Compact"/>
        <w:numPr>
          <w:ilvl w:val="0"/>
          <w:numId w:val="1424"/>
        </w:numPr>
      </w:pPr>
      <w:r>
        <w:rPr>
          <w:b/>
          <w:bCs/>
        </w:rPr>
        <w:t xml:space="preserve">Crotamiton + autres scabicides topiques</w:t>
      </w:r>
      <w:r>
        <w:t xml:space="preserve"> </w:t>
      </w:r>
      <w:r>
        <w:t xml:space="preserve">(perméthrine, lindane, benzyl benzoate) : éviter l’application simultanée (risque d’irritation additive, dermatite de contact). Espacer de 24 h.</w:t>
      </w:r>
    </w:p>
    <w:p>
      <w:pPr>
        <w:pStyle w:val="Compact"/>
        <w:numPr>
          <w:ilvl w:val="0"/>
          <w:numId w:val="1424"/>
        </w:numPr>
      </w:pPr>
      <w:r>
        <w:rPr>
          <w:b/>
          <w:bCs/>
        </w:rPr>
        <w:t xml:space="preserve">Crotamiton + dermocorticoïdes</w:t>
      </w:r>
      <w:r>
        <w:t xml:space="preserve"> </w:t>
      </w:r>
      <w:r>
        <w:t xml:space="preserve">: en cas d’eczéma surinfecté, appliquer le crotamiton le matin et le dermocorticoïde le soir, ou inversement, à 12 h d’intervalle.</w:t>
      </w:r>
    </w:p>
    <w:p>
      <w:pPr>
        <w:pStyle w:val="Compact"/>
        <w:numPr>
          <w:ilvl w:val="0"/>
          <w:numId w:val="1424"/>
        </w:numPr>
      </w:pPr>
      <w:r>
        <w:rPr>
          <w:b/>
          <w:bCs/>
        </w:rPr>
        <w:t xml:space="preserve">Crotamiton + antihistaminiques oraux</w:t>
      </w:r>
      <w:r>
        <w:t xml:space="preserve"> </w:t>
      </w:r>
      <w:r>
        <w:t xml:space="preserve">: pas d’interaction, association recommandée dans le prurit post-scabieux.</w:t>
      </w:r>
    </w:p>
    <w:p>
      <w:pPr>
        <w:pStyle w:val="Compact"/>
        <w:numPr>
          <w:ilvl w:val="0"/>
          <w:numId w:val="1424"/>
        </w:numPr>
      </w:pPr>
      <w:r>
        <w:rPr>
          <w:b/>
          <w:bCs/>
        </w:rPr>
        <w:t xml:space="preserve">Crotamiton + savon</w:t>
      </w:r>
      <w:r>
        <w:t xml:space="preserve"> </w:t>
      </w:r>
      <w:r>
        <w:t xml:space="preserve">: le savon retirera le produit ; privilégier un syndet sans savon (pain dermatologique) pendant le traitement.</w:t>
      </w:r>
    </w:p>
    <w:bookmarkEnd w:id="187"/>
    <w:bookmarkStart w:id="188" w:name="grossesse-et-allaitement-2"/>
    <w:p>
      <w:pPr>
        <w:pStyle w:val="Heading3"/>
      </w:pPr>
      <w:r>
        <w:t xml:space="preserve">Grossesse et Allaitement</w:t>
      </w:r>
    </w:p>
    <w:p>
      <w:pPr>
        <w:pStyle w:val="Compact"/>
        <w:numPr>
          <w:ilvl w:val="0"/>
          <w:numId w:val="1425"/>
        </w:numPr>
      </w:pPr>
      <w:r>
        <w:rPr>
          <w:b/>
          <w:bCs/>
        </w:rPr>
        <w:t xml:space="preserve">Grossesse</w:t>
      </w:r>
      <w:r>
        <w:t xml:space="preserve"> </w:t>
      </w:r>
      <w:r>
        <w:t xml:space="preserve">: selon le CRAT, le crotamiton topique est</w:t>
      </w:r>
      <w:r>
        <w:t xml:space="preserve"> </w:t>
      </w:r>
      <w:r>
        <w:rPr>
          <w:b/>
          <w:bCs/>
        </w:rPr>
        <w:t xml:space="preserve">utilisable chez la femme enceinte</w:t>
      </w:r>
      <w:r>
        <w:t xml:space="preserve"> </w:t>
      </w:r>
      <w:r>
        <w:t xml:space="preserve">à tous les trimestres, en l’absence d’effet tératogène documenté chez l’animal et de signal clinique humain. L’absorption systémique est très faible. Cependant, par mesure de prudence, on réservera le crotamiton à l’alternative en cas d’indisponibilité ou de CI à la perméthrine (qui demeure le traitement de première intention pendant la grossesse). Éviter l’application étendue pendant le 1er trimestre.</w:t>
      </w:r>
    </w:p>
    <w:p>
      <w:pPr>
        <w:pStyle w:val="Compact"/>
        <w:numPr>
          <w:ilvl w:val="0"/>
          <w:numId w:val="1425"/>
        </w:numPr>
      </w:pPr>
      <w:r>
        <w:rPr>
          <w:b/>
          <w:bCs/>
        </w:rPr>
        <w:t xml:space="preserve">Allaitement</w:t>
      </w:r>
      <w:r>
        <w:t xml:space="preserve"> </w:t>
      </w:r>
      <w:r>
        <w:t xml:space="preserve">: autorisé selon le CRAT. Éviter l’application sur le mamelon et l’aréole ; rincer soigneusement le sein avant la tétée.</w:t>
      </w:r>
    </w:p>
    <w:p>
      <w:pPr>
        <w:pStyle w:val="Compact"/>
        <w:numPr>
          <w:ilvl w:val="0"/>
          <w:numId w:val="1425"/>
        </w:numPr>
      </w:pPr>
      <w:r>
        <w:rPr>
          <w:b/>
          <w:bCs/>
        </w:rPr>
        <w:t xml:space="preserve">Précisions</w:t>
      </w:r>
      <w:r>
        <w:t xml:space="preserve"> </w:t>
      </w:r>
      <w:r>
        <w:t xml:space="preserve">: chez la femme enceinte présentant une gale, l’idéal est de disposer de perméthrine 5 % (indisponible en Algérie en officine) ; à défaut, le crotamiton 10 % en applications répétées sur 5 jours est une alternative acceptable.</w:t>
      </w:r>
    </w:p>
    <w:bookmarkEnd w:id="188"/>
    <w:bookmarkStart w:id="189" w:name="X9ff21cc0061dc5499dc8586007dfdd1eb6dbf1e"/>
    <w:p>
      <w:pPr>
        <w:pStyle w:val="Heading3"/>
      </w:pPr>
      <w:r>
        <w:t xml:space="preserve">Posologie et Mode d’administration (Standard)</w:t>
      </w:r>
    </w:p>
    <w:p>
      <w:pPr>
        <w:pStyle w:val="Compact"/>
        <w:numPr>
          <w:ilvl w:val="0"/>
          <w:numId w:val="1426"/>
        </w:numPr>
      </w:pPr>
      <w:r>
        <w:rPr>
          <w:b/>
          <w:bCs/>
        </w:rPr>
        <w:t xml:space="preserve">Adulte — Gale commune</w:t>
      </w:r>
      <w:r>
        <w:t xml:space="preserve"> </w:t>
      </w:r>
      <w:r>
        <w:t xml:space="preserve">:</w:t>
      </w:r>
    </w:p>
    <w:p>
      <w:pPr>
        <w:pStyle w:val="Compact"/>
        <w:numPr>
          <w:ilvl w:val="1"/>
          <w:numId w:val="1427"/>
        </w:numPr>
      </w:pPr>
      <w:r>
        <w:t xml:space="preserve">Application sur peau propre et sèche, après bain tiède.</w:t>
      </w:r>
    </w:p>
    <w:p>
      <w:pPr>
        <w:pStyle w:val="Compact"/>
        <w:numPr>
          <w:ilvl w:val="1"/>
          <w:numId w:val="1427"/>
        </w:numPr>
      </w:pPr>
      <w:r>
        <w:t xml:space="preserve">Appliquer en couche fine sur</w:t>
      </w:r>
      <w:r>
        <w:t xml:space="preserve"> </w:t>
      </w:r>
      <w:r>
        <w:rPr>
          <w:b/>
          <w:bCs/>
        </w:rPr>
        <w:t xml:space="preserve">l’ensemble du tégument</w:t>
      </w:r>
      <w:r>
        <w:t xml:space="preserve"> </w:t>
      </w:r>
      <w:r>
        <w:t xml:space="preserve">du cou aux pieds (inclus espaces interdigitaux, plis, organes génitaux), en évitant le visage et les muqueuses.</w:t>
      </w:r>
    </w:p>
    <w:p>
      <w:pPr>
        <w:pStyle w:val="Compact"/>
        <w:numPr>
          <w:ilvl w:val="1"/>
          <w:numId w:val="1427"/>
        </w:numPr>
      </w:pPr>
      <w:r>
        <w:rPr>
          <w:b/>
          <w:bCs/>
        </w:rPr>
        <w:t xml:space="preserve">Renouveler l’application 24 h après la première</w:t>
      </w:r>
      <w:r>
        <w:t xml:space="preserve"> </w:t>
      </w:r>
      <w:r>
        <w:t xml:space="preserve">(soit 2 applications consécutives).</w:t>
      </w:r>
    </w:p>
    <w:p>
      <w:pPr>
        <w:pStyle w:val="Compact"/>
        <w:numPr>
          <w:ilvl w:val="1"/>
          <w:numId w:val="1427"/>
        </w:numPr>
      </w:pPr>
      <w:r>
        <w:rPr>
          <w:b/>
          <w:bCs/>
        </w:rPr>
        <w:t xml:space="preserve">Changer le linge</w:t>
      </w:r>
      <w:r>
        <w:t xml:space="preserve"> </w:t>
      </w:r>
      <w:r>
        <w:t xml:space="preserve">après la 2e application ; bain de rinçage 48 h après la 1re application.</w:t>
      </w:r>
    </w:p>
    <w:p>
      <w:pPr>
        <w:pStyle w:val="Compact"/>
        <w:numPr>
          <w:ilvl w:val="1"/>
          <w:numId w:val="1427"/>
        </w:numPr>
      </w:pPr>
      <w:r>
        <w:t xml:space="preserve">Renouveler la cure complète à J7-J14.</w:t>
      </w:r>
    </w:p>
    <w:p>
      <w:pPr>
        <w:pStyle w:val="Compact"/>
        <w:numPr>
          <w:ilvl w:val="0"/>
          <w:numId w:val="1426"/>
        </w:numPr>
      </w:pPr>
      <w:r>
        <w:rPr>
          <w:b/>
          <w:bCs/>
        </w:rPr>
        <w:t xml:space="preserve">Adulte — Prurit isolé</w:t>
      </w:r>
      <w:r>
        <w:t xml:space="preserve"> </w:t>
      </w:r>
      <w:r>
        <w:t xml:space="preserve">: application locale 2 à 3 fois par jour sur les zones prurigineuses, jusqu’à disparition des symptômes (durée maximale continue : 7 jours sans avis médical).</w:t>
      </w:r>
    </w:p>
    <w:p>
      <w:pPr>
        <w:pStyle w:val="Compact"/>
        <w:numPr>
          <w:ilvl w:val="0"/>
          <w:numId w:val="1426"/>
        </w:numPr>
      </w:pPr>
      <w:r>
        <w:rPr>
          <w:b/>
          <w:bCs/>
        </w:rPr>
        <w:t xml:space="preserve">Enfant</w:t>
      </w:r>
      <w:r>
        <w:t xml:space="preserve"> </w:t>
      </w:r>
      <w:r>
        <w:t xml:space="preserve">:</w:t>
      </w:r>
    </w:p>
    <w:p>
      <w:pPr>
        <w:pStyle w:val="Compact"/>
        <w:numPr>
          <w:ilvl w:val="1"/>
          <w:numId w:val="1428"/>
        </w:numPr>
      </w:pPr>
      <w:r>
        <w:rPr>
          <w:b/>
          <w:bCs/>
        </w:rPr>
        <w:t xml:space="preserve">&gt; 3 ans</w:t>
      </w:r>
      <w:r>
        <w:t xml:space="preserve"> </w:t>
      </w:r>
      <w:r>
        <w:t xml:space="preserve">: posologie identique à l’adulte, en adaptant la quantité à la surface corporelle.</w:t>
      </w:r>
    </w:p>
    <w:p>
      <w:pPr>
        <w:pStyle w:val="Compact"/>
        <w:numPr>
          <w:ilvl w:val="1"/>
          <w:numId w:val="1428"/>
        </w:numPr>
      </w:pPr>
      <w:r>
        <w:rPr>
          <w:b/>
          <w:bCs/>
        </w:rPr>
        <w:t xml:space="preserve">&lt; 3 ans</w:t>
      </w:r>
      <w:r>
        <w:t xml:space="preserve"> </w:t>
      </w:r>
      <w:r>
        <w:t xml:space="preserve">: à éviter par prudence, ou à utiliser uniquement sur avis médical, en application limitée aux zones atteintes.</w:t>
      </w:r>
    </w:p>
    <w:p>
      <w:pPr>
        <w:pStyle w:val="Compact"/>
        <w:numPr>
          <w:ilvl w:val="0"/>
          <w:numId w:val="1426"/>
        </w:numPr>
      </w:pPr>
      <w:r>
        <w:rPr>
          <w:b/>
          <w:bCs/>
        </w:rPr>
        <w:t xml:space="preserve">Nourrisson &lt; 2 mois</w:t>
      </w:r>
      <w:r>
        <w:t xml:space="preserve"> </w:t>
      </w:r>
      <w:r>
        <w:t xml:space="preserve">: à éviter en première intention ; préférer la surveillance et l’application de crème hydratante simple, ou l’ivermectine en ATU hospitalière.</w:t>
      </w:r>
    </w:p>
    <w:p>
      <w:pPr>
        <w:pStyle w:val="Compact"/>
        <w:numPr>
          <w:ilvl w:val="0"/>
          <w:numId w:val="1426"/>
        </w:numPr>
      </w:pPr>
      <w:r>
        <w:rPr>
          <w:b/>
          <w:bCs/>
        </w:rPr>
        <w:t xml:space="preserve">Durée</w:t>
      </w:r>
      <w:r>
        <w:t xml:space="preserve"> </w:t>
      </w:r>
      <w:r>
        <w:t xml:space="preserve">: gale : cure de 2 applications à 24 h d’intervalle, à renouveler à J7-J14 ; prurit : jusqu’à 7 jours en automédication, au-delà consulter.</w:t>
      </w:r>
    </w:p>
    <w:p>
      <w:pPr>
        <w:pStyle w:val="Compact"/>
        <w:numPr>
          <w:ilvl w:val="0"/>
          <w:numId w:val="1426"/>
        </w:numPr>
      </w:pPr>
      <w:r>
        <w:rPr>
          <w:b/>
          <w:bCs/>
        </w:rPr>
        <w:t xml:space="preserve">Moment d’administration</w:t>
      </w:r>
      <w:r>
        <w:t xml:space="preserve"> </w:t>
      </w:r>
      <w:r>
        <w:t xml:space="preserve">: application le soir pour la gale (première application), le lendemain matin pour la seconde, puis rinçage 48 h après la 1re ; applications réparties sur la journée pour le prurit isolé.</w:t>
      </w:r>
    </w:p>
    <w:bookmarkEnd w:id="189"/>
    <w:bookmarkStart w:id="190" w:name="X0562ed3cb5265fcc2675e96b46fba376a3eefe6"/>
    <w:p>
      <w:pPr>
        <w:pStyle w:val="Heading3"/>
      </w:pPr>
      <w:r>
        <w:t xml:space="preserve">Arbitrage et Bénéfices des Formes Galéniques</w:t>
      </w:r>
    </w:p>
    <w:p>
      <w:pPr>
        <w:pStyle w:val="FirstParagraph"/>
      </w:pPr>
      <w:r>
        <w:t xml:space="preserve">La</w:t>
      </w:r>
      <w:r>
        <w:t xml:space="preserve"> </w:t>
      </w:r>
      <w:r>
        <w:rPr>
          <w:b/>
          <w:bCs/>
        </w:rPr>
        <w:t xml:space="preserve">crème dermique 10 %</w:t>
      </w:r>
      <w:r>
        <w:t xml:space="preserve"> </w:t>
      </w:r>
      <w:r>
        <w:t xml:space="preserve">est l’unique forme disponible en Algérie et correspond à la concentration standard internationale. Le format 40 g convient à un traitement complet de la gale adulte (1 tube = 1 cure complète). La texture crème est adaptée aux peaux sèches et au traitement de grandes surfaces corporelles. L’absence de forme lotion ou spray limite l’utilisation pour la pédiculose capillaire (le crotamiton n’est de toute façon pas recommandé en première intention pour la pédiculose). L’avantage majeur du crotamiton sur la perméthrine est</w:t>
      </w:r>
      <w:r>
        <w:t xml:space="preserve"> </w:t>
      </w:r>
      <w:r>
        <w:rPr>
          <w:b/>
          <w:bCs/>
        </w:rPr>
        <w:t xml:space="preserve">son action antiprurigineuse intrinsèque</w:t>
      </w:r>
      <w:r>
        <w:t xml:space="preserve">, qui le rend précieux dans le prurit post-scabieux et dans les prurits non parasitaires. Son inconvénient principal est sa</w:t>
      </w:r>
      <w:r>
        <w:t xml:space="preserve"> </w:t>
      </w:r>
      <w:r>
        <w:rPr>
          <w:b/>
          <w:bCs/>
        </w:rPr>
        <w:t xml:space="preserve">moindre efficacité scabicide</w:t>
      </w:r>
      <w:r>
        <w:t xml:space="preserve"> </w:t>
      </w:r>
      <w:r>
        <w:t xml:space="preserve">par rapport à la perméthrine 5 %, imposant des applications répétées (2 applications à 24 h d’intervalle vs 1 seule pour la perméthrine) et un renouvellement à J7-J14. En Algérie, en pratique, le crotamiton représente le</w:t>
      </w:r>
      <w:r>
        <w:t xml:space="preserve"> </w:t>
      </w:r>
      <w:r>
        <w:rPr>
          <w:b/>
          <w:bCs/>
        </w:rPr>
        <w:t xml:space="preserve">traitement de première ligne de la gale commune en officine</w:t>
      </w:r>
      <w:r>
        <w:t xml:space="preserve"> </w:t>
      </w:r>
      <w:r>
        <w:t xml:space="preserve">en raison de l’indisponibilité de la perméthrine 5 % — le pharmacien devra expliquer clairement au patient la nécessité d’une double application à 24 h d’intervalle et d’une 2e cure à J7-J14, et de consulter en cas de persistance des symptômes à J15 (éventuel échec à justifier un relais par ivermectine PO).</w:t>
      </w:r>
    </w:p>
    <w:bookmarkEnd w:id="190"/>
    <w:bookmarkStart w:id="191" w:name="instructions-et-conseils-au-patient-2"/>
    <w:p>
      <w:pPr>
        <w:pStyle w:val="Heading3"/>
      </w:pPr>
      <w:r>
        <w:t xml:space="preserve">Instructions et Conseils au Patient</w:t>
      </w:r>
    </w:p>
    <w:p>
      <w:pPr>
        <w:pStyle w:val="Compact"/>
        <w:numPr>
          <w:ilvl w:val="0"/>
          <w:numId w:val="1429"/>
        </w:numPr>
      </w:pPr>
      <w:r>
        <w:rPr>
          <w:b/>
          <w:bCs/>
        </w:rPr>
        <w:t xml:space="preserve">Communication au comptoir</w:t>
      </w:r>
      <w:r>
        <w:t xml:space="preserve"> </w:t>
      </w:r>
      <w:r>
        <w:t xml:space="preserve">:</w:t>
      </w:r>
    </w:p>
    <w:p>
      <w:pPr>
        <w:pStyle w:val="Compact"/>
        <w:numPr>
          <w:ilvl w:val="1"/>
          <w:numId w:val="1430"/>
        </w:numPr>
      </w:pPr>
      <w:r>
        <w:t xml:space="preserve">Expliquer la</w:t>
      </w:r>
      <w:r>
        <w:t xml:space="preserve"> </w:t>
      </w:r>
      <w:r>
        <w:rPr>
          <w:b/>
          <w:bCs/>
        </w:rPr>
        <w:t xml:space="preserve">double application à 24 h d’intervalle</w:t>
      </w:r>
      <w:r>
        <w:t xml:space="preserve"> </w:t>
      </w:r>
      <w:r>
        <w:t xml:space="preserve">: 1re application le soir (J1), 2e application le lendemain (J2), rinçage complet à J3 (48 h après la 1re application).</w:t>
      </w:r>
    </w:p>
    <w:p>
      <w:pPr>
        <w:pStyle w:val="Compact"/>
        <w:numPr>
          <w:ilvl w:val="1"/>
          <w:numId w:val="1430"/>
        </w:numPr>
      </w:pPr>
      <w:r>
        <w:t xml:space="preserve">Insister sur la</w:t>
      </w:r>
      <w:r>
        <w:t xml:space="preserve"> </w:t>
      </w:r>
      <w:r>
        <w:rPr>
          <w:b/>
          <w:bCs/>
        </w:rPr>
        <w:t xml:space="preserve">2e cure à J7-J14</w:t>
      </w:r>
      <w:r>
        <w:t xml:space="preserve"> </w:t>
      </w:r>
      <w:r>
        <w:t xml:space="preserve">pour éliminer les œufs éclos.</w:t>
      </w:r>
    </w:p>
    <w:p>
      <w:pPr>
        <w:pStyle w:val="Compact"/>
        <w:numPr>
          <w:ilvl w:val="1"/>
          <w:numId w:val="1430"/>
        </w:numPr>
      </w:pPr>
      <w:r>
        <w:rPr>
          <w:b/>
          <w:bCs/>
        </w:rPr>
        <w:t xml:space="preserve">Traiter l’entourage</w:t>
      </w:r>
      <w:r>
        <w:t xml:space="preserve"> </w:t>
      </w:r>
      <w:r>
        <w:t xml:space="preserve">: tous les membres du foyer simultanément, y compris asymptomatiques.</w:t>
      </w:r>
    </w:p>
    <w:p>
      <w:pPr>
        <w:pStyle w:val="Compact"/>
        <w:numPr>
          <w:ilvl w:val="1"/>
          <w:numId w:val="1430"/>
        </w:numPr>
      </w:pPr>
      <w:r>
        <w:rPr>
          <w:b/>
          <w:bCs/>
        </w:rPr>
        <w:t xml:space="preserve">Désinfection du linge</w:t>
      </w:r>
      <w:r>
        <w:t xml:space="preserve"> </w:t>
      </w:r>
      <w:r>
        <w:t xml:space="preserve">: lavage à 60 °C de la literie, des vêtements et serviettes utilisés dans les 48 h précédant le traitement ; sac plastique fermé 7 jours pour les articles non lavables.</w:t>
      </w:r>
    </w:p>
    <w:p>
      <w:pPr>
        <w:pStyle w:val="Compact"/>
        <w:numPr>
          <w:ilvl w:val="1"/>
          <w:numId w:val="1430"/>
        </w:numPr>
      </w:pPr>
      <w:r>
        <w:t xml:space="preserve">Le</w:t>
      </w:r>
      <w:r>
        <w:t xml:space="preserve"> </w:t>
      </w:r>
      <w:r>
        <w:rPr>
          <w:b/>
          <w:bCs/>
        </w:rPr>
        <w:t xml:space="preserve">prurit peut persister 2-4 semaines</w:t>
      </w:r>
      <w:r>
        <w:t xml:space="preserve"> </w:t>
      </w:r>
      <w:r>
        <w:t xml:space="preserve">: ce n’est pas un échec. Utiliser le crotamiton en application locale 2-3 fois/jour sur les zones prurigineuses en attendant la guérison.</w:t>
      </w:r>
    </w:p>
    <w:p>
      <w:pPr>
        <w:pStyle w:val="Compact"/>
        <w:numPr>
          <w:ilvl w:val="1"/>
          <w:numId w:val="1430"/>
        </w:numPr>
      </w:pPr>
      <w:r>
        <w:t xml:space="preserve">Éviter le grattage intensif (surinfection bactérienne, impétiginisation).</w:t>
      </w:r>
    </w:p>
    <w:p>
      <w:pPr>
        <w:pStyle w:val="Compact"/>
        <w:numPr>
          <w:ilvl w:val="0"/>
          <w:numId w:val="1429"/>
        </w:numPr>
      </w:pPr>
      <w:r>
        <w:rPr>
          <w:b/>
          <w:bCs/>
        </w:rPr>
        <w:t xml:space="preserve">Mode d’utilisation pratique</w:t>
      </w:r>
      <w:r>
        <w:t xml:space="preserve"> </w:t>
      </w:r>
      <w:r>
        <w:t xml:space="preserve">:</w:t>
      </w:r>
    </w:p>
    <w:p>
      <w:pPr>
        <w:pStyle w:val="Compact"/>
        <w:numPr>
          <w:ilvl w:val="1"/>
          <w:numId w:val="1431"/>
        </w:numPr>
      </w:pPr>
      <w:r>
        <w:t xml:space="preserve">Bain tiède préalable, séchage soigneux.</w:t>
      </w:r>
    </w:p>
    <w:p>
      <w:pPr>
        <w:pStyle w:val="Compact"/>
        <w:numPr>
          <w:ilvl w:val="1"/>
          <w:numId w:val="1431"/>
        </w:numPr>
      </w:pPr>
      <w:r>
        <w:t xml:space="preserve">Application en couche fine, en massant légèrement pour faire pénétrer.</w:t>
      </w:r>
    </w:p>
    <w:p>
      <w:pPr>
        <w:pStyle w:val="Compact"/>
        <w:numPr>
          <w:ilvl w:val="1"/>
          <w:numId w:val="1431"/>
        </w:numPr>
      </w:pPr>
      <w:r>
        <w:t xml:space="preserve">Éviter le visage, les yeux, la bouche, les muqueuses.</w:t>
      </w:r>
    </w:p>
    <w:p>
      <w:pPr>
        <w:pStyle w:val="Compact"/>
        <w:numPr>
          <w:ilvl w:val="1"/>
          <w:numId w:val="1431"/>
        </w:numPr>
      </w:pPr>
      <w:r>
        <w:t xml:space="preserve">Se laver les mains après application, sauf si les mains sont traitées.</w:t>
      </w:r>
    </w:p>
    <w:p>
      <w:pPr>
        <w:pStyle w:val="Compact"/>
        <w:numPr>
          <w:ilvl w:val="1"/>
          <w:numId w:val="1431"/>
        </w:numPr>
      </w:pPr>
      <w:r>
        <w:t xml:space="preserve">Ne pas appliquer de pansement occlusif.</w:t>
      </w:r>
    </w:p>
    <w:p>
      <w:pPr>
        <w:pStyle w:val="Compact"/>
        <w:numPr>
          <w:ilvl w:val="1"/>
          <w:numId w:val="1431"/>
        </w:numPr>
      </w:pPr>
      <w:r>
        <w:t xml:space="preserve">Ne pas utiliser de savon agressif (préférer un syndet) pendant le traitement.</w:t>
      </w:r>
    </w:p>
    <w:bookmarkEnd w:id="191"/>
    <w:bookmarkStart w:id="192" w:name="notes-règles-dor-pièges-au-comptoir-2"/>
    <w:p>
      <w:pPr>
        <w:pStyle w:val="Heading3"/>
      </w:pPr>
      <w:r>
        <w:t xml:space="preserve">Notes, Règles d’Or &amp; Pièges au Comptoir</w:t>
      </w:r>
    </w:p>
    <w:p>
      <w:pPr>
        <w:pStyle w:val="Compact"/>
        <w:numPr>
          <w:ilvl w:val="0"/>
          <w:numId w:val="1432"/>
        </w:numPr>
      </w:pPr>
      <w:r>
        <w:rPr>
          <w:b/>
          <w:bCs/>
        </w:rPr>
        <w:t xml:space="preserve">Piège classique n°1 — Application unique au lieu de double</w:t>
      </w:r>
      <w:r>
        <w:t xml:space="preserve"> </w:t>
      </w:r>
      <w:r>
        <w:t xml:space="preserve">: contrairement à la perméthrine qui s’applique en dose unique, le crotamiton nécessite</w:t>
      </w:r>
      <w:r>
        <w:t xml:space="preserve"> </w:t>
      </w:r>
      <w:r>
        <w:rPr>
          <w:b/>
          <w:bCs/>
        </w:rPr>
        <w:t xml:space="preserve">2 applications à 24 h d’intervalle</w:t>
      </w:r>
      <w:r>
        <w:t xml:space="preserve"> </w:t>
      </w:r>
      <w:r>
        <w:t xml:space="preserve">pour atteindre une efficacité scabicide correcte. L’application unique expose à un échec.</w:t>
      </w:r>
    </w:p>
    <w:p>
      <w:pPr>
        <w:pStyle w:val="Compact"/>
        <w:numPr>
          <w:ilvl w:val="0"/>
          <w:numId w:val="1432"/>
        </w:numPr>
      </w:pPr>
      <w:r>
        <w:rPr>
          <w:b/>
          <w:bCs/>
        </w:rPr>
        <w:t xml:space="preserve">Piège classique n°2 — Oubli de la 2e cure à J7-J14</w:t>
      </w:r>
      <w:r>
        <w:t xml:space="preserve"> </w:t>
      </w:r>
      <w:r>
        <w:t xml:space="preserve">: comme pour la perméthrine, le crotamiton n’est pas totalement ovicide ; la 2e cure est indispensable.</w:t>
      </w:r>
    </w:p>
    <w:p>
      <w:pPr>
        <w:pStyle w:val="Compact"/>
        <w:numPr>
          <w:ilvl w:val="0"/>
          <w:numId w:val="1432"/>
        </w:numPr>
      </w:pPr>
      <w:r>
        <w:rPr>
          <w:b/>
          <w:bCs/>
        </w:rPr>
        <w:t xml:space="preserve">Piège classique n°3 — Application sur peau lésée ou muqueuse</w:t>
      </w:r>
      <w:r>
        <w:t xml:space="preserve"> </w:t>
      </w:r>
      <w:r>
        <w:t xml:space="preserve">: irritation, brûlure, majoration du passage systémique. Toujours demander au patient s’il a des lésions érosives avant délivrance.</w:t>
      </w:r>
    </w:p>
    <w:p>
      <w:pPr>
        <w:pStyle w:val="Compact"/>
        <w:numPr>
          <w:ilvl w:val="0"/>
          <w:numId w:val="1432"/>
        </w:numPr>
      </w:pPr>
      <w:r>
        <w:rPr>
          <w:b/>
          <w:bCs/>
        </w:rPr>
        <w:t xml:space="preserve">Piège classique n°4 — Confusion crotamiton = antihistaminique topique</w:t>
      </w:r>
      <w:r>
        <w:t xml:space="preserve"> </w:t>
      </w:r>
      <w:r>
        <w:t xml:space="preserve">: le crotamiton n’est pas un antihistaminique au sens strict (ne bloque pas les récepteurs H1) ; son action antiprurigineuse relève d’un mécanisme propre. Ne pas le substituer à un antihistaminique oral dans l’urticaire généralisée.</w:t>
      </w:r>
    </w:p>
    <w:p>
      <w:pPr>
        <w:pStyle w:val="Compact"/>
        <w:numPr>
          <w:ilvl w:val="0"/>
          <w:numId w:val="1432"/>
        </w:numPr>
      </w:pPr>
      <w:r>
        <w:rPr>
          <w:b/>
          <w:bCs/>
        </w:rPr>
        <w:t xml:space="preserve">Piège classique n°5 — Utilisation prolongée sans avis médical</w:t>
      </w:r>
      <w:r>
        <w:t xml:space="preserve"> </w:t>
      </w:r>
      <w:r>
        <w:t xml:space="preserve">: au-delà de 7 jours d’automédication pour un prurit isolé, il faut consulter (recherche d’une cause sous-jacente : hépatopathie, insuffisance rénale, hématopathie, thyroïde).</w:t>
      </w:r>
    </w:p>
    <w:p>
      <w:pPr>
        <w:pStyle w:val="Compact"/>
        <w:numPr>
          <w:ilvl w:val="0"/>
          <w:numId w:val="1432"/>
        </w:numPr>
      </w:pPr>
      <w:r>
        <w:rPr>
          <w:b/>
          <w:bCs/>
        </w:rPr>
        <w:t xml:space="preserve">Règle de prise</w:t>
      </w:r>
      <w:r>
        <w:t xml:space="preserve"> </w:t>
      </w:r>
      <w:r>
        <w:t xml:space="preserve">: 2 applications à 24 h d’intervalle, cure à renouveler à J7-J14, traitement de l’entourage, désinfection du linge.</w:t>
      </w:r>
    </w:p>
    <w:p>
      <w:pPr>
        <w:pStyle w:val="Compact"/>
        <w:numPr>
          <w:ilvl w:val="0"/>
          <w:numId w:val="1432"/>
        </w:numPr>
      </w:pPr>
      <w:r>
        <w:rPr>
          <w:b/>
          <w:bCs/>
        </w:rPr>
        <w:t xml:space="preserve">Préparation et Conservation</w:t>
      </w:r>
      <w:r>
        <w:t xml:space="preserve"> </w:t>
      </w:r>
      <w:r>
        <w:t xml:space="preserve">: tube fermé, température &lt; 25 °C, à l’abri de la lumière et du gel. Ne pas congeler. Conservation après ouverture : 6 mois.</w:t>
      </w:r>
    </w:p>
    <w:p>
      <w:pPr>
        <w:pStyle w:val="Compact"/>
        <w:numPr>
          <w:ilvl w:val="0"/>
          <w:numId w:val="1432"/>
        </w:numPr>
      </w:pPr>
      <w:r>
        <w:rPr>
          <w:b/>
          <w:bCs/>
        </w:rPr>
        <w:t xml:space="preserve">Piège du surdosage / Substitution</w:t>
      </w:r>
      <w:r>
        <w:t xml:space="preserve"> </w:t>
      </w:r>
      <w:r>
        <w:t xml:space="preserve">: ne pas appliquer plus de 4 fois par jour sur une même zone (risque d’irritation, de passage systémique) ; ne pas combiner avec un autre scabicide topique le même jour. En cas d’échec documenté après 2 cures complètes bien conduites, orienter vers le médecin pour ivermectine PO (Stromectol 200 µg/kg en dose unique, à renouveler à J14).</w:t>
      </w:r>
    </w:p>
    <w:p>
      <w:r>
        <w:pict>
          <v:rect style="width:0;height:1.5pt" o:hralign="center" o:hrstd="t" o:hr="t"/>
        </w:pict>
      </w:r>
    </w:p>
    <w:bookmarkEnd w:id="192"/>
    <w:bookmarkEnd w:id="193"/>
    <w:bookmarkStart w:id="197" w:name="Xdae3e20ede25aaeff46dd037155d3138ca9fe02"/>
    <w:p>
      <w:pPr>
        <w:pStyle w:val="Heading2"/>
      </w:pPr>
      <w:r>
        <w:t xml:space="preserve">Sous-classe 3 — Antiparasitaires externes — Pédiculose (physique)</w:t>
      </w:r>
    </w:p>
    <w:bookmarkStart w:id="194" w:name="cadre-nosologique-et-principe"/>
    <w:p>
      <w:pPr>
        <w:pStyle w:val="Heading3"/>
      </w:pPr>
      <w:r>
        <w:t xml:space="preserve">Cadre nosologique et principe</w:t>
      </w:r>
    </w:p>
    <w:p>
      <w:pPr>
        <w:pStyle w:val="FirstParagraph"/>
      </w:pPr>
      <w:r>
        <w:t xml:space="preserve">La pédiculose capillaire touche en Algérie plusieurs centaines de milliers d’enfants scolarisés (3-12 ans) chaque année, avec un pic automnal-hivernal (rentrée scolaire, contacts rapprochés). La résistance croissante des poux de tête aux</w:t>
      </w:r>
      <w:r>
        <w:t xml:space="preserve"> </w:t>
      </w:r>
      <w:r>
        <w:rPr>
          <w:b/>
          <w:bCs/>
        </w:rPr>
        <w:t xml:space="preserve">pédiculocides neurotoxiques</w:t>
      </w:r>
      <w:r>
        <w:t xml:space="preserve"> </w:t>
      </w:r>
      <w:r>
        <w:t xml:space="preserve">(perméthrine, malathion, lindane) — résistance kdr (knock-down resistance) aux pyréthrinoïdes par mutation des canaux sodiques, résistance aux organophosphorés par surproduction d’estérases — a conduit au développement d’une nouvelle classe thérapeutique : les</w:t>
      </w:r>
      <w:r>
        <w:t xml:space="preserve"> </w:t>
      </w:r>
      <w:r>
        <w:rPr>
          <w:b/>
          <w:bCs/>
        </w:rPr>
        <w:t xml:space="preserve">pédiculocides par action physique</w:t>
      </w:r>
      <w:r>
        <w:t xml:space="preserve">, dont le chef de file est la</w:t>
      </w:r>
      <w:r>
        <w:t xml:space="preserve"> </w:t>
      </w:r>
      <w:r>
        <w:rPr>
          <w:b/>
          <w:bCs/>
        </w:rPr>
        <w:t xml:space="preserve">diméticone</w:t>
      </w:r>
      <w:r>
        <w:t xml:space="preserve">. Contrairement aux neurotoxiques, ces produits agissent par</w:t>
      </w:r>
      <w:r>
        <w:t xml:space="preserve"> </w:t>
      </w:r>
      <w:r>
        <w:rPr>
          <w:b/>
          <w:bCs/>
        </w:rPr>
        <w:t xml:space="preserve">asphyxie mécanique</w:t>
      </w:r>
      <w:r>
        <w:t xml:space="preserve"> </w:t>
      </w:r>
      <w:r>
        <w:t xml:space="preserve">du pou, sans mécanisme biochimique sélectif susceptible d’induire une résistance. Ils représentent aujourd’hui, dans les recommandations françaises et européennes (HAS 2019, ANSM), le</w:t>
      </w:r>
      <w:r>
        <w:t xml:space="preserve"> </w:t>
      </w:r>
      <w:r>
        <w:rPr>
          <w:b/>
          <w:bCs/>
        </w:rPr>
        <w:t xml:space="preserve">traitement de première intention de la pédiculose capillaire</w:t>
      </w:r>
      <w:r>
        <w:t xml:space="preserve">.</w:t>
      </w:r>
    </w:p>
    <w:bookmarkEnd w:id="194"/>
    <w:bookmarkStart w:id="195" w:name="X34a45d079a2f6b609742395f1b43031968d0558"/>
    <w:p>
      <w:pPr>
        <w:pStyle w:val="Heading3"/>
      </w:pPr>
      <w:r>
        <w:t xml:space="preserve">Molécules disponibles mondialement et disponibilité algérienne</w:t>
      </w:r>
    </w:p>
    <w:p>
      <w:pPr>
        <w:pStyle w:val="FirstParagraph"/>
      </w:pPr>
      <w:r>
        <w:t xml:space="preserve">Les antiparasitaires externes à action physique comprennent :</w:t>
      </w:r>
    </w:p>
    <w:p>
      <w:pPr>
        <w:pStyle w:val="Compact"/>
        <w:numPr>
          <w:ilvl w:val="0"/>
          <w:numId w:val="1433"/>
        </w:numPr>
      </w:pPr>
      <w:r>
        <w:rPr>
          <w:b/>
          <w:bCs/>
        </w:rPr>
        <w:t xml:space="preserve">Diméticone</w:t>
      </w:r>
      <w:r>
        <w:t xml:space="preserve"> </w:t>
      </w:r>
      <w:r>
        <w:t xml:space="preserve">(silicone liquide) à différentes viscosités (4 %, 8 %, 100 %) — forme pédiculocide en lotion ou spray (NYDA®, PRIODERM®, ITAX®, HEDRIN®). Non commercialisée en Algérie.</w:t>
      </w:r>
    </w:p>
    <w:p>
      <w:pPr>
        <w:pStyle w:val="Compact"/>
        <w:numPr>
          <w:ilvl w:val="0"/>
          <w:numId w:val="1433"/>
        </w:numPr>
      </w:pPr>
      <w:r>
        <w:rPr>
          <w:b/>
          <w:bCs/>
        </w:rPr>
        <w:t xml:space="preserve">Cyclométhicone</w:t>
      </w:r>
      <w:r>
        <w:t xml:space="preserve"> </w:t>
      </w:r>
      <w:r>
        <w:t xml:space="preserve">— silicone volatil, associé à la diméticone.</w:t>
      </w:r>
    </w:p>
    <w:p>
      <w:pPr>
        <w:pStyle w:val="Compact"/>
        <w:numPr>
          <w:ilvl w:val="0"/>
          <w:numId w:val="1433"/>
        </w:numPr>
      </w:pPr>
      <w:r>
        <w:rPr>
          <w:b/>
          <w:bCs/>
        </w:rPr>
        <w:t xml:space="preserve">Huiles minérales</w:t>
      </w:r>
      <w:r>
        <w:t xml:space="preserve"> </w:t>
      </w:r>
      <w:r>
        <w:t xml:space="preserve">(paraffine, vaseline) — action mécanique d’asphyxie similaire.</w:t>
      </w:r>
    </w:p>
    <w:p>
      <w:pPr>
        <w:pStyle w:val="Compact"/>
        <w:numPr>
          <w:ilvl w:val="0"/>
          <w:numId w:val="1433"/>
        </w:numPr>
      </w:pPr>
      <w:r>
        <w:rPr>
          <w:b/>
          <w:bCs/>
        </w:rPr>
        <w:t xml:space="preserve">Oxyphényrine</w:t>
      </w:r>
      <w:r>
        <w:t xml:space="preserve"> </w:t>
      </w:r>
      <w:r>
        <w:t xml:space="preserve">— non disponible.</w:t>
      </w:r>
    </w:p>
    <w:p>
      <w:pPr>
        <w:pStyle w:val="FirstParagraph"/>
      </w:pPr>
      <w:r>
        <w:rPr>
          <w:b/>
          <w:bCs/>
        </w:rPr>
        <w:t xml:space="preserve">Situation algérienne spécifique (nomenclature Avril 2026)</w:t>
      </w:r>
      <w:r>
        <w:t xml:space="preserve"> </w:t>
      </w:r>
      <w:r>
        <w:t xml:space="preserve">: le fichier commercial algérien ne référence la diméticone</w:t>
      </w:r>
      <w:r>
        <w:t xml:space="preserve"> </w:t>
      </w:r>
      <w:r>
        <w:rPr>
          <w:b/>
          <w:bCs/>
        </w:rPr>
        <w:t xml:space="preserve">qu’en forme orale à visée antiflatulente</w:t>
      </w:r>
      <w:r>
        <w:t xml:space="preserve"> </w:t>
      </w:r>
      <w:r>
        <w:t xml:space="preserve">(PEPSANE, PEPSULENE, POLYSILANE, GASTRALGINE) — et</w:t>
      </w:r>
      <w:r>
        <w:t xml:space="preserve"> </w:t>
      </w:r>
      <w:r>
        <w:rPr>
          <w:b/>
          <w:bCs/>
        </w:rPr>
        <w:t xml:space="preserve">jamais en forme topique pédiculocide</w:t>
      </w:r>
      <w:r>
        <w:t xml:space="preserve">. Cette absence de spécialité pédiculocide à base de diméticone en Algérie est problématique, car la diméticone est considérée comme le traitement de choix mondial actuel de la pédiculose capillaire. Les alternatives locales pour le pharmacien algérien sont : (1) la</w:t>
      </w:r>
      <w:r>
        <w:t xml:space="preserve"> </w:t>
      </w:r>
      <w:r>
        <w:rPr>
          <w:b/>
          <w:bCs/>
        </w:rPr>
        <w:t xml:space="preserve">méthode mécanique pure</w:t>
      </w:r>
      <w:r>
        <w:t xml:space="preserve"> </w:t>
      </w:r>
      <w:r>
        <w:t xml:space="preserve">(peigne fin à dents serrées 0,3 mm sur cheveux démêlés et imprégnés d’après-shampooing, répétée tous les 3-4 jours pendant 2 semaines) ; (2) l’</w:t>
      </w:r>
      <w:r>
        <w:rPr>
          <w:b/>
          <w:bCs/>
        </w:rPr>
        <w:t xml:space="preserve">asphyxie par produit domestique</w:t>
      </w:r>
      <w:r>
        <w:t xml:space="preserve"> </w:t>
      </w:r>
      <w:r>
        <w:t xml:space="preserve">(mayonnaise, huile d’olive, vaseline — efficacité discutée) ; (3) l’importation de spécialités européennes (NYDA, ITAX, HEDRIN) via pharmacien transfrontalier ou voyage.</w:t>
      </w:r>
    </w:p>
    <w:bookmarkEnd w:id="195"/>
    <w:bookmarkStart w:id="196" w:name="X992898db1601998c8d10c38c6d9e6ec918ee582"/>
    <w:p>
      <w:pPr>
        <w:pStyle w:val="Heading3"/>
      </w:pPr>
      <w:r>
        <w:t xml:space="preserve">Fiche descriptive de la diméticone pédiculocide (à titre informatif, non disponible en Algérie)</w:t>
      </w:r>
    </w:p>
    <w:p>
      <w:pPr>
        <w:pStyle w:val="FirstParagraph"/>
      </w:pPr>
      <w:r>
        <w:t xml:space="preserve">Bien que la diméticone pédiculocide ne soit pas commercialisée en Algérie, il est essentiel que l’étudiant en pharmacie et le pharmacien d’offine algérien connaissent cette molécule, qui fait partie intégrante de la pharmacologie des antiparasitaires externes et qui pourrait être introduite prochainement sur le marché national.</w:t>
      </w:r>
    </w:p>
    <w:p>
      <w:r>
        <w:pict>
          <v:rect style="width:0;height:1.5pt" o:hralign="center" o:hrstd="t" o:hr="t"/>
        </w:pict>
      </w:r>
    </w:p>
    <w:bookmarkEnd w:id="196"/>
    <w:bookmarkEnd w:id="197"/>
    <w:bookmarkStart w:id="209" w:name="X844d3c0ece997dd83a63f0539ad107f1317ae1c"/>
    <w:p>
      <w:pPr>
        <w:pStyle w:val="Heading2"/>
      </w:pPr>
      <w:r>
        <w:t xml:space="preserve">Fiche 4 — Diméticone (Seule — Forme pédiculocide non disponible en Algérie)</w:t>
      </w:r>
    </w:p>
    <w:bookmarkStart w:id="198" w:name="liste-des-catégories-3"/>
    <w:p>
      <w:pPr>
        <w:pStyle w:val="Heading3"/>
      </w:pPr>
      <w:r>
        <w:t xml:space="preserve">Liste des Catégories</w:t>
      </w:r>
    </w:p>
    <w:p>
      <w:pPr>
        <w:pStyle w:val="FirstParagraph"/>
      </w:pPr>
      <w:r>
        <w:t xml:space="preserve">Antiparasitaires externes — Pédiculose (physique) ; Antiparasitaire d’action physique par asphyxie ; Sans neurotoxicité systémique ; Sans résistance décrite.</w:t>
      </w:r>
    </w:p>
    <w:p>
      <w:pPr>
        <w:pStyle w:val="BodyText"/>
      </w:pPr>
      <w:r>
        <w:t xml:space="preserve">La</w:t>
      </w:r>
      <w:r>
        <w:t xml:space="preserve"> </w:t>
      </w:r>
      <w:r>
        <w:rPr>
          <w:b/>
          <w:bCs/>
        </w:rPr>
        <w:t xml:space="preserve">diméticone</w:t>
      </w:r>
      <w:r>
        <w:t xml:space="preserve"> </w:t>
      </w:r>
      <w:r>
        <w:t xml:space="preserve">(polydiméthylsiloxane, PDMS) est un polymère silicone liquide, inerte, non toxique, utilisé depuis les années 1950 comme agent antiflatulent oral (formes PEPSANE, PEPSULENE en Algérie) et, depuis les années 2000, comme</w:t>
      </w:r>
      <w:r>
        <w:t xml:space="preserve"> </w:t>
      </w:r>
      <w:r>
        <w:rPr>
          <w:b/>
          <w:bCs/>
        </w:rPr>
        <w:t xml:space="preserve">pédiculocide topique par action physique</w:t>
      </w:r>
      <w:r>
        <w:t xml:space="preserve"> </w:t>
      </w:r>
      <w:r>
        <w:t xml:space="preserve">(formes NYDA 4 %, PRIODERM 4 %, HEDRIN 4 %, ITAX 4 %, non disponibles en Algérie). Cette double identité galénique — orale et topique — explique la présence de la diméticone dans le fichier algérien sous forme de spécialités digestives, et l’absence paradoxale de spécialité pédiculocide alors que la molécule est identique. La particularité de la diméticone réside dans son</w:t>
      </w:r>
      <w:r>
        <w:t xml:space="preserve"> </w:t>
      </w:r>
      <w:r>
        <w:rPr>
          <w:b/>
          <w:bCs/>
        </w:rPr>
        <w:t xml:space="preserve">mécanisme purement physique</w:t>
      </w:r>
      <w:r>
        <w:t xml:space="preserve">, sans interaction biochimique avec le parasite, ce qui élimine tout risque de résistance croisée avec les neurotoxiques classiques et autorise son usage chez la femme enceinte, le nourrisson et le sujet allergique. Elle représente la réponse moderne à la</w:t>
      </w:r>
      <w:r>
        <w:t xml:space="preserve"> </w:t>
      </w:r>
      <w:r>
        <w:rPr>
          <w:b/>
          <w:bCs/>
        </w:rPr>
        <w:t xml:space="preserve">pédiculose résistante</w:t>
      </w:r>
      <w:r>
        <w:t xml:space="preserve"> </w:t>
      </w:r>
      <w:r>
        <w:t xml:space="preserve">et s’impose comme traitement de première ligne dans la majorité des recommandations internationales récentes.</w:t>
      </w:r>
    </w:p>
    <w:bookmarkEnd w:id="198"/>
    <w:bookmarkStart w:id="199" w:name="X931dc116f8c1c7327d6eb7cdeb2115edb4022b9"/>
    <w:p>
      <w:pPr>
        <w:pStyle w:val="Heading3"/>
      </w:pPr>
      <w:r>
        <w:t xml:space="preserve">Médicaments disponibles en Algérie (Marques, Laboratoires, Formes et Dosages)</w:t>
      </w:r>
    </w:p>
    <w:p>
      <w:pPr>
        <w:pStyle w:val="FirstParagraph"/>
      </w:pPr>
      <w:r>
        <w:rPr>
          <w:b/>
          <w:bCs/>
        </w:rPr>
        <w:t xml:space="preserve">Formes orales antiflatulentes (présentes dans le fichier algérien mais HORS indication pédiculose) :</w:t>
      </w:r>
    </w:p>
    <w:p>
      <w:pPr>
        <w:pStyle w:val="Compact"/>
        <w:numPr>
          <w:ilvl w:val="0"/>
          <w:numId w:val="1434"/>
        </w:numPr>
      </w:pPr>
      <w:r>
        <w:rPr>
          <w:b/>
          <w:bCs/>
        </w:rPr>
        <w:t xml:space="preserve">PEPSANE</w:t>
      </w:r>
      <w:r>
        <w:t xml:space="preserve"> </w:t>
      </w:r>
      <w:r>
        <w:t xml:space="preserve">(ROSA-PHYTOPHARMA)</w:t>
      </w:r>
    </w:p>
    <w:p>
      <w:pPr>
        <w:pStyle w:val="Compact"/>
        <w:numPr>
          <w:ilvl w:val="1"/>
          <w:numId w:val="1435"/>
        </w:numPr>
      </w:pPr>
      <w:r>
        <w:t xml:space="preserve">Forme et Dosage : Gel buvable en sachets-dose, diméticone 3 g + gaiazulène 0,004 g par sachet</w:t>
      </w:r>
    </w:p>
    <w:p>
      <w:pPr>
        <w:pStyle w:val="Compact"/>
        <w:numPr>
          <w:ilvl w:val="1"/>
          <w:numId w:val="1435"/>
        </w:numPr>
      </w:pPr>
      <w:r>
        <w:t xml:space="preserve">Conditionnement : Boîte de 30 sachets</w:t>
      </w:r>
    </w:p>
    <w:p>
      <w:pPr>
        <w:pStyle w:val="Compact"/>
        <w:numPr>
          <w:ilvl w:val="1"/>
          <w:numId w:val="1435"/>
        </w:numPr>
      </w:pPr>
      <w:r>
        <w:t xml:space="preserve">Statut :</w:t>
      </w:r>
      <w:r>
        <w:t xml:space="preserve"> </w:t>
      </w:r>
      <w:r>
        <w:rPr>
          <w:b/>
          <w:bCs/>
        </w:rPr>
        <w:t xml:space="preserve">ACTIF</w:t>
      </w:r>
    </w:p>
    <w:p>
      <w:pPr>
        <w:pStyle w:val="Compact"/>
        <w:numPr>
          <w:ilvl w:val="0"/>
          <w:numId w:val="1434"/>
        </w:numPr>
      </w:pPr>
      <w:r>
        <w:rPr>
          <w:b/>
          <w:bCs/>
        </w:rPr>
        <w:t xml:space="preserve">PEPSULENE</w:t>
      </w:r>
      <w:r>
        <w:t xml:space="preserve"> </w:t>
      </w:r>
      <w:r>
        <w:t xml:space="preserve">(NADPHARMADIC-PRODUCTION)</w:t>
      </w:r>
    </w:p>
    <w:p>
      <w:pPr>
        <w:pStyle w:val="Compact"/>
        <w:numPr>
          <w:ilvl w:val="1"/>
          <w:numId w:val="1436"/>
        </w:numPr>
      </w:pPr>
      <w:r>
        <w:t xml:space="preserve">Forme et Dosage : Gel buvable, diméticone 3 g + gaiazulène 0,004 g</w:t>
      </w:r>
    </w:p>
    <w:p>
      <w:pPr>
        <w:pStyle w:val="Compact"/>
        <w:numPr>
          <w:ilvl w:val="1"/>
          <w:numId w:val="1436"/>
        </w:numPr>
      </w:pPr>
      <w:r>
        <w:t xml:space="preserve">Conditionnement : Boîte de 30 sachets-doses</w:t>
      </w:r>
    </w:p>
    <w:p>
      <w:pPr>
        <w:pStyle w:val="Compact"/>
        <w:numPr>
          <w:ilvl w:val="1"/>
          <w:numId w:val="1436"/>
        </w:numPr>
      </w:pPr>
      <w:r>
        <w:t xml:space="preserve">Statut :</w:t>
      </w:r>
      <w:r>
        <w:t xml:space="preserve"> </w:t>
      </w:r>
      <w:r>
        <w:rPr>
          <w:b/>
          <w:bCs/>
        </w:rPr>
        <w:t xml:space="preserve">ACTIF</w:t>
      </w:r>
    </w:p>
    <w:p>
      <w:pPr>
        <w:pStyle w:val="Compact"/>
        <w:numPr>
          <w:ilvl w:val="0"/>
          <w:numId w:val="1434"/>
        </w:numPr>
      </w:pPr>
      <w:r>
        <w:rPr>
          <w:b/>
          <w:bCs/>
        </w:rPr>
        <w:t xml:space="preserve">POLYSILANE NOUR JOULLIE</w:t>
      </w:r>
      <w:r>
        <w:t xml:space="preserve"> </w:t>
      </w:r>
      <w:r>
        <w:t xml:space="preserve">(SANOFI-SYNTHELABO)</w:t>
      </w:r>
    </w:p>
    <w:p>
      <w:pPr>
        <w:pStyle w:val="Compact"/>
        <w:numPr>
          <w:ilvl w:val="1"/>
          <w:numId w:val="1437"/>
        </w:numPr>
      </w:pPr>
      <w:r>
        <w:t xml:space="preserve">Forme et Dosage : Gélules, diméticone activée 50 mg + gomme de caroube 250 mg</w:t>
      </w:r>
    </w:p>
    <w:p>
      <w:pPr>
        <w:pStyle w:val="Compact"/>
        <w:numPr>
          <w:ilvl w:val="1"/>
          <w:numId w:val="1437"/>
        </w:numPr>
      </w:pPr>
      <w:r>
        <w:t xml:space="preserve">Conditionnement : Boîte de 50 gélules</w:t>
      </w:r>
    </w:p>
    <w:p>
      <w:pPr>
        <w:pStyle w:val="Compact"/>
        <w:numPr>
          <w:ilvl w:val="1"/>
          <w:numId w:val="1437"/>
        </w:numPr>
      </w:pPr>
      <w:r>
        <w:t xml:space="preserve">Statut :</w:t>
      </w:r>
      <w:r>
        <w:t xml:space="preserve"> </w:t>
      </w:r>
      <w:r>
        <w:rPr>
          <w:b/>
          <w:bCs/>
        </w:rPr>
        <w:t xml:space="preserve">NON RENOUVELABLE</w:t>
      </w:r>
    </w:p>
    <w:p>
      <w:pPr>
        <w:pStyle w:val="Compact"/>
        <w:numPr>
          <w:ilvl w:val="0"/>
          <w:numId w:val="1434"/>
        </w:numPr>
      </w:pPr>
      <w:r>
        <w:rPr>
          <w:b/>
          <w:bCs/>
        </w:rPr>
        <w:t xml:space="preserve">PEPSANE</w:t>
      </w:r>
      <w:r>
        <w:t xml:space="preserve"> </w:t>
      </w:r>
      <w:r>
        <w:t xml:space="preserve">(ROSA-PHYTOPHARMA)</w:t>
      </w:r>
    </w:p>
    <w:p>
      <w:pPr>
        <w:pStyle w:val="Compact"/>
        <w:numPr>
          <w:ilvl w:val="1"/>
          <w:numId w:val="1438"/>
        </w:numPr>
      </w:pPr>
      <w:r>
        <w:t xml:space="preserve">Forme et Dosage : Capsule orale, diméticone 300 mg + gaiazulène 4 mg</w:t>
      </w:r>
    </w:p>
    <w:p>
      <w:pPr>
        <w:pStyle w:val="Compact"/>
        <w:numPr>
          <w:ilvl w:val="1"/>
          <w:numId w:val="1438"/>
        </w:numPr>
      </w:pPr>
      <w:r>
        <w:t xml:space="preserve">Conditionnement : Boîte de 30 capsules</w:t>
      </w:r>
    </w:p>
    <w:p>
      <w:pPr>
        <w:pStyle w:val="Compact"/>
        <w:numPr>
          <w:ilvl w:val="1"/>
          <w:numId w:val="1438"/>
        </w:numPr>
      </w:pPr>
      <w:r>
        <w:t xml:space="preserve">Statut :</w:t>
      </w:r>
      <w:r>
        <w:t xml:space="preserve"> </w:t>
      </w:r>
      <w:r>
        <w:rPr>
          <w:b/>
          <w:bCs/>
        </w:rPr>
        <w:t xml:space="preserve">NON RENOUVELABLE</w:t>
      </w:r>
    </w:p>
    <w:p>
      <w:pPr>
        <w:pStyle w:val="Compact"/>
        <w:numPr>
          <w:ilvl w:val="0"/>
          <w:numId w:val="1434"/>
        </w:numPr>
      </w:pPr>
      <w:r>
        <w:rPr>
          <w:b/>
          <w:bCs/>
        </w:rPr>
        <w:t xml:space="preserve">GASTRALGINE</w:t>
      </w:r>
      <w:r>
        <w:t xml:space="preserve"> </w:t>
      </w:r>
      <w:r>
        <w:t xml:space="preserve">(UPSA)</w:t>
      </w:r>
    </w:p>
    <w:p>
      <w:pPr>
        <w:pStyle w:val="Compact"/>
        <w:numPr>
          <w:ilvl w:val="1"/>
          <w:numId w:val="1439"/>
        </w:numPr>
      </w:pPr>
      <w:r>
        <w:t xml:space="preserve">Forme et Dosage : Comprimé à croquer, diméticone + hydroxyde d’aluminium (dosage non spécifié)</w:t>
      </w:r>
    </w:p>
    <w:p>
      <w:pPr>
        <w:pStyle w:val="Compact"/>
        <w:numPr>
          <w:ilvl w:val="1"/>
          <w:numId w:val="1439"/>
        </w:numPr>
      </w:pPr>
      <w:r>
        <w:t xml:space="preserve">Conditionnement : Boîte de 40 comprimés</w:t>
      </w:r>
    </w:p>
    <w:p>
      <w:pPr>
        <w:pStyle w:val="Compact"/>
        <w:numPr>
          <w:ilvl w:val="1"/>
          <w:numId w:val="1439"/>
        </w:numPr>
      </w:pPr>
      <w:r>
        <w:t xml:space="preserve">Statut :</w:t>
      </w:r>
      <w:r>
        <w:t xml:space="preserve"> </w:t>
      </w:r>
      <w:r>
        <w:rPr>
          <w:b/>
          <w:bCs/>
        </w:rPr>
        <w:t xml:space="preserve">RETRAIT (R)</w:t>
      </w:r>
    </w:p>
    <w:p>
      <w:pPr>
        <w:pStyle w:val="FirstParagraph"/>
      </w:pPr>
      <w:r>
        <w:rPr>
          <w:b/>
          <w:bCs/>
        </w:rPr>
        <w:t xml:space="preserve">Formes topiques pédiculocides (NON disponibles dans la nomenclature algérienne Avril 2026) :</w:t>
      </w:r>
    </w:p>
    <w:p>
      <w:pPr>
        <w:pStyle w:val="BodyText"/>
      </w:pPr>
      <w:r>
        <w:t xml:space="preserve">Aucune spécialité de diméticone lotion/spray 4 % pédiculocide (type NYDA, PRIODERM, HEDRIN, ITAX) n’est référencée dans le fichier algérien. Le pharmacien algérien confronté à une pédiculose résistante devra : (1) conseiller la méthode mécanique du peigne fin ; (2) orienter le patient vers une procédure d’importation de spécialité européenne ; (3) en dernier recours, utiliser la diméticone orale (PEPSANE gel) en application capillaire — pratique non validée par AMM mais rapportée empiriquement, avec une efficacité inconstante et un coût non négligeable.</w:t>
      </w:r>
    </w:p>
    <w:bookmarkEnd w:id="199"/>
    <w:bookmarkStart w:id="200" w:name="sous-classe-et-mécanisme-daction-3"/>
    <w:p>
      <w:pPr>
        <w:pStyle w:val="Heading3"/>
      </w:pPr>
      <w:r>
        <w:t xml:space="preserve">Sous-classe et Mécanisme d’action</w:t>
      </w:r>
    </w:p>
    <w:p>
      <w:pPr>
        <w:pStyle w:val="Compact"/>
        <w:numPr>
          <w:ilvl w:val="0"/>
          <w:numId w:val="1440"/>
        </w:numPr>
      </w:pPr>
      <w:r>
        <w:rPr>
          <w:b/>
          <w:bCs/>
        </w:rPr>
        <w:t xml:space="preserve">Sous-classe</w:t>
      </w:r>
      <w:r>
        <w:t xml:space="preserve"> </w:t>
      </w:r>
      <w:r>
        <w:t xml:space="preserve">: Antiparasitaire externe — pédiculocide d’action physique (non neurotoxique), silicone liquide (ATC P03AX05 — acaricides et insecticides divers).</w:t>
      </w:r>
    </w:p>
    <w:p>
      <w:pPr>
        <w:pStyle w:val="Compact"/>
        <w:numPr>
          <w:ilvl w:val="0"/>
          <w:numId w:val="1440"/>
        </w:numPr>
      </w:pPr>
      <w:r>
        <w:rPr>
          <w:b/>
          <w:bCs/>
        </w:rPr>
        <w:t xml:space="preserve">Mécanisme d’action</w:t>
      </w:r>
      <w:r>
        <w:t xml:space="preserve"> </w:t>
      </w:r>
      <w:r>
        <w:t xml:space="preserve">: la diméticone est un polymère silicone liquide hydrophobe et tensioactif, qui agit par</w:t>
      </w:r>
      <w:r>
        <w:t xml:space="preserve"> </w:t>
      </w:r>
      <w:r>
        <w:rPr>
          <w:b/>
          <w:bCs/>
        </w:rPr>
        <w:t xml:space="preserve">asphyxie mécanique</w:t>
      </w:r>
      <w:r>
        <w:t xml:space="preserve"> </w:t>
      </w:r>
      <w:r>
        <w:t xml:space="preserve">du pou. Le pou respire à travers des orifices latéraux appelés</w:t>
      </w:r>
      <w:r>
        <w:t xml:space="preserve"> </w:t>
      </w:r>
      <w:r>
        <w:rPr>
          <w:b/>
          <w:bCs/>
        </w:rPr>
        <w:t xml:space="preserve">stigmates</w:t>
      </w:r>
      <w:r>
        <w:t xml:space="preserve"> </w:t>
      </w:r>
      <w:r>
        <w:t xml:space="preserve">(ou spiracles), situés le long de son abdomen. La diméticone pénètre dans ces stigmates par capillarité, remplit le réseau trachéen et empêche les échanges gazeux, entraînant la</w:t>
      </w:r>
      <w:r>
        <w:t xml:space="preserve"> </w:t>
      </w:r>
      <w:r>
        <w:rPr>
          <w:b/>
          <w:bCs/>
        </w:rPr>
        <w:t xml:space="preserve">mort par anoxie</w:t>
      </w:r>
      <w:r>
        <w:t xml:space="preserve"> </w:t>
      </w:r>
      <w:r>
        <w:t xml:space="preserve">en 30 secondes à 5 minutes (vs plusieurs heures pour les neurotoxiques). La diméticone agit également sur les</w:t>
      </w:r>
      <w:r>
        <w:t xml:space="preserve"> </w:t>
      </w:r>
      <w:r>
        <w:rPr>
          <w:b/>
          <w:bCs/>
        </w:rPr>
        <w:t xml:space="preserve">lentes</w:t>
      </w:r>
      <w:r>
        <w:t xml:space="preserve"> </w:t>
      </w:r>
      <w:r>
        <w:t xml:space="preserve">(œufs) : elle pénètre par l’opercule chitineux de l’œuf et asphyxie l’embryon en développement, empêchant l’éclosion. Cette action ovicide complète est un avantage majeur sur les neurotoxiques classiques qui sont essentiellement létals sur les formes adultes. Le mode d’action purement physique (pas de cible biochimique) explique l’</w:t>
      </w:r>
      <w:r>
        <w:rPr>
          <w:b/>
          <w:bCs/>
        </w:rPr>
        <w:t xml:space="preserve">absence totale de résistance décrite</w:t>
      </w:r>
      <w:r>
        <w:t xml:space="preserve"> </w:t>
      </w:r>
      <w:r>
        <w:t xml:space="preserve">à ce jour malgré 20 ans d’utilisation en Europe. La diméticone n’est pas absorbée systémiquement à travers le cuir chevelu sain (masse moléculaire élevée, hydrophobicité), ce qui garantit une innocuité systémique complète.</w:t>
      </w:r>
    </w:p>
    <w:bookmarkEnd w:id="200"/>
    <w:bookmarkStart w:id="201" w:name="profil-pharmacologique-3"/>
    <w:p>
      <w:pPr>
        <w:pStyle w:val="Heading3"/>
      </w:pPr>
      <w:r>
        <w:t xml:space="preserve">Profil Pharmacologique</w:t>
      </w:r>
    </w:p>
    <w:p>
      <w:pPr>
        <w:pStyle w:val="Compact"/>
        <w:numPr>
          <w:ilvl w:val="0"/>
          <w:numId w:val="1441"/>
        </w:numPr>
      </w:pPr>
      <w:r>
        <w:rPr>
          <w:b/>
          <w:bCs/>
        </w:rPr>
        <w:t xml:space="preserve">Indications</w:t>
      </w:r>
      <w:r>
        <w:t xml:space="preserve"> </w:t>
      </w:r>
      <w:r>
        <w:t xml:space="preserve">(théoriques, en l’absence de spécialité algérienne) :</w:t>
      </w:r>
    </w:p>
    <w:p>
      <w:pPr>
        <w:pStyle w:val="Compact"/>
        <w:numPr>
          <w:ilvl w:val="1"/>
          <w:numId w:val="1442"/>
        </w:numPr>
      </w:pPr>
      <w:r>
        <w:rPr>
          <w:b/>
          <w:bCs/>
        </w:rPr>
        <w:t xml:space="preserve">Pédiculose capillaire</w:t>
      </w:r>
      <w:r>
        <w:t xml:space="preserve"> </w:t>
      </w:r>
      <w:r>
        <w:t xml:space="preserve">: diméticone 4 % lotion/spray, application unique sur cheveux secs, temps de contact 8 h (ou 15 min pour la forme 100 % concentrée), rinçage. Renouvellement à J7.</w:t>
      </w:r>
    </w:p>
    <w:p>
      <w:pPr>
        <w:pStyle w:val="Compact"/>
        <w:numPr>
          <w:ilvl w:val="1"/>
          <w:numId w:val="1442"/>
        </w:numPr>
      </w:pPr>
      <w:r>
        <w:rPr>
          <w:b/>
          <w:bCs/>
        </w:rPr>
        <w:t xml:space="preserve">Pédiculose pubienne (phthiriose)</w:t>
      </w:r>
      <w:r>
        <w:t xml:space="preserve"> </w:t>
      </w:r>
      <w:r>
        <w:t xml:space="preserve">: application sur zone pubienne et périnéale.</w:t>
      </w:r>
    </w:p>
    <w:p>
      <w:pPr>
        <w:pStyle w:val="Compact"/>
        <w:numPr>
          <w:ilvl w:val="1"/>
          <w:numId w:val="1442"/>
        </w:numPr>
      </w:pPr>
      <w:r>
        <w:rPr>
          <w:b/>
          <w:bCs/>
        </w:rPr>
        <w:t xml:space="preserve">Résistance aux neurotoxiques</w:t>
      </w:r>
      <w:r>
        <w:t xml:space="preserve"> </w:t>
      </w:r>
      <w:r>
        <w:t xml:space="preserve">: indiquée en cas d’échec documenté de la perméthrine, du malathion ou du lindane.</w:t>
      </w:r>
    </w:p>
    <w:p>
      <w:pPr>
        <w:pStyle w:val="Compact"/>
        <w:numPr>
          <w:ilvl w:val="1"/>
          <w:numId w:val="1442"/>
        </w:numPr>
      </w:pPr>
      <w:r>
        <w:rPr>
          <w:b/>
          <w:bCs/>
        </w:rPr>
        <w:t xml:space="preserve">Astuce pharmacologique</w:t>
      </w:r>
      <w:r>
        <w:t xml:space="preserve"> </w:t>
      </w:r>
      <w:r>
        <w:t xml:space="preserve">: la diméticone orale (PEPSANE gel) peut être utilisée en application capillaire « off-label » en Algérie, en l’absence d’alternative, avec une efficacité inconstante (concentration en diméticone variable, galénique non optimisée pour l’application cutanée).</w:t>
      </w:r>
    </w:p>
    <w:p>
      <w:pPr>
        <w:pStyle w:val="Compact"/>
        <w:numPr>
          <w:ilvl w:val="0"/>
          <w:numId w:val="1441"/>
        </w:numPr>
      </w:pPr>
      <w:r>
        <w:rPr>
          <w:b/>
          <w:bCs/>
        </w:rPr>
        <w:t xml:space="preserve">Contre-indications</w:t>
      </w:r>
      <w:r>
        <w:t xml:space="preserve"> </w:t>
      </w:r>
      <w:r>
        <w:t xml:space="preserve">:</w:t>
      </w:r>
    </w:p>
    <w:p>
      <w:pPr>
        <w:pStyle w:val="Compact"/>
        <w:numPr>
          <w:ilvl w:val="1"/>
          <w:numId w:val="1443"/>
        </w:numPr>
      </w:pPr>
      <w:r>
        <w:rPr>
          <w:b/>
          <w:bCs/>
        </w:rPr>
        <w:t xml:space="preserve">Absolues</w:t>
      </w:r>
      <w:r>
        <w:t xml:space="preserve"> </w:t>
      </w:r>
      <w:r>
        <w:t xml:space="preserve">: hypersensibilité à la diméticone ou aux silicones ; application sur muqueuse oculaire, bouche, voies génitales.</w:t>
      </w:r>
    </w:p>
    <w:p>
      <w:pPr>
        <w:pStyle w:val="Compact"/>
        <w:numPr>
          <w:ilvl w:val="1"/>
          <w:numId w:val="1443"/>
        </w:numPr>
      </w:pPr>
      <w:r>
        <w:rPr>
          <w:b/>
          <w:bCs/>
        </w:rPr>
        <w:t xml:space="preserve">Relatives</w:t>
      </w:r>
      <w:r>
        <w:t xml:space="preserve"> </w:t>
      </w:r>
      <w:r>
        <w:t xml:space="preserve">: peau lésée du cuir chevelu (eczéma, psoriasis en poussée) — par prudence, en raison d’un possible passage systémique ; asthme (par prudence avec la forme spray, inhalation possible).</w:t>
      </w:r>
    </w:p>
    <w:p>
      <w:pPr>
        <w:pStyle w:val="Compact"/>
        <w:numPr>
          <w:ilvl w:val="0"/>
          <w:numId w:val="1441"/>
        </w:numPr>
      </w:pPr>
      <w:r>
        <w:rPr>
          <w:b/>
          <w:bCs/>
        </w:rPr>
        <w:t xml:space="preserve">Effets Indésirables</w:t>
      </w:r>
      <w:r>
        <w:t xml:space="preserve"> </w:t>
      </w:r>
      <w:r>
        <w:t xml:space="preserve">:</w:t>
      </w:r>
    </w:p>
    <w:p>
      <w:pPr>
        <w:pStyle w:val="Compact"/>
        <w:numPr>
          <w:ilvl w:val="1"/>
          <w:numId w:val="1444"/>
        </w:numPr>
      </w:pPr>
      <w:r>
        <w:rPr>
          <w:b/>
          <w:bCs/>
        </w:rPr>
        <w:t xml:space="preserve">Locaux cutanés</w:t>
      </w:r>
      <w:r>
        <w:t xml:space="preserve"> </w:t>
      </w:r>
      <w:r>
        <w:t xml:space="preserve">(5-10 %) : sensation de glissant, démangeaisons transitoires, érythème modéré, sécheresse ou au contraire cheveux gras après rinçage (effet cosmétique résiduel), irritation oculaire en cas de contact.</w:t>
      </w:r>
    </w:p>
    <w:p>
      <w:pPr>
        <w:pStyle w:val="Compact"/>
        <w:numPr>
          <w:ilvl w:val="1"/>
          <w:numId w:val="1444"/>
        </w:numPr>
      </w:pPr>
      <w:r>
        <w:rPr>
          <w:b/>
          <w:bCs/>
        </w:rPr>
        <w:t xml:space="preserve">Aucun effet indésirable systémique</w:t>
      </w:r>
      <w:r>
        <w:t xml:space="preserve"> </w:t>
      </w:r>
      <w:r>
        <w:t xml:space="preserve">décrit à ce jour (absorption négligeable).</w:t>
      </w:r>
    </w:p>
    <w:p>
      <w:pPr>
        <w:pStyle w:val="Compact"/>
        <w:numPr>
          <w:ilvl w:val="1"/>
          <w:numId w:val="1444"/>
        </w:numPr>
      </w:pPr>
      <w:r>
        <w:rPr>
          <w:b/>
          <w:bCs/>
        </w:rPr>
        <w:t xml:space="preserve">Aucune neurotoxicité</w:t>
      </w:r>
      <w:r>
        <w:t xml:space="preserve">, aucune cardiotoxicité, aucune hépatotoxicité, aucun effet tératogène.</w:t>
      </w:r>
    </w:p>
    <w:bookmarkEnd w:id="201"/>
    <w:bookmarkStart w:id="202" w:name="X54a7bae1f3d5213739163dabd6a70d28b474d36"/>
    <w:p>
      <w:pPr>
        <w:pStyle w:val="Heading3"/>
      </w:pPr>
      <w:r>
        <w:t xml:space="preserve">Prévention et Gestion des Effets Indésirables</w:t>
      </w:r>
    </w:p>
    <w:p>
      <w:pPr>
        <w:pStyle w:val="Compact"/>
        <w:numPr>
          <w:ilvl w:val="0"/>
          <w:numId w:val="1445"/>
        </w:numPr>
      </w:pPr>
      <w:r>
        <w:rPr>
          <w:b/>
          <w:bCs/>
        </w:rPr>
        <w:t xml:space="preserve">Mesures Préventives</w:t>
      </w:r>
      <w:r>
        <w:t xml:space="preserve"> </w:t>
      </w:r>
      <w:r>
        <w:t xml:space="preserve">:</w:t>
      </w:r>
    </w:p>
    <w:p>
      <w:pPr>
        <w:pStyle w:val="Compact"/>
        <w:numPr>
          <w:ilvl w:val="1"/>
          <w:numId w:val="1446"/>
        </w:numPr>
      </w:pPr>
      <w:r>
        <w:t xml:space="preserve">Éviter le contact avec les yeux et les muqueuses (en cas de contact : rincer abondamment à l’eau).</w:t>
      </w:r>
    </w:p>
    <w:p>
      <w:pPr>
        <w:pStyle w:val="Compact"/>
        <w:numPr>
          <w:ilvl w:val="1"/>
          <w:numId w:val="1446"/>
        </w:numPr>
      </w:pPr>
      <w:r>
        <w:t xml:space="preserve">Ne pas fumer, ne pas s’exposer à une flamme nue pendant l’application (forme spray inflammable).</w:t>
      </w:r>
    </w:p>
    <w:p>
      <w:pPr>
        <w:pStyle w:val="Compact"/>
        <w:numPr>
          <w:ilvl w:val="1"/>
          <w:numId w:val="1446"/>
        </w:numPr>
      </w:pPr>
      <w:r>
        <w:t xml:space="preserve">Aérer la pièce.</w:t>
      </w:r>
    </w:p>
    <w:p>
      <w:pPr>
        <w:pStyle w:val="Compact"/>
        <w:numPr>
          <w:ilvl w:val="1"/>
          <w:numId w:val="1446"/>
        </w:numPr>
      </w:pPr>
      <w:r>
        <w:t xml:space="preserve">Éviter l’utilisation chez le nourrisson &lt; 6 mois par prudence (immaturité cutanée).</w:t>
      </w:r>
    </w:p>
    <w:p>
      <w:pPr>
        <w:pStyle w:val="Compact"/>
        <w:numPr>
          <w:ilvl w:val="1"/>
          <w:numId w:val="1446"/>
        </w:numPr>
      </w:pPr>
      <w:r>
        <w:t xml:space="preserve">Pour la forme spray, éviter l’inhalation directe (risque de toux, irritation ORL).</w:t>
      </w:r>
    </w:p>
    <w:p>
      <w:pPr>
        <w:pStyle w:val="Compact"/>
        <w:numPr>
          <w:ilvl w:val="0"/>
          <w:numId w:val="1445"/>
        </w:numPr>
      </w:pPr>
      <w:r>
        <w:rPr>
          <w:b/>
          <w:bCs/>
        </w:rPr>
        <w:t xml:space="preserve">Conduite à Tenir</w:t>
      </w:r>
      <w:r>
        <w:t xml:space="preserve"> </w:t>
      </w:r>
      <w:r>
        <w:t xml:space="preserve">:</w:t>
      </w:r>
    </w:p>
    <w:p>
      <w:pPr>
        <w:pStyle w:val="Compact"/>
        <w:numPr>
          <w:ilvl w:val="1"/>
          <w:numId w:val="1447"/>
        </w:numPr>
      </w:pPr>
      <w:r>
        <w:rPr>
          <w:b/>
          <w:bCs/>
        </w:rPr>
        <w:t xml:space="preserve">Irritation oculaire</w:t>
      </w:r>
      <w:r>
        <w:t xml:space="preserve"> </w:t>
      </w:r>
      <w:r>
        <w:t xml:space="preserve">: rinçage abondant à l’eau ou sérum physiologique pendant 15 min, consulter si persistance.</w:t>
      </w:r>
    </w:p>
    <w:p>
      <w:pPr>
        <w:pStyle w:val="Compact"/>
        <w:numPr>
          <w:ilvl w:val="1"/>
          <w:numId w:val="1447"/>
        </w:numPr>
      </w:pPr>
      <w:r>
        <w:rPr>
          <w:b/>
          <w:bCs/>
        </w:rPr>
        <w:t xml:space="preserve">Dermatite de contact</w:t>
      </w:r>
      <w:r>
        <w:t xml:space="preserve"> </w:t>
      </w:r>
      <w:r>
        <w:t xml:space="preserve">: arrêt, dermocorticoïde classe II, antihistaminique oral.</w:t>
      </w:r>
    </w:p>
    <w:p>
      <w:pPr>
        <w:pStyle w:val="Compact"/>
        <w:numPr>
          <w:ilvl w:val="1"/>
          <w:numId w:val="1447"/>
        </w:numPr>
      </w:pPr>
      <w:r>
        <w:rPr>
          <w:b/>
          <w:bCs/>
        </w:rPr>
        <w:t xml:space="preserve">Persistance des poux après 2 applications</w:t>
      </w:r>
      <w:r>
        <w:t xml:space="preserve"> </w:t>
      </w:r>
      <w:r>
        <w:t xml:space="preserve">: consulter (éventuelle réinfestation, mauvaise technique d’application, pédiculose résistante — ce qui serait paradoxal pour la diméticone).</w:t>
      </w:r>
    </w:p>
    <w:bookmarkEnd w:id="202"/>
    <w:bookmarkStart w:id="203" w:name="interactions-importantes-3"/>
    <w:p>
      <w:pPr>
        <w:pStyle w:val="Heading3"/>
      </w:pPr>
      <w:r>
        <w:t xml:space="preserve">Interactions Importantes</w:t>
      </w:r>
    </w:p>
    <w:p>
      <w:pPr>
        <w:pStyle w:val="Compact"/>
        <w:numPr>
          <w:ilvl w:val="0"/>
          <w:numId w:val="1448"/>
        </w:numPr>
      </w:pPr>
      <w:r>
        <w:rPr>
          <w:b/>
          <w:bCs/>
        </w:rPr>
        <w:t xml:space="preserve">Diméticone + autres pédiculocides</w:t>
      </w:r>
      <w:r>
        <w:t xml:space="preserve"> </w:t>
      </w:r>
      <w:r>
        <w:t xml:space="preserve">: ne pas appliquer en simultané (compétition de pénétration, inefficacité). Espacer de 24-48 h en cas de succession (ex : perméthrine 1 % à J1, diméticone à J3 en cas d’échec).</w:t>
      </w:r>
    </w:p>
    <w:p>
      <w:pPr>
        <w:pStyle w:val="Compact"/>
        <w:numPr>
          <w:ilvl w:val="0"/>
          <w:numId w:val="1448"/>
        </w:numPr>
      </w:pPr>
      <w:r>
        <w:rPr>
          <w:b/>
          <w:bCs/>
        </w:rPr>
        <w:t xml:space="preserve">Diméticone + shampoing</w:t>
      </w:r>
      <w:r>
        <w:t xml:space="preserve"> </w:t>
      </w:r>
      <w:r>
        <w:t xml:space="preserve">: appliquer la diméticone sur cheveux secs et non lavés avant ; le shampoing préalable retire le sébum protecteur et peut modifier la pénétration. Le rinçage post-traitement se fait au shampoing normal.</w:t>
      </w:r>
    </w:p>
    <w:p>
      <w:pPr>
        <w:pStyle w:val="Compact"/>
        <w:numPr>
          <w:ilvl w:val="0"/>
          <w:numId w:val="1448"/>
        </w:numPr>
      </w:pPr>
      <w:r>
        <w:rPr>
          <w:b/>
          <w:bCs/>
        </w:rPr>
        <w:t xml:space="preserve">Diméticone + sèche-cheveux</w:t>
      </w:r>
      <w:r>
        <w:t xml:space="preserve"> </w:t>
      </w:r>
      <w:r>
        <w:t xml:space="preserve">: ne pas utiliser de sèche-cheveux après application (la diméticone est inflammable à l’état concentré et le chauffage modifie sa viscosité).</w:t>
      </w:r>
    </w:p>
    <w:p>
      <w:pPr>
        <w:pStyle w:val="Compact"/>
        <w:numPr>
          <w:ilvl w:val="0"/>
          <w:numId w:val="1448"/>
        </w:numPr>
      </w:pPr>
      <w:r>
        <w:rPr>
          <w:b/>
          <w:bCs/>
        </w:rPr>
        <w:t xml:space="preserve">Forme orale</w:t>
      </w:r>
      <w:r>
        <w:t xml:space="preserve"> </w:t>
      </w:r>
      <w:r>
        <w:t xml:space="preserve">(PEPSANE, PEPSULENE) : pas d’interaction significative en usage oral ; la diméticone orale est utilisée comme antiflatulent et peut réduire l’absorption de certains médicaments (charbon, thyroxine) en théorie, mais sans conséquence clinique documentée aux doses thérapeutiques.</w:t>
      </w:r>
    </w:p>
    <w:bookmarkEnd w:id="203"/>
    <w:bookmarkStart w:id="204" w:name="grossesse-et-allaitement-3"/>
    <w:p>
      <w:pPr>
        <w:pStyle w:val="Heading3"/>
      </w:pPr>
      <w:r>
        <w:t xml:space="preserve">Grossesse et Allaitement</w:t>
      </w:r>
    </w:p>
    <w:p>
      <w:pPr>
        <w:pStyle w:val="Compact"/>
        <w:numPr>
          <w:ilvl w:val="0"/>
          <w:numId w:val="1449"/>
        </w:numPr>
      </w:pPr>
      <w:r>
        <w:rPr>
          <w:b/>
          <w:bCs/>
        </w:rPr>
        <w:t xml:space="preserve">Grossesse</w:t>
      </w:r>
      <w:r>
        <w:t xml:space="preserve"> </w:t>
      </w:r>
      <w:r>
        <w:t xml:space="preserve">: selon le CRAT, la diméticone topique (lotion/spray pédiculocide) est</w:t>
      </w:r>
      <w:r>
        <w:t xml:space="preserve"> </w:t>
      </w:r>
      <w:r>
        <w:rPr>
          <w:b/>
          <w:bCs/>
        </w:rPr>
        <w:t xml:space="preserve">autorisée à tous les trimestres de grossesse</w:t>
      </w:r>
      <w:r>
        <w:t xml:space="preserve">, avec un excellent profil de tolérance (absorption systémique négligeable, aucune toxicité fœtale documentée). La diméticone est en fait le</w:t>
      </w:r>
      <w:r>
        <w:t xml:space="preserve"> </w:t>
      </w:r>
      <w:r>
        <w:rPr>
          <w:b/>
          <w:bCs/>
        </w:rPr>
        <w:t xml:space="preserve">pédiculocide de choix chez la femme enceinte</w:t>
      </w:r>
      <w:r>
        <w:t xml:space="preserve">, à privilégier sur les neurotoxiques (perméthrine utilisable mais par prudence).</w:t>
      </w:r>
    </w:p>
    <w:p>
      <w:pPr>
        <w:pStyle w:val="Compact"/>
        <w:numPr>
          <w:ilvl w:val="0"/>
          <w:numId w:val="1449"/>
        </w:numPr>
      </w:pPr>
      <w:r>
        <w:rPr>
          <w:b/>
          <w:bCs/>
        </w:rPr>
        <w:t xml:space="preserve">Allaitement</w:t>
      </w:r>
      <w:r>
        <w:t xml:space="preserve"> </w:t>
      </w:r>
      <w:r>
        <w:t xml:space="preserve">: autorisé selon le CRAT. Éviter l’application sur le mamelon ; rincer soigneusement le sein avant la tétée. Pour la pédiculose capillaire, pas de restriction particulière.</w:t>
      </w:r>
    </w:p>
    <w:p>
      <w:pPr>
        <w:pStyle w:val="Compact"/>
        <w:numPr>
          <w:ilvl w:val="0"/>
          <w:numId w:val="1449"/>
        </w:numPr>
      </w:pPr>
      <w:r>
        <w:rPr>
          <w:b/>
          <w:bCs/>
        </w:rPr>
        <w:t xml:space="preserve">Précisions</w:t>
      </w:r>
      <w:r>
        <w:t xml:space="preserve"> </w:t>
      </w:r>
      <w:r>
        <w:t xml:space="preserve">: chez la femme enceinte allaitante présentant une pédiculose capillaire, la diméticone 4 % lotion (si disponible par importation) est le traitement de première intention. En Algérie, à défaut, la méthode mécanique du peigne fin reste l’alternative la plus sûre.</w:t>
      </w:r>
    </w:p>
    <w:bookmarkEnd w:id="204"/>
    <w:bookmarkStart w:id="205" w:name="X308378ed100f7bec967bd8c401db47819424c9e"/>
    <w:p>
      <w:pPr>
        <w:pStyle w:val="Heading3"/>
      </w:pPr>
      <w:r>
        <w:t xml:space="preserve">Posologie et Mode d’administration (Standard)</w:t>
      </w:r>
    </w:p>
    <w:p>
      <w:pPr>
        <w:pStyle w:val="Compact"/>
        <w:numPr>
          <w:ilvl w:val="0"/>
          <w:numId w:val="1450"/>
        </w:numPr>
      </w:pPr>
      <w:r>
        <w:rPr>
          <w:b/>
          <w:bCs/>
        </w:rPr>
        <w:t xml:space="preserve">Adulte — Pédiculose capillaire (diméticone 4 % lotion)</w:t>
      </w:r>
      <w:r>
        <w:t xml:space="preserve"> </w:t>
      </w:r>
      <w:r>
        <w:t xml:space="preserve">:</w:t>
      </w:r>
    </w:p>
    <w:p>
      <w:pPr>
        <w:pStyle w:val="Compact"/>
        <w:numPr>
          <w:ilvl w:val="1"/>
          <w:numId w:val="1451"/>
        </w:numPr>
      </w:pPr>
      <w:r>
        <w:t xml:space="preserve">Application sur cheveux</w:t>
      </w:r>
      <w:r>
        <w:t xml:space="preserve"> </w:t>
      </w:r>
      <w:r>
        <w:rPr>
          <w:b/>
          <w:bCs/>
        </w:rPr>
        <w:t xml:space="preserve">secs et démêlés</w:t>
      </w:r>
      <w:r>
        <w:t xml:space="preserve">, en quantité suffisante pour imprégner l’ensemble du cuir chevelu et de la chevelure, des racines aux pointes.</w:t>
      </w:r>
    </w:p>
    <w:p>
      <w:pPr>
        <w:pStyle w:val="Compact"/>
        <w:numPr>
          <w:ilvl w:val="1"/>
          <w:numId w:val="1451"/>
        </w:numPr>
      </w:pPr>
      <w:r>
        <w:t xml:space="preserve">Temps de contact :</w:t>
      </w:r>
      <w:r>
        <w:t xml:space="preserve"> </w:t>
      </w:r>
      <w:r>
        <w:rPr>
          <w:b/>
          <w:bCs/>
        </w:rPr>
        <w:t xml:space="preserve">8 heures</w:t>
      </w:r>
      <w:r>
        <w:t xml:space="preserve"> </w:t>
      </w:r>
      <w:r>
        <w:t xml:space="preserve">(en pratique : application le soir, rinçage le lendemain matin). Certaines formes concentrées (diméticone 100 %) n’exigent que 15 minutes de contact.</w:t>
      </w:r>
    </w:p>
    <w:p>
      <w:pPr>
        <w:pStyle w:val="Compact"/>
        <w:numPr>
          <w:ilvl w:val="1"/>
          <w:numId w:val="1451"/>
        </w:numPr>
      </w:pPr>
      <w:r>
        <w:t xml:space="preserve">Rinçage : shampoing normal, peigne fin pour retirer les lentes mortes.</w:t>
      </w:r>
    </w:p>
    <w:p>
      <w:pPr>
        <w:pStyle w:val="Compact"/>
        <w:numPr>
          <w:ilvl w:val="1"/>
          <w:numId w:val="1451"/>
        </w:numPr>
      </w:pPr>
      <w:r>
        <w:t xml:space="preserve">Renouvellement : à J7-J10 pour éliminer les éventuelles lentes écloses (bien que la diméticone soit ovicide, une 2e application garantit l’efficacité).</w:t>
      </w:r>
    </w:p>
    <w:p>
      <w:pPr>
        <w:pStyle w:val="Compact"/>
        <w:numPr>
          <w:ilvl w:val="0"/>
          <w:numId w:val="1450"/>
        </w:numPr>
      </w:pPr>
      <w:r>
        <w:rPr>
          <w:b/>
          <w:bCs/>
        </w:rPr>
        <w:t xml:space="preserve">Enfant</w:t>
      </w:r>
      <w:r>
        <w:t xml:space="preserve"> </w:t>
      </w:r>
      <w:r>
        <w:t xml:space="preserve">:</w:t>
      </w:r>
    </w:p>
    <w:p>
      <w:pPr>
        <w:pStyle w:val="Compact"/>
        <w:numPr>
          <w:ilvl w:val="1"/>
          <w:numId w:val="1452"/>
        </w:numPr>
      </w:pPr>
      <w:r>
        <w:rPr>
          <w:b/>
          <w:bCs/>
        </w:rPr>
        <w:t xml:space="preserve">&gt; 6 mois</w:t>
      </w:r>
      <w:r>
        <w:t xml:space="preserve"> </w:t>
      </w:r>
      <w:r>
        <w:t xml:space="preserve">: posologie identique à l’adulte, en adaptant la quantité à la longueur des cheveux.</w:t>
      </w:r>
    </w:p>
    <w:p>
      <w:pPr>
        <w:pStyle w:val="Compact"/>
        <w:numPr>
          <w:ilvl w:val="1"/>
          <w:numId w:val="1452"/>
        </w:numPr>
      </w:pPr>
      <w:r>
        <w:rPr>
          <w:b/>
          <w:bCs/>
        </w:rPr>
        <w:t xml:space="preserve">&lt; 6 mois</w:t>
      </w:r>
      <w:r>
        <w:t xml:space="preserve"> </w:t>
      </w:r>
      <w:r>
        <w:t xml:space="preserve">: à éviter par prudence, préférer la méthode mécanique du peigne fin.</w:t>
      </w:r>
    </w:p>
    <w:p>
      <w:pPr>
        <w:pStyle w:val="Compact"/>
        <w:numPr>
          <w:ilvl w:val="0"/>
          <w:numId w:val="1450"/>
        </w:numPr>
      </w:pPr>
      <w:r>
        <w:rPr>
          <w:b/>
          <w:bCs/>
        </w:rPr>
        <w:t xml:space="preserve">Durée</w:t>
      </w:r>
      <w:r>
        <w:t xml:space="preserve"> </w:t>
      </w:r>
      <w:r>
        <w:t xml:space="preserve">: 2 applications à 7-10 jours d’intervalle.</w:t>
      </w:r>
    </w:p>
    <w:p>
      <w:pPr>
        <w:pStyle w:val="Compact"/>
        <w:numPr>
          <w:ilvl w:val="0"/>
          <w:numId w:val="1450"/>
        </w:numPr>
      </w:pPr>
      <w:r>
        <w:rPr>
          <w:b/>
          <w:bCs/>
        </w:rPr>
        <w:t xml:space="preserve">Moment d’administration</w:t>
      </w:r>
      <w:r>
        <w:t xml:space="preserve"> </w:t>
      </w:r>
      <w:r>
        <w:t xml:space="preserve">: application le soir pour respecter le temps de contact de 8 h ; rinçage le matin.</w:t>
      </w:r>
    </w:p>
    <w:bookmarkEnd w:id="205"/>
    <w:bookmarkStart w:id="206" w:name="X7a6410cff1197746ea3994ed4749998f385a95c"/>
    <w:p>
      <w:pPr>
        <w:pStyle w:val="Heading3"/>
      </w:pPr>
      <w:r>
        <w:t xml:space="preserve">Arbitrage et Bénéfices des Formes Galéniques</w:t>
      </w:r>
    </w:p>
    <w:p>
      <w:pPr>
        <w:pStyle w:val="FirstParagraph"/>
      </w:pPr>
      <w:r>
        <w:t xml:space="preserve">La</w:t>
      </w:r>
      <w:r>
        <w:t xml:space="preserve"> </w:t>
      </w:r>
      <w:r>
        <w:rPr>
          <w:b/>
          <w:bCs/>
        </w:rPr>
        <w:t xml:space="preserve">lotion 4 %</w:t>
      </w:r>
      <w:r>
        <w:t xml:space="preserve"> </w:t>
      </w:r>
      <w:r>
        <w:t xml:space="preserve">est la forme standard, avec un temps de contact de 8 h compatible avec une application nocturne. Le</w:t>
      </w:r>
      <w:r>
        <w:t xml:space="preserve"> </w:t>
      </w:r>
      <w:r>
        <w:rPr>
          <w:b/>
          <w:bCs/>
        </w:rPr>
        <w:t xml:space="preserve">spray 4 %</w:t>
      </w:r>
      <w:r>
        <w:t xml:space="preserve"> </w:t>
      </w:r>
      <w:r>
        <w:t xml:space="preserve">est plus pratique pour les cheveux longs et épais mais expose au risque d’inhalation et de projection oculaire. La</w:t>
      </w:r>
      <w:r>
        <w:t xml:space="preserve"> </w:t>
      </w:r>
      <w:r>
        <w:rPr>
          <w:b/>
          <w:bCs/>
        </w:rPr>
        <w:t xml:space="preserve">forme concentrée 100 %</w:t>
      </w:r>
      <w:r>
        <w:t xml:space="preserve"> </w:t>
      </w:r>
      <w:r>
        <w:t xml:space="preserve">(NYDA 100 %) permet un temps de contact court (15 min) mais son coût est plus élevé et sa texture très grasse. L’avantage majeur de la diméticone sur les neurotoxiques est</w:t>
      </w:r>
      <w:r>
        <w:t xml:space="preserve"> </w:t>
      </w:r>
      <w:r>
        <w:rPr>
          <w:b/>
          <w:bCs/>
        </w:rPr>
        <w:t xml:space="preserve">l’absence de neurotoxicité systémique</w:t>
      </w:r>
      <w:r>
        <w:t xml:space="preserve">, ce qui en fait la molécule de choix pour la femme enceinte, le nourrisson &gt; 6 mois, le sujet asthmatique, et le sujet allergique aux pyréthrines. Son autre avantage est</w:t>
      </w:r>
      <w:r>
        <w:t xml:space="preserve"> </w:t>
      </w:r>
      <w:r>
        <w:rPr>
          <w:b/>
          <w:bCs/>
        </w:rPr>
        <w:t xml:space="preserve">l’absence de résistance</w:t>
      </w:r>
      <w:r>
        <w:t xml:space="preserve">, dans un contexte mondial de résistance croissante aux pédiculocides neurotoxiques (perméthrine 1 % est aujourd’hui largement inefficace en Europe en raison de la résistance kdr). Son inconvénient principal est le</w:t>
      </w:r>
      <w:r>
        <w:t xml:space="preserve"> </w:t>
      </w:r>
      <w:r>
        <w:rPr>
          <w:b/>
          <w:bCs/>
        </w:rPr>
        <w:t xml:space="preserve">temps de contact long</w:t>
      </w:r>
      <w:r>
        <w:t xml:space="preserve"> </w:t>
      </w:r>
      <w:r>
        <w:t xml:space="preserve">(8 h pour la forme 4 %) et la</w:t>
      </w:r>
      <w:r>
        <w:t xml:space="preserve"> </w:t>
      </w:r>
      <w:r>
        <w:rPr>
          <w:b/>
          <w:bCs/>
        </w:rPr>
        <w:t xml:space="preserve">texture grasse</w:t>
      </w:r>
      <w:r>
        <w:t xml:space="preserve"> </w:t>
      </w:r>
      <w:r>
        <w:t xml:space="preserve">résiduelle. En Algérie, en l’absence de spécialité disponible, le pharmacien doit</w:t>
      </w:r>
      <w:r>
        <w:t xml:space="preserve"> </w:t>
      </w:r>
      <w:r>
        <w:rPr>
          <w:b/>
          <w:bCs/>
        </w:rPr>
        <w:t xml:space="preserve">informer le patient</w:t>
      </w:r>
      <w:r>
        <w:t xml:space="preserve"> </w:t>
      </w:r>
      <w:r>
        <w:t xml:space="preserve">de l’existence de cette alternative moderne et de la possibilité d’importation, tout en proposant en attendant la méthode mécanique du peigne fin (efficace, gratuite, sans EI).</w:t>
      </w:r>
    </w:p>
    <w:bookmarkEnd w:id="206"/>
    <w:bookmarkStart w:id="207" w:name="instructions-et-conseils-au-patient-3"/>
    <w:p>
      <w:pPr>
        <w:pStyle w:val="Heading3"/>
      </w:pPr>
      <w:r>
        <w:t xml:space="preserve">Instructions et Conseils au Patient</w:t>
      </w:r>
    </w:p>
    <w:p>
      <w:pPr>
        <w:pStyle w:val="Compact"/>
        <w:numPr>
          <w:ilvl w:val="0"/>
          <w:numId w:val="1453"/>
        </w:numPr>
      </w:pPr>
      <w:r>
        <w:rPr>
          <w:b/>
          <w:bCs/>
        </w:rPr>
        <w:t xml:space="preserve">Communication au comptoir</w:t>
      </w:r>
      <w:r>
        <w:t xml:space="preserve"> </w:t>
      </w:r>
      <w:r>
        <w:t xml:space="preserve">(en cas de disponibilité via importation, ou information générale) :</w:t>
      </w:r>
    </w:p>
    <w:p>
      <w:pPr>
        <w:pStyle w:val="Compact"/>
        <w:numPr>
          <w:ilvl w:val="1"/>
          <w:numId w:val="1454"/>
        </w:numPr>
      </w:pPr>
      <w:r>
        <w:t xml:space="preserve">Expliquer le</w:t>
      </w:r>
      <w:r>
        <w:t xml:space="preserve"> </w:t>
      </w:r>
      <w:r>
        <w:rPr>
          <w:b/>
          <w:bCs/>
        </w:rPr>
        <w:t xml:space="preserve">mode d’action physique</w:t>
      </w:r>
      <w:r>
        <w:t xml:space="preserve"> </w:t>
      </w:r>
      <w:r>
        <w:t xml:space="preserve">: la diméticone n’est pas un poison neurologique pour le pou, elle l’étouffe mécaniquement — d’où l’absence de résistance et la sécurité chez la femme enceinte et l’enfant.</w:t>
      </w:r>
    </w:p>
    <w:p>
      <w:pPr>
        <w:pStyle w:val="Compact"/>
        <w:numPr>
          <w:ilvl w:val="1"/>
          <w:numId w:val="1454"/>
        </w:numPr>
      </w:pPr>
      <w:r>
        <w:t xml:space="preserve">Insister sur le</w:t>
      </w:r>
      <w:r>
        <w:t xml:space="preserve"> </w:t>
      </w:r>
      <w:r>
        <w:rPr>
          <w:b/>
          <w:bCs/>
        </w:rPr>
        <w:t xml:space="preserve">temps de contact de 8 heures</w:t>
      </w:r>
      <w:r>
        <w:t xml:space="preserve"> </w:t>
      </w:r>
      <w:r>
        <w:t xml:space="preserve">: une application trop courte est inefficace. Préférer l’application le soir, le rinçage le matin.</w:t>
      </w:r>
    </w:p>
    <w:p>
      <w:pPr>
        <w:pStyle w:val="Compact"/>
        <w:numPr>
          <w:ilvl w:val="1"/>
          <w:numId w:val="1454"/>
        </w:numPr>
      </w:pPr>
      <w:r>
        <w:rPr>
          <w:b/>
          <w:bCs/>
        </w:rPr>
        <w:t xml:space="preserve">2e application à J7-J10</w:t>
      </w:r>
      <w:r>
        <w:t xml:space="preserve"> </w:t>
      </w:r>
      <w:r>
        <w:t xml:space="preserve">: indispensable même si la diméticone est ovicide.</w:t>
      </w:r>
    </w:p>
    <w:p>
      <w:pPr>
        <w:pStyle w:val="Compact"/>
        <w:numPr>
          <w:ilvl w:val="1"/>
          <w:numId w:val="1454"/>
        </w:numPr>
      </w:pPr>
      <w:r>
        <w:rPr>
          <w:b/>
          <w:bCs/>
        </w:rPr>
        <w:t xml:space="preserve">Traitement de l’entourage</w:t>
      </w:r>
      <w:r>
        <w:t xml:space="preserve"> </w:t>
      </w:r>
      <w:r>
        <w:t xml:space="preserve">: tous les membres du foyer simultanément.</w:t>
      </w:r>
    </w:p>
    <w:p>
      <w:pPr>
        <w:pStyle w:val="Compact"/>
        <w:numPr>
          <w:ilvl w:val="1"/>
          <w:numId w:val="1454"/>
        </w:numPr>
      </w:pPr>
      <w:r>
        <w:rPr>
          <w:b/>
          <w:bCs/>
        </w:rPr>
        <w:t xml:space="preserve">Désinfection du linge</w:t>
      </w:r>
      <w:r>
        <w:t xml:space="preserve"> </w:t>
      </w:r>
      <w:r>
        <w:t xml:space="preserve">: bonnets, écharpes, peluches, brosses et peignes : lavage à 60 °C ou sac plastique fermé pendant 8 jours (les poux meurent en 24-48 h hors de l’hôte).</w:t>
      </w:r>
    </w:p>
    <w:p>
      <w:pPr>
        <w:pStyle w:val="Compact"/>
        <w:numPr>
          <w:ilvl w:val="1"/>
          <w:numId w:val="1454"/>
        </w:numPr>
      </w:pPr>
      <w:r>
        <w:rPr>
          <w:b/>
          <w:bCs/>
        </w:rPr>
        <w:t xml:space="preserve">Vérification à J15</w:t>
      </w:r>
      <w:r>
        <w:t xml:space="preserve"> </w:t>
      </w:r>
      <w:r>
        <w:t xml:space="preserve">: inspecter le cuir chevelu pour confirmer l’absence de poux et de lentes vivantes.</w:t>
      </w:r>
    </w:p>
    <w:p>
      <w:pPr>
        <w:pStyle w:val="Compact"/>
        <w:numPr>
          <w:ilvl w:val="0"/>
          <w:numId w:val="1453"/>
        </w:numPr>
      </w:pPr>
      <w:r>
        <w:rPr>
          <w:b/>
          <w:bCs/>
        </w:rPr>
        <w:t xml:space="preserve">Mode d’utilisation pratique</w:t>
      </w:r>
      <w:r>
        <w:t xml:space="preserve"> </w:t>
      </w:r>
      <w:r>
        <w:t xml:space="preserve">:</w:t>
      </w:r>
    </w:p>
    <w:p>
      <w:pPr>
        <w:pStyle w:val="Compact"/>
        <w:numPr>
          <w:ilvl w:val="1"/>
          <w:numId w:val="1455"/>
        </w:numPr>
      </w:pPr>
      <w:r>
        <w:t xml:space="preserve">Cheveux secs et démêlés avant application.</w:t>
      </w:r>
    </w:p>
    <w:p>
      <w:pPr>
        <w:pStyle w:val="Compact"/>
        <w:numPr>
          <w:ilvl w:val="1"/>
          <w:numId w:val="1455"/>
        </w:numPr>
      </w:pPr>
      <w:r>
        <w:t xml:space="preserve">Appliquer la diméticone suffisamment pour imprégner toute la chevelure, des racines aux pointes.</w:t>
      </w:r>
    </w:p>
    <w:p>
      <w:pPr>
        <w:pStyle w:val="Compact"/>
        <w:numPr>
          <w:ilvl w:val="1"/>
          <w:numId w:val="1455"/>
        </w:numPr>
      </w:pPr>
      <w:r>
        <w:t xml:space="preserve">Masser pour bien répartir.</w:t>
      </w:r>
    </w:p>
    <w:p>
      <w:pPr>
        <w:pStyle w:val="Compact"/>
        <w:numPr>
          <w:ilvl w:val="1"/>
          <w:numId w:val="1455"/>
        </w:numPr>
      </w:pPr>
      <w:r>
        <w:t xml:space="preserve">Couvrir éventuellement d’un bonnet en plastique pour éviter le contact avec les yeux pendant la nuit (ne pas utiliser de bonnet en plastique pour les jeunes enfants, risque d’étouffement).</w:t>
      </w:r>
    </w:p>
    <w:p>
      <w:pPr>
        <w:pStyle w:val="Compact"/>
        <w:numPr>
          <w:ilvl w:val="1"/>
          <w:numId w:val="1455"/>
        </w:numPr>
      </w:pPr>
      <w:r>
        <w:t xml:space="preserve">Le lendemain matin : shampoing normal, peigne fin pour retirer les lentes mortes.</w:t>
      </w:r>
    </w:p>
    <w:p>
      <w:pPr>
        <w:pStyle w:val="Compact"/>
        <w:numPr>
          <w:ilvl w:val="1"/>
          <w:numId w:val="1455"/>
        </w:numPr>
      </w:pPr>
      <w:r>
        <w:t xml:space="preserve">Répéter à J7-J10.</w:t>
      </w:r>
    </w:p>
    <w:bookmarkEnd w:id="207"/>
    <w:bookmarkStart w:id="208" w:name="notes-règles-dor-pièges-au-comptoir-3"/>
    <w:p>
      <w:pPr>
        <w:pStyle w:val="Heading3"/>
      </w:pPr>
      <w:r>
        <w:t xml:space="preserve">Notes, Règles d’Or &amp; Pièges au Comptoir</w:t>
      </w:r>
    </w:p>
    <w:p>
      <w:pPr>
        <w:pStyle w:val="Compact"/>
        <w:numPr>
          <w:ilvl w:val="0"/>
          <w:numId w:val="1456"/>
        </w:numPr>
      </w:pPr>
      <w:r>
        <w:rPr>
          <w:b/>
          <w:bCs/>
        </w:rPr>
        <w:t xml:space="preserve">Piège classique n°1 — Application sur cheveux mouillés</w:t>
      </w:r>
      <w:r>
        <w:t xml:space="preserve"> </w:t>
      </w:r>
      <w:r>
        <w:t xml:space="preserve">: la diméticone est hydrophobe et n’imprègne pas correctement les cheveux mouillés. Toujours appliquer sur cheveux</w:t>
      </w:r>
      <w:r>
        <w:t xml:space="preserve"> </w:t>
      </w:r>
      <w:r>
        <w:rPr>
          <w:b/>
          <w:bCs/>
        </w:rPr>
        <w:t xml:space="preserve">parfaitement secs</w:t>
      </w:r>
      <w:r>
        <w:t xml:space="preserve">.</w:t>
      </w:r>
    </w:p>
    <w:p>
      <w:pPr>
        <w:pStyle w:val="Compact"/>
        <w:numPr>
          <w:ilvl w:val="0"/>
          <w:numId w:val="1456"/>
        </w:numPr>
      </w:pPr>
      <w:r>
        <w:rPr>
          <w:b/>
          <w:bCs/>
        </w:rPr>
        <w:t xml:space="preserve">Piège classique n°2 — Temps de contact insuffisant</w:t>
      </w:r>
      <w:r>
        <w:t xml:space="preserve"> </w:t>
      </w:r>
      <w:r>
        <w:t xml:space="preserve">: 8 h pour la forme 4 %, 15 min pour la forme 100 %. Un rinçage prématuré est cause d’échec.</w:t>
      </w:r>
    </w:p>
    <w:p>
      <w:pPr>
        <w:pStyle w:val="Compact"/>
        <w:numPr>
          <w:ilvl w:val="0"/>
          <w:numId w:val="1456"/>
        </w:numPr>
      </w:pPr>
      <w:r>
        <w:rPr>
          <w:b/>
          <w:bCs/>
        </w:rPr>
        <w:t xml:space="preserve">Piège classique n°3 — Oubli de la 2e application à J7-J10</w:t>
      </w:r>
      <w:r>
        <w:t xml:space="preserve"> </w:t>
      </w:r>
      <w:r>
        <w:t xml:space="preserve">: indispensable même si la diméticone est ovicide.</w:t>
      </w:r>
    </w:p>
    <w:p>
      <w:pPr>
        <w:pStyle w:val="Compact"/>
        <w:numPr>
          <w:ilvl w:val="0"/>
          <w:numId w:val="1456"/>
        </w:numPr>
      </w:pPr>
      <w:r>
        <w:rPr>
          <w:b/>
          <w:bCs/>
        </w:rPr>
        <w:t xml:space="preserve">Piège classique n°4 — Utilisation du sèche-cheveux après application</w:t>
      </w:r>
      <w:r>
        <w:t xml:space="preserve"> </w:t>
      </w:r>
      <w:r>
        <w:t xml:space="preserve">: la diméticone est inflammable à l’état concentré, et le chauffage modifie sa viscosité et son efficacité. Toujours sécher à l’air libre.</w:t>
      </w:r>
    </w:p>
    <w:p>
      <w:pPr>
        <w:pStyle w:val="Compact"/>
        <w:numPr>
          <w:ilvl w:val="0"/>
          <w:numId w:val="1456"/>
        </w:numPr>
      </w:pPr>
      <w:r>
        <w:rPr>
          <w:b/>
          <w:bCs/>
        </w:rPr>
        <w:t xml:space="preserve">Piège classique n°5 — Confusion avec la forme orale</w:t>
      </w:r>
      <w:r>
        <w:t xml:space="preserve"> </w:t>
      </w:r>
      <w:r>
        <w:t xml:space="preserve">: PEPSANE gel oral (diméticone 3 g + gaiazulène) est un antiflatulent, NON un pédiculocide. Son utilisation « off-label » en application capillaire n’est pas recommandée (galénique inadaptée, concentration non optimale, coût élevé pour l’application sur cheveux longs).</w:t>
      </w:r>
    </w:p>
    <w:p>
      <w:pPr>
        <w:pStyle w:val="Compact"/>
        <w:numPr>
          <w:ilvl w:val="0"/>
          <w:numId w:val="1456"/>
        </w:numPr>
      </w:pPr>
      <w:r>
        <w:rPr>
          <w:b/>
          <w:bCs/>
        </w:rPr>
        <w:t xml:space="preserve">Piège classique n°6 — Non-traitement de l’entourage</w:t>
      </w:r>
      <w:r>
        <w:t xml:space="preserve"> </w:t>
      </w:r>
      <w:r>
        <w:t xml:space="preserve">: la pédiculose est hautement contagieuse en collectivité familiale ; le traitement d’un seul membre est voué à la réinfestation en ping-pong.</w:t>
      </w:r>
    </w:p>
    <w:p>
      <w:pPr>
        <w:pStyle w:val="Compact"/>
        <w:numPr>
          <w:ilvl w:val="0"/>
          <w:numId w:val="1456"/>
        </w:numPr>
      </w:pPr>
      <w:r>
        <w:rPr>
          <w:b/>
          <w:bCs/>
        </w:rPr>
        <w:t xml:space="preserve">Règle de prise</w:t>
      </w:r>
      <w:r>
        <w:t xml:space="preserve"> </w:t>
      </w:r>
      <w:r>
        <w:t xml:space="preserve">: application unique de 8 h sur cheveux secs, rinçage, 2e application à J7-J10, traitement de l’entourage, désinfection du linge et des objets personnels.</w:t>
      </w:r>
    </w:p>
    <w:p>
      <w:pPr>
        <w:pStyle w:val="Compact"/>
        <w:numPr>
          <w:ilvl w:val="0"/>
          <w:numId w:val="1456"/>
        </w:numPr>
      </w:pPr>
      <w:r>
        <w:rPr>
          <w:b/>
          <w:bCs/>
        </w:rPr>
        <w:t xml:space="preserve">Préparation et Conservation</w:t>
      </w:r>
      <w:r>
        <w:t xml:space="preserve"> </w:t>
      </w:r>
      <w:r>
        <w:t xml:space="preserve">: flacon fermé, température &lt; 25 °C, à l’abri de la lumière, du gel et de la flamme (forme spray inflammable). Ne pas congeler. Conservation après ouverture : 6 mois.</w:t>
      </w:r>
    </w:p>
    <w:p>
      <w:pPr>
        <w:pStyle w:val="Compact"/>
        <w:numPr>
          <w:ilvl w:val="0"/>
          <w:numId w:val="1456"/>
        </w:numPr>
      </w:pPr>
      <w:r>
        <w:rPr>
          <w:b/>
          <w:bCs/>
        </w:rPr>
        <w:t xml:space="preserve">Piège du surdosage / Substitution</w:t>
      </w:r>
      <w:r>
        <w:t xml:space="preserve"> </w:t>
      </w:r>
      <w:r>
        <w:t xml:space="preserve">: ne pas appliquer de façon excessive (la quantité nécessaire est suffisante pour imprégner la chevelure, pas plus) ; ne pas combiner avec un autre pédiculocide neurotoxique dans la même journée ; ne pas utiliser chez le nourrisson &lt; 6 mois. En Algérie, en l’absence de spécialité disponible, privilégier la</w:t>
      </w:r>
      <w:r>
        <w:t xml:space="preserve"> </w:t>
      </w:r>
      <w:r>
        <w:rPr>
          <w:b/>
          <w:bCs/>
        </w:rPr>
        <w:t xml:space="preserve">méthode mécanique du peigne fin</w:t>
      </w:r>
      <w:r>
        <w:t xml:space="preserve"> </w:t>
      </w:r>
      <w:r>
        <w:t xml:space="preserve">(dents serrées 0,3 mm) sur cheveux imprégnés d’après-shampooing ou d’huile, répétée tous les 3-4 jours pendant 2 semaines — méthode efficace, gratuite, sans EI, recommandée par l’ANSM en alternative aux pédiculocides chimiques.</w:t>
      </w:r>
    </w:p>
    <w:p>
      <w:r>
        <w:pict>
          <v:rect style="width:0;height:1.5pt" o:hralign="center" o:hrstd="t" o:hr="t"/>
        </w:pict>
      </w:r>
    </w:p>
    <w:bookmarkEnd w:id="208"/>
    <w:bookmarkEnd w:id="209"/>
    <w:bookmarkStart w:id="210" w:name="tableau-comparatif-synthétique-1"/>
    <w:p>
      <w:pPr>
        <w:pStyle w:val="Heading2"/>
      </w:pPr>
      <w:r>
        <w:t xml:space="preserve">Tableau Comparatif Synthétique</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DCI</w:t>
            </w:r>
          </w:p>
        </w:tc>
        <w:tc>
          <w:tcPr/>
          <w:p>
            <w:pPr>
              <w:pStyle w:val="Compact"/>
              <w:jc w:val="left"/>
            </w:pPr>
            <w:r>
              <w:t xml:space="preserve">Sous-classe</w:t>
            </w:r>
          </w:p>
        </w:tc>
        <w:tc>
          <w:tcPr/>
          <w:p>
            <w:pPr>
              <w:pStyle w:val="Compact"/>
              <w:jc w:val="left"/>
            </w:pPr>
            <w:r>
              <w:t xml:space="preserve">Spectre parasitaire</w:t>
            </w:r>
          </w:p>
        </w:tc>
        <w:tc>
          <w:tcPr/>
          <w:p>
            <w:pPr>
              <w:pStyle w:val="Compact"/>
              <w:jc w:val="left"/>
            </w:pPr>
            <w:r>
              <w:t xml:space="preserve">Cible moléculaire</w:t>
            </w:r>
          </w:p>
        </w:tc>
        <w:tc>
          <w:tcPr/>
          <w:p>
            <w:pPr>
              <w:pStyle w:val="Compact"/>
              <w:jc w:val="left"/>
            </w:pPr>
            <w:r>
              <w:t xml:space="preserve">Voie</w:t>
            </w:r>
          </w:p>
        </w:tc>
        <w:tc>
          <w:tcPr/>
          <w:p>
            <w:pPr>
              <w:pStyle w:val="Compact"/>
              <w:jc w:val="left"/>
            </w:pPr>
            <w:r>
              <w:t xml:space="preserve">Posologie standard adulte</w:t>
            </w:r>
          </w:p>
        </w:tc>
        <w:tc>
          <w:tcPr/>
          <w:p>
            <w:pPr>
              <w:pStyle w:val="Compact"/>
              <w:jc w:val="left"/>
            </w:pPr>
            <w:r>
              <w:t xml:space="preserve">EI majeur</w:t>
            </w:r>
          </w:p>
        </w:tc>
        <w:tc>
          <w:tcPr/>
          <w:p>
            <w:pPr>
              <w:pStyle w:val="Compact"/>
              <w:jc w:val="left"/>
            </w:pPr>
            <w:r>
              <w:t xml:space="preserve">Grossesse</w:t>
            </w:r>
          </w:p>
        </w:tc>
      </w:tr>
      <w:tr>
        <w:tc>
          <w:tcPr/>
          <w:p>
            <w:pPr>
              <w:pStyle w:val="Compact"/>
              <w:jc w:val="left"/>
            </w:pPr>
            <w:r>
              <w:rPr>
                <w:b/>
                <w:bCs/>
              </w:rPr>
              <w:t xml:space="preserve">Antimoniates (Meglumine, Stibogluconate)</w:t>
            </w:r>
          </w:p>
        </w:tc>
        <w:tc>
          <w:tcPr/>
          <w:p>
            <w:pPr>
              <w:pStyle w:val="Compact"/>
              <w:jc w:val="left"/>
            </w:pPr>
            <w:r>
              <w:t xml:space="preserve">Antiprotozoaires — Anti-leishmaniens</w:t>
            </w:r>
          </w:p>
        </w:tc>
        <w:tc>
          <w:tcPr/>
          <w:p>
            <w:pPr>
              <w:pStyle w:val="Compact"/>
              <w:jc w:val="left"/>
            </w:pPr>
            <w:r>
              <w:rPr>
                <w:i/>
                <w:iCs/>
              </w:rPr>
              <w:t xml:space="preserve">Leishmania</w:t>
            </w:r>
            <w:r>
              <w:t xml:space="preserve"> </w:t>
            </w:r>
            <w:r>
              <w:t xml:space="preserve">spp. (L. major, L. tropica, L. infantum)</w:t>
            </w:r>
          </w:p>
        </w:tc>
        <w:tc>
          <w:tcPr/>
          <w:p>
            <w:pPr>
              <w:pStyle w:val="Compact"/>
              <w:jc w:val="left"/>
            </w:pPr>
            <w:r>
              <w:t xml:space="preserve">Trypanothion réductase → stress oxydatif amastigote</w:t>
            </w:r>
          </w:p>
        </w:tc>
        <w:tc>
          <w:tcPr/>
          <w:p>
            <w:pPr>
              <w:pStyle w:val="Compact"/>
              <w:jc w:val="left"/>
            </w:pPr>
            <w:r>
              <w:t xml:space="preserve">IM profonde / IV lente / intra-lésionnelle</w:t>
            </w:r>
          </w:p>
        </w:tc>
        <w:tc>
          <w:tcPr/>
          <w:p>
            <w:pPr>
              <w:pStyle w:val="Compact"/>
              <w:jc w:val="left"/>
            </w:pPr>
            <w:r>
              <w:t xml:space="preserve">20 mg SbV/kg/j pendant 20-28 jours (LC) ; 28-30 jours (LV)</w:t>
            </w:r>
          </w:p>
        </w:tc>
        <w:tc>
          <w:tcPr/>
          <w:p>
            <w:pPr>
              <w:pStyle w:val="Compact"/>
              <w:jc w:val="left"/>
            </w:pPr>
            <w:r>
              <w:t xml:space="preserve">Cardiotoxicité (QT, torsades), pancréatite, cytolyse hépatique</w:t>
            </w:r>
          </w:p>
        </w:tc>
        <w:tc>
          <w:tcPr/>
          <w:p>
            <w:pPr>
              <w:pStyle w:val="Compact"/>
              <w:jc w:val="left"/>
            </w:pPr>
            <w:r>
              <w:rPr>
                <w:b/>
                <w:bCs/>
              </w:rPr>
              <w:t xml:space="preserve">CI absolue</w:t>
            </w:r>
            <w:r>
              <w:t xml:space="preserve"> </w:t>
            </w:r>
            <w:r>
              <w:t xml:space="preserve">(tératogène)</w:t>
            </w:r>
          </w:p>
        </w:tc>
      </w:tr>
      <w:tr>
        <w:tc>
          <w:tcPr/>
          <w:p>
            <w:pPr>
              <w:pStyle w:val="Compact"/>
              <w:jc w:val="left"/>
            </w:pPr>
            <w:r>
              <w:rPr>
                <w:b/>
                <w:bCs/>
              </w:rPr>
              <w:t xml:space="preserve">Permethrine</w:t>
            </w:r>
            <w:r>
              <w:t xml:space="preserve"> </w:t>
            </w:r>
            <w:r>
              <w:t xml:space="preserve">(association PARA PLUS retirée)</w:t>
            </w:r>
          </w:p>
        </w:tc>
        <w:tc>
          <w:tcPr/>
          <w:p>
            <w:pPr>
              <w:pStyle w:val="Compact"/>
              <w:jc w:val="left"/>
            </w:pPr>
            <w:r>
              <w:t xml:space="preserve">Antiparasitaires externes — Scabies/Pédiculose</w:t>
            </w:r>
          </w:p>
        </w:tc>
        <w:tc>
          <w:tcPr/>
          <w:p>
            <w:pPr>
              <w:pStyle w:val="Compact"/>
              <w:jc w:val="left"/>
            </w:pPr>
            <w:r>
              <w:rPr>
                <w:i/>
                <w:iCs/>
              </w:rPr>
              <w:t xml:space="preserve">Sarcoptes scabiei</w:t>
            </w:r>
            <w:r>
              <w:t xml:space="preserve">,</w:t>
            </w:r>
            <w:r>
              <w:t xml:space="preserve"> </w:t>
            </w:r>
            <w:r>
              <w:rPr>
                <w:i/>
                <w:iCs/>
              </w:rPr>
              <w:t xml:space="preserve">Pediculus capitis</w:t>
            </w:r>
            <w:r>
              <w:t xml:space="preserve">,</w:t>
            </w:r>
            <w:r>
              <w:t xml:space="preserve"> </w:t>
            </w:r>
            <w:r>
              <w:rPr>
                <w:i/>
                <w:iCs/>
              </w:rPr>
              <w:t xml:space="preserve">Phthirus pubis</w:t>
            </w:r>
          </w:p>
        </w:tc>
        <w:tc>
          <w:tcPr/>
          <w:p>
            <w:pPr>
              <w:pStyle w:val="Compact"/>
              <w:jc w:val="left"/>
            </w:pPr>
            <w:r>
              <w:t xml:space="preserve">Canaux Na⁺ voltage-dépendants → paralysie knock-down insecte</w:t>
            </w:r>
          </w:p>
        </w:tc>
        <w:tc>
          <w:tcPr/>
          <w:p>
            <w:pPr>
              <w:pStyle w:val="Compact"/>
              <w:jc w:val="left"/>
            </w:pPr>
            <w:r>
              <w:t xml:space="preserve">Topique cutané (crème 5 % gale, lotion 1 % pédiculose)</w:t>
            </w:r>
          </w:p>
        </w:tc>
        <w:tc>
          <w:tcPr/>
          <w:p>
            <w:pPr>
              <w:pStyle w:val="Compact"/>
              <w:jc w:val="left"/>
            </w:pPr>
            <w:r>
              <w:t xml:space="preserve">Gale : 1 application 8-12 h, renouveler J7-J14 ; Pédiculose : 10 min, renouveler J7-J10</w:t>
            </w:r>
          </w:p>
        </w:tc>
        <w:tc>
          <w:tcPr/>
          <w:p>
            <w:pPr>
              <w:pStyle w:val="Compact"/>
              <w:jc w:val="left"/>
            </w:pPr>
            <w:r>
              <w:t xml:space="preserve">Prurit transitoire, dermite de contact, allergie chrysanthème</w:t>
            </w:r>
          </w:p>
        </w:tc>
        <w:tc>
          <w:tcPr/>
          <w:p>
            <w:pPr>
              <w:pStyle w:val="Compact"/>
              <w:jc w:val="left"/>
            </w:pPr>
            <w:r>
              <w:t xml:space="preserve">Autorisée (CRAT) — 1re intention gale</w:t>
            </w:r>
          </w:p>
        </w:tc>
      </w:tr>
      <w:tr>
        <w:tc>
          <w:tcPr/>
          <w:p>
            <w:pPr>
              <w:pStyle w:val="Compact"/>
              <w:jc w:val="left"/>
            </w:pPr>
            <w:r>
              <w:rPr>
                <w:b/>
                <w:bCs/>
              </w:rPr>
              <w:t xml:space="preserve">Crotamiton</w:t>
            </w:r>
          </w:p>
        </w:tc>
        <w:tc>
          <w:tcPr/>
          <w:p>
            <w:pPr>
              <w:pStyle w:val="Compact"/>
              <w:jc w:val="left"/>
            </w:pPr>
            <w:r>
              <w:t xml:space="preserve">Antiparasitaires externes — Scabies/Pédiculose + Antiprurigineux</w:t>
            </w:r>
          </w:p>
        </w:tc>
        <w:tc>
          <w:tcPr/>
          <w:p>
            <w:pPr>
              <w:pStyle w:val="Compact"/>
              <w:jc w:val="left"/>
            </w:pPr>
            <w:r>
              <w:rPr>
                <w:i/>
                <w:iCs/>
              </w:rPr>
              <w:t xml:space="preserve">Sarcoptes scabiei</w:t>
            </w:r>
            <w:r>
              <w:t xml:space="preserve"> </w:t>
            </w:r>
            <w:r>
              <w:t xml:space="preserve">(efficacité modérée) + antiprurit non parasitaire</w:t>
            </w:r>
          </w:p>
        </w:tc>
        <w:tc>
          <w:tcPr/>
          <w:p>
            <w:pPr>
              <w:pStyle w:val="Compact"/>
              <w:jc w:val="left"/>
            </w:pPr>
            <w:r>
              <w:t xml:space="preserve">Mécanisme mal élucidé (neurotoxique acarien + antiprurit local)</w:t>
            </w:r>
          </w:p>
        </w:tc>
        <w:tc>
          <w:tcPr/>
          <w:p>
            <w:pPr>
              <w:pStyle w:val="Compact"/>
              <w:jc w:val="left"/>
            </w:pPr>
            <w:r>
              <w:t xml:space="preserve">Topique cutané (crème 10 %)</w:t>
            </w:r>
          </w:p>
        </w:tc>
        <w:tc>
          <w:tcPr/>
          <w:p>
            <w:pPr>
              <w:pStyle w:val="Compact"/>
              <w:jc w:val="left"/>
            </w:pPr>
            <w:r>
              <w:t xml:space="preserve">Gale : 2 applications à 24 h, renouveler J7-J14 ; Prurit : 2-3 fois/j</w:t>
            </w:r>
          </w:p>
        </w:tc>
        <w:tc>
          <w:tcPr/>
          <w:p>
            <w:pPr>
              <w:pStyle w:val="Compact"/>
              <w:jc w:val="left"/>
            </w:pPr>
            <w:r>
              <w:t xml:space="preserve">Dermatite de contact, brûlure locale</w:t>
            </w:r>
          </w:p>
        </w:tc>
        <w:tc>
          <w:tcPr/>
          <w:p>
            <w:pPr>
              <w:pStyle w:val="Compact"/>
              <w:jc w:val="left"/>
            </w:pPr>
            <w:r>
              <w:t xml:space="preserve">Utilisable (CRAT) — alternative</w:t>
            </w:r>
          </w:p>
        </w:tc>
      </w:tr>
      <w:tr>
        <w:tc>
          <w:tcPr/>
          <w:p>
            <w:pPr>
              <w:pStyle w:val="Compact"/>
              <w:jc w:val="left"/>
            </w:pPr>
            <w:r>
              <w:rPr>
                <w:b/>
                <w:bCs/>
              </w:rPr>
              <w:t xml:space="preserve">Diméticone</w:t>
            </w:r>
          </w:p>
        </w:tc>
        <w:tc>
          <w:tcPr/>
          <w:p>
            <w:pPr>
              <w:pStyle w:val="Compact"/>
              <w:jc w:val="left"/>
            </w:pPr>
            <w:r>
              <w:t xml:space="preserve">Antiparasitaires externes — Pédiculose (physique)</w:t>
            </w:r>
          </w:p>
        </w:tc>
        <w:tc>
          <w:tcPr/>
          <w:p>
            <w:pPr>
              <w:pStyle w:val="Compact"/>
              <w:jc w:val="left"/>
            </w:pPr>
            <w:r>
              <w:rPr>
                <w:i/>
                <w:iCs/>
              </w:rPr>
              <w:t xml:space="preserve">Pediculus capitis</w:t>
            </w:r>
            <w:r>
              <w:t xml:space="preserve">,</w:t>
            </w:r>
            <w:r>
              <w:t xml:space="preserve"> </w:t>
            </w:r>
            <w:r>
              <w:rPr>
                <w:i/>
                <w:iCs/>
              </w:rPr>
              <w:t xml:space="preserve">Phthirus pubis</w:t>
            </w:r>
            <w:r>
              <w:t xml:space="preserve"> </w:t>
            </w:r>
            <w:r>
              <w:t xml:space="preserve">(aucune action sur Sarcoptes)</w:t>
            </w:r>
          </w:p>
        </w:tc>
        <w:tc>
          <w:tcPr/>
          <w:p>
            <w:pPr>
              <w:pStyle w:val="Compact"/>
              <w:jc w:val="left"/>
            </w:pPr>
            <w:r>
              <w:t xml:space="preserve">Asphyxie mécanique par obstruction stigmates respiratoires du pou</w:t>
            </w:r>
          </w:p>
        </w:tc>
        <w:tc>
          <w:tcPr/>
          <w:p>
            <w:pPr>
              <w:pStyle w:val="Compact"/>
              <w:jc w:val="left"/>
            </w:pPr>
            <w:r>
              <w:t xml:space="preserve">Topique capillaire (lotion/spray 4 %, non disponible en Algérie)</w:t>
            </w:r>
          </w:p>
        </w:tc>
        <w:tc>
          <w:tcPr/>
          <w:p>
            <w:pPr>
              <w:pStyle w:val="Compact"/>
              <w:jc w:val="left"/>
            </w:pPr>
            <w:r>
              <w:t xml:space="preserve">Application unique 8 h sur cheveux secs, renouveler J7-J10</w:t>
            </w:r>
          </w:p>
        </w:tc>
        <w:tc>
          <w:tcPr/>
          <w:p>
            <w:pPr>
              <w:pStyle w:val="Compact"/>
              <w:jc w:val="left"/>
            </w:pPr>
            <w:r>
              <w:t xml:space="preserve">Aucun (pas d’absorption systémique)</w:t>
            </w:r>
          </w:p>
        </w:tc>
        <w:tc>
          <w:tcPr/>
          <w:p>
            <w:pPr>
              <w:pStyle w:val="Compact"/>
              <w:jc w:val="left"/>
            </w:pPr>
            <w:r>
              <w:t xml:space="preserve">Autorisée (CRAT) — 1re intention pédiculose</w:t>
            </w:r>
          </w:p>
        </w:tc>
      </w:tr>
    </w:tbl>
    <w:p>
      <w:r>
        <w:pict>
          <v:rect style="width:0;height:1.5pt" o:hralign="center" o:hrstd="t" o:hr="t"/>
        </w:pict>
      </w:r>
    </w:p>
    <w:bookmarkEnd w:id="210"/>
    <w:bookmarkStart w:id="211" w:name="Xf5f8158de696c95e7b658d08505e3261e681259"/>
    <w:p>
      <w:pPr>
        <w:pStyle w:val="Heading2"/>
      </w:pPr>
      <w:r>
        <w:t xml:space="preserve">Synthèse pédagogique et messages clés pour l’étudiant en pharmacie</w:t>
      </w:r>
    </w:p>
    <w:p>
      <w:pPr>
        <w:numPr>
          <w:ilvl w:val="0"/>
          <w:numId w:val="1457"/>
        </w:numPr>
      </w:pPr>
      <w:r>
        <w:rPr>
          <w:b/>
          <w:bCs/>
        </w:rPr>
        <w:t xml:space="preserve">Disponibilité algérienne limitée</w:t>
      </w:r>
      <w:r>
        <w:t xml:space="preserve"> </w:t>
      </w:r>
      <w:r>
        <w:t xml:space="preserve">: sur les 4 molécules abordées, seules 2 sont effectivement commercialisées en Algérie (Glucantime antimoniates injectable, crotamiton crème). La perméthrine n’existe qu’en association pédiculocide retirée (PARA PLUS), et la diméticone pédiculocide n’est pas commercialisée (seule la forme orale antiflatulente est disponible).</w:t>
      </w:r>
    </w:p>
    <w:p>
      <w:pPr>
        <w:numPr>
          <w:ilvl w:val="0"/>
          <w:numId w:val="1457"/>
        </w:numPr>
      </w:pPr>
      <w:r>
        <w:rPr>
          <w:b/>
          <w:bCs/>
        </w:rPr>
        <w:t xml:space="preserve">Rôle du pharmacien d’offine algérien</w:t>
      </w:r>
      <w:r>
        <w:t xml:space="preserve"> </w:t>
      </w:r>
      <w:r>
        <w:t xml:space="preserve">: central pour les parasitoses externes (conseil, orientation, suivi), marginal pour les antileishmaniens systémiques (réservés à l’hôpital) mais essentiel pour le conseil aux patients traités en ambulatoire.</w:t>
      </w:r>
    </w:p>
    <w:p>
      <w:pPr>
        <w:numPr>
          <w:ilvl w:val="0"/>
          <w:numId w:val="1457"/>
        </w:numPr>
      </w:pPr>
      <w:r>
        <w:rPr>
          <w:b/>
          <w:bCs/>
        </w:rPr>
        <w:t xml:space="preserve">Antimoniates — surveillance ECG + pancréas</w:t>
      </w:r>
      <w:r>
        <w:t xml:space="preserve"> </w:t>
      </w:r>
      <w:r>
        <w:t xml:space="preserve">: la cardiotoxicité (QT, torsades) et la pancréatite sont les deux EI critiques qui justifient un bilan pré-thérapeutique et une surveillance hospitalière. Toujours calculer la dose en</w:t>
      </w:r>
      <w:r>
        <w:t xml:space="preserve"> </w:t>
      </w:r>
      <w:r>
        <w:rPr>
          <w:b/>
          <w:bCs/>
        </w:rPr>
        <w:t xml:space="preserve">mg SbV/kg</w:t>
      </w:r>
      <w:r>
        <w:t xml:space="preserve"> </w:t>
      </w:r>
      <w:r>
        <w:t xml:space="preserve">et non en mg de produit total.</w:t>
      </w:r>
    </w:p>
    <w:p>
      <w:pPr>
        <w:numPr>
          <w:ilvl w:val="0"/>
          <w:numId w:val="1457"/>
        </w:numPr>
      </w:pPr>
      <w:r>
        <w:rPr>
          <w:b/>
          <w:bCs/>
        </w:rPr>
        <w:t xml:space="preserve">Permethrine 5 % (gale) vs 1 % (pédiculose)</w:t>
      </w:r>
      <w:r>
        <w:t xml:space="preserve"> </w:t>
      </w:r>
      <w:r>
        <w:t xml:space="preserve">: la concentration est déterminée par la profondeur du parasite (sarcopte intra-épidermique vs pou externe). Ne jamais utiliser la 1 % pour la gale (échec garanti).</w:t>
      </w:r>
    </w:p>
    <w:p>
      <w:pPr>
        <w:numPr>
          <w:ilvl w:val="0"/>
          <w:numId w:val="1457"/>
        </w:numPr>
      </w:pPr>
      <w:r>
        <w:rPr>
          <w:b/>
          <w:bCs/>
        </w:rPr>
        <w:t xml:space="preserve">2e application systématique à J7-J14</w:t>
      </w:r>
      <w:r>
        <w:t xml:space="preserve"> </w:t>
      </w:r>
      <w:r>
        <w:t xml:space="preserve">: règle d’or pour tous les scabicides et pédiculocides (perméthrine, crotamiton, diméticone), en raison de l’éclosion des œufs survivants.</w:t>
      </w:r>
    </w:p>
    <w:p>
      <w:pPr>
        <w:numPr>
          <w:ilvl w:val="0"/>
          <w:numId w:val="1457"/>
        </w:numPr>
      </w:pPr>
      <w:r>
        <w:rPr>
          <w:b/>
          <w:bCs/>
        </w:rPr>
        <w:t xml:space="preserve">Crotamiton — alternative algérienne de choix</w:t>
      </w:r>
      <w:r>
        <w:t xml:space="preserve"> </w:t>
      </w:r>
      <w:r>
        <w:t xml:space="preserve">: en l’absence de perméthrine 5 %, le crotamiton 10 % (E-RAX, EURAXYDERME, PRURAX) est le traitement de première ligne de la gale commune en officine, à condition de respecter la double application à 24 h d’intervalle et la 2e cure à J7-J14.</w:t>
      </w:r>
    </w:p>
    <w:p>
      <w:pPr>
        <w:numPr>
          <w:ilvl w:val="0"/>
          <w:numId w:val="1457"/>
        </w:numPr>
      </w:pPr>
      <w:r>
        <w:rPr>
          <w:b/>
          <w:bCs/>
        </w:rPr>
        <w:t xml:space="preserve">Diméticone — traitement moderne de la pédiculose</w:t>
      </w:r>
      <w:r>
        <w:t xml:space="preserve"> </w:t>
      </w:r>
      <w:r>
        <w:t xml:space="preserve">: à privilégier en cas d’indisponibilité par importation, surtout chez la femme enceinte, le nourrisson et en cas de résistance aux neurotoxiques. Action physique par asphyxie, pas de résistance possible.</w:t>
      </w:r>
    </w:p>
    <w:p>
      <w:pPr>
        <w:numPr>
          <w:ilvl w:val="0"/>
          <w:numId w:val="1457"/>
        </w:numPr>
      </w:pPr>
      <w:r>
        <w:rPr>
          <w:b/>
          <w:bCs/>
        </w:rPr>
        <w:t xml:space="preserve">Traitement de l’entourage et désinfection du linge</w:t>
      </w:r>
      <w:r>
        <w:t xml:space="preserve"> </w:t>
      </w:r>
      <w:r>
        <w:t xml:space="preserve">: règle absolue pour les parasitoses externes (gale, pédiculose) — sans quoi la réinfestation en ping-pong est quasi constante.</w:t>
      </w:r>
    </w:p>
    <w:p>
      <w:pPr>
        <w:numPr>
          <w:ilvl w:val="0"/>
          <w:numId w:val="1457"/>
        </w:numPr>
      </w:pPr>
      <w:r>
        <w:rPr>
          <w:b/>
          <w:bCs/>
        </w:rPr>
        <w:t xml:space="preserve">Prurit post-scabieux</w:t>
      </w:r>
      <w:r>
        <w:t xml:space="preserve"> </w:t>
      </w:r>
      <w:r>
        <w:t xml:space="preserve">: persiste 2-4 semaines après traitement efficace (persistance des antigènes parasitaires). Ce n’est pas un signe d’échec. À différencier d’une réinfestation (nouvelles lésions, nouveaux sillons) ou d’une résistance (persistance des sillons actifs à J15).</w:t>
      </w:r>
    </w:p>
    <w:p>
      <w:pPr>
        <w:numPr>
          <w:ilvl w:val="0"/>
          <w:numId w:val="1457"/>
        </w:numPr>
      </w:pPr>
      <w:r>
        <w:rPr>
          <w:b/>
          <w:bCs/>
        </w:rPr>
        <w:t xml:space="preserve">Pièges à connaître</w:t>
      </w:r>
      <w:r>
        <w:t xml:space="preserve"> </w:t>
      </w:r>
      <w:r>
        <w:t xml:space="preserve">: (1) Antimoniates + médicaments allongeant QT = torsades ; (2) Permethrine 1 % sur gale = échec ; (3) Crotamiton en application unique = échec ; (4) Diméticone sur cheveux mouillés = inefficace ; (5) Permethrine chez nourrisson &lt; 2 mois = neurotoxicité ; (6) Antimoniates chez femme enceinte = CI absolue ; (7) Oubli 2e cure = réinfestation ; (8) Application sur peau lésée = majoration absorption systémique.</w:t>
      </w:r>
    </w:p>
    <w:p>
      <w:r>
        <w:pict>
          <v:rect style="width:0;height:1.5pt" o:hralign="center" o:hrstd="t" o:hr="t"/>
        </w:pict>
      </w:r>
    </w:p>
    <w:bookmarkEnd w:id="211"/>
    <w:bookmarkStart w:id="212" w:name="références-bibliographiques"/>
    <w:p>
      <w:pPr>
        <w:pStyle w:val="Heading2"/>
      </w:pPr>
      <w:r>
        <w:t xml:space="preserve">Références bibliographiques</w:t>
      </w:r>
    </w:p>
    <w:p>
      <w:pPr>
        <w:pStyle w:val="Compact"/>
        <w:numPr>
          <w:ilvl w:val="0"/>
          <w:numId w:val="1458"/>
        </w:numPr>
      </w:pPr>
      <w:r>
        <w:t xml:space="preserve">VIDAL 2025.</w:t>
      </w:r>
      <w:r>
        <w:t xml:space="preserve"> </w:t>
      </w:r>
      <w:r>
        <w:rPr>
          <w:i/>
          <w:iCs/>
        </w:rPr>
        <w:t xml:space="preserve">Dictionnaire des spécialités pharmaceutiques</w:t>
      </w:r>
      <w:r>
        <w:t xml:space="preserve">. Éditions VIDAL.</w:t>
      </w:r>
    </w:p>
    <w:p>
      <w:pPr>
        <w:pStyle w:val="Compact"/>
        <w:numPr>
          <w:ilvl w:val="0"/>
          <w:numId w:val="1458"/>
        </w:numPr>
      </w:pPr>
      <w:r>
        <w:t xml:space="preserve">ANSM (Agence Nationale de Sécurité du Médicament et des Produits de Santé). Résumés des Caractéristiques Produit (RCP) Glucantime, Eurax, Pepsane. Mises à jour 2024-2025.</w:t>
      </w:r>
    </w:p>
    <w:p>
      <w:pPr>
        <w:pStyle w:val="Compact"/>
        <w:numPr>
          <w:ilvl w:val="0"/>
          <w:numId w:val="1458"/>
        </w:numPr>
      </w:pPr>
      <w:r>
        <w:t xml:space="preserve">CRAT (Centre de Référence sur les Agents Tératogènes). Fiches : Antimoine, Permethrine, Crotamiton, Diméticone. Université Sorbonne Paris Cité, 2024-2025.</w:t>
      </w:r>
    </w:p>
    <w:p>
      <w:pPr>
        <w:pStyle w:val="Compact"/>
        <w:numPr>
          <w:ilvl w:val="0"/>
          <w:numId w:val="1458"/>
        </w:numPr>
      </w:pPr>
      <w:r>
        <w:t xml:space="preserve">Thériaque. Banque de données sur les médicaments. Société française de pharmacologie clinique.</w:t>
      </w:r>
    </w:p>
    <w:p>
      <w:pPr>
        <w:pStyle w:val="Compact"/>
        <w:numPr>
          <w:ilvl w:val="0"/>
          <w:numId w:val="1458"/>
        </w:numPr>
      </w:pPr>
      <w:r>
        <w:t xml:space="preserve">OMS (Organisation Mondiale de la Santé).</w:t>
      </w:r>
      <w:r>
        <w:t xml:space="preserve"> </w:t>
      </w:r>
      <w:r>
        <w:rPr>
          <w:i/>
          <w:iCs/>
        </w:rPr>
        <w:t xml:space="preserve">Technical Report Series 949 — Control of leishmaniasis</w:t>
      </w:r>
      <w:r>
        <w:t xml:space="preserve">. WHO, Genève, 2010 (réactualisé 2024).</w:t>
      </w:r>
    </w:p>
    <w:p>
      <w:pPr>
        <w:pStyle w:val="Compact"/>
        <w:numPr>
          <w:ilvl w:val="0"/>
          <w:numId w:val="1458"/>
        </w:numPr>
      </w:pPr>
      <w:r>
        <w:t xml:space="preserve">UpToDate.</w:t>
      </w:r>
      <w:r>
        <w:t xml:space="preserve"> </w:t>
      </w:r>
      <w:r>
        <w:rPr>
          <w:i/>
          <w:iCs/>
        </w:rPr>
        <w:t xml:space="preserve">Treatment of cutaneous leishmaniasis</w:t>
      </w:r>
      <w:r>
        <w:t xml:space="preserve">,</w:t>
      </w:r>
      <w:r>
        <w:t xml:space="preserve"> </w:t>
      </w:r>
      <w:r>
        <w:rPr>
          <w:i/>
          <w:iCs/>
        </w:rPr>
        <w:t xml:space="preserve">Treatment of visceral leishmaniasis</w:t>
      </w:r>
      <w:r>
        <w:t xml:space="preserve">,</w:t>
      </w:r>
      <w:r>
        <w:t xml:space="preserve"> </w:t>
      </w:r>
      <w:r>
        <w:rPr>
          <w:i/>
          <w:iCs/>
        </w:rPr>
        <w:t xml:space="preserve">Scabies</w:t>
      </w:r>
      <w:r>
        <w:t xml:space="preserve">,</w:t>
      </w:r>
      <w:r>
        <w:t xml:space="preserve"> </w:t>
      </w:r>
      <w:r>
        <w:rPr>
          <w:i/>
          <w:iCs/>
        </w:rPr>
        <w:t xml:space="preserve">Pediculosis capitis</w:t>
      </w:r>
      <w:r>
        <w:t xml:space="preserve">. Articles consultés 2025.</w:t>
      </w:r>
    </w:p>
    <w:p>
      <w:pPr>
        <w:pStyle w:val="Compact"/>
        <w:numPr>
          <w:ilvl w:val="0"/>
          <w:numId w:val="1458"/>
        </w:numPr>
      </w:pPr>
      <w:r>
        <w:t xml:space="preserve">HAS (Haute Autorité de Santé).</w:t>
      </w:r>
      <w:r>
        <w:t xml:space="preserve"> </w:t>
      </w:r>
      <w:r>
        <w:rPr>
          <w:i/>
          <w:iCs/>
        </w:rPr>
        <w:t xml:space="preserve">Recommandations sur la prise en charge de la gale</w:t>
      </w:r>
      <w:r>
        <w:t xml:space="preserve"> </w:t>
      </w:r>
      <w:r>
        <w:t xml:space="preserve">(2012, actualisation 2024).</w:t>
      </w:r>
      <w:r>
        <w:t xml:space="preserve"> </w:t>
      </w:r>
      <w:r>
        <w:rPr>
          <w:i/>
          <w:iCs/>
        </w:rPr>
        <w:t xml:space="preserve">Avis sur les pédiculocides</w:t>
      </w:r>
      <w:r>
        <w:t xml:space="preserve"> </w:t>
      </w:r>
      <w:r>
        <w:t xml:space="preserve">(2019).</w:t>
      </w:r>
    </w:p>
    <w:p>
      <w:pPr>
        <w:pStyle w:val="Compact"/>
        <w:numPr>
          <w:ilvl w:val="0"/>
          <w:numId w:val="1458"/>
        </w:numPr>
      </w:pPr>
      <w:r>
        <w:t xml:space="preserve">Ministère de la Santé algérien.</w:t>
      </w:r>
      <w:r>
        <w:t xml:space="preserve"> </w:t>
      </w:r>
      <w:r>
        <w:rPr>
          <w:i/>
          <w:iCs/>
        </w:rPr>
        <w:t xml:space="preserve">Programme National de Lutte contre les Leishmanioses (PNLL)</w:t>
      </w:r>
      <w:r>
        <w:t xml:space="preserve">. Institut Pasteur d’Algérie, données épidémiologiques 2023-2024.</w:t>
      </w:r>
    </w:p>
    <w:p>
      <w:pPr>
        <w:pStyle w:val="Compact"/>
        <w:numPr>
          <w:ilvl w:val="0"/>
          <w:numId w:val="1458"/>
        </w:numPr>
      </w:pPr>
      <w:r>
        <w:t xml:space="preserve">Bolognia JL, Schaffer JV, Cerroni L.</w:t>
      </w:r>
      <w:r>
        <w:t xml:space="preserve"> </w:t>
      </w:r>
      <w:r>
        <w:rPr>
          <w:i/>
          <w:iCs/>
        </w:rPr>
        <w:t xml:space="preserve">Dermatology</w:t>
      </w:r>
      <w:r>
        <w:t xml:space="preserve">. 4e édition. Elsevier, 2018.</w:t>
      </w:r>
    </w:p>
    <w:p>
      <w:pPr>
        <w:pStyle w:val="Compact"/>
        <w:numPr>
          <w:ilvl w:val="0"/>
          <w:numId w:val="1458"/>
        </w:numPr>
      </w:pPr>
      <w:r>
        <w:t xml:space="preserve">Goldsmith LA, Katz SI, Gilchrest BA, et al. </w:t>
      </w:r>
      <w:r>
        <w:rPr>
          <w:i/>
          <w:iCs/>
        </w:rPr>
        <w:t xml:space="preserve">Fitzpatrick’s Dermatology in General Medicine</w:t>
      </w:r>
      <w:r>
        <w:t xml:space="preserve">. 9e édition. McGraw-Hill, 2019.</w:t>
      </w:r>
    </w:p>
    <w:p>
      <w:pPr>
        <w:pStyle w:val="Compact"/>
        <w:numPr>
          <w:ilvl w:val="0"/>
          <w:numId w:val="1458"/>
        </w:numPr>
      </w:pPr>
      <w:r>
        <w:t xml:space="preserve">Rappel historique : Glucantime découvert à l’Institut Pasteur d’Alger dans les années 1940, en lien avec les travaux de Sergent Ed. et Et., sur la leishmaniose cutanée du sud algérien.</w:t>
      </w:r>
    </w:p>
    <w:p>
      <w:r>
        <w:pict>
          <v:rect style="width:0;height:1.5pt" o:hralign="center" o:hrstd="t" o:hr="t"/>
        </w:pict>
      </w:r>
    </w:p>
    <w:p>
      <w:r>
        <w:pict>
          <v:rect style="width:0;height:1.5pt" o:hralign="center" o:hrstd="t" o:hr="t"/>
        </w:pict>
      </w:r>
    </w:p>
    <w:bookmarkEnd w:id="212"/>
    <w:bookmarkEnd w:id="213"/>
    <w:sectPr>
      <w:headerReference w:type="default" r:id="rId9"/>
      <w:footerReference w:type="default" r:id="rId10"/>
      <w:pgSz w:h="16838" w:w="11906"/>
      <w:pgMar w:top="1134" w:bottom="1134" w:left="1417" w:right="1134" w:header="567" w:footer="56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06060"/>
        <w:sz w:val="18"/>
      </w:rPr>
      <w:t xml:space="preserve">Page </w:t>
    </w:r>
    <w:r>
      <w:rPr>
        <w:color w:val="606060"/>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0B3D91"/>
      </w:pBdr>
    </w:pPr>
    <w:r>
      <w:rPr>
        <w:rFonts w:ascii="Calibri" w:hAnsi="Calibri"/>
        <w:i/>
        <w:color w:val="606060"/>
        <w:sz w:val="18"/>
      </w:rPr>
      <w:t>Livre Technique de Pharmacologie Clinique — Antifongiques &amp; Antiparasitaires en Algérie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1"/>
  </w:num>
  <w:num w:numId="13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after="120"/>
    </w:pPr>
    <w:rPr>
      <w:rFonts w:ascii="Calibri" w:hAnsi="Calibri" w:cs="Calibri"/>
      <w:sz w:val="22"/>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Calibri" w:hAnsi="Calibri"/>
      <w:b/>
      <w:bCs/>
      <w:color w:val="0B3D91"/>
      <w:sz w:val="6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Livre Technique de Pharmacologie Clinique — Antifongiques &amp; Antiparasitaires en Algérie</dc:title>
  <dc:creator>Fascicule II : Antifongiques et Antiparasitaires</dc:creator>
  <cp:keywords/>
  <dcterms:created xsi:type="dcterms:W3CDTF">2026-08-15T23:03:50Z</dcterms:created>
  <dcterms:modified xsi:type="dcterms:W3CDTF">2026-08-15T23:03:50Z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Édition Août 2026</vt:lpwstr>
  </property>
</Properties>
</file>