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6B2E"/>
          <w:sz w:val="56"/>
        </w:rPr>
        <w:t>DERMATOLOGIE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XIII</w:t>
      </w:r>
    </w:p>
    <w:p>
      <w:pPr>
        <w:jc w:val="center"/>
      </w:pPr>
      <w:r>
        <w:rPr>
          <w:rFonts w:ascii="Calibri" w:hAnsi="Calibri"/>
          <w:b w:val="0"/>
          <w:i/>
          <w:color w:val="606060"/>
          <w:sz w:val="28"/>
        </w:rPr>
        <w:t>Dermatologie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38 DCI traitées  •  350+ spécialités commerciales  •  6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EADV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XIII : Dermatologie</w:t>
      </w:r>
    </w:p>
    <w:p>
      <w:pPr>
        <w:pStyle w:val="Heading2"/>
      </w:pPr>
      <w:r>
        <w:t>Avant-propos et méthodologie du Fascicule XIII</w:t>
      </w:r>
    </w:p>
    <w:p>
      <w:pPr>
        <w:pStyle w:val="Heading3"/>
      </w:pPr>
      <w:r>
        <w:t>1. Objet du fascicule</w:t>
      </w:r>
    </w:p>
    <w:p>
      <w:r>
        <w:t>Le présent fascicule constitue le treizième volet du traité technique de pharmacologie clinique destiné aux étudiants en pharmacie d'officine et aux praticiens exerçant sur le territoire algérien. Il poursuit la démarche engagée dans les Fascicules I-XII en traitant de manière exhaustive les classes thérapeutiques dermatologiques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r>
        <w:t>Les pathologies dermatologiques représentent un motif très fréquent de consultation en pharmacie d'officine et en médecine générale en Algérie :</w:t>
      </w:r>
    </w:p>
    <w:p>
      <w:pPr>
        <w:pStyle w:val="ListBullet"/>
      </w:pPr>
      <w:r/>
      <w:r>
        <w:rPr>
          <w:b/>
        </w:rPr>
        <w:t>Acné</w:t>
      </w:r>
      <w:r>
        <w:t xml:space="preserve"> : 80 % des adolescents, 15 % des adultes</w:t>
      </w:r>
    </w:p>
    <w:p>
      <w:pPr>
        <w:pStyle w:val="ListBullet"/>
      </w:pPr>
      <w:r/>
      <w:r>
        <w:rPr>
          <w:b/>
        </w:rPr>
        <w:t>Dermatite atopique</w:t>
      </w:r>
      <w:r>
        <w:t xml:space="preserve"> : 15-20 % des enfants</w:t>
      </w:r>
    </w:p>
    <w:p>
      <w:pPr>
        <w:pStyle w:val="ListBullet"/>
      </w:pPr>
      <w:r/>
      <w:r>
        <w:rPr>
          <w:b/>
        </w:rPr>
        <w:t>Psoriasis</w:t>
      </w:r>
      <w:r>
        <w:t xml:space="preserve"> : 2-3 % de la population générale</w:t>
      </w:r>
    </w:p>
    <w:p>
      <w:pPr>
        <w:pStyle w:val="ListBullet"/>
      </w:pPr>
      <w:r/>
      <w:r>
        <w:rPr>
          <w:b/>
        </w:rPr>
        <w:t>Infections cutanées</w:t>
      </w:r>
      <w:r>
        <w:t xml:space="preserve"> : bactériennes (impétigo), fongiques (dermatophyties), parasitaires (gale)</w:t>
      </w:r>
    </w:p>
    <w:p>
      <w:pPr>
        <w:pStyle w:val="ListBullet"/>
      </w:pPr>
      <w:r/>
      <w:r>
        <w:rPr>
          <w:b/>
        </w:rPr>
        <w:t>Brûlures</w:t>
      </w:r>
      <w:r>
        <w:t xml:space="preserve"> : domestiques et professionnelles fréquentes</w:t>
      </w:r>
    </w:p>
    <w:p>
      <w:pPr>
        <w:pStyle w:val="Heading3"/>
      </w:pPr>
      <w:r>
        <w:t>3. Périmètre de ce fascicule</w:t>
      </w:r>
    </w:p>
    <w:p>
      <w:r>
        <w:t xml:space="preserve">Ce fascicule couvre </w:t>
      </w:r>
      <w:r>
        <w:rPr>
          <w:b/>
        </w:rPr>
        <w:t>38 DCI</w:t>
      </w:r>
      <w:r>
        <w:t xml:space="preserve"> réparties sur </w:t>
      </w:r>
      <w:r>
        <w:rPr>
          <w:b/>
        </w:rPr>
        <w:t>29 sous-classes</w:t>
      </w:r>
      <w:r>
        <w:t xml:space="preserve"> pharmacologiques :</w:t>
      </w:r>
    </w:p>
    <w:p>
      <w:pPr>
        <w:pStyle w:val="ListNumber"/>
      </w:pPr>
      <w:r>
        <w:t>Rétinoïdes et traitements de l'acné (6 DCI)</w:t>
      </w:r>
    </w:p>
    <w:p>
      <w:pPr>
        <w:pStyle w:val="ListNumber"/>
      </w:pPr>
      <w:r>
        <w:t>Dermocorticoïdes topiques (9 DCI)</w:t>
      </w:r>
    </w:p>
    <w:p>
      <w:pPr>
        <w:pStyle w:val="ListNumber"/>
      </w:pPr>
      <w:r>
        <w:t>Inhibiteurs calcineurine, vitamine D et kératolytiques (5 DCI)</w:t>
      </w:r>
    </w:p>
    <w:p>
      <w:pPr>
        <w:pStyle w:val="ListNumber"/>
      </w:pPr>
      <w:r>
        <w:t>Antiseptiques et antibiotiques topiques (6 DCI)</w:t>
      </w:r>
    </w:p>
    <w:p>
      <w:pPr>
        <w:pStyle w:val="ListNumber"/>
      </w:pPr>
      <w:r>
        <w:t>Cicatrisants, antiprurigineux et divers (7 DCI)</w:t>
      </w:r>
    </w:p>
    <w:p>
      <w:pPr>
        <w:pStyle w:val="ListNumber"/>
      </w:pPr>
      <w:r>
        <w:t>Biothérapies dermatologiques (5 DCI)</w:t>
      </w:r>
    </w:p>
    <w:p>
      <w:pPr>
        <w:pStyle w:val="Heading2"/>
      </w:pPr>
      <w:r>
        <w:t>Sommaire général du Fascicule XIII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121</w:t>
            </w:r>
          </w:p>
        </w:tc>
        <w:tc>
          <w:tcPr>
            <w:tcW w:type="dxa" w:w="3118"/>
          </w:tcPr>
          <w:p>
            <w:r>
              <w:rPr>
                <w:sz w:val="20"/>
              </w:rPr>
              <w:t>Rétinoïdes et traitements de l'acné</w:t>
            </w:r>
          </w:p>
        </w:tc>
        <w:tc>
          <w:tcPr>
            <w:tcW w:type="dxa" w:w="3118"/>
          </w:tcPr>
          <w:p>
            <w:r>
              <w:rPr>
                <w:sz w:val="20"/>
              </w:rPr>
              <w:t>6</w:t>
            </w:r>
          </w:p>
        </w:tc>
      </w:tr>
      <w:tr>
        <w:tc>
          <w:tcPr>
            <w:tcW w:type="dxa" w:w="3118"/>
          </w:tcPr>
          <w:p>
            <w:r>
              <w:rPr>
                <w:sz w:val="20"/>
              </w:rPr>
              <w:t>122</w:t>
            </w:r>
          </w:p>
        </w:tc>
        <w:tc>
          <w:tcPr>
            <w:tcW w:type="dxa" w:w="3118"/>
          </w:tcPr>
          <w:p>
            <w:r>
              <w:rPr>
                <w:sz w:val="20"/>
              </w:rPr>
              <w:t>Dermocorticoïdes topiques</w:t>
            </w:r>
          </w:p>
        </w:tc>
        <w:tc>
          <w:tcPr>
            <w:tcW w:type="dxa" w:w="3118"/>
          </w:tcPr>
          <w:p>
            <w:r>
              <w:rPr>
                <w:sz w:val="20"/>
              </w:rPr>
              <w:t>9</w:t>
            </w:r>
          </w:p>
        </w:tc>
      </w:tr>
      <w:tr>
        <w:tc>
          <w:tcPr>
            <w:tcW w:type="dxa" w:w="3118"/>
          </w:tcPr>
          <w:p>
            <w:r>
              <w:rPr>
                <w:sz w:val="20"/>
              </w:rPr>
              <w:t>123</w:t>
            </w:r>
          </w:p>
        </w:tc>
        <w:tc>
          <w:tcPr>
            <w:tcW w:type="dxa" w:w="3118"/>
          </w:tcPr>
          <w:p>
            <w:r>
              <w:rPr>
                <w:sz w:val="20"/>
              </w:rPr>
              <w:t>Inhibiteurs calcineurine, vitamine D et kératolytiques</w:t>
            </w:r>
          </w:p>
        </w:tc>
        <w:tc>
          <w:tcPr>
            <w:tcW w:type="dxa" w:w="3118"/>
          </w:tcPr>
          <w:p>
            <w:r>
              <w:rPr>
                <w:sz w:val="20"/>
              </w:rPr>
              <w:t>5</w:t>
            </w:r>
          </w:p>
        </w:tc>
      </w:tr>
      <w:tr>
        <w:tc>
          <w:tcPr>
            <w:tcW w:type="dxa" w:w="3118"/>
          </w:tcPr>
          <w:p>
            <w:r>
              <w:rPr>
                <w:sz w:val="20"/>
              </w:rPr>
              <w:t>124</w:t>
            </w:r>
          </w:p>
        </w:tc>
        <w:tc>
          <w:tcPr>
            <w:tcW w:type="dxa" w:w="3118"/>
          </w:tcPr>
          <w:p>
            <w:r>
              <w:rPr>
                <w:sz w:val="20"/>
              </w:rPr>
              <w:t>Antiseptiques et antibiotiques topiques</w:t>
            </w:r>
          </w:p>
        </w:tc>
        <w:tc>
          <w:tcPr>
            <w:tcW w:type="dxa" w:w="3118"/>
          </w:tcPr>
          <w:p>
            <w:r>
              <w:rPr>
                <w:sz w:val="20"/>
              </w:rPr>
              <w:t>6</w:t>
            </w:r>
          </w:p>
        </w:tc>
      </w:tr>
      <w:tr>
        <w:tc>
          <w:tcPr>
            <w:tcW w:type="dxa" w:w="3118"/>
          </w:tcPr>
          <w:p>
            <w:r>
              <w:rPr>
                <w:sz w:val="20"/>
              </w:rPr>
              <w:t>125</w:t>
            </w:r>
          </w:p>
        </w:tc>
        <w:tc>
          <w:tcPr>
            <w:tcW w:type="dxa" w:w="3118"/>
          </w:tcPr>
          <w:p>
            <w:r>
              <w:rPr>
                <w:sz w:val="20"/>
              </w:rPr>
              <w:t>Cicatrisants, antiprurigineux et divers</w:t>
            </w:r>
          </w:p>
        </w:tc>
        <w:tc>
          <w:tcPr>
            <w:tcW w:type="dxa" w:w="3118"/>
          </w:tcPr>
          <w:p>
            <w:r>
              <w:rPr>
                <w:sz w:val="20"/>
              </w:rPr>
              <w:t>7</w:t>
            </w:r>
          </w:p>
        </w:tc>
      </w:tr>
      <w:tr>
        <w:tc>
          <w:tcPr>
            <w:tcW w:type="dxa" w:w="3118"/>
          </w:tcPr>
          <w:p>
            <w:r>
              <w:rPr>
                <w:sz w:val="20"/>
              </w:rPr>
              <w:t>126</w:t>
            </w:r>
          </w:p>
        </w:tc>
        <w:tc>
          <w:tcPr>
            <w:tcW w:type="dxa" w:w="3118"/>
          </w:tcPr>
          <w:p>
            <w:r>
              <w:rPr>
                <w:sz w:val="20"/>
              </w:rPr>
              <w:t>Biothérapies dermatologiques</w:t>
            </w:r>
          </w:p>
        </w:tc>
        <w:tc>
          <w:tcPr>
            <w:tcW w:type="dxa" w:w="3118"/>
          </w:tcPr>
          <w:p>
            <w:r>
              <w:rPr>
                <w:sz w:val="20"/>
              </w:rPr>
              <w:t>5</w:t>
            </w:r>
          </w:p>
        </w:tc>
      </w:tr>
      <w:tr>
        <w:tc>
          <w:tcPr>
            <w:tcW w:type="dxa" w:w="3118"/>
          </w:tcPr>
          <w:p>
            <w:r>
              <w:rPr>
                <w:sz w:val="20"/>
              </w:rPr>
              <w:t>**Total**</w:t>
            </w:r>
          </w:p>
        </w:tc>
        <w:tc>
          <w:tcPr>
            <w:tcW w:type="dxa" w:w="3118"/>
          </w:tcPr>
          <w:p>
            <w:r>
              <w:rPr>
                <w:sz w:val="20"/>
              </w:rPr>
            </w:r>
          </w:p>
        </w:tc>
        <w:tc>
          <w:tcPr>
            <w:tcW w:type="dxa" w:w="3118"/>
          </w:tcPr>
          <w:p>
            <w:r>
              <w:rPr>
                <w:sz w:val="20"/>
              </w:rPr>
              <w:t>**38**</w:t>
            </w:r>
          </w:p>
        </w:tc>
      </w:tr>
    </w:tbl>
    <w:p/>
    <w:p>
      <w:pPr>
        <w:pStyle w:val="Heading1"/>
      </w:pPr>
      <w:r>
        <w:t>Fascicule XIII — Dermatologie</w:t>
      </w:r>
    </w:p>
    <w:p>
      <w:pPr>
        <w:pStyle w:val="Heading2"/>
      </w:pPr>
      <w:r>
        <w:t>Chapitre 121 — Rétinoïdes, Psoralènes et Traitements de l'Acné</w:t>
      </w:r>
    </w:p>
    <w:p>
      <w:pPr>
        <w:pStyle w:val="Heading3"/>
      </w:pPr>
      <w:r>
        <w:t>Introduction au chapitre 121</w:t>
      </w:r>
    </w:p>
    <w:p>
      <w:r>
        <w:t xml:space="preserve">Les rétinoïdes, le peroxyde de benzoyle et les psoralènes constituent l'ossature pharmacologique historique et moderne du traitement des dermatoses kératinisantes (psoriasis, ichtyoses, acné, kératodermies) et des troubles de la pigmentation (vitiligo, psoriasis, mycosis fongoïde). Le présent chapitre, premier de six dans le Fascicule XIII consacré à la dermatologie, traite </w:t>
      </w:r>
      <w:r>
        <w:rPr>
          <w:b/>
        </w:rPr>
        <w:t>six DCIs</w:t>
      </w:r>
      <w:r>
        <w:t xml:space="preserve"> disponibles ou ayant été commercialisées sur le territoire algérien selon la nomenclature officielle d'Avril 2026 du Ministère de la Santé. Trois d'entre elles sont des rétinoïdes topiques (trétinoïne, isotrétinoïne topique, adapalène), une est un rétinoïde systémique (acitrétine), une est un psoralène utilisé en PUVA-thérapie (méthoxsalène), et la dernière est l'anti-acnéique de référence (peroxyde de benzoyle).</w:t>
      </w:r>
    </w:p>
    <w:p>
      <w:r>
        <w:t xml:space="preserve">L'enseignement de ces molécules à l'étudiant en pharmacie algérien revêt une importance particulière pour quatre raisons fondamentales. Premièrement, ces molécules sont d'usage quotidien en officine comme à l'hôpital : l'acné touche près de 80 % des adolescents et de 12 à 15 % des adultes jeunes en Algérie, le psoriasis atteint 1,5 à 3 % de la population générale, et le vitiligo concerne 0,5 à 2 % de la population, avec un retentissement psychologique majeur dans une société où l'image corporelle reste socialement déterminante. Deuxièmement, les rétinoïdes systémiques (acitrétine, isotrétinoïne orale) sont </w:t>
      </w:r>
      <w:r>
        <w:rPr>
          <w:b/>
        </w:rPr>
        <w:t>tératogènes majeurs</w:t>
      </w:r>
      <w:r>
        <w:t xml:space="preserve">, contre-indiqués chez la femme enceinte ou envisageant une grossesse, et imposent un dispositif contraignant de contraception, de tests de grossesse et de suivi biologique — ce qui rend le pharmacien d'officine algérien responsable du contrôle de la prescription, de la délivrance et de l'éducation thérapeutique. Troisièmement, ces traitements sont </w:t>
      </w:r>
      <w:r>
        <w:rPr>
          <w:b/>
        </w:rPr>
        <w:t>photosensibilisants</w:t>
      </w:r>
      <w:r>
        <w:t xml:space="preserve"> et irritants, ce qui demande une parfaite maîtrise des conseils au comptoir (photoprotection, hydratation, étalement, rythme d'application, gestion de l'effet de "flare-up" initial). Quatrièmement, plusieurs de ces DCIs figurent sur la Liste I (acitrétine, isotrétinoïne, trétinoïne, adapalène) en raison de leur tératogénicité potentielle, ce qui impose une prescription médicale obligatoire et un suivi renforcé.</w:t>
      </w:r>
    </w:p>
    <w:p>
      <w:r>
        <w:t>Le présent chapitre respecte une structure pédagogique uniforme : pour chaque DCI, l'étudiant trouvera successivement (1) la liste des catégories pharmacothérapeutiques auxquelles elle appartient, (2) le tableau exhaustif des spécialités disponibles en Algérie (avec statut ACTIF, NON RENOUVELABLE ou RETRAIT), (3) le mécanisme d'action moléculaire détaillé, (4) le profil pharmacologique clinique (indications, contre-indications, effets indésirables), (5) les mesures de prévention et de gestion des toxicités, (6) les interactions médicamenteuses pertinentes, (7) les recommandations CRAT pour la grossesse et l'allaitement, (8) la posologie standard adulte et pédiatrique, (9) l'arbitrage entre formes galéniques, (10) les conseils au patient et enfin (11) les pièges classiques du comptoir. Une table comparative synoptique récapitule les six molécules en fin de chapitre, complétée par une synthèse pédagogique destinée à l'examen et à la pratique.</w:t>
      </w:r>
    </w:p>
    <w:p>
      <w:r/>
      <w:r>
        <w:rPr>
          <w:b/>
        </w:rPr>
        <w:t>Liste des DCIs traitées dans ce chapitre (6)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N°</w:t>
            </w:r>
          </w:p>
        </w:tc>
        <w:tc>
          <w:tcPr>
            <w:tcW w:type="dxa" w:w="1871"/>
          </w:tcPr>
          <w:p>
            <w:r>
              <w:rPr>
                <w:b/>
                <w:sz w:val="20"/>
              </w:rPr>
              <w:t>DCI</w:t>
            </w:r>
          </w:p>
        </w:tc>
        <w:tc>
          <w:tcPr>
            <w:tcW w:type="dxa" w:w="1871"/>
          </w:tcPr>
          <w:p>
            <w:r>
              <w:rPr>
                <w:b/>
                <w:sz w:val="20"/>
              </w:rPr>
              <w:t>Sous-classe</w:t>
            </w:r>
          </w:p>
        </w:tc>
        <w:tc>
          <w:tcPr>
            <w:tcW w:type="dxa" w:w="1871"/>
          </w:tcPr>
          <w:p>
            <w:r>
              <w:rPr>
                <w:b/>
                <w:sz w:val="20"/>
              </w:rPr>
              <w:t>Mécanisme central</w:t>
            </w:r>
          </w:p>
        </w:tc>
        <w:tc>
          <w:tcPr>
            <w:tcW w:type="dxa" w:w="1871"/>
          </w:tcPr>
          <w:p>
            <w:r>
              <w:rPr>
                <w:b/>
                <w:sz w:val="20"/>
              </w:rPr>
              <w:t>EI cardinaux</w:t>
            </w:r>
          </w:p>
        </w:tc>
      </w:tr>
      <w:tr>
        <w:tc>
          <w:tcPr>
            <w:tcW w:type="dxa" w:w="1871"/>
          </w:tcPr>
          <w:p>
            <w:r>
              <w:rPr>
                <w:sz w:val="20"/>
              </w:rPr>
              <w:t>1</w:t>
            </w:r>
          </w:p>
        </w:tc>
        <w:tc>
          <w:tcPr>
            <w:tcW w:type="dxa" w:w="1871"/>
          </w:tcPr>
          <w:p>
            <w:r>
              <w:rPr>
                <w:sz w:val="20"/>
              </w:rPr>
              <w:t>Trétinoïne (topique)</w:t>
            </w:r>
          </w:p>
        </w:tc>
        <w:tc>
          <w:tcPr>
            <w:tcW w:type="dxa" w:w="1871"/>
          </w:tcPr>
          <w:p>
            <w:r>
              <w:rPr>
                <w:sz w:val="20"/>
              </w:rPr>
              <w:t>Rétinoïde topique de 1re génération</w:t>
            </w:r>
          </w:p>
        </w:tc>
        <w:tc>
          <w:tcPr>
            <w:tcW w:type="dxa" w:w="1871"/>
          </w:tcPr>
          <w:p>
            <w:r>
              <w:rPr>
                <w:sz w:val="20"/>
              </w:rPr>
              <w:t>Liaison RARα/β/γ → différenciation kératinocytaire</w:t>
            </w:r>
          </w:p>
        </w:tc>
        <w:tc>
          <w:tcPr>
            <w:tcW w:type="dxa" w:w="1871"/>
          </w:tcPr>
          <w:p>
            <w:r>
              <w:rPr>
                <w:sz w:val="20"/>
              </w:rPr>
              <w:t>Irritation locale, photosensibilité, tératogénicité (CI grossesse)</w:t>
            </w:r>
          </w:p>
        </w:tc>
      </w:tr>
      <w:tr>
        <w:tc>
          <w:tcPr>
            <w:tcW w:type="dxa" w:w="1871"/>
          </w:tcPr>
          <w:p>
            <w:r>
              <w:rPr>
                <w:sz w:val="20"/>
              </w:rPr>
              <w:t>2</w:t>
            </w:r>
          </w:p>
        </w:tc>
        <w:tc>
          <w:tcPr>
            <w:tcW w:type="dxa" w:w="1871"/>
          </w:tcPr>
          <w:p>
            <w:r>
              <w:rPr>
                <w:sz w:val="20"/>
              </w:rPr>
              <w:t>Isotrétinoïne (topique)</w:t>
            </w:r>
          </w:p>
        </w:tc>
        <w:tc>
          <w:tcPr>
            <w:tcW w:type="dxa" w:w="1871"/>
          </w:tcPr>
          <w:p>
            <w:r>
              <w:rPr>
                <w:sz w:val="20"/>
              </w:rPr>
              <w:t>Rétinoïde topique de 2e génération</w:t>
            </w:r>
          </w:p>
        </w:tc>
        <w:tc>
          <w:tcPr>
            <w:tcW w:type="dxa" w:w="1871"/>
          </w:tcPr>
          <w:p>
            <w:r>
              <w:rPr>
                <w:sz w:val="20"/>
              </w:rPr>
              <w:t>Liaison RAR (isomère 13-cis) → comédolyse</w:t>
            </w:r>
          </w:p>
        </w:tc>
        <w:tc>
          <w:tcPr>
            <w:tcW w:type="dxa" w:w="1871"/>
          </w:tcPr>
          <w:p>
            <w:r>
              <w:rPr>
                <w:sz w:val="20"/>
              </w:rPr>
              <w:t>Irritation, photosensibilité, tératogénicité (CI grossesse)</w:t>
            </w:r>
          </w:p>
        </w:tc>
      </w:tr>
      <w:tr>
        <w:tc>
          <w:tcPr>
            <w:tcW w:type="dxa" w:w="1871"/>
          </w:tcPr>
          <w:p>
            <w:r>
              <w:rPr>
                <w:sz w:val="20"/>
              </w:rPr>
              <w:t>3</w:t>
            </w:r>
          </w:p>
        </w:tc>
        <w:tc>
          <w:tcPr>
            <w:tcW w:type="dxa" w:w="1871"/>
          </w:tcPr>
          <w:p>
            <w:r>
              <w:rPr>
                <w:sz w:val="20"/>
              </w:rPr>
              <w:t>Adapalène</w:t>
            </w:r>
          </w:p>
        </w:tc>
        <w:tc>
          <w:tcPr>
            <w:tcW w:type="dxa" w:w="1871"/>
          </w:tcPr>
          <w:p>
            <w:r>
              <w:rPr>
                <w:sz w:val="20"/>
              </w:rPr>
              <w:t>Rétinoïde topique de 3e génération (naphtoïque)</w:t>
            </w:r>
          </w:p>
        </w:tc>
        <w:tc>
          <w:tcPr>
            <w:tcW w:type="dxa" w:w="1871"/>
          </w:tcPr>
          <w:p>
            <w:r>
              <w:rPr>
                <w:sz w:val="20"/>
              </w:rPr>
              <w:t>Liaison RARβ/γ sélective → comédolyse + anti-inflammatoire</w:t>
            </w:r>
          </w:p>
        </w:tc>
        <w:tc>
          <w:tcPr>
            <w:tcW w:type="dxa" w:w="1871"/>
          </w:tcPr>
          <w:p>
            <w:r>
              <w:rPr>
                <w:sz w:val="20"/>
              </w:rPr>
              <w:t>Irritation moindre, photosensibilité, tératogénicité (CI grossesse)</w:t>
            </w:r>
          </w:p>
        </w:tc>
      </w:tr>
      <w:tr>
        <w:tc>
          <w:tcPr>
            <w:tcW w:type="dxa" w:w="1871"/>
          </w:tcPr>
          <w:p>
            <w:r>
              <w:rPr>
                <w:sz w:val="20"/>
              </w:rPr>
              <w:t>4</w:t>
            </w:r>
          </w:p>
        </w:tc>
        <w:tc>
          <w:tcPr>
            <w:tcW w:type="dxa" w:w="1871"/>
          </w:tcPr>
          <w:p>
            <w:r>
              <w:rPr>
                <w:sz w:val="20"/>
              </w:rPr>
              <w:t>Acitrétine</w:t>
            </w:r>
          </w:p>
        </w:tc>
        <w:tc>
          <w:tcPr>
            <w:tcW w:type="dxa" w:w="1871"/>
          </w:tcPr>
          <w:p>
            <w:r>
              <w:rPr>
                <w:sz w:val="20"/>
              </w:rPr>
              <w:t>Rétinoïde systémique de 2e génération</w:t>
            </w:r>
          </w:p>
        </w:tc>
        <w:tc>
          <w:tcPr>
            <w:tcW w:type="dxa" w:w="1871"/>
          </w:tcPr>
          <w:p>
            <w:r>
              <w:rPr>
                <w:sz w:val="20"/>
              </w:rPr>
              <w:t>Liaison RAR → anti-prolifératif kératinocyte</w:t>
            </w:r>
          </w:p>
        </w:tc>
        <w:tc>
          <w:tcPr>
            <w:tcW w:type="dxa" w:w="1871"/>
          </w:tcPr>
          <w:p>
            <w:r>
              <w:rPr>
                <w:sz w:val="20"/>
              </w:rPr>
              <w:t>Xérose, cheilitis, hépatotoxicité, hyperlipidémie, tératogénicité (CI 3 ans post-arrêt)</w:t>
            </w:r>
          </w:p>
        </w:tc>
      </w:tr>
      <w:tr>
        <w:tc>
          <w:tcPr>
            <w:tcW w:type="dxa" w:w="1871"/>
          </w:tcPr>
          <w:p>
            <w:r>
              <w:rPr>
                <w:sz w:val="20"/>
              </w:rPr>
              <w:t>5</w:t>
            </w:r>
          </w:p>
        </w:tc>
        <w:tc>
          <w:tcPr>
            <w:tcW w:type="dxa" w:w="1871"/>
          </w:tcPr>
          <w:p>
            <w:r>
              <w:rPr>
                <w:sz w:val="20"/>
              </w:rPr>
              <w:t>Méthoxsalène (PUVA)</w:t>
            </w:r>
          </w:p>
        </w:tc>
        <w:tc>
          <w:tcPr>
            <w:tcW w:type="dxa" w:w="1871"/>
          </w:tcPr>
          <w:p>
            <w:r>
              <w:rPr>
                <w:sz w:val="20"/>
              </w:rPr>
              <w:t>Psoralène furocoumarine</w:t>
            </w:r>
          </w:p>
        </w:tc>
        <w:tc>
          <w:tcPr>
            <w:tcW w:type="dxa" w:w="1871"/>
          </w:tcPr>
          <w:p>
            <w:r>
              <w:rPr>
                <w:sz w:val="20"/>
              </w:rPr>
              <w:t>Intercalation ADN + photo-réaction UVA → ponts interbrins</w:t>
            </w:r>
          </w:p>
        </w:tc>
        <w:tc>
          <w:tcPr>
            <w:tcW w:type="dxa" w:w="1871"/>
          </w:tcPr>
          <w:p>
            <w:r>
              <w:rPr>
                <w:sz w:val="20"/>
              </w:rPr>
              <w:t>Photosensibilité majeure, brûlures UVA, carcinogénèse cumulative</w:t>
            </w:r>
          </w:p>
        </w:tc>
      </w:tr>
      <w:tr>
        <w:tc>
          <w:tcPr>
            <w:tcW w:type="dxa" w:w="1871"/>
          </w:tcPr>
          <w:p>
            <w:r>
              <w:rPr>
                <w:sz w:val="20"/>
              </w:rPr>
              <w:t>6</w:t>
            </w:r>
          </w:p>
        </w:tc>
        <w:tc>
          <w:tcPr>
            <w:tcW w:type="dxa" w:w="1871"/>
          </w:tcPr>
          <w:p>
            <w:r>
              <w:rPr>
                <w:sz w:val="20"/>
              </w:rPr>
              <w:t>Peroxyde de benzoyle</w:t>
            </w:r>
          </w:p>
        </w:tc>
        <w:tc>
          <w:tcPr>
            <w:tcW w:type="dxa" w:w="1871"/>
          </w:tcPr>
          <w:p>
            <w:r>
              <w:rPr>
                <w:sz w:val="20"/>
              </w:rPr>
              <w:t>Anti-acnéique oxydant</w:t>
            </w:r>
          </w:p>
        </w:tc>
        <w:tc>
          <w:tcPr>
            <w:tcW w:type="dxa" w:w="1871"/>
          </w:tcPr>
          <w:p>
            <w:r>
              <w:rPr>
                <w:sz w:val="20"/>
              </w:rPr>
              <w:t>Oxydant bactéricide Cutibacterium acnes + kératolytique</w:t>
            </w:r>
          </w:p>
        </w:tc>
        <w:tc>
          <w:tcPr>
            <w:tcW w:type="dxa" w:w="1871"/>
          </w:tcPr>
          <w:p>
            <w:r>
              <w:rPr>
                <w:sz w:val="20"/>
              </w:rPr>
              <w:t>Irritation, décoloration tissus, photosensibilité modérée</w:t>
            </w:r>
          </w:p>
        </w:tc>
      </w:tr>
    </w:tbl>
    <w:p/>
    <w:p>
      <w:pPr>
        <w:pStyle w:val="Heading3"/>
      </w:pPr>
      <w:r>
        <w:t>1. Sous-classe : Rétinoïdes topiques</w:t>
      </w:r>
    </w:p>
    <w:p>
      <w:r>
        <w:t>Les rétinoïdes topiques regroupent l'ensemble des dérivés naturels ou synthétiques de la vitamine A (rétinol) appliqués sur la peau dans le traitement de l'acné, des photo-vieillissements, des troubles de la kératinisation (ichtyoses, kératodermies) et de certaines dermatoses inflammatoires cutanées. Trois générations successives ont été développées depuis la synthèse de la trétinoïne (acide tout-trans-rétinoïque, ATRA) par Karrer en 1931 puis son introduction thérapeutique par Stüttgen en 1962. La première génération comprend la trétinoïne (ATRA) et l'isotrétinoïne (13-cis-rétinoïque acide), la seconde génération inclut l'étrétinate et l'acitrétine (réservés à l'usage systémique), et la troisième génération réunit l'adapalène, le tazarotène et le bexarotène (sélectifs des récepteurs RAR).</w:t>
      </w:r>
    </w:p>
    <w:p>
      <w:r>
        <w:t xml:space="preserve">Sur le plan moléculaire, les rétinoïdes pénètrent la membrane du kératinocyte par diffusion passive (liposolubilité élevée), se lient aux </w:t>
      </w:r>
      <w:r>
        <w:rPr>
          <w:i/>
        </w:rPr>
        <w:t>Cellular Retinoic Acid Binding Proteins</w:t>
      </w:r>
      <w:r>
        <w:t xml:space="preserve"> (CRABP-I et CRABP-II) dans le cytoplasme, puis gagnent le noyau où ils se fixent à des récepteurs nucléaires spécifiques de la superfamille des récepteurs stéroïdiens-thyroïdiens : les </w:t>
      </w:r>
      <w:r>
        <w:rPr>
          <w:b/>
        </w:rPr>
        <w:t>RAR</w:t>
      </w:r>
      <w:r>
        <w:t xml:space="preserve"> (Retinoic Acid Receptors, sous-types α, β, γ — RARγ prédominant dans la peau) et les </w:t>
      </w:r>
      <w:r>
        <w:rPr>
          <w:b/>
        </w:rPr>
        <w:t>RXR</w:t>
      </w:r>
      <w:r>
        <w:t xml:space="preserve"> (Retinoid X Receptors, sous-types α, β, γ). Les récepteurs activés forment des hétérodimères RAR/RXR qui se lient aux éléments de réponse RARE (Retinoic Acid Response Elements) situés dans les régions régulatrices des gènes cibles, modulant ainsi la transcription de plus de 500 gènes impliqués dans la différenciation épidermique (kératines 1, 10, filaggrine, involucrine), la prolifération (cyclines, CDK, p21), l'inflammation (cytokines, COX-2) et la mélanogenèse (tyrosinase).</w:t>
      </w:r>
    </w:p>
    <w:p>
      <w:r>
        <w:t xml:space="preserve">L'application topique de rétinoïdes reproduit, de façon localisée, le contrôle physiologique de la différenciation épidermique exercé par l'acide rétinoïque endogène. Trois actions pharmacologiques cardinales en découlent : (i) une </w:t>
      </w:r>
      <w:r>
        <w:rPr>
          <w:b/>
        </w:rPr>
        <w:t>action comédolytique</w:t>
      </w:r>
      <w:r>
        <w:t xml:space="preserve"> (normalisation de la desquamation folliculaire, prévention du comédon rétentionnel), (ii) une </w:t>
      </w:r>
      <w:r>
        <w:rPr>
          <w:b/>
        </w:rPr>
        <w:t>action anti-kératinisante</w:t>
      </w:r>
      <w:r>
        <w:t xml:space="preserve"> (diminution de la cohésion des cornéocytes, accentuation du renouvellement épidermique), et (iii) une </w:t>
      </w:r>
      <w:r>
        <w:rPr>
          <w:b/>
        </w:rPr>
        <w:t>action anti-inflammatoire</w:t>
      </w:r>
      <w:r>
        <w:t xml:space="preserve"> modérée (inhibition de la leucotriène B4 et des cytokines pro-inflammatoires). Pour l'acné, ces actions ciblent deux des trois mécanismes physiopathologiques majeurs : l'hyperkératinisation infra-clinique du follicule pilo-sébacé et l'inflammation ; le troisième mécanisme (prolifération de </w:t>
      </w:r>
      <w:r>
        <w:rPr>
          <w:i/>
        </w:rPr>
        <w:t>Cutibacterium acnes</w:t>
      </w:r>
      <w:r>
        <w:t>) requiert l'association avec un antibactérien topique ou le peroxyde de benzoyle.</w:t>
      </w:r>
    </w:p>
    <w:p>
      <w:r>
        <w:t xml:space="preserve">La tolérance locale des rétinoïdes topiques est dominée par le </w:t>
      </w:r>
      <w:r>
        <w:rPr>
          <w:b/>
        </w:rPr>
        <w:t>"rétinoïde-dermatitis"</w:t>
      </w:r>
      <w:r>
        <w:t xml:space="preserve">, syndrome irritatif caractérisé par érythème, desquamation, sensation de brûlure et xérose, survenant dans les 2 à 6 premières semaines d'application (parfois qualifié de "flare-up" rétinoïdique), pouvant imposer une escalade progressive des concentrations, une application un jour sur deux, ou l'association à un émollient. La </w:t>
      </w:r>
      <w:r>
        <w:rPr>
          <w:b/>
        </w:rPr>
        <w:t>photosensibilisation</w:t>
      </w:r>
      <w:r>
        <w:t xml:space="preserve"> est constante : diminution du seuil érythémateux aux UV, justifiant une application vespérale et une photoprotection stricte diurne (SPF 30 minimum). La </w:t>
      </w:r>
      <w:r>
        <w:rPr>
          <w:b/>
        </w:rPr>
        <w:t>tératogénicité</w:t>
      </w:r>
      <w:r>
        <w:t xml:space="preserve"> des rétinoïdes topiques est théoriquement possible par passage systémique minime mais non nul (≤ 5 % de la dose appliquée), ce qui justifie leur contre-indication formelle chez la femme enceinte ou envisageant une grossesse, et la nécessité d'une contraception efficace pendant toute la durée du traitement. Cette contre-indication est rarement levée, même pour l'adapalène dont le passage systémique est le plus faible (incertitude persistante sur l'innocuité fœtale).</w:t>
      </w:r>
    </w:p>
    <w:p>
      <w:r>
        <w:t>En Algérie, trois rétinoïdes topiques sont commercialisés ou l'ont été : la trétinoïne (ACNETIN-A 0,05 % crème — retirée du marché), l'isotrétinoïne topique (ISOTREX 0,05 % gel — non renouvelable) et l'adapalène (ACNAL, ACNYX, ADAFERIN, ADAPALENE NOVAGENIRCS/NOVAGENERICS, DIFFERINE 0,1 % gel et crème — actifs). L'adapalène est aujourd'hui le rétinoïde topique de référence en raison de sa meilleure tolérance locale et de son profil anti-inflammatoire additionnel ; il figure également en association fixe avec le peroxyde de benzoyle (Epiduo®) dans de nombreux pays, bien que cette association ne soit pas commercialisée en Algérie à ce jour.</w:t>
      </w:r>
    </w:p>
    <w:p>
      <w:pPr>
        <w:pStyle w:val="Heading3"/>
      </w:pPr>
      <w:r>
        <w:t>2. Sous-classe : Rétinoïdes systémiques (psoriasis)</w:t>
      </w:r>
    </w:p>
    <w:p>
      <w:r>
        <w:t>Les rétinoïdes systémiques regroupent les dérivés de la vitamine A administrés par voie orale dans le traitement des dermatoses kératinisantes sévères, étendues ou résistantes aux thérapeutiques topiques. Deux molécules dominent cette classe : l'acitrétine (Soriatane®, Neotigason®), indiquée dans le psoriasis sévère de l'adulte, et l'isotrétinoïne orale (Roaccutane®, Curacne®), indiquée dans l'acné sévère nodulo-kystique. Seule l'acitrétine est traitée ici comme rétinoïde systémique (l'isotrétinoïne orale est mentionnée dans la fiche de l'isotrétinoïne, étant donné que la nomenclature algérienne regroupe sous une même DCI les formes topique et orale).</w:t>
      </w:r>
    </w:p>
    <w:p>
      <w:r>
        <w:t xml:space="preserve">L'acitrétine est un rétinoïde de seconde génération (aréaroïde), métabolite actif de l'étrétinate (Tegison®, retiré en 1999 pour sa longue demi-vie d'élimination de 120 jours et son imprégnation tissulaire prolongée). L'acitrétine a été commercialisée en 1987 comme alternative à l'étrétinate avec une demi-vie d'élimination apparemment plus courte (50 heures). Cependant, il a été démontré ultérieurement que l'acitrétine peut être </w:t>
      </w:r>
      <w:r>
        <w:rPr>
          <w:b/>
        </w:rPr>
        <w:t>retransformée en étrétinate</w:t>
      </w:r>
      <w:r>
        <w:t xml:space="preserve"> en présence d'éthanol par réestérification, ce qui justifie la contre-indication de l'alcool pendant et jusqu'à 2 mois après l'arrêt du traitement, et une contraception obligatoire pendant et jusqu'à </w:t>
      </w:r>
      <w:r>
        <w:rPr>
          <w:b/>
        </w:rPr>
        <w:t>3 ans après l'arrêt</w:t>
      </w:r>
      <w:r>
        <w:t xml:space="preserve"> (contre 1 mois pour l'isotrétinoïne orale).</w:t>
      </w:r>
    </w:p>
    <w:p>
      <w:r>
        <w:t>Mécanistiquement, l'acitrétine se lie aux récepteurs RAR (α, β, γ) mais pas aux RXR, ce qui explique son profil d'efficacité différent de l'isotrétinoïne orale (qui se lie faiblement aux RAR et agit principalement par ses métabolites). Dans le psoriasis, l'acitrétine normalise la différenciation kératinocytaire anormale (diminution de l'épaisseur des plaques, normalisation du marquage K16), inhibe la prolifération épidermique accrue (réduction de l'index mitotique), et exerce une action anti-inflammatoire modérée (diminution des cytokines Th17, IL-17, IL-23). Son efficacité est maximale dans les formes pustuleuses palmoplantaires et érythrodermiques de psoriasis, plus modeste dans le psoriasis en plaques (où elle est souvent associée à la PUVA-thérapie — rétino-PUVA).</w:t>
      </w:r>
    </w:p>
    <w:p>
      <w:r>
        <w:t xml:space="preserve">La tolérance de l'acitrétine est dominée par le </w:t>
      </w:r>
      <w:r>
        <w:rPr>
          <w:b/>
        </w:rPr>
        <w:t>syndrome d'hypervitaminose A</w:t>
      </w:r>
      <w:r>
        <w:t xml:space="preserve"> : xérose cutanée et muqueuse (chéilite quasi constante — 90 % des patients), xérophtalmie (50 %), xérostomie, épistaxis, conjonctivite, peeling palmoplantaire, alopécie (10-25 %), fragilité cutanée, paronychies. Sur le plan biologique, hyperlipidémie (élévation LDL, triglycérides — 30-50 % des patients), élévation transaminases (10-15 %), hyperuricémie, et plus rarement, hyperostoses vertébrales et ligamentaires (calcifications après traitement prolongé &gt; 6 mois à forte dose), ostéoporose, calcifications des tissus mous. La toxicité hépatique (hépatite cytolytique) et l'hyperlipidémie nécessitent un suivi biologique régulier (transaminases, lipides) avant puis toutes les 4 à 8 semaines.</w:t>
      </w:r>
    </w:p>
    <w:p>
      <w:r>
        <w:t xml:space="preserve">En Algérie, l'acitrétine est commercialisée sous le nom </w:t>
      </w:r>
      <w:r>
        <w:rPr>
          <w:b/>
        </w:rPr>
        <w:t>BIOTRETANE</w:t>
      </w:r>
      <w:r>
        <w:t xml:space="preserve"> (BIOPHARM) en gélules 10 mg et 25 mg, conditionnement boîte de 30. La spécialité princeps NEOTIGASON (Hoffmann-La Roche) a été retirée du marché algérien. La délivrance est strictement réservée à la prescription hospitalière dermatologique (Liste I), avec information patient obligatoire sur la contraception, l'éviction alcool, et la photoprotection.</w:t>
      </w:r>
    </w:p>
    <w:p>
      <w:pPr>
        <w:pStyle w:val="Heading3"/>
      </w:pPr>
      <w:r>
        <w:t>3. Sous-classe : PUVA-thérapie - Psoralènes</w:t>
      </w:r>
    </w:p>
    <w:p>
      <w:r>
        <w:t>La PUVA-thérapie (Psoralène + Ultra-Violets A) associe l'administration d'un psoralène photosensibilisant à une irradiation cutanée par les UVA (longueurs d'onde 320-400 nm). Cette combinaison thérapeutique, développée par l'équipe égyptienne d'Abdel Moneim El Mofty en 1947 puis popularisée par Parrish et Fitzpatrick à Harvard en 1974, a révolutionné le traitement du psoriasis sévère, du vitiligo extensif, du mycosis fongoïde (lymphome T cutané) et de certaines dermatoses inflammatoires chroniques avant l'ère des biothérapies.</w:t>
      </w:r>
    </w:p>
    <w:p>
      <w:r>
        <w:t xml:space="preserve">Les psoralènes sont des furocoumarines naturelles dérivées de plantes (Ammi majus, Psoralea corylifolia, citron, figue, céleri) dont le noyau linéaire tricyclique (furan + coumarine) leur confère la propriété de s'intercaler entre les paires de bases de l'ADN double-brin par liaisons hydrogène. Dans l'obscurité, cette intercalation est réversible et sans effet biologique. En revanche, après excitation par les photons UVA (énergie 3,1-3,9 eV), le psoralène activé subit une réaction de cycloaddition [2+2] avec les pyrimidines (thymine, cytosine) de l'ADN, formant des </w:t>
      </w:r>
      <w:r>
        <w:rPr>
          <w:b/>
        </w:rPr>
        <w:t>mono-adduits</w:t>
      </w:r>
      <w:r>
        <w:t xml:space="preserve"> (liaison covalente simple sur un brin) puis des </w:t>
      </w:r>
      <w:r>
        <w:rPr>
          <w:b/>
        </w:rPr>
        <w:t>bi-adduits inter-brins</w:t>
      </w:r>
      <w:r>
        <w:t xml:space="preserve"> (ponts covalents entre les deux brins — cross-links). Ces adduits inhibent la réplication de l'ADN et la transcription, ce qui bloque la synthèse d'ADN et la mitose des kératinocytes hyperprolifératifs (psoriasis), des lymphocytes T (mycosis fongoïde), et stimule la mélanogenèse dans les mélanocytes résiduels (vitiligo).</w:t>
      </w:r>
    </w:p>
    <w:p>
      <w:r>
        <w:t xml:space="preserve">Trois psoralènes ont été utilisés en clinique : le </w:t>
      </w:r>
      <w:r>
        <w:rPr>
          <w:b/>
        </w:rPr>
        <w:t>8-méthoxypsoralène</w:t>
      </w:r>
      <w:r>
        <w:t xml:space="preserve"> (8-MOP, méthoxsalène, Oxsoralen®, Meladinine®), le </w:t>
      </w:r>
      <w:r>
        <w:rPr>
          <w:b/>
        </w:rPr>
        <w:t>5-méthoxypsoralène</w:t>
      </w:r>
      <w:r>
        <w:t xml:space="preserve"> (5-MOP, bergaptène) et le </w:t>
      </w:r>
      <w:r>
        <w:rPr>
          <w:b/>
        </w:rPr>
        <w:t>4,5,8-triméthylpsoralène</w:t>
      </w:r>
      <w:r>
        <w:t xml:space="preserve"> (TMP, trisoralène). En Algérie, seule la Meladinine® (méthoxsalène) a été commercialisée, en deux formes : comprimés à 10 mg pour la PUVA-thérapie systémique (PUVA oral) et solution à 0,1 % pour application locale (PUVA-bain ou PUVA-topique). Les deux formes sont actuellement retirées du marché algérien, ce qui rend la PUVA-thérapie difficilement accessible en pratique courante et a conduit à un recours accru à la photothérapie UVB à spectre étroit (TL-01, 311 nm) qui ne nécessite pas de psoralène associé.</w:t>
      </w:r>
    </w:p>
    <w:p>
      <w:r>
        <w:t xml:space="preserve">La tolérance de la PUVA-thérapie est dominée par trois ordres de toxicité : (i) </w:t>
      </w:r>
      <w:r>
        <w:rPr>
          <w:b/>
        </w:rPr>
        <w:t>toxicité aiguë phototoxique</w:t>
      </w:r>
      <w:r>
        <w:t xml:space="preserve"> (érythème, brûlure, bulles — équivalent de coup de soleil sévère — survient 24-72 h après irradiation UVA, dose-dépendante et décalée par rapport à la prise), (ii) </w:t>
      </w:r>
      <w:r>
        <w:rPr>
          <w:b/>
        </w:rPr>
        <w:t>toxicité oculaire</w:t>
      </w:r>
      <w:r>
        <w:t xml:space="preserve"> (kératite, cataracte — d'où le port de lunettes de soleil UV-400 obligatoire pendant et 24 h après chaque séance), (iii) </w:t>
      </w:r>
      <w:r>
        <w:rPr>
          <w:b/>
        </w:rPr>
        <w:t>toxicité chronique cumulative</w:t>
      </w:r>
      <w:r>
        <w:t xml:space="preserve"> (carcinogénèse cutanée — carcinomes épidermoïdes, mélanomes — risque proportionnel au nombre cumulé de séances ; vieillissement cutané photo-induit ; pigmentation mouchetée "puva lentigines"). La surveillance ophtalmologique annuelle et la limitation du nombre total de séances (≤ 200 séances vie entière) sont recommandées.</w:t>
      </w:r>
    </w:p>
    <w:p>
      <w:r>
        <w:t>La PUVA-thérapie est contre-indiquée chez la femme enceinte (passage transplacentaire du psoralène, photosensibilité fœtale, risque malformatif), chez l'enfant de moins de 12 ans (sauf vitiligo extensif invalidant), en cas d'antécédent de cancer cutané, de lupus érythémateux, de porphyrie, de xeroderma pigmentosum, d'insuffisance hépatique ou rénale sévère.</w:t>
      </w:r>
    </w:p>
    <w:p>
      <w:pPr>
        <w:pStyle w:val="Heading3"/>
      </w:pPr>
      <w:r>
        <w:t>4. Sous-classe : Anti-acnéiques - Peroxyde de benzoyle</w:t>
      </w:r>
    </w:p>
    <w:p>
      <w:r>
        <w:t xml:space="preserve">Le peroxyde de benzoyle (BPO, Benzoyl peroxide) est un anti-acnéique topique de première ligne utilisé depuis 1934 (introduction par Pace). Il appartient à la famille chimique des peroxydes organiques (formule C₆H₅-CO-O-O-OC-C₆H₅, soit un peroxyde dibenzoyl), utilisés également comme agent de blanchiment industriel, durcisseur de résines, et dans la farine panifiable. Sa propriété anti-acnéique repose sur deux mécanismes complémentaires : (i) une </w:t>
      </w:r>
      <w:r>
        <w:rPr>
          <w:b/>
        </w:rPr>
        <w:t>activité oxydante bactéricide</w:t>
      </w:r>
      <w:r>
        <w:t xml:space="preserve"> par libération d'espèces réactives de l'oxygène (radicaux libres, oxygène singulet) qui détruisent </w:t>
      </w:r>
      <w:r>
        <w:rPr>
          <w:i/>
        </w:rPr>
        <w:t>Cutibacterium acnes</w:t>
      </w:r>
      <w:r>
        <w:t xml:space="preserve"> (anciennement </w:t>
      </w:r>
      <w:r>
        <w:rPr>
          <w:i/>
        </w:rPr>
        <w:t>Propionibacterium acnes</w:t>
      </w:r>
      <w:r>
        <w:t xml:space="preserve">) dans le follicule pilo-sébacé, et (ii) une </w:t>
      </w:r>
      <w:r>
        <w:rPr>
          <w:b/>
        </w:rPr>
        <w:t>activité kératolytique et comédolytique</w:t>
      </w:r>
      <w:r>
        <w:t xml:space="preserve"> modérée, par diminution de la cohésion des cornéocytes du canal folliculaire. À la différence des rétinoïdes, le BPO n'a pas d'effet direct sur la différenciation kératinocytaire ni sur la transcription génique.</w:t>
      </w:r>
    </w:p>
    <w:p>
      <w:r>
        <w:t>L'avantage majeur du BPO sur les antibiotiques topiques (clindamycine, érythromycine) est l'</w:t>
      </w:r>
      <w:r>
        <w:rPr>
          <w:b/>
        </w:rPr>
        <w:t>absence de résistance bactérienne</w:t>
      </w:r>
      <w:r>
        <w:t xml:space="preserve"> : le mécanisme oxydatif non spécifique empêche toute sélection de souches résistantes de </w:t>
      </w:r>
      <w:r>
        <w:rPr>
          <w:i/>
        </w:rPr>
        <w:t>C. acnes</w:t>
      </w:r>
      <w:r>
        <w:t>. C'est pourquoi le BPO est recommandé en association systématique avec tout antibiotique topique dans l'acné (prévention de la résistance), et constitue le traitement anti-acnéique topique de référence pour les formes inflammatoires modérées à modérément sévères. Il est également délivrable en automédication encadrée dans de nombreux pays (statut OTC). En Algérie, il reste sur Liste II (non soumis à prescription obligatoire mais délivrance pharmaceutique conseillée).</w:t>
      </w:r>
    </w:p>
    <w:p>
      <w:r>
        <w:t>La tolérance locale du BPO est dominée par l'</w:t>
      </w:r>
      <w:r>
        <w:rPr>
          <w:b/>
        </w:rPr>
        <w:t>irritation dose-dépendante</w:t>
      </w:r>
      <w:r>
        <w:t xml:space="preserve"> (érythème, desquamation, sensation de brûlure) qui peut imposer une escalade progressive des concentrations (début à 2,5 % puis 5 % puis 10 %), une application un jour sur deux en début de traitement, ou l'association à un émollient non comédogène. Le BPO est également </w:t>
      </w:r>
      <w:r>
        <w:rPr>
          <w:b/>
        </w:rPr>
        <w:t>photosensibilisant modéré</w:t>
      </w:r>
      <w:r>
        <w:t xml:space="preserve"> (radicaux libres oxygénés activés par UV), justifiant une application vespérale préférentielle et une photoprotection diurne. La caractéristique pratique la plus marquante du BPO est sa </w:t>
      </w:r>
      <w:r>
        <w:rPr>
          <w:b/>
        </w:rPr>
        <w:t>activité oxydante décolorante</w:t>
      </w:r>
      <w:r>
        <w:t xml:space="preserve"> : il décolore irreversiblement les tissus textiles (draps, serviettes, vêtements), les cheveux colorés, et peut provoquer une décoloration transitoire de la peau traitée en cas d'application excessive. Le patient doit être prévenu et utiliser des draps et serviettes dédiés.</w:t>
      </w:r>
    </w:p>
    <w:p>
      <w:r>
        <w:t>Le BPO est contre-indiqué en cas d'hypersensibilité connue au peroxyde de benzoyle. Il est généralement déconseillé pendant la grossesse par prudence (données animales rassurantes mais données humaines limitées), bien qu'il ne soit pas tératogène connu et que le passage systémique soit minime (≤ 5 %) ; il est autorisé pendant l'allaitement en application strictement locale, en éviant la zone thoracique mammaire.</w:t>
      </w:r>
    </w:p>
    <w:p>
      <w:r>
        <w:t>En Algérie, le BPO est commercialisé sous plusieurs marques : CUTACNYL (Galderma International) en gel dermique à 2,5 %, 5 % et 10 % (actif), PANOXYL (Stiefel Limited) en gel dermique 5 % et 10 % (non renouvelable), SOLUGEL (Stiefel Canada) en gel 4 % (non renouvelable) et ECLARAN (Pierre Fabre) en gel dermique 5 % et 10 % (retiré). La spécialité Cutacnyl est aujourd'hui la plus largement disponible sur le marché algérien.</w:t>
      </w:r>
    </w:p>
    <w:p>
      <w:pPr>
        <w:pStyle w:val="Heading3"/>
      </w:pPr>
      <w:r>
        <w:t>DCI 1 — Trétinoïne (topique)</w:t>
      </w:r>
    </w:p>
    <w:p>
      <w:r/>
      <w:r>
        <w:rPr>
          <w:b/>
        </w:rPr>
        <w:t>Liste des Catégories :</w:t>
      </w:r>
      <w:r>
        <w:t xml:space="preserve"> Anti-acnéique topique — Rétinoïde topique — Dérivé de la vitamine A — Acide tout-trans-rétinoïque (ATRA) — Comédolytique — Anti-kératinisant — Modulateur de la différenciation épidermique — Liste I — Médicament à prescription médicale obligatoire — Tératogène (CI grossesse).</w:t>
      </w:r>
    </w:p>
    <w:p>
      <w:r>
        <w:t>La trétinoïne (acide tout-trans-rétinoïque, ATRA) est le rétinoïde topique historique, premier de sa classe à avoir été synthétisé (1931, Karrer, prix Nobel de chimie pour la caractérisation des caroténoïdes) et introduit en thérapeutique dermatologique par Stüttgen en 1962 sous la forme d'une crème à 0,1 % pour le traitement de l'acné. Découver d'abord comme traitement de la leucémie aiguë promyélocytaire (APL — forme systémique IV, Vesanoid®), la trétinoïne est devenue le rétinoïde topique de référence pour l'acné rétentionnelle, le photo-vieillissement cutané (indication cosmétique de Renova®), le mélasma épidermique, et certaines kératodermies palmoplantaires. Son développement a précédé et inspiré celui de l'isotrétinoïne (isomère 13-cis, moins efficace topique) et de l'adapalène (analogue synthétique de 3e génération, mieux toléré). En Algérie, la trétinoïne a été commercialisée sous le nom ACNETIN-A (Sigma Pharmaceutical Industries) en crème à 0,05 %, actuellement retirée du marché algérien ; elle reste néanmoins inscrite dans la nomenclature historique et peut faire l'objet d'importations exceptionnelles.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ACNETIN-A (R)</w:t>
            </w:r>
          </w:p>
        </w:tc>
        <w:tc>
          <w:tcPr>
            <w:tcW w:type="dxa" w:w="1559"/>
          </w:tcPr>
          <w:p>
            <w:r>
              <w:rPr>
                <w:sz w:val="20"/>
              </w:rPr>
              <w:t>Sigma Pharmaceutical Industries</w:t>
            </w:r>
          </w:p>
        </w:tc>
        <w:tc>
          <w:tcPr>
            <w:tcW w:type="dxa" w:w="1559"/>
          </w:tcPr>
          <w:p>
            <w:r>
              <w:rPr>
                <w:sz w:val="20"/>
              </w:rPr>
              <w:t>Crème 0,05 % (0,0005)</w:t>
            </w:r>
          </w:p>
        </w:tc>
        <w:tc>
          <w:tcPr>
            <w:tcW w:type="dxa" w:w="1559"/>
          </w:tcPr>
          <w:p>
            <w:r>
              <w:rPr>
                <w:sz w:val="20"/>
              </w:rPr>
              <w:t>Tube de 30 g</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Rétinoïde topique de 1re génération — dérivé naturel de la vitamine A — acide tout-trans-rétinoïque (ATRA) — ligand pan-agoniste des RAR (α, β, γ) sans affinité significative pour les RXR.</w:t>
      </w:r>
    </w:p>
    <w:p>
      <w:pPr>
        <w:pStyle w:val="ListBullet"/>
      </w:pPr>
      <w:r>
        <w:t xml:space="preserve">Mécanisme d'action : La trétinoïne pénètre le stratum corneum par diffusion passive (liposolubilité élevée, logP ≈ 4,4), est captée dans le cytoplasme du kératinocyte par les *Cellular Retinoic Acid Binding Proteins* II (CRABP-II), puis gagne le noyau cellulaire où elle se lie aux </w:t>
      </w:r>
      <w:r>
        <w:rPr>
          <w:b/>
        </w:rPr>
        <w:t>récepteurs nucléaires RAR</w:t>
      </w:r>
      <w:r>
        <w:t xml:space="preserve"> (Retinoic Acid Receptors) — sous-types α, β, γ, dont RARγ est prédominant dans l'épiderme. Les hétérodimères RAR/RXR formés se lient aux *Retinoic Acid Response Elements* (RARE) situés dans les régions régulatrices des gènes cibles, modulant ainsi la transcription de plus de 500 gènes impliqués dans la différenciation épidermique (kératines 1, 10, filaggrine, involucrine, loricrine), la prolifération kératinocytaire (cyclines D1, E, CDK2/4, p21^WAF1/CIP1), l'apoptose (Bcl-2, Bax, caspases) et l'inflammation (COX-2, TNFα, IL-1β, IL-6, IL-8). Trois effets pharmacologiques cardinaux en découlent au niveau du follicule pilo-sébacé : (i) </w:t>
      </w:r>
      <w:r>
        <w:rPr>
          <w:b/>
        </w:rPr>
        <w:t>cométolyse</w:t>
      </w:r>
      <w:r>
        <w:t xml:space="preserve"> (normalisation de la desquamation des cornéocytes du canal folliculaire, prévention de la formation du microcomédon, expulsion des comédons existants) ; (ii) </w:t>
      </w:r>
      <w:r>
        <w:rPr>
          <w:b/>
        </w:rPr>
        <w:t>anti-kératinisation</w:t>
      </w:r>
      <w:r>
        <w:t xml:space="preserve"> (diminution de la cohésion des cornéocytes, accentuation du renouvellement épidermique, amincissement du stratum corneum) ; (iii) </w:t>
      </w:r>
      <w:r>
        <w:rPr>
          <w:b/>
        </w:rPr>
        <w:t>anti-inflammatoire modéré</w:t>
      </w:r>
      <w:r>
        <w:t xml:space="preserve"> (inhibition de la voie du leucotriène B4 et des cytokines pro-inflammatoires, diminution du chimiotactisme des polynucléaires neutrophiles). La trétinoïne n'a pas d'effet direct sur *Cutibacterium acnes* (à la différence du peroxyde de benzoyle) — d'où la nécessité fréquente d'une association thérapeutique en cas d'acné inflammatoire.</w:t>
      </w:r>
    </w:p>
    <w:p>
      <w:r/>
      <w:r>
        <w:rPr>
          <w:b/>
        </w:rPr>
        <w:t>Profil Pharmacologique :</w:t>
      </w:r>
      <w:r/>
    </w:p>
    <w:p>
      <w:pPr>
        <w:pStyle w:val="ListBullet"/>
      </w:pPr>
      <w:r>
        <w:t>Indications : (1) Acné vulgaire rétentionnelle (comédons fermés et ouverts) et mixte (avec papules et pustules peu inflammatoires) — indication princeps. (2) Photo-vieillissement cutané (rides fines, élastose solaire, dyschromies solaires) — indication cosmétique relativement classique. (3) Mélasma épidermique (en association avec hydroquinone et corticoïde topique — formule de Kligman). (4) Kératodermies palmoplantaires héréditaires (Mal de Meleda, maladie de Papillon-Lefèvre). (5) Verrues planes, molluscum contagiosum (usage off-label). (6) Ichtyoses modérées, folliculite kératosique. (7) Prévention des cancers cutanés chez les sujets à très haut risque (xeroderma pigmentosum, immunodéprimés — greffés d'organe) en protocole spécialisé.</w:t>
      </w:r>
    </w:p>
    <w:p>
      <w:pPr>
        <w:pStyle w:val="ListBullet"/>
      </w:pPr>
      <w:r>
        <w:t xml:space="preserve">Contre-indications : (a) Hypersensibilité à la trétinoïne ou à l'un des excipients (parahydroxybenzoates, propylèneglycol). (b) </w:t>
      </w:r>
      <w:r>
        <w:rPr>
          <w:b/>
        </w:rPr>
        <w:t>Grossesse</w:t>
      </w:r>
      <w:r>
        <w:t xml:space="preserve"> (CI absolue — tératogénicité démontrée chez l'animal, suspectée chez l'homme par passage systémique minime mais non nul — femme envisageant une grossesse). (c) Allaitement (à éviter par mesure de précaution, application strictement hors zone thoracique). (d) Peau lésée (eczéma, psoriasis en plaques, dermatite atopique active — risque d'aggravation irritative). (e) Application simultanée d'autres topiques irritants (peroxyde de benzoyle haute concentration, acide salicylique, soufre, résorcinol, astringents alcoolisés). (f) Antécédents de cancer cutané en zone traitée (prudence). (g) Enfants de moins de 12 ans.</w:t>
      </w:r>
    </w:p>
    <w:p>
      <w:pPr>
        <w:pStyle w:val="ListBullet"/>
      </w:pPr>
      <w:r>
        <w:t xml:space="preserve">Effets Indésirables : (a) Cutanés locaux (très fréquents, &gt; 10 %) : </w:t>
      </w:r>
      <w:r>
        <w:rPr>
          <w:b/>
        </w:rPr>
        <w:t>rétinoïde-dermatitis</w:t>
      </w:r>
      <w:r>
        <w:t xml:space="preserve"> (érythème, desquamation fine, sensation de brûlure, prurit modéré, xérose) survenant typiquement entre la 2e et la 6e semaine d'application, qualifié de "réaction de flare-up rétinoïdique" — régresse habituellement avec la poursuite du traitement (accoutumance) et l'espacement des applications. (b) Photosensibilité (très fréquente) : diminution du seuil érythémateux aux UV (UVB et UVA), érythème solaire exagéré, pigmentation post-inflammatoire — justifiant une application vespérale stricte et une photoprotection diurne SPF ≥ 30. (c) Hyperpigmentation transitoire post-inflammatoire (surtout sur peaux foncées — phototypes IV à VI). (d) Cheilitis, xérose périorale (rares en topique). (e) Exceptionnels : dermatite de contact allergique (&lt; 1 %), dermatite rosacéiforme (usage prolongé sur visage à forte concentration). (f) Effets systémiques (exceptionnels en application stricte, mais théoriquement possibles en cas d'application extensive ou occlusive) : céphalées, nausées, troubles visuels (vision nocturne). (g) Effets tératogènes en cas d'application pendant grossesse (malformations cranio-faciales, cardiaques, thymiques, neurologiques — syndrome de rétinoïde fœtal).</w:t>
      </w:r>
    </w:p>
    <w:p>
      <w:r/>
      <w:r>
        <w:rPr>
          <w:b/>
        </w:rPr>
        <w:t>Prévention et Gestion des Effets Indésirables :</w:t>
      </w:r>
      <w:r/>
    </w:p>
    <w:p>
      <w:pPr>
        <w:pStyle w:val="ListBullet"/>
      </w:pPr>
      <w:r>
        <w:t xml:space="preserve">Mesures Préventives : (1) Application </w:t>
      </w:r>
      <w:r>
        <w:rPr>
          <w:b/>
        </w:rPr>
        <w:t>vespérale</w:t>
      </w:r>
      <w:r>
        <w:t xml:space="preserve"> stricte (au coucher, le soir) en raison de la photosensibilisation et de la dégradation photo-oxydative du principe actif sous UV. (2) Éviction solaire stricte pendant toute la durée du traitement, avec application diurne d'une photoprotection FPS ≥ 30 (idéalement SPF 50+) et port de vêtements couvrants. (3) Démarrer par application </w:t>
      </w:r>
      <w:r>
        <w:rPr>
          <w:b/>
        </w:rPr>
        <w:t>un soir sur deux</w:t>
      </w:r>
      <w:r>
        <w:t xml:space="preserve"> pendant les 2 à 4 premières semaines, puis escalader vers une application quotidienne selon la tolérance. (4) Débuter par la concentration la plus faible (0,025 %) puis augmenter progressivement (0,05 % puis 0,1 %) selon l'efficacité et la tolérance. (5) Appliquer une quantité modérée (pois pour le visage complet — environ 0,5 g) sur peau parfaitement sèche (30 min après la toilette pour minimiser l'irritation). (6) Associer un émollient non comédogène (crème hydratante sans parfum) le matin, en cas de xérose. (7) Éviter les nettoyants alcoolisés, astringents, gommages mécaniques, saunas, bains chauds prolongés pendant le traitement. (8) Éviter l'application concomitante de peroxyde de benzoyle haute concentration, d'acide salicylique, de soufre, de résorcinol, d'azéléique topique concentré (irritation additive). (9) Contraception efficace obligatoire chez toute femme en âge de procréer (pilule combinée ou progestative, dispositif intra-utérin) pendant et 1 mois après l'arrêt du traitement. (10) Test de grossesse pré-thérapeutique (β-hCG plasmatiques) chez toute femme en âge de procréer.</w:t>
      </w:r>
    </w:p>
    <w:p>
      <w:pPr>
        <w:pStyle w:val="ListBullet"/>
      </w:pPr>
      <w:r>
        <w:t xml:space="preserve">Conduite à Tenir : (1) En cas de </w:t>
      </w:r>
      <w:r>
        <w:rPr>
          <w:b/>
        </w:rPr>
        <w:t>rétinoïde-dermatitis</w:t>
      </w:r>
      <w:r>
        <w:t xml:space="preserve"> sévère (érythème marqué, desquamation importante, sensation de brûlure insupportable) → arrêt transitoire 3-7 jours, application d'émollient, reprise à concentration moindre et/ou fréquence réduite (un jour sur deux). (2) En cas d'éruption kystique d'aggravation initiale ("flare-up" acnéique des 4-8 premières semaines — fréquent) → ne pas interrompre le traitement, informer le patient du caractère transitoire, associer si besoin un antibiotique oral (doxycycline 100 mg/j pendant 3 mois) ou un antibactérien topique. (3) En cas de grossesse survenue sous traitement → arrêt immédiat, déclaration au CRAT, surveillance échographique spécialisée pour dépistage malformations. (4) En cas de photosensibilité marquée → arrêt temporaire, émollient, photo-protection renforcée, reprise en application un soir sur deux. (5) En cas de pigmentation post-inflammatoire → azélaïque topique 15-20 % en association (éclaircissant), photoprotection stricte, parfois épluchure chimique légère.</w:t>
      </w:r>
    </w:p>
    <w:p>
      <w:r/>
      <w:r>
        <w:rPr>
          <w:b/>
        </w:rPr>
        <w:t>Interactions Importantes :</w:t>
      </w:r>
      <w:r/>
    </w:p>
    <w:p>
      <w:pPr>
        <w:pStyle w:val="ListBullet"/>
      </w:pPr>
      <w:r>
        <w:t>Trétinoïne topique + Peroxyde de benzoyle (application simultanée) : oxydation de la trétinoïne par le peroxyde de benzoyle → perte d'efficacité de la trétinoïne et irritation additive. Éviter l'application simultanée ; si association nécessaire, appliquer la trétinoïne le soir et le peroxyde de benzoyle le matin (espacement ≥ 12 h).</w:t>
      </w:r>
    </w:p>
    <w:p>
      <w:pPr>
        <w:pStyle w:val="ListBullet"/>
      </w:pPr>
      <w:r>
        <w:t>Trétinoïne topique + Acide salicylique / acide glycolique / AHA / BHA topiques : irritation cutanée additive majeure (effet peel synergique) → éviter l'association ou espacer les applications (alternance jour/nuit).</w:t>
      </w:r>
    </w:p>
    <w:p>
      <w:pPr>
        <w:pStyle w:val="ListBullet"/>
      </w:pPr>
      <w:r>
        <w:t>Trétinoïne topique + Cosmétiques astringents, alcoolisés, parfumés : potentialisation de l'irritation. Éviter pendant le traitement.</w:t>
      </w:r>
    </w:p>
    <w:p>
      <w:pPr>
        <w:pStyle w:val="ListBullet"/>
      </w:pPr>
      <w:r>
        <w:t>Trétinoïne topique + Sulfamides, tétracyclines, fluoroquinolones (orales) : photosensibilisation additive majeure → photoprotection stricte obligatoire, ou éviter la trétinoïne pendant la durée de l'antibiothérapie.</w:t>
      </w:r>
    </w:p>
    <w:p>
      <w:pPr>
        <w:pStyle w:val="ListBullet"/>
      </w:pPr>
      <w:r>
        <w:t>Trétinoïne topique + Diurétiques thiazidiques, sulfamides hypoglycémiants, phénothiazines, amiodarone (photosensibilisants systémiques) : potentialisation de la photosensibilisation → photoprotection renforcée.</w:t>
      </w:r>
    </w:p>
    <w:p>
      <w:pPr>
        <w:pStyle w:val="ListBullet"/>
      </w:pPr>
      <w:r>
        <w:t>Trétinoïne topique + Isotrétinoïne orale : contre-indication relative (risque de toxicité systémique cumulée, hypervitaminose A) — ne pas associer.</w:t>
      </w:r>
    </w:p>
    <w:p>
      <w:pPr>
        <w:pStyle w:val="ListBullet"/>
      </w:pPr>
      <w:r>
        <w:t>Trétinoïne topique + Acitrétine orale : contre-indication relative (même raison — addition des effets tératogènes et toxiques).</w:t>
      </w:r>
    </w:p>
    <w:p>
      <w:pPr>
        <w:pStyle w:val="ListBullet"/>
      </w:pPr>
      <w:r>
        <w:t>Trétinoïne topique + Céramides, acide hyaluronique (émollients non comédogènes) : association bénéfique pour contrer la xérose rétinoïdique. Recommandée.</w:t>
      </w:r>
    </w:p>
    <w:p>
      <w:pPr>
        <w:pStyle w:val="ListBullet"/>
      </w:pPr>
      <w:r>
        <w:t>Trétinoïne topique + Vitamine C (acide ascorbique) topique : risque d'inactivation par oxydation de la trétinoïne — appliquer à des moments différents (vitamine C le matin, trétinoïne le soir).</w:t>
      </w:r>
    </w:p>
    <w:p>
      <w:pPr>
        <w:pStyle w:val="ListBullet"/>
      </w:pPr>
      <w:r>
        <w:t>Trétinoïne topique + Hydroquinone (formule de Kligman) : association classique pour mélasma (efficacité synergique) — formule magistrale préparée en pharmacie, surveillance clinique.</w:t>
      </w:r>
    </w:p>
    <w:p>
      <w:r/>
      <w:r>
        <w:rPr>
          <w:b/>
        </w:rPr>
        <w:t>Grossesse et Allaitement :</w:t>
      </w:r>
      <w:r/>
    </w:p>
    <w:p>
      <w:pPr>
        <w:pStyle w:val="ListBullet"/>
      </w:pPr>
      <w:r>
        <w:t xml:space="preserve">Grossesse : </w:t>
      </w:r>
      <w:r>
        <w:rPr>
          <w:b/>
        </w:rPr>
        <w:t>Contre-indication absolue</w:t>
      </w:r>
      <w:r>
        <w:t>. La trétinoïne, comme tous les rétinoïdes, est tératogène chez l'animal (malformations cranio-faciales, cardiaques, thymiques, neurologiques — syndrome de rétinoïde fœtal — observées à doses systémiques thérapeutiques). Le passage systémique en application topique stricte est faible (≤ 5 % de la dose appliquée), mais des cas isolés de malformations ont été rapportés en exposed-pregnancy, et le CRAT (Centre de Référence sur les Agents Tératogènes) maintient la contre-indication par mesure de précaution maximale. Test de grossesse pré-thérapeutique obligatoire chez toute femme en âge de procréer (β-hCG plasmatiques dans les 2 semaines précédant l'instauration), contraception efficace obligatoire pendant toute la durée du traitement et 1 mois après l'arrêt. En cas de grossesse accidentelle sous traitement → arrêt immédiat, déclaration au CRAT (téléphone : 03 80 29 40 41 — ou www.lecrat.fr), surveillance échographique spécialisée (centre pluridisciplinaire de diagnostic prénatal) pour dépistage malformations cranio-faciales, cardiaques, thymiques, neurologiques. L'interruption médicale de grossesse n'est pas systématiquement indiquée (risque malformatif réel mais non quantifié en topique — bien inférieur à l'isotrétinoïne orale).</w:t>
      </w:r>
    </w:p>
    <w:p>
      <w:pPr>
        <w:pStyle w:val="ListBullet"/>
      </w:pPr>
      <w:r>
        <w:t>Allaitement : À éviter par mesure de précaution, bien que le passage dans le lait maternel ne soit pas documenté. En cas de traitement indispensable, application strictement hors zone thoracique mammaire (pour éviter tout contact avec la bouche du nourrisson), lavage des mains soigneux après application, et ne pas appliquer dans les 30 minutes précédant une tétée. Préférer l'adapalène (meilleur profil de tolérance pendant l'allaitement — autorisé par le CRAT en application strictement locale).</w:t>
      </w:r>
    </w:p>
    <w:p>
      <w:pPr>
        <w:pStyle w:val="ListBullet"/>
      </w:pPr>
      <w:r>
        <w:t>Précisions : Informer systématiquement la patiente de la tératogénicité théorique, lui remettre une notice d'information sur la contraception et les tests de grossesse. Ne pas délivrer sans vérification d'une contraception efficace et d'un test de grossesse récent chez la femme en âge de procréer.</w:t>
      </w:r>
    </w:p>
    <w:p>
      <w:r/>
      <w:r>
        <w:rPr>
          <w:b/>
        </w:rPr>
        <w:t>Posologie et Mode d'administration (Standard) :</w:t>
      </w:r>
      <w:r/>
    </w:p>
    <w:p>
      <w:pPr>
        <w:pStyle w:val="ListBullet"/>
      </w:pPr>
      <w:r>
        <w:t>Adulte : (1) Acné vulgaire — crème 0,025 % ou 0,05 % ou 0,1 % selon sévérité et tolérance. Application en couche fine le soir au coucher, sur peau parfaitement sèche et propre (30 min après la toilette), en quantité modérée (≈ 0,5 g pour le visage complet — taille d'un pois). Démarrer par application un soir sur deux pendant 2 à 4 semaines, puis escalader vers une application quotidienne selon tolérance. Durée minimale d'essai de 8 à 12 semaines avant jugement de l'efficacité (effet optimal à 3-6 mois). Entretien à 1 à 3 applications par semaine en traitement prolongé. (2) Photo-vieillissement — crème 0,025 % ou 0,05 % en application vespérale quotidienne pendant ≥ 6 mois pour évaluer l'efficacité. (3) Mélasma épidermique — formule de Kligman (trétinoïne 0,1 % + hydroquinone 4 % + hydrocortisone 1 %) en application vespérale pendant 3 mois maximum.</w:t>
      </w:r>
    </w:p>
    <w:p>
      <w:pPr>
        <w:pStyle w:val="ListBullet"/>
      </w:pPr>
      <w:r>
        <w:t>Enfant : À éviter avant 12 ans. À partir de 12 ans : posologie identique à l'adulte, débuter à concentration minimale (0,025 %).</w:t>
      </w:r>
    </w:p>
    <w:p>
      <w:pPr>
        <w:pStyle w:val="ListBullet"/>
      </w:pPr>
      <w:r>
        <w:t>Sujet âgé : Pas d'adaptation posologique, mais surveillance accrue de la tolérance (peau plus fine, plus sèche, plus fragile).</w:t>
      </w:r>
    </w:p>
    <w:p>
      <w:pPr>
        <w:pStyle w:val="ListBullet"/>
      </w:pPr>
      <w:r>
        <w:t>Insuffisance hépatique / rénale : Pas d'adaptation posologique en application topique stricte (passage systémique minime).</w:t>
      </w:r>
    </w:p>
    <w:p>
      <w:pPr>
        <w:pStyle w:val="ListBullet"/>
      </w:pPr>
      <w:r>
        <w:t xml:space="preserve">Moment de la prise : Strictement </w:t>
      </w:r>
      <w:r>
        <w:rPr>
          <w:b/>
        </w:rPr>
        <w:t>vespéral</w:t>
      </w:r>
      <w:r>
        <w:t xml:space="preserve"> (au coucher, le soir) en raison de la photosensibilisation et de la photodégradation du principe actif sous UV.</w:t>
      </w:r>
    </w:p>
    <w:p>
      <w:r/>
      <w:r>
        <w:rPr>
          <w:b/>
        </w:rPr>
        <w:t>Arbitrage et Bénéfices des Formes Galéniques :</w:t>
      </w:r>
      <w:r/>
    </w:p>
    <w:p>
      <w:r>
        <w:t xml:space="preserve">La trétinoïne topique se présente en trois formes galéniques principales : (1) </w:t>
      </w:r>
      <w:r>
        <w:rPr>
          <w:b/>
        </w:rPr>
        <w:t>crème</w:t>
      </w:r>
      <w:r>
        <w:t xml:space="preserve"> (ACNETIN-A 0,05 % — base aqueuse émulsionnée) — indiquée pour peau sèche à normale, pénétration modérée, tolérance meilleure ; (2) </w:t>
      </w:r>
      <w:r>
        <w:rPr>
          <w:b/>
        </w:rPr>
        <w:t>gel</w:t>
      </w:r>
      <w:r>
        <w:t xml:space="preserve"> ( formulation plus concentrée, pénétration rapide, indiquée pour peau grasse, acné rétentionnelle du visage et du dos) — non disponible actuellement en Algérie sous la forme de trétinoïne pure ; (3) </w:t>
      </w:r>
      <w:r>
        <w:rPr>
          <w:b/>
        </w:rPr>
        <w:t>lotion</w:t>
      </w:r>
      <w:r>
        <w:t xml:space="preserve"> (forme fluide pour application sur grandes surfaces — dos, thorax) — non disponible en Algérie. L'arbitrage se fait selon le phototype cutané, la zone traitée et la tolérance individuelle : peau sèche/sensible → crème à faible concentration (0,025 %) ; peau grasse/résistante → gel à concentration supérieure (0,05 % ou 0,1 %) ; zone cutanée étendue → lotion. La concentration 0,025 % est recommandée en initiation et chez les sujets à peau fragile, la concentration 0,05 % est la concentration d'entretien standard, et la concentration 0,1 % est réservée aux acnés résistantes et aux photo-vieillissements marqués après accoutumance. La galénique microencapsulée (Retin-A Micro® — microsphères polymériques à libération prolongée — non disponible en Algérie) permet une libération progressive du principe actif et une meilleure tolérance locale, mais n'est pas accessible sur le marché algérien. Le passage de la crème au gel est conseillé en cas d'efficacité insuffisante de la crème, et l'inverse (gel vers crème) en cas d'intolérance au gel.</w:t>
      </w:r>
    </w:p>
    <w:p>
      <w:r/>
      <w:r>
        <w:rPr>
          <w:b/>
        </w:rPr>
        <w:t>Instructions et Conseils au Patient :</w:t>
      </w:r>
      <w:r/>
    </w:p>
    <w:p>
      <w:pPr>
        <w:pStyle w:val="ListBullet"/>
      </w:pPr>
      <w:r>
        <w:t xml:space="preserve">Communication au comptoir : (1) Expliquer au patient que la trétinoïne topique est un traitement de fond de l'acné rétentionnelle, qui agit en quelques semaines à mois (pas d'effet immédiat). (2) Insister sur l'application </w:t>
      </w:r>
      <w:r>
        <w:rPr>
          <w:b/>
        </w:rPr>
        <w:t>strictement le soir</w:t>
      </w:r>
      <w:r>
        <w:t xml:space="preserve"> au coucher, sur peau parfaitement sèche, en couche fine (quantité = taille d'un pois pour le visage). (3) Prévenir l'aggravation initiale possible (flare-up acnéique des 2-6 premières semaines — caractère transitoire, ne pas arrêter le traitement). (4) Informer de la photosensibilité : photoprotection stricte diurne (SPF 30+), éviter l'exposition solaire directe, ne pas utiliser lampes UV, cabines de bronzage. (5) Prévenir le patient des signes d'irritation (érythème, desquamation, sensation de brûlure — fréquents en début de traitement, régression avec accoutumance) et lui recommander d'associer un émollient non comédogène le matin. (6) Chez la femme en âge de procréer : insister sur la nécessité d'une contraception efficace, du test de grossesse pré-thérapeutique, et de l'interdiction formelle d'utiliser pendant grossesse et allaitement. (7) Informer des interactions à éviter : ne pas associer au peroxyde de benzoyle en application simultanée, ni aux acides exfoliants (AHA, BHA), ni aux cosmétiques astringents alcoolisés. (8) Donner un délai d'évaluation : 8-12 semaines minimum avant jugement de l'efficacité. (9) Préciser le mode de conservation : à température &lt; 25 °C, à l'abri de la lumière et de la chaleur, ne pas congeler.</w:t>
      </w:r>
    </w:p>
    <w:p>
      <w:pPr>
        <w:pStyle w:val="ListBullet"/>
      </w:pPr>
      <w:r>
        <w:t>Mode d'utilisation pratique : (1) Toilette du visage avec un syndet doux (savon sans savon), séchage doux sans frottement, attendre 30 minutes avant application (peau parfaitement sèche, pour réduire l'irritation). (2) Application d'une petite quantité (≈ 0,5 g — taille d'un pois) en couche fine sur l'ensemble du visage (et non en spot treatment sur les lésions isolées). (3) Éviter le contour des yeux, les lèvres, les narines, les muqueuses. (4) Lavage soigneux des mains après application. (5) En cas de sensation de brûlure immédiate intense, rincer à l'eau et suspendre l'application, consulter le médecin. (6) Le matin, application d'un émollient hydratant non comédogène + photoprotection SPF 30-50. (7) Ne pas appliquer de maquillage dans les 30 minutes suivant l'application (risque de pilling).</w:t>
      </w:r>
    </w:p>
    <w:p>
      <w:r/>
      <w:r>
        <w:rPr>
          <w:b/>
        </w:rPr>
        <w:t>Notes, Règles d'Or &amp; Pièges au Comptoir :</w:t>
      </w:r>
      <w:r/>
    </w:p>
    <w:p>
      <w:pPr>
        <w:pStyle w:val="ListBullet"/>
      </w:pPr>
      <w:r>
        <w:t>Piège classique : (1) Application le matin — erreur fréquente, provoque une photosensibilité sévère, une perte d'efficacité par photodégradation. Toujours appliquer le soir. (2) Application sur peau humide — augmente la pénétration et l'irritation. Toujours appliquer sur peau sèche après 30 min d'attente. (3) Confusion avec les cosmétiques "à base de rétinol" — le rétinol (forme alcool) est ~20 fois moins puissant que la trétinoïne et ne nécessite pas de prescription, mais n'a pas non plus l'efficacité anti-acnéique de la trétinoïne. (4) Femme enceinte : ne jamais délivrer sans vérification contraceptive stricte et test de grossesse récent. (5) Association trétinoïne + peroxyde de benzoyle en même temps — inactivation de la trétinoïne, irritation additive. Toujours espacer les applications de ≥ 12 h. (6) Application en spot treatment sur le bouton — erreur, la trétinoïne s'applique en couche fine sur tout le visage pour prévenir les nouveaux comédons. (7) Effet de flare-up interprété comme allergie → interruption inappropriée du traitement, alors que la poursuite (avec adaptation de fréquence) permet l'accoutumance. (8) Application sur peau eczémateuse ou lésée — aggravation irritative majeure. (9) Confusion ACNETIN-A (trétinoïne) avec ACNAL (adapalène) — noms commerciaux proches mais principes actifs et tolérance différents.</w:t>
      </w:r>
    </w:p>
    <w:p>
      <w:pPr>
        <w:pStyle w:val="ListBullet"/>
      </w:pPr>
      <w:r>
        <w:t>Règle de prise : Application vespérale stricte, peau sèche, couche fine, photoprotection diurne obligatoire, contraception efficace chez la femme en âge de procréer.</w:t>
      </w:r>
    </w:p>
    <w:p>
      <w:pPr>
        <w:pStyle w:val="ListBullet"/>
      </w:pPr>
      <w:r>
        <w:t>Préparation et Conservation : Tube de crème fermé après chaque usage, conservation à T° &lt; 25 °C, à l'abri de la lumière et de la chaleur (ne pas laisser dans une voiture au soleil). Durée de conservation après ouverture : 6 mois maximum. Ne pas utiliser au-delà de la date de péremption.</w:t>
      </w:r>
    </w:p>
    <w:p>
      <w:pPr>
        <w:pStyle w:val="ListBullet"/>
      </w:pPr>
      <w:r>
        <w:t>Piège du surdosage / Substitution : (1) Application excessive (quantité trop importante) — augmente l'irritation sans améliorer l'efficacité. Respecter la taille d'un pois pour le visage. (2) Augmentation trop rapide des concentrations — risque d'irritation sévère. Échelonner sur 2-4 semaines. (3) Substitution ACNETIN-A (trétinoïne) ↔ ADAFERIN / DIFFERINE (adapalène) — attention, ce ne sont pas les mêmes molécules, l'adapalène est mieux toléré et peut être appliqué matin ou soir ; ne pas substituer sans avis médical. (4) Disponibilité du marché algérien : ACNETIN-A actuellement retiré, envisager l'adapalène (DIFFERINE, ACNAL) comme alternative disponible. (5) Importation exceptionnelle de trétinoïne : possible sur prescription médicale spécialisée, mais délai d'obtention et coût à prévoir.</w:t>
      </w:r>
    </w:p>
    <w:p>
      <w:pPr>
        <w:pStyle w:val="Heading3"/>
      </w:pPr>
      <w:r>
        <w:t>DCI 2 — Isotrétinoïne (topique)</w:t>
      </w:r>
    </w:p>
    <w:p>
      <w:r/>
      <w:r>
        <w:rPr>
          <w:b/>
        </w:rPr>
        <w:t>Liste des Catégories :</w:t>
      </w:r>
      <w:r>
        <w:t xml:space="preserve"> Anti-acnéique topique — Rétinoïde topique — Dérivé de la vitamine A — Acide 13-cis-rétinoïque — Comédolytique — Sébo-régulateur modéré — Liste I — Médicament à prescription médicale obligatoire — Tératogène (CI grossesse).</w:t>
      </w:r>
    </w:p>
    <w:p>
      <w:r>
        <w:t xml:space="preserve">L'isotrétinoïne (acide 13-cis-rétinoïque) est le stéréoisomère 13-cis de la trétinoïne (acide tout-trans-rétinoïque). Sa forme topique a été développée comme alternative à la trétinoïne, en espérant une meilleure tolérance locale liée à un mécanisme d'action différent (faible affinité pour les RAR, action principalement par conversion locale en trétinoïne par isomérase). Commercialisée sous le nom ISOTREX® (Stiefel UK Ltd) en gel dermique à 0,05 %, l'isotrétinoïne topique a vu sa disponibilité en Algérie compromise par le statut non renouvelable de cette spécialité. La DCI "ISOTRETINOINE" recouvre également, dans la nomenclature algérienne, les formes </w:t>
      </w:r>
      <w:r>
        <w:rPr>
          <w:b/>
        </w:rPr>
        <w:t>orales</w:t>
      </w:r>
      <w:r>
        <w:t xml:space="preserve"> (capsules molles 5, 10, 20 mg — Curacne®, Xeractan®, historiquement Roaccutane®), qui appartiennent en réalité à la sous-classe des rétinoïdes systémiques anti-acnéiques. Pour compléter l'information du pharmacien algérien, nous mentionnerons brièvement les formes orales disponibles sous cette DCI, tout en centrant l'analyse pharmacologique sur la forme topique (objet de la fiche).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ISOTREX</w:t>
            </w:r>
          </w:p>
        </w:tc>
        <w:tc>
          <w:tcPr>
            <w:tcW w:type="dxa" w:w="1559"/>
          </w:tcPr>
          <w:p>
            <w:r>
              <w:rPr>
                <w:sz w:val="20"/>
              </w:rPr>
              <w:t>Stiefel UK Ltd</w:t>
            </w:r>
          </w:p>
        </w:tc>
        <w:tc>
          <w:tcPr>
            <w:tcW w:type="dxa" w:w="1559"/>
          </w:tcPr>
          <w:p>
            <w:r>
              <w:rPr>
                <w:sz w:val="20"/>
              </w:rPr>
              <w:t>Gel dermique 0,05 % (0,0005)</w:t>
            </w:r>
          </w:p>
        </w:tc>
        <w:tc>
          <w:tcPr>
            <w:tcW w:type="dxa" w:w="1559"/>
          </w:tcPr>
          <w:p>
            <w:r>
              <w:rPr>
                <w:sz w:val="20"/>
              </w:rPr>
              <w:t>Tube de 30 g</w:t>
            </w:r>
          </w:p>
        </w:tc>
        <w:tc>
          <w:tcPr>
            <w:tcW w:type="dxa" w:w="1559"/>
          </w:tcPr>
          <w:p>
            <w:r>
              <w:rPr>
                <w:sz w:val="20"/>
              </w:rPr>
              <w:t>Liste I</w:t>
            </w:r>
          </w:p>
        </w:tc>
        <w:tc>
          <w:tcPr>
            <w:tcW w:type="dxa" w:w="1559"/>
          </w:tcPr>
          <w:p>
            <w:r>
              <w:rPr>
                <w:sz w:val="20"/>
              </w:rPr>
              <w:t>Non Renouvelable</w:t>
            </w:r>
          </w:p>
        </w:tc>
      </w:tr>
      <w:tr>
        <w:tc>
          <w:tcPr>
            <w:tcW w:type="dxa" w:w="1559"/>
          </w:tcPr>
          <w:p>
            <w:r>
              <w:rPr>
                <w:sz w:val="20"/>
              </w:rPr>
              <w:t>CURACNE 5 mg</w:t>
            </w:r>
          </w:p>
        </w:tc>
        <w:tc>
          <w:tcPr>
            <w:tcW w:type="dxa" w:w="1559"/>
          </w:tcPr>
          <w:p>
            <w:r>
              <w:rPr>
                <w:sz w:val="20"/>
              </w:rPr>
              <w:t>Pierre Fabre Médicament</w:t>
            </w:r>
          </w:p>
        </w:tc>
        <w:tc>
          <w:tcPr>
            <w:tcW w:type="dxa" w:w="1559"/>
          </w:tcPr>
          <w:p>
            <w:r>
              <w:rPr>
                <w:sz w:val="20"/>
              </w:rPr>
              <w:t>Capsule molle 5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CURACNE 10 mg</w:t>
            </w:r>
          </w:p>
        </w:tc>
        <w:tc>
          <w:tcPr>
            <w:tcW w:type="dxa" w:w="1559"/>
          </w:tcPr>
          <w:p>
            <w:r>
              <w:rPr>
                <w:sz w:val="20"/>
              </w:rPr>
              <w:t>Pierre Fabre Médicament</w:t>
            </w:r>
          </w:p>
        </w:tc>
        <w:tc>
          <w:tcPr>
            <w:tcW w:type="dxa" w:w="1559"/>
          </w:tcPr>
          <w:p>
            <w:r>
              <w:rPr>
                <w:sz w:val="20"/>
              </w:rPr>
              <w:t>Capsule molle 10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CURACNE 20 mg</w:t>
            </w:r>
          </w:p>
        </w:tc>
        <w:tc>
          <w:tcPr>
            <w:tcW w:type="dxa" w:w="1559"/>
          </w:tcPr>
          <w:p>
            <w:r>
              <w:rPr>
                <w:sz w:val="20"/>
              </w:rPr>
              <w:t>Pierre Fabre Médicament</w:t>
            </w:r>
          </w:p>
        </w:tc>
        <w:tc>
          <w:tcPr>
            <w:tcW w:type="dxa" w:w="1559"/>
          </w:tcPr>
          <w:p>
            <w:r>
              <w:rPr>
                <w:sz w:val="20"/>
              </w:rPr>
              <w:t>Capsule molle 20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XERACTAN 10 mg</w:t>
            </w:r>
          </w:p>
        </w:tc>
        <w:tc>
          <w:tcPr>
            <w:tcW w:type="dxa" w:w="1559"/>
          </w:tcPr>
          <w:p>
            <w:r>
              <w:rPr>
                <w:sz w:val="20"/>
              </w:rPr>
              <w:t>Hikma Pharma Algeria</w:t>
            </w:r>
          </w:p>
        </w:tc>
        <w:tc>
          <w:tcPr>
            <w:tcW w:type="dxa" w:w="1559"/>
          </w:tcPr>
          <w:p>
            <w:r>
              <w:rPr>
                <w:sz w:val="20"/>
              </w:rPr>
              <w:t>Capsule molle 10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XERACTAN 20 mg</w:t>
            </w:r>
          </w:p>
        </w:tc>
        <w:tc>
          <w:tcPr>
            <w:tcW w:type="dxa" w:w="1559"/>
          </w:tcPr>
          <w:p>
            <w:r>
              <w:rPr>
                <w:sz w:val="20"/>
              </w:rPr>
              <w:t>Hikma Pharma Algeria</w:t>
            </w:r>
          </w:p>
        </w:tc>
        <w:tc>
          <w:tcPr>
            <w:tcW w:type="dxa" w:w="1559"/>
          </w:tcPr>
          <w:p>
            <w:r>
              <w:rPr>
                <w:sz w:val="20"/>
              </w:rPr>
              <w:t>Capsule molle 20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AKNETT 10 mg (R)</w:t>
            </w:r>
          </w:p>
        </w:tc>
        <w:tc>
          <w:tcPr>
            <w:tcW w:type="dxa" w:w="1559"/>
          </w:tcPr>
          <w:p>
            <w:r>
              <w:rPr>
                <w:sz w:val="20"/>
              </w:rPr>
              <w:t>Biovital</w:t>
            </w:r>
          </w:p>
        </w:tc>
        <w:tc>
          <w:tcPr>
            <w:tcW w:type="dxa" w:w="1559"/>
          </w:tcPr>
          <w:p>
            <w:r>
              <w:rPr>
                <w:sz w:val="20"/>
              </w:rPr>
              <w:t>Capsule molle 10 mg</w:t>
            </w:r>
          </w:p>
        </w:tc>
        <w:tc>
          <w:tcPr>
            <w:tcW w:type="dxa" w:w="1559"/>
          </w:tcPr>
          <w:p>
            <w:r>
              <w:rPr>
                <w:sz w:val="20"/>
              </w:rPr>
              <w:t>Boîte de 30</w:t>
            </w:r>
          </w:p>
        </w:tc>
        <w:tc>
          <w:tcPr>
            <w:tcW w:type="dxa" w:w="1559"/>
          </w:tcPr>
          <w:p>
            <w:r>
              <w:rPr>
                <w:sz w:val="20"/>
              </w:rPr>
              <w:t>Liste I</w:t>
            </w:r>
          </w:p>
        </w:tc>
        <w:tc>
          <w:tcPr>
            <w:tcW w:type="dxa" w:w="1559"/>
          </w:tcPr>
          <w:p>
            <w:r>
              <w:rPr>
                <w:sz w:val="20"/>
              </w:rPr>
              <w:t>Non Renouvelable</w:t>
            </w:r>
          </w:p>
        </w:tc>
      </w:tr>
      <w:tr>
        <w:tc>
          <w:tcPr>
            <w:tcW w:type="dxa" w:w="1559"/>
          </w:tcPr>
          <w:p>
            <w:r>
              <w:rPr>
                <w:sz w:val="20"/>
              </w:rPr>
              <w:t>AKNETT 20 mg (R)</w:t>
            </w:r>
          </w:p>
        </w:tc>
        <w:tc>
          <w:tcPr>
            <w:tcW w:type="dxa" w:w="1559"/>
          </w:tcPr>
          <w:p>
            <w:r>
              <w:rPr>
                <w:sz w:val="20"/>
              </w:rPr>
              <w:t>Biovital Sarl</w:t>
            </w:r>
          </w:p>
        </w:tc>
        <w:tc>
          <w:tcPr>
            <w:tcW w:type="dxa" w:w="1559"/>
          </w:tcPr>
          <w:p>
            <w:r>
              <w:rPr>
                <w:sz w:val="20"/>
              </w:rPr>
              <w:t>Capsule molle 20 mg</w:t>
            </w:r>
          </w:p>
        </w:tc>
        <w:tc>
          <w:tcPr>
            <w:tcW w:type="dxa" w:w="1559"/>
          </w:tcPr>
          <w:p>
            <w:r>
              <w:rPr>
                <w:sz w:val="20"/>
              </w:rPr>
              <w:t>Boîte de 30</w:t>
            </w:r>
          </w:p>
        </w:tc>
        <w:tc>
          <w:tcPr>
            <w:tcW w:type="dxa" w:w="1559"/>
          </w:tcPr>
          <w:p>
            <w:r>
              <w:rPr>
                <w:sz w:val="20"/>
              </w:rPr>
              <w:t>Liste I</w:t>
            </w:r>
          </w:p>
        </w:tc>
        <w:tc>
          <w:tcPr>
            <w:tcW w:type="dxa" w:w="1559"/>
          </w:tcPr>
          <w:p>
            <w:r>
              <w:rPr>
                <w:sz w:val="20"/>
              </w:rPr>
              <w:t>Non Renouvelable</w:t>
            </w:r>
          </w:p>
        </w:tc>
      </w:tr>
      <w:tr>
        <w:tc>
          <w:tcPr>
            <w:tcW w:type="dxa" w:w="1559"/>
          </w:tcPr>
          <w:p>
            <w:r>
              <w:rPr>
                <w:sz w:val="20"/>
              </w:rPr>
              <w:t>RETANE 20 (R)</w:t>
            </w:r>
          </w:p>
        </w:tc>
        <w:tc>
          <w:tcPr>
            <w:tcW w:type="dxa" w:w="1559"/>
          </w:tcPr>
          <w:p>
            <w:r>
              <w:rPr>
                <w:sz w:val="20"/>
              </w:rPr>
              <w:t>Asia Pharmaceutical</w:t>
            </w:r>
          </w:p>
        </w:tc>
        <w:tc>
          <w:tcPr>
            <w:tcW w:type="dxa" w:w="1559"/>
          </w:tcPr>
          <w:p>
            <w:r>
              <w:rPr>
                <w:sz w:val="20"/>
              </w:rPr>
              <w:t>Capsule molle 20 mg</w:t>
            </w:r>
          </w:p>
        </w:tc>
        <w:tc>
          <w:tcPr>
            <w:tcW w:type="dxa" w:w="1559"/>
          </w:tcPr>
          <w:p>
            <w:r>
              <w:rPr>
                <w:sz w:val="20"/>
              </w:rPr>
              <w:t>Boîte de 30</w:t>
            </w:r>
          </w:p>
        </w:tc>
        <w:tc>
          <w:tcPr>
            <w:tcW w:type="dxa" w:w="1559"/>
          </w:tcPr>
          <w:p>
            <w:r>
              <w:rPr>
                <w:sz w:val="20"/>
              </w:rPr>
              <w:t>Liste I</w:t>
            </w:r>
          </w:p>
        </w:tc>
        <w:tc>
          <w:tcPr>
            <w:tcW w:type="dxa" w:w="1559"/>
          </w:tcPr>
          <w:p>
            <w:r>
              <w:rPr>
                <w:sz w:val="20"/>
              </w:rPr>
              <w:t>Non Renouvelable</w:t>
            </w:r>
          </w:p>
        </w:tc>
      </w:tr>
      <w:tr>
        <w:tc>
          <w:tcPr>
            <w:tcW w:type="dxa" w:w="1559"/>
          </w:tcPr>
          <w:p>
            <w:r>
              <w:rPr>
                <w:sz w:val="20"/>
              </w:rPr>
              <w:t>ROACCUTANE 10 mg (R)</w:t>
            </w:r>
          </w:p>
        </w:tc>
        <w:tc>
          <w:tcPr>
            <w:tcW w:type="dxa" w:w="1559"/>
          </w:tcPr>
          <w:p>
            <w:r>
              <w:rPr>
                <w:sz w:val="20"/>
              </w:rPr>
              <w:t>Roche</w:t>
            </w:r>
          </w:p>
        </w:tc>
        <w:tc>
          <w:tcPr>
            <w:tcW w:type="dxa" w:w="1559"/>
          </w:tcPr>
          <w:p>
            <w:r>
              <w:rPr>
                <w:sz w:val="20"/>
              </w:rPr>
              <w:t>Capsule 10 mg</w:t>
            </w:r>
          </w:p>
        </w:tc>
        <w:tc>
          <w:tcPr>
            <w:tcW w:type="dxa" w:w="1559"/>
          </w:tcPr>
          <w:p>
            <w:r>
              <w:rPr>
                <w:sz w:val="20"/>
              </w:rPr>
              <w:t>Boîte de 30</w:t>
            </w:r>
          </w:p>
        </w:tc>
        <w:tc>
          <w:tcPr>
            <w:tcW w:type="dxa" w:w="1559"/>
          </w:tcPr>
          <w:p>
            <w:r>
              <w:rPr>
                <w:sz w:val="20"/>
              </w:rPr>
              <w:t>Liste I</w:t>
            </w:r>
          </w:p>
        </w:tc>
        <w:tc>
          <w:tcPr>
            <w:tcW w:type="dxa" w:w="1559"/>
          </w:tcPr>
          <w:p>
            <w:r>
              <w:rPr>
                <w:sz w:val="20"/>
              </w:rPr>
              <w:t>Retiré</w:t>
            </w:r>
          </w:p>
        </w:tc>
      </w:tr>
      <w:tr>
        <w:tc>
          <w:tcPr>
            <w:tcW w:type="dxa" w:w="1559"/>
          </w:tcPr>
          <w:p>
            <w:r>
              <w:rPr>
                <w:sz w:val="20"/>
              </w:rPr>
              <w:t>ROACCUTANE 20 mg (R)</w:t>
            </w:r>
          </w:p>
        </w:tc>
        <w:tc>
          <w:tcPr>
            <w:tcW w:type="dxa" w:w="1559"/>
          </w:tcPr>
          <w:p>
            <w:r>
              <w:rPr>
                <w:sz w:val="20"/>
              </w:rPr>
              <w:t>Hoffmann-La Roche</w:t>
            </w:r>
          </w:p>
        </w:tc>
        <w:tc>
          <w:tcPr>
            <w:tcW w:type="dxa" w:w="1559"/>
          </w:tcPr>
          <w:p>
            <w:r>
              <w:rPr>
                <w:sz w:val="20"/>
              </w:rPr>
              <w:t>Capsule 20 mg</w:t>
            </w:r>
          </w:p>
        </w:tc>
        <w:tc>
          <w:tcPr>
            <w:tcW w:type="dxa" w:w="1559"/>
          </w:tcPr>
          <w:p>
            <w:r>
              <w:rPr>
                <w:sz w:val="20"/>
              </w:rPr>
              <w:t>Boîte de 30</w:t>
            </w:r>
          </w:p>
        </w:tc>
        <w:tc>
          <w:tcPr>
            <w:tcW w:type="dxa" w:w="1559"/>
          </w:tcPr>
          <w:p>
            <w:r>
              <w:rPr>
                <w:sz w:val="20"/>
              </w:rPr>
              <w:t>Liste I</w:t>
            </w:r>
          </w:p>
        </w:tc>
        <w:tc>
          <w:tcPr>
            <w:tcW w:type="dxa" w:w="1559"/>
          </w:tcPr>
          <w:p>
            <w:r>
              <w:rPr>
                <w:sz w:val="20"/>
              </w:rPr>
              <w:t>Retiré</w:t>
            </w:r>
          </w:p>
        </w:tc>
      </w:tr>
    </w:tbl>
    <w:p/>
    <w:p>
      <w:r/>
      <w:r>
        <w:rPr>
          <w:b/>
        </w:rPr>
        <w:t>Note importante :</w:t>
      </w:r>
      <w:r>
        <w:t xml:space="preserve"> Seul ISOTREX correspond à la forme topique (objet de cette fiche). Les autres spécialités sont des formes </w:t>
      </w:r>
      <w:r>
        <w:rPr>
          <w:b/>
        </w:rPr>
        <w:t>orales systémiques</w:t>
      </w:r>
      <w:r>
        <w:t xml:space="preserve"> (Curacne, Xeractan), traitées ici à titre informatif car elles partagent la même DCI dans la nomenclature algérienne. La forme orale de l'isotrétinoïne (qui sera abordée dans le chapitre des anti-acnéiques systémiques si applicable, ou brièvement mentionnée ici) requiert un dispositif de prescription extrêmement contraignant en raison de sa tératogénicité majeure (programme iPLEDGE, PPMS en France), et impose une contraception double, des tests de grossesse mensuels, une surveillance hépatique et lipidique mensuelle, et un suivi psychiatrique en raison du risque controversé de troubles de l'humeur et suicidaires.</w:t>
      </w:r>
    </w:p>
    <w:p>
      <w:r/>
      <w:r>
        <w:rPr>
          <w:b/>
        </w:rPr>
        <w:t>Sous-classe et Mécanisme d'action :</w:t>
      </w:r>
      <w:r/>
    </w:p>
    <w:p>
      <w:pPr>
        <w:pStyle w:val="ListBullet"/>
      </w:pPr>
      <w:r>
        <w:t>Sous-classe : Rétinoïde topique de 1re génération — stéréoisomère 13-cis de la trétinoïne — faible affinité directe pour les RAR et RXR (à la différence de la trétinoïne qui est pan-agoniste RAR) — action essentiellement via sa conversion locale en trétinoïne (acide tout-trans-rétinoïque) par isomérase cutanée.</w:t>
      </w:r>
    </w:p>
    <w:p>
      <w:pPr>
        <w:pStyle w:val="ListBullet"/>
      </w:pPr>
      <w:r>
        <w:t xml:space="preserve">Mécanisme d'action : L'isotrétinoïne topique pénètre le stratum corneum par diffusion passive et atteint les kératinocytes folliculaires et épidermiques. Une fraction importante est convertie localement en trétinoïne (acide tout-trans-rétinoïque) par des isomérases cellulaires cutanées, qui se lie alors aux RAR (α, β, γ). Une fraction résiduelle d'isotrétinoïne non isomérisée exerce une action modérée directe via ses métabolites oxydés (4-oxo-isotrétinoïne). Les effets pharmacologiques en découlent : (i) </w:t>
      </w:r>
      <w:r>
        <w:rPr>
          <w:b/>
        </w:rPr>
        <w:t>cométolyse</w:t>
      </w:r>
      <w:r>
        <w:t xml:space="preserve"> (normalisation de la desquamation folliculaire, prévention du comédon rétentionnel) — effet comparable à la trétinoïne ; (ii) </w:t>
      </w:r>
      <w:r>
        <w:rPr>
          <w:b/>
        </w:rPr>
        <w:t>anti-kératinisation</w:t>
      </w:r>
      <w:r>
        <w:t xml:space="preserve"> (diminution de la cohésion des cornéocytes) ; (iii) </w:t>
      </w:r>
      <w:r>
        <w:rPr>
          <w:b/>
        </w:rPr>
        <w:t>anti-inflammatoire modéré</w:t>
      </w:r>
      <w:r>
        <w:t xml:space="preserve"> (inhibition des cytokines IL-1β, TNFα, leucotriène B4) ; (iv) </w:t>
      </w:r>
      <w:r>
        <w:rPr>
          <w:b/>
        </w:rPr>
        <w:t>sébo-suppression très modérée</w:t>
      </w:r>
      <w:r>
        <w:t xml:space="preserve"> en topique (contrairement à l'isotrétinoïne orale qui est un sébo-suppresseur puissant, la forme topique n'a qu'un effet sébo-régulateur modeste — réduction de ~20-30 % de la sécrétion sébacée vs &gt; 90 % pour la forme orale). L'isotrétinoïne topique n'a pas d'effet bactéricide direct sur *Cutibacterium acnes* mais diminue indirectement la population bactérienne en réduisant le sébum (substrat de croissance bactérienne). Le profil d'efficacité est globalement superposable à celui de la trétinoïne topique, avec une tolérance locale légèrement meilleure (irritation un peu moindre).</w:t>
      </w:r>
    </w:p>
    <w:p>
      <w:r/>
      <w:r>
        <w:rPr>
          <w:b/>
        </w:rPr>
        <w:t>Profil Pharmacologique :</w:t>
      </w:r>
      <w:r/>
    </w:p>
    <w:p>
      <w:pPr>
        <w:pStyle w:val="ListBullet"/>
      </w:pPr>
      <w:r>
        <w:t>Indications : (1) Acné vulgaire rétentionnelle et mixte légère à modérée (comédons fermés et ouverts, papules, pustules peu inflammatoires) — indication princeps de la forme topique. (2) Acné résistante aux antibactériens topiques. (3) Rosacée papulo-pustuleuse (usage off-label, en alternative à la trétinoïne). (4) Folliculite kératosique, kératose pilaire. (5) Formes orales (Curacne, Xeractan) : acné sévère nodulo-kystique, conglobata, fulminans ; acné sévère réfractaire aux antibiotiques oraux et traitements topiques ; acné modérée récidivante avec cicatrices ; (par extension) folate sébacée sévère, syndrome de Sézary.</w:t>
      </w:r>
    </w:p>
    <w:p>
      <w:pPr>
        <w:pStyle w:val="ListBullet"/>
      </w:pPr>
      <w:r>
        <w:t xml:space="preserve">Contre-indications : (a) </w:t>
      </w:r>
      <w:r>
        <w:rPr>
          <w:b/>
        </w:rPr>
        <w:t>Grossesse</w:t>
      </w:r>
      <w:r>
        <w:t xml:space="preserve"> (CI absolue — tératogénicité majeure démontrée — syndrome de rétinoïde fœtal : malformations cranio-faciales, cardiaques, thymiques, du SNC — taux de malformation 25-30 % si exposition orale pendant le 1er trimestre). (b) Allaitement. (c) Hypersensibilité à l'isotrétinoïne ou excipients (notamment huile d'arachide, soja — contre-indication chez patients allergiques). (d) Peau lésée, eczémateuse, dermatite atopique évolutive. (e) Application simultanée d'autres topiques irritants. (f) Enfant de moins de 12 ans. (g) </w:t>
      </w:r>
      <w:r>
        <w:rPr>
          <w:b/>
        </w:rPr>
        <w:t>Formes orales</w:t>
      </w:r>
      <w:r>
        <w:t xml:space="preserve"> : insuffisance hépatique sévère, hyperlipidémie sévère non contrôlée, hypervitaminose A, association à tétracyclines (CI absolue — risque d'hypertension intracrânienne), alcoolisme chronique.</w:t>
      </w:r>
    </w:p>
    <w:p>
      <w:pPr>
        <w:pStyle w:val="ListBullet"/>
      </w:pPr>
      <w:r>
        <w:t>Effets Indésirables : (a) Cutanés locaux (forme topique, très fréquents) : rétinoïde-dermatitis (érythème, desquamation, sensation de brûlure, prurit, xérose) — similaire à la trétinoïne mais en général un peu mieux toléré. Photosensibilité (très fréquente). Pigmentation post-inflammatoire (peaux foncées). Cheilitis périorale. (b) Effets systémiques de la forme orale (à titre informatif — extrêmement bien décrits) : chéilite quasi constante (&gt; 90 %), xérose cutanée et muqueuse (peau, yeux, nez, bouche), conjonctivite, épistaxis, fragilité cutanée, alopécie (10-15 %), myalgies, arthralgies, hyperlipidémie (LDL↑, triglycérides↑), élévation transaminases, syndrome dépressif (controversé), risque suicidaire (à surveiller), photosensibilité, troubles visuels (héméralopie — baisse de la vision nocturne), ostéoporose et calcifications ligamentaires (traitement prolongé). (c) Effets tératogènes majeurs (forme orale) en cas d'exposition pendant la grossesse. (d) Syndrome d'hypertension intracrânienne bénigne (en association avec tétracyclines — CI absolue de l'association).</w:t>
      </w:r>
    </w:p>
    <w:p>
      <w:r/>
      <w:r>
        <w:rPr>
          <w:b/>
        </w:rPr>
        <w:t>Prévention et Gestion des Effets Indésirables :</w:t>
      </w:r>
      <w:r/>
    </w:p>
    <w:p>
      <w:pPr>
        <w:pStyle w:val="ListBullet"/>
      </w:pPr>
      <w:r>
        <w:t>Mesures Préventives (forme topique) : (1) Application vespérale stricte (au coucher). (2) Démarrer par application un soir sur deux pendant 2-4 semaines, puis escalader vers la quotidienneté. (3) Débuter à la concentration minimale disponible (0,05 %). (4) Quantité modérée (≈ 0,5 g pour le visage complet). (5) Application sur peau parfaitement sèche (30 min après la toilette). (6) Photoprotection diurne SPF 30+. (7) Émollient non comédogène le matin. (8) Éviction des topiques irritants en association. (9) Contraception efficace obligatoire chez la femme en âge de procréer + test de grossesse pré-thérapeutique.</w:t>
      </w:r>
    </w:p>
    <w:p>
      <w:pPr>
        <w:pStyle w:val="ListBullet"/>
      </w:pPr>
      <w:r>
        <w:t>Mesures Préventives (forme orale — à titre informatif) : (1) Bilan pré-thérapeutique complet : NFS, transaminases (ASAT/ALAT), γGT, PAL, bilirubine, bilan lipidique (cholestérol total, LDL, HDL, triglycérides), glycémie, créatininémie, β-hCG plasmatiques. (2) Contraception double (par exemple pilule combinée + préservatif) à débuter 1 mois avant, pendant et 1 mois après l'arrêt. (3) Test de grossesse mensuel obligatoire. (4) Surveillance biologique mensuelle (transaminases, lipides) puis trimestrielle. (5) Information patient et signature d'un consentement éclairé. (6) Éviction stricte de tout don de sang pendant et 1 mois après l'arrêt. (7) Éviction de l'alcool. (8) Éviction de la vitamine A supplémenteire et des rétinoïdes topiques en association. (9) Photoprotection stricte. (10) Éviction des épilations à la cire (risque d'arrachement cutané — peau fragile) — préférer rasage électrique. (11) Surveillance psychiatrique (anxiété, dépression, idées suicidaires).</w:t>
      </w:r>
    </w:p>
    <w:p>
      <w:pPr>
        <w:pStyle w:val="ListBullet"/>
      </w:pPr>
      <w:r>
        <w:t>Conduite à Tenir : (1) Rétinoïde-dermatitis sévère → suspension transitoire, émollient, reprise à fréquence réduite. (2) Flare-up acnéique initial → ne pas arrêter, informer du caractère transitoire. (3) Photosensibilité excessive → suspension, photoprotection renforcée, reprise en application un soir sur deux. (4) Grossesse accidentelle (forme orale) → arrêt immédiat, déclaration au CRAT, échographie spécialisée, discussion d'interruption médicale de grossesse. (5) Élévation transaminases &gt; 3× LSN (forme orale) → arrêt temporaire, contrôle à 2 semaines, reprise à dose réduite si normalisation. (6) Hypertriglycéridémie &gt; 5,6 mmol/L (forme orale) → arrêt, mise en place d'un régime hypolipidique, contrôle à 2 semaines. (7) Idées suicidaires → arrêt immédiat, prise en charge psychiatrique urgente.</w:t>
      </w:r>
    </w:p>
    <w:p>
      <w:r/>
      <w:r>
        <w:rPr>
          <w:b/>
        </w:rPr>
        <w:t>Interactions Importantes :</w:t>
      </w:r>
      <w:r/>
    </w:p>
    <w:p>
      <w:pPr>
        <w:pStyle w:val="ListBullet"/>
      </w:pPr>
      <w:r>
        <w:t>Isotrétinoïne topique + Peroxyde de benzoyle (application simultanée) : oxydation de l'isotrétinoïne par le peroxyde → perte d'efficacité + irritation additive. Espacer les applications (isotrétinoïne le soir, peroxyde le matin).</w:t>
      </w:r>
    </w:p>
    <w:p>
      <w:pPr>
        <w:pStyle w:val="ListBullet"/>
      </w:pPr>
      <w:r>
        <w:t xml:space="preserve">Isotrétinoïne orale + Tétracyclines (doxycycline, minocycline, lymécycline) : </w:t>
      </w:r>
      <w:r>
        <w:rPr>
          <w:b/>
        </w:rPr>
        <w:t>contre-indication absolue</w:t>
      </w:r>
      <w:r>
        <w:t xml:space="preserve"> — risque d'hypertension intracrânienne bénigne (syndrome pseudotumoral cérébral, céphalées, nausées, troubles visifs, œdème papillaire).</w:t>
      </w:r>
    </w:p>
    <w:p>
      <w:pPr>
        <w:pStyle w:val="ListBullet"/>
      </w:pPr>
      <w:r>
        <w:t>Isotrétinoïne orale + Vitamine A (supplémentation) : hypervitaminose A additive → toxicité hépatique, neurologique. Éviter.</w:t>
      </w:r>
    </w:p>
    <w:p>
      <w:pPr>
        <w:pStyle w:val="ListBullet"/>
      </w:pPr>
      <w:r>
        <w:t>Isotrétinoïne orale + Alcool : potentialisation de la toxicité hépatique et de l'hypertriglycéridémie. Éviction stricte.</w:t>
      </w:r>
    </w:p>
    <w:p>
      <w:pPr>
        <w:pStyle w:val="ListBullet"/>
      </w:pPr>
      <w:r>
        <w:t>Isotrétinoïne orale + Contraceptifs oraux microprogestatifs (désogestrel, drospirénone) : efficacité contraceptive conservée. Pilule progestative autorisée.</w:t>
      </w:r>
    </w:p>
    <w:p>
      <w:pPr>
        <w:pStyle w:val="ListBullet"/>
      </w:pPr>
      <w:r>
        <w:t>Isotrétinoïne orale + Corticoïdes systémiques : risque accru d'ostéoporose.</w:t>
      </w:r>
    </w:p>
    <w:p>
      <w:pPr>
        <w:pStyle w:val="ListBullet"/>
      </w:pPr>
      <w:r>
        <w:t>Isotrétinoïne orale + Phénytoïne, carbamazépine : diminution de leur efficacité (induction enzymatique).</w:t>
      </w:r>
    </w:p>
    <w:p>
      <w:pPr>
        <w:pStyle w:val="ListBullet"/>
      </w:pPr>
      <w:r>
        <w:t>Isotrétinoïne orale + Anticoagulants oraux : modification de l'INR — surveillance.</w:t>
      </w:r>
    </w:p>
    <w:p>
      <w:pPr>
        <w:pStyle w:val="ListBullet"/>
      </w:pPr>
      <w:r>
        <w:t>Isotrétinoïne orale + Don de sang : contre-indication formelle pendant et 1 mois après l'arrêt (risque pour le receveur enceinte).</w:t>
      </w:r>
    </w:p>
    <w:p>
      <w:pPr>
        <w:pStyle w:val="ListBullet"/>
      </w:pPr>
      <w:r>
        <w:t>Isotrétinoïne topique + Cosmétiques irritants (acide salicylique, acide glycolique, AHA, BHA) : irritation additive — éviter.</w:t>
      </w:r>
    </w:p>
    <w:p>
      <w:r/>
      <w:r>
        <w:rPr>
          <w:b/>
        </w:rPr>
        <w:t>Grossesse et Allaitement :</w:t>
      </w:r>
      <w:r/>
    </w:p>
    <w:p>
      <w:pPr>
        <w:pStyle w:val="ListBullet"/>
      </w:pPr>
      <w:r>
        <w:t xml:space="preserve">Grossesse : </w:t>
      </w:r>
      <w:r>
        <w:rPr>
          <w:b/>
        </w:rPr>
        <w:t>Contre-indication absolue formelle pour toutes les formes</w:t>
      </w:r>
      <w:r>
        <w:t xml:space="preserve"> (topique et orale). La tératogénicité de l'isotrétinoïne orale est démontrée avec un taux de malformation de 25-30 % en cas d'exposition pendant le 1er trimestre (syndrome de rétinoïde fœtal — anomalies cranio-faciales : microtie, agénésie des oreilles, fente palatine ; cardiaques : TGV, tétralogie de Fallot, hypoplasie aortique ; thymiques : agénésie ou hypoplasie ; du SNC : hydrocéphalie, agénésie du corps calleux, retards mentaux). Pour la forme topique, le passage systémique est faible (≤ 5 %) mais le CRAT maintient la contre-indication. Contraception double obligatoire (pilule + préservatif ou DIU) à débuter 1 mois avant le traitement, pendant toute la durée, et 1 mois après l'arrêt pour la forme orale (et pendant tout le traitement pour la forme topique). Test de grossesse plasmatique β-hCG pré-thérapeutique obligatoire, puis mensuel pendant et 5 semaines après l'arrêt (forme orale). En cas de grossesse accidentelle sous isotrétinoïne orale → arrêt immédiat, déclaration au CRAT, échographie spécialisée centre pluridisciplinaire de diagnostic prénatal, discussion d'interruption médicale de grossesse (le taux de malformation est si élevé que l'IMG est le plus souvent discutée).</w:t>
      </w:r>
    </w:p>
    <w:p>
      <w:pPr>
        <w:pStyle w:val="ListBullet"/>
      </w:pPr>
      <w:r>
        <w:t>Allaitement : Contre-indication absolue (passage dans le lait maternel, toxicité pour le nourrisson — hépatique, osseuse, neurologique).</w:t>
      </w:r>
    </w:p>
    <w:p>
      <w:pPr>
        <w:pStyle w:val="ListBullet"/>
      </w:pPr>
      <w:r>
        <w:t>Précisions : Le programme de prescription contraint de l'isotrétinoïne orale (PPMS — Programme de Prévention de la Maternité et de la Surchauffe en France ; iPLEDGE aux USA) impose une coordination stricte entre dermatologue, gynécologue, pharmacien et patiente. Le pharmacien d'officine algérien doit vérifier systématiquement : (1) la prescription est d'origine dermatologique spécialisée ; (2) la patiente a un test de grossesse récent négatif (&lt; 7 jours) ; (3) la patiente a une contraception efficace en cours ; (4) le délai entre deux boîtes est respecté (30 jours maximum) ; (5) la patiente a signé un consentement éclairé. Tout doute doit conduire au refus de dispensation et à la consultation du médecin prescripteur.</w:t>
      </w:r>
    </w:p>
    <w:p>
      <w:r/>
      <w:r>
        <w:rPr>
          <w:b/>
        </w:rPr>
        <w:t>Posologie et Mode d'administration (Standard) :</w:t>
      </w:r>
      <w:r/>
    </w:p>
    <w:p>
      <w:pPr>
        <w:pStyle w:val="ListBullet"/>
      </w:pPr>
      <w:r>
        <w:t>Adulte (forme topique) : Application en couche fine le soir au coucher, sur peau parfaitement sèche et propre, en quantité modérée (≈ 0,5 g pour le visage complet). Démarrer par application un soir sur deux pendant 2-4 semaines, puis escalader vers la quotidienneté. Durée minimale d'essai de 8-12 semaines avant jugement de l'efficacité. Entretien à 1-3 applications/semaine.</w:t>
      </w:r>
    </w:p>
    <w:p>
      <w:pPr>
        <w:pStyle w:val="ListBullet"/>
      </w:pPr>
      <w:r>
        <w:t>Adulte (forme orale — à titre informatif) : 0,5 mg/kg/j en début de traitement (forme modérée à modérément sévère), à augmenter progressivement selon tolérance et efficacité jusqu'à 1 mg/kg/j. Dose cumulative cible : 120-150 mg/kg sur l'ensemble de la cure (cure habituelle de 6-9 mois). Dose initiale plus faible (0,3 mg/kg/j) en cas d'acné sévère avec risque de flare-up initial, ou chez le patient à peau très sensible, ou en cas de xérose préexistante. Forme orale à prendre au cours d'un repas riche en graisses (biodisponibilité multipliée par 2). Espacement des prises si intolérance (un jour sur deux).</w:t>
      </w:r>
    </w:p>
    <w:p>
      <w:pPr>
        <w:pStyle w:val="ListBullet"/>
      </w:pPr>
      <w:r>
        <w:t>Enfant (forme orale) : À partir de 12 ans, posologie identique à l'adulte (en mg/kg). À éviter avant 12 ans (sauf cas exceptionnel d'acné sévère conglobata — centre spécialisé).</w:t>
      </w:r>
    </w:p>
    <w:p>
      <w:pPr>
        <w:pStyle w:val="ListBullet"/>
      </w:pPr>
      <w:r>
        <w:t>Sujet âgé : Pas d'indication habituelle en topique ni en oral (l'acné sévère nodulo-kystique est rare chez le sujet âgé).</w:t>
      </w:r>
    </w:p>
    <w:p>
      <w:pPr>
        <w:pStyle w:val="ListBullet"/>
      </w:pPr>
      <w:r>
        <w:t>Insuffisance hépatique : Forme orale contre-indiquée en cas d'insuffisance hépatique sévère (CI absolue). En cas d'insuffisance modérée, discussion spécialisée avec surveillance biologique renforcée.</w:t>
      </w:r>
    </w:p>
    <w:p>
      <w:pPr>
        <w:pStyle w:val="ListBullet"/>
      </w:pPr>
      <w:r>
        <w:t>Insuffisance rénale : Forme orale : prudence, surveillance biologique (transaminases, lipides). Pas d'adaptation posologique en topique.</w:t>
      </w:r>
    </w:p>
    <w:p>
      <w:pPr>
        <w:pStyle w:val="ListBullet"/>
      </w:pPr>
      <w:r>
        <w:t>Moment de la prise : Forme topique — strictement le soir au coucher. Forme orale — en deux prises au cours des repas (matin et soir), avec un repas riche en graisses.</w:t>
      </w:r>
    </w:p>
    <w:p>
      <w:r/>
      <w:r>
        <w:rPr>
          <w:b/>
        </w:rPr>
        <w:t>Arbitrage et Bénéfices des Formes Galéniques :</w:t>
      </w:r>
      <w:r/>
    </w:p>
    <w:p>
      <w:r>
        <w:t xml:space="preserve">L'isotrétinoïne se présente en deux familles galéniques radicalement différentes : (1) </w:t>
      </w:r>
      <w:r>
        <w:rPr>
          <w:b/>
        </w:rPr>
        <w:t>forme topique</w:t>
      </w:r>
      <w:r>
        <w:t xml:space="preserve"> (gel dermique 0,05 % — ISOTREX, non renouvelable en Algérie) — indiquée dans l'acné légère à modérée, mécanisme d'action local, passage systémique minime (≤ 5 %), tolérance locale, pas de surveillance biologique nécessaire mais contraception toujours obligatoire ; (2) </w:t>
      </w:r>
      <w:r>
        <w:rPr>
          <w:b/>
        </w:rPr>
        <w:t>forme orale</w:t>
      </w:r>
      <w:r>
        <w:t xml:space="preserve"> (capsules molles 5, 10, 20 mg — CURACNE, XERACTAN) — indiquée dans l'acné sévère nodulo-kystique, mécanisme d'action systémique, passage hépatique complet, surveillance biologique mensuelle obligatoire (transaminases, lipides), contraception stricte, programme de prescription contraint. L'arbitrage entre les deux formes dépend de la sévérité de l'acné : acné légère à modérée → topique (ou préférentiellement adapalène qui est mieux toléré et disponible en Algérie) ; acné sévère nodulo-kystique ou réfractaire → forme orale (centre spécialisé dermatologique). La forme orale est utilisée en monothérapie (jamais en association avec un autre rétinoïde topique, ni avec une tétracycline). La galénique capsule molle permet une meilleure absorption digestive en présence de graisses alimentaires (biodisponibilité multipliée par 2). Les dosages 5 mg, 10 mg et 20 mg permettent une adaptation fine au poids du patient et à la tolérance.</w:t>
      </w:r>
    </w:p>
    <w:p>
      <w:r/>
      <w:r>
        <w:rPr>
          <w:b/>
        </w:rPr>
        <w:t>Instructions et Conseils au Patient :</w:t>
      </w:r>
      <w:r/>
    </w:p>
    <w:p>
      <w:pPr>
        <w:pStyle w:val="ListBullet"/>
      </w:pPr>
      <w:r>
        <w:t>Communication au comptoir (forme topique) : (1) Application strictement le soir au coucher, sur peau sèche, en couche fine. (2) Photoprotection diurne SPF 30+. (3) Prévention du flare-up initial (2-6 premières semaines) — caractère transitoire, ne pas arrêter. (4) Contraception efficace obligatoire, test de grossesse pré-thérapeutique. (5) Ne pas associer au peroxyde de benzoyle en application simultanée (espacement ≥ 12 h). (6) Émollient non comédogène le matin. (7) Ne pas appliquer sur peau lésée ou eczémateuse. (8) Éviter le contour des yeux et des lèvres.</w:t>
      </w:r>
    </w:p>
    <w:p>
      <w:pPr>
        <w:pStyle w:val="ListBullet"/>
      </w:pPr>
      <w:r>
        <w:t>Communication au comptoir (forme orale) : (1) Prise au cours d'un repas riche en graisses (matin et soir). (2) Contraception double obligatoire (pilole + préservatif) à débuter 1 mois avant, pendant et 1 mois après l'arrêt. (3) Test de grossesse mensuel obligatoire. (4) Éviction alcool stricte. (5) Éviction de tout don de sang pendant et 1 mois après. (6) Éviction des épilations à la cire (rasage électrique). (7) Photoprotection stricte. (8) Hydratation cutanée et labiale abondante (crème hydratante, baume à lèvres). (9) Surveillance biologique mensuelle (transaminases, lipides). (10) Signes d'alerte à signaler : céphalées intenses avec troubles visuels (hypertension intracrânienne), douleurs thoraciques, idées suicidaires, troubles de l'humeur. (11) Ne jamais arrêter brutalement le traitement sans avis médical. (12) Ne pas donner à un tiers, ne pas jeter à la poubelle (rapporter en pharmacie pour destruction).</w:t>
      </w:r>
    </w:p>
    <w:p>
      <w:pPr>
        <w:pStyle w:val="ListBullet"/>
      </w:pPr>
      <w:r>
        <w:t>Mode d'utilisation pratique : (1) Forme topique : toilette douce avec syndet, séchage doux, attendre 30 minutes, application en couche fine (taille d'un pois), lavage des mains, photoprotection le matin. (2) Forme orale : prise au cours d'un repas riche en graisses (beurre, huile, fromage), à heure fixe, à distance des anti-acides et des suppléments de vitamine A. (3) Conservation : à température &lt; 25 °C, à l'abri de la lumière et de l'humidité. Ne pas congeler.</w:t>
      </w:r>
    </w:p>
    <w:p>
      <w:r/>
      <w:r>
        <w:rPr>
          <w:b/>
        </w:rPr>
        <w:t>Notes, Règles d'Or &amp; Pièges au Comptoir :</w:t>
      </w:r>
      <w:r/>
    </w:p>
    <w:p>
      <w:pPr>
        <w:pStyle w:val="ListBullet"/>
      </w:pPr>
      <w:r>
        <w:t>Piège classique : (1) Confusion ACNAL (adapalène) ↔ CURACNE (isotrétinoïne orale) ↔ ISOTREX (isotrétinoïne topique) — noms proches mais molécules et indications différentes. Vérifier systématiquement la prescription. (2) Femme enceinte ou envisageant une grossesse — ne jamais délivrer l'isotrétinoïne orale sans contraception stricte et test de grossesse récent. (3) Association isotrétinoïne orale + tétracyclines — contre-indication absolue (hypertension intracrânienne). (4) Don de sang pendant traitement — contre-indication formelle. (5) Alcool pendant traitement — à proscrire. (6) Application le matin de la forme topique — erreur (photosensibilité). (7) Augmentation trop rapide de la dose orale — risque de flare-up sévère et de xérose majeure. (8) Patient sportif — prévenir des myalgies et arthralgies possibles, et du risque de performance physique réduite. (9) Patient avec antécédents psychiatriques — surveillance accrue de l'humeur. (10) Pilule progestative microdosée (désogestrel) — peut être utilisée mais en association avec préservatif (contraception double).</w:t>
      </w:r>
    </w:p>
    <w:p>
      <w:pPr>
        <w:pStyle w:val="ListBullet"/>
      </w:pPr>
      <w:r>
        <w:t>Règle de prise : Forme topique — application vespérale stricte, peau sèche, photoprotection diurne, contraception. Forme orale — prise au cours d'un repas riche en graisses, contraception double, surveillance biologique mensuelle, pas de don de sang, pas d'alcool.</w:t>
      </w:r>
    </w:p>
    <w:p>
      <w:pPr>
        <w:pStyle w:val="ListBullet"/>
      </w:pPr>
      <w:r>
        <w:t>Préparation et Conservation : Capsules molles à conserver à T° &lt; 25 °C, à l'abri de la lumière, de la chaleur et de l'humidité. Ne pas congeler (altération de la capsule). Gel topique : tube fermé, conservation à T° &lt; 25 °C, à l'abri de la lumière. Durée de conservation après ouverture : 6 mois maximum.</w:t>
      </w:r>
    </w:p>
    <w:p>
      <w:pPr>
        <w:pStyle w:val="ListBullet"/>
      </w:pPr>
      <w:r>
        <w:t>Piège du surdosage / Substitution : (1) Surdosage volontaire ou accidentel de la forme orale → hypervitaminose A aiguë (nausées, vomissements, céphalées, troubles visuels, irritabilité) → arrêt immédiat, lavage gastrique si récent, traitement symptomatique. (2) Substitution CURACNE ↔ XERACTAN — autorisée (même DCI, même dosage, bioéquivalence démontrée), mais surveillance accrue en cas de changement de marque. (3) Substitution ISOTREX (topique) ↔ ACNETIN-A (trétinoïne topique) — ne pas substituer (molécules différentes, profil de tolérance différent). (4) Disponibilité du marché algérien : ISOTREX non renouvelable, préférer l'adapalène (DIFFERINE, ACNAL) comme alternative disponible.</w:t>
      </w:r>
    </w:p>
    <w:p>
      <w:pPr>
        <w:pStyle w:val="Heading3"/>
      </w:pPr>
      <w:r>
        <w:t>DCI 3 — Adapalène</w:t>
      </w:r>
    </w:p>
    <w:p>
      <w:r/>
      <w:r>
        <w:rPr>
          <w:b/>
        </w:rPr>
        <w:t>Liste des Catégories :</w:t>
      </w:r>
      <w:r>
        <w:t xml:space="preserve"> Anti-acnéique topique — Rétinoïde topique de 3e génération — Acide naphtoïque synthétique — Agoniste sélectif des RARβ/γ — Comédolytique — Anti-inflammatoire modéré — Liste I — Médicament à prescription médicale obligatoire — Tératogène (CI grossesse).</w:t>
      </w:r>
    </w:p>
    <w:p>
      <w:r>
        <w:t xml:space="preserve">L'adapalène (6-[3-(1-adamantyl)-4-méthoxyphényl]-2-naphtoïque acide) est un rétinoïde topique de troisième génération, synthétisé pour la première fois en 1985 par les laboratoires CIRD-Galderma et commercialisé en France en 1996 sous le nom DIFFERINE®. Son développement visait à obtenir un rétinoïde topique au moins aussi efficace que la trétinoïne dans l'acné, mais avec une meilleure tolérance locale (moins d'irritation, moins de photosensibilité) et une stabilité chimique supérieure (résistance à la photo-oxydation, autorisant une application matinale). Sa structure est celle d'un acide naphtoïque (et non plus un acide rétinoïque comme la trétinoïne ou l'isotrétinoïne), ce qui en fait chimiquement un </w:t>
      </w:r>
      <w:r>
        <w:rPr>
          <w:b/>
        </w:rPr>
        <w:t>rétinoïde synthétique</w:t>
      </w:r>
      <w:r>
        <w:t xml:space="preserve"> plutôt qu'un dérivé direct de la vitamine A. En Algérie, l'adapalène est commercialisé sous cinq marques : DIFFERINE (Galderma, princeps), ACNAL (El Kendi), ACNYX (Onyx), ADAFERIN (Neomedic) et ADAPALENE NOVAGENIRCS / NOVAGENERICS (NovaPharm Trading), en gel et crème à 0,1 %, en tubes de 30 g. C'est aujourd'hui le rétinoïde topique de première ligne le plus prescrit en Algérie, en raison de sa meilleure tolérance et de sa disponibilité.</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ACNAL</w:t>
            </w:r>
          </w:p>
        </w:tc>
        <w:tc>
          <w:tcPr>
            <w:tcW w:type="dxa" w:w="1559"/>
          </w:tcPr>
          <w:p>
            <w:r>
              <w:rPr>
                <w:sz w:val="20"/>
              </w:rPr>
              <w:t>El Kendi Industrie du Médicament</w:t>
            </w:r>
          </w:p>
        </w:tc>
        <w:tc>
          <w:tcPr>
            <w:tcW w:type="dxa" w:w="1559"/>
          </w:tcPr>
          <w:p>
            <w:r>
              <w:rPr>
                <w:sz w:val="20"/>
              </w:rPr>
              <w:t>Gel 0,1 % (30 g)</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ACNYX</w:t>
            </w:r>
          </w:p>
        </w:tc>
        <w:tc>
          <w:tcPr>
            <w:tcW w:type="dxa" w:w="1559"/>
          </w:tcPr>
          <w:p>
            <w:r>
              <w:rPr>
                <w:sz w:val="20"/>
              </w:rPr>
              <w:t>Onyx Industrie Pharmaceutique</w:t>
            </w:r>
          </w:p>
        </w:tc>
        <w:tc>
          <w:tcPr>
            <w:tcW w:type="dxa" w:w="1559"/>
          </w:tcPr>
          <w:p>
            <w:r>
              <w:rPr>
                <w:sz w:val="20"/>
              </w:rPr>
              <w:t>Gel 0,1 % (0,001)</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ADAFERIN</w:t>
            </w:r>
          </w:p>
        </w:tc>
        <w:tc>
          <w:tcPr>
            <w:tcW w:type="dxa" w:w="1559"/>
          </w:tcPr>
          <w:p>
            <w:r>
              <w:rPr>
                <w:sz w:val="20"/>
              </w:rPr>
              <w:t>Neomedic</w:t>
            </w:r>
          </w:p>
        </w:tc>
        <w:tc>
          <w:tcPr>
            <w:tcW w:type="dxa" w:w="1559"/>
          </w:tcPr>
          <w:p>
            <w:r>
              <w:rPr>
                <w:sz w:val="20"/>
              </w:rPr>
              <w:t>Gel pour application cutanée 0,1 %</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ADAPALENE NOVAGENIRCS</w:t>
            </w:r>
          </w:p>
        </w:tc>
        <w:tc>
          <w:tcPr>
            <w:tcW w:type="dxa" w:w="1559"/>
          </w:tcPr>
          <w:p>
            <w:r>
              <w:rPr>
                <w:sz w:val="20"/>
              </w:rPr>
              <w:t>NovaPharm Trading</w:t>
            </w:r>
          </w:p>
        </w:tc>
        <w:tc>
          <w:tcPr>
            <w:tcW w:type="dxa" w:w="1559"/>
          </w:tcPr>
          <w:p>
            <w:r>
              <w:rPr>
                <w:sz w:val="20"/>
              </w:rPr>
              <w:t>Gel 0,1 %</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ADAPALENE NOVAGENERICS</w:t>
            </w:r>
          </w:p>
        </w:tc>
        <w:tc>
          <w:tcPr>
            <w:tcW w:type="dxa" w:w="1559"/>
          </w:tcPr>
          <w:p>
            <w:r>
              <w:rPr>
                <w:sz w:val="20"/>
              </w:rPr>
              <w:t>NovaPharm Trading</w:t>
            </w:r>
          </w:p>
        </w:tc>
        <w:tc>
          <w:tcPr>
            <w:tcW w:type="dxa" w:w="1559"/>
          </w:tcPr>
          <w:p>
            <w:r>
              <w:rPr>
                <w:sz w:val="20"/>
              </w:rPr>
              <w:t>Crème pour application cutanée 0,1 % (0,001)</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DIFFERINE</w:t>
            </w:r>
          </w:p>
        </w:tc>
        <w:tc>
          <w:tcPr>
            <w:tcW w:type="dxa" w:w="1559"/>
          </w:tcPr>
          <w:p>
            <w:r>
              <w:rPr>
                <w:sz w:val="20"/>
              </w:rPr>
              <w:t>Galderma International</w:t>
            </w:r>
          </w:p>
        </w:tc>
        <w:tc>
          <w:tcPr>
            <w:tcW w:type="dxa" w:w="1559"/>
          </w:tcPr>
          <w:p>
            <w:r>
              <w:rPr>
                <w:sz w:val="20"/>
              </w:rPr>
              <w:t>Gel pour application locale 0,1 % (0,001)</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DIFFERINE</w:t>
            </w:r>
          </w:p>
        </w:tc>
        <w:tc>
          <w:tcPr>
            <w:tcW w:type="dxa" w:w="1559"/>
          </w:tcPr>
          <w:p>
            <w:r>
              <w:rPr>
                <w:sz w:val="20"/>
              </w:rPr>
              <w:t>Galderma International</w:t>
            </w:r>
          </w:p>
        </w:tc>
        <w:tc>
          <w:tcPr>
            <w:tcW w:type="dxa" w:w="1559"/>
          </w:tcPr>
          <w:p>
            <w:r>
              <w:rPr>
                <w:sz w:val="20"/>
              </w:rPr>
              <w:t>Crème pour application cutanée 0,1 % (0,001)</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bl>
    <w:p/>
    <w:p>
      <w:r/>
      <w:r>
        <w:rPr>
          <w:b/>
        </w:rPr>
        <w:t>Sous-classe et Mécanisme d'action :</w:t>
      </w:r>
      <w:r/>
    </w:p>
    <w:p>
      <w:pPr>
        <w:pStyle w:val="ListBullet"/>
      </w:pPr>
      <w:r>
        <w:t>Sous-classe : Rétinoïde topique de 3e génération — acide naphtoïque synthétique (et non acide rétinoïque) — agoniste sélectif des récepteurs RARβ et RARγ (sans affinité significative pour RARα ni pour RXR) — structure tricyclique 2-naphtoïque avec substituant adamantyle conférant une stabilité supérieure à la photo-oxydation et une lipophilie accrue.</w:t>
      </w:r>
    </w:p>
    <w:p>
      <w:pPr>
        <w:pStyle w:val="ListBullet"/>
      </w:pPr>
      <w:r>
        <w:t xml:space="preserve">Mécanisme d'action : L'adapalène pénètre le stratum corneum par diffusion passive (liposolubilité élevée, logP ≈ 5,0), atteint les kératinocytes folliculaires et épidermiques, et se lie sélectivement aux récepteurs nucléaires </w:t>
      </w:r>
      <w:r>
        <w:rPr>
          <w:b/>
        </w:rPr>
        <w:t>RARβ et RARγ</w:t>
      </w:r>
      <w:r>
        <w:t xml:space="preserve"> (sous-types prédominants dans l'épiderme et le follicule pilo-sébacé), sans affinité significative pour RARα ni pour RXR. Cette sélectivité permet une modulation transcriptionnelle ciblée des gènes impliqués dans la différenciation kératinocytaire et l'inflammation, tout en épargnant les voies médiées par RARα (qui pourraient expliquer certains effets indésirables irritatifs de la trétinoïne). Les hétérodimères RAR/RXR formés se lient aux RARE (Retinoic Acid Response Elements) des gènes cibles, modulant la transcription. Trois effets pharmacologiques cardinaux en découlent : (i) </w:t>
      </w:r>
      <w:r>
        <w:rPr>
          <w:b/>
        </w:rPr>
        <w:t>cométolyse</w:t>
      </w:r>
      <w:r>
        <w:t xml:space="preserve"> (normalisation de la desquamation folliculaire, prévention du comédon rétentionnel, expulsion des comédons existants) — effet comparable à la trétinoïne ; (ii) </w:t>
      </w:r>
      <w:r>
        <w:rPr>
          <w:b/>
        </w:rPr>
        <w:t>anti-inflammatoire modéré</w:t>
      </w:r>
      <w:r>
        <w:t xml:space="preserve"> (inhibition de la migration des polynucléaires neutrophiles, inhibition de la libération de leucotriène B4, inhibition de la voie NF-κB et des cytokines pro-inflammatoires IL-6, IL-8, TNFα) — effet supérieur à celui de la trétinoïne et explique l'efficacité sur les lésions inflammatoires superficielles ; (iii) </w:t>
      </w:r>
      <w:r>
        <w:rPr>
          <w:b/>
        </w:rPr>
        <w:t>anti-kératinisation</w:t>
      </w:r>
      <w:r>
        <w:t xml:space="preserve"> (diminution de la cohésion des cornéocytes, accentuation du renouvellement épidermique). L'adapalène n'a pas d'effet bactéricide direct sur *Cutibacterium acnes* mais diminue indirectement la population bactérienne en réduisant le microclimat inflammatoire du follicule. Sa stabilité chimique à la lumière et à l'oxydation autorise une application matinale (à la différence de la trétinoïne et de l'isotrétinoïne topiques), ce qui améliore l'observance et permet l'association à un autre topique le soir (par exemple peroxyde de benzoyle, sans interaction d'inactivation comme c'est le cas avec la trétinoïne).</w:t>
      </w:r>
    </w:p>
    <w:p>
      <w:r/>
      <w:r>
        <w:rPr>
          <w:b/>
        </w:rPr>
        <w:t>Profil Pharmacologique :</w:t>
      </w:r>
      <w:r/>
    </w:p>
    <w:p>
      <w:pPr>
        <w:pStyle w:val="ListBullet"/>
      </w:pPr>
      <w:r>
        <w:t>Indications : (1) Acné vulgaire rétentionnelle (comédons fermés et ouverts) — indication princeps. (2) Acné mixte légère à modérée (avec papules et pustules peu inflammatoires) — efficacité supérieure aux autres rétinoïdes topiques sur les lésions inflammatoires. (3) Acné post-adolescente de la femme (souvent hormonal-dépendante, localisée au bas du visage et à la mâchoire). (4) Acné légère en entretien après traitement d'attaque. (5) Formes kératosiques bénignes : folliculite kératosique, kératose pilaire. (6) Photo-vieillissement cutané léger (off-label — tolérance supérieure à la trétinoïne). (7) Mélasma épidermique (en association — off-label). (8) Association fixe avec peroxyde de benzoyle dans l'acné modérée à sévère (forme combinée Epiduo® — non disponible en Algérie mais association libre possible avec Cutacnyl le matin et Adapalène le soir).</w:t>
      </w:r>
    </w:p>
    <w:p>
      <w:pPr>
        <w:pStyle w:val="ListBullet"/>
      </w:pPr>
      <w:r>
        <w:t xml:space="preserve">Contre-indications : (a) </w:t>
      </w:r>
      <w:r>
        <w:rPr>
          <w:b/>
        </w:rPr>
        <w:t>Grossesse</w:t>
      </w:r>
      <w:r>
        <w:t xml:space="preserve"> (CI par mesure de précaution — tératogénicité non démontrée chez l'animal à doses topiques, mais passage systémique minime (≤ 0,1 %), prudence maximale par analogie avec les autres rétinoïdes). (b) Allaitement (à éviter par mesure de précaution, application strictement hors zone thoracique mammaire). (c) Hypersensibilité à l'adapalène ou excipients (propylèneglycol, parahydroxybenzoates). (d) Peau lésée, eczémateuse, dermatite atopique évolutive. (e) Application simultanée d'autres topiques irritants (peroxyde de benzoyle à forte concentration, acide salicylique, soufre, résorcinol). (f) Enfant de moins de 12 ans (en dessous, utilisation exceptionnelle en centre spécialisé).</w:t>
      </w:r>
    </w:p>
    <w:p>
      <w:pPr>
        <w:pStyle w:val="ListBullet"/>
      </w:pPr>
      <w:r>
        <w:t xml:space="preserve">Effets Indésirables : (a) Cutanés locaux (fréquents, 10-40 %, mais généralement moins marqués qu'avec la trétinoïne) : </w:t>
      </w:r>
      <w:r>
        <w:rPr>
          <w:b/>
        </w:rPr>
        <w:t>rétinoïde-dermatitis</w:t>
      </w:r>
      <w:r>
        <w:t xml:space="preserve"> (érythème modéré, desquamation fine, sensation de brûlure légère, prurit, xérose) — généralement d'intensité légère à modérée, régresse avec l'accoutumance en 2-4 semaines. (b) Photosensibilité (modérée, moins marquée qu'avec la trétinoïne — l'adapalène est stable à la lumière, mais l'effet de peel chimique augmente la sensibilité UV). (c) Pigmentation post-inflammatoire (peaux foncées — phototypes IV à VI). (d) Cheilitis, xérose périorale (plus rares qu'avec la trétinoïne). (e) Exceptionnels : dermatite de contact allergique (&lt; 1 %), dermatite rosacéiforme. (f) Effets systémiques exceptionnels (en cas d'application extensive ou occlusive) : non documentés à ce jour. (g) Effets tératogènes théoriques en cas d'application pendant grossesse (malformations cranio-faciales, cardiaques, thymiques — par analogie avec les autres rétinoïdes, mais non documentés pour l'adapalène en topique).</w:t>
      </w:r>
    </w:p>
    <w:p>
      <w:r/>
      <w:r>
        <w:rPr>
          <w:b/>
        </w:rPr>
        <w:t>Prévention et Gestion des Effets Indésirables :</w:t>
      </w:r>
      <w:r/>
    </w:p>
    <w:p>
      <w:pPr>
        <w:pStyle w:val="ListBullet"/>
      </w:pPr>
      <w:r>
        <w:t>Mesures Préventives : (1) Application de préférence le soir au coucher (par mesure de tolérance locale optimale, bien que l'adapalène soit stable à la lumière et puisse être appliqué le matin si nécessaire). (2) Démarrer par application un soir sur deux pendant 2-4 semaines, puis escalader vers la quotidienneté. (3) Quantité modérée (≈ 0,5 g pour le visage complet — taille d'un pois). (4) Application sur peau parfaitement sèche (30 min après la toilette). (5) Photoprotection diurne SPF 30+ (recommandée, même si moins critique qu'avec la trétinoïne). (6) Émollient non comédogène le matin. (7) Éviction des topiques irritants en association (acide salicylique, AHA, BHA à fortes concentrations). (8) Contraception efficace obligatoire chez la femme en âge de procréer. (9) Test de grossesse pré-thérapeutique recommandé (β-hCG). (10) Éviter l'application concomitante de peroxyde de benzoyle à forte concentration en début de traitement (irritation additive) — espacement de 12 h (adapalène le soir, peroxyde le matin) — en entretien, association possible dans le cadre d'un protocole dermatologique.</w:t>
      </w:r>
    </w:p>
    <w:p>
      <w:pPr>
        <w:pStyle w:val="ListBullet"/>
      </w:pPr>
      <w:r>
        <w:t>Conduite à Tenir : (1) Rétinoïde-dermatitis → application un soir sur deux, émollient hydratant, escalade progressive. (2) Flare-up initial → ne pas arrêter, informer du caractère transitoire (2-6 premières semaines). (3) Photosensibilité excessive → espacer les applications, photoprotection renforcée. (4) Grossesse accidentelle → arrêt immédiat, déclaration au CRAT, échographie spécialisée. (5) Pigmentation post-inflammatoire → azélaïque topique 15-20 % en association, photoprotection stricte. (6) Dermatite de contact allergique → arrêt, tests épicutanés, alternative thérapeutique (azélaïque, antibiotique topique).</w:t>
      </w:r>
    </w:p>
    <w:p>
      <w:r/>
      <w:r>
        <w:rPr>
          <w:b/>
        </w:rPr>
        <w:t>Interactions Importantes :</w:t>
      </w:r>
      <w:r/>
    </w:p>
    <w:p>
      <w:pPr>
        <w:pStyle w:val="ListBullet"/>
      </w:pPr>
      <w:r>
        <w:t xml:space="preserve">Adapalène + Peroxyde de benzoyle (application simultanée) : contrairement à la trétinoïne, l'adapalène est </w:t>
      </w:r>
      <w:r>
        <w:rPr>
          <w:b/>
        </w:rPr>
        <w:t>stable</w:t>
      </w:r>
      <w:r>
        <w:t xml:space="preserve"> en présence de peroxyde de benzoyle (pas d'inactivation). Association possible mais avec risque d'irritation additive en début de traitement → espacer les applications de 12 h en début (adapalène le soir, peroxyde le matin), puis association possible. L'association fixe (Epiduo®) est commercialisée dans d'autres pays avec un excellent profil d'efficacité.</w:t>
      </w:r>
    </w:p>
    <w:p>
      <w:pPr>
        <w:pStyle w:val="ListBullet"/>
      </w:pPr>
      <w:r>
        <w:t>Adapalène + Acide salicylique / AHA / BHA topiques : irritation cutanée additive → éviter l'association ou espacer les applications.</w:t>
      </w:r>
    </w:p>
    <w:p>
      <w:pPr>
        <w:pStyle w:val="ListBullet"/>
      </w:pPr>
      <w:r>
        <w:t>Adapalène + Cosmétiques astringents, alcoolisés, parfumés : potentialisation de l'irritation → éviter.</w:t>
      </w:r>
    </w:p>
    <w:p>
      <w:pPr>
        <w:pStyle w:val="ListBullet"/>
      </w:pPr>
      <w:r>
        <w:t>Adapalène + Sulfamides, tétracyclines, fluoroquinolones orales : photosensibilisation additive → photoprotection stricte obligatoire.</w:t>
      </w:r>
    </w:p>
    <w:p>
      <w:pPr>
        <w:pStyle w:val="ListBullet"/>
      </w:pPr>
      <w:r>
        <w:t>Adapalène + Diurétiques thiazidiques, sulfamides hypoglycémiants, phénothiazines, amiodarone : potentialisation de la photosensibilisation → photoprotection renforcée.</w:t>
      </w:r>
    </w:p>
    <w:p>
      <w:pPr>
        <w:pStyle w:val="ListBullet"/>
      </w:pPr>
      <w:r>
        <w:t>Adapalène + Isotrétinoïne orale : contre-indication relative (addition des effets toxiques systémiques, hypervitaminose A).</w:t>
      </w:r>
    </w:p>
    <w:p>
      <w:pPr>
        <w:pStyle w:val="ListBullet"/>
      </w:pPr>
      <w:r>
        <w:t>Adapalène + Acitrétine orale : contre-indication relative (addition des effets tératogènes et toxiques).</w:t>
      </w:r>
    </w:p>
    <w:p>
      <w:pPr>
        <w:pStyle w:val="ListBullet"/>
      </w:pPr>
      <w:r>
        <w:t>Adapalène + Clindamycine topique : association classique et efficace dans l'acné mixte (comédons + papulopustules) — antibactérien + comédolytique.</w:t>
      </w:r>
    </w:p>
    <w:p>
      <w:pPr>
        <w:pStyle w:val="ListBullet"/>
      </w:pPr>
      <w:r>
        <w:t>Adapalène + Émollients non comédogènes : association bénéfique pour contrer la xérose rétinoïdique.</w:t>
      </w:r>
    </w:p>
    <w:p>
      <w:r/>
      <w:r>
        <w:rPr>
          <w:b/>
        </w:rPr>
        <w:t>Grossesse et Allaitement :</w:t>
      </w:r>
      <w:r/>
    </w:p>
    <w:p>
      <w:pPr>
        <w:pStyle w:val="ListBullet"/>
      </w:pPr>
      <w:r>
        <w:t xml:space="preserve">Grossesse : </w:t>
      </w:r>
      <w:r>
        <w:rPr>
          <w:b/>
        </w:rPr>
        <w:t>Contre-indication par mesure de précaution</w:t>
      </w:r>
      <w:r>
        <w:t xml:space="preserve">. L'adapalène est le rétinoïde topique pour lequel le passage systémique est le plus faible (≤ 0,1 %) et la tératogénicité n'a pas été démontrée chez l'animal à doses topiques. Cependant, le CRAT (Centre de Référence sur les Agents Tératogènes) recommande par prudence de ne pas l'utiliser pendant la grossesse (par analogie avec les autres rétinoïdes, en raison de l'incertitude persistante). En cas d'exposition accidentelle pendant grossesse, le CRAT considère que l'exposition topique à l'adapalène n'est </w:t>
      </w:r>
      <w:r>
        <w:rPr>
          <w:b/>
        </w:rPr>
        <w:t>pas</w:t>
      </w:r>
      <w:r>
        <w:t xml:space="preserve"> une indication d'interruption de grossesse (le risque malformatif est considéré comme très faible à nul), mais nécessite une surveillance échographique de principe. Contraception efficace recommandée pendant le traitement. Test de grossesse pré-thérapeutique non systématiquement obligatoire (à discuter selon contexte), mais contraception efficace pendant toute la durée du traitement est conseillée.</w:t>
      </w:r>
    </w:p>
    <w:p>
      <w:pPr>
        <w:pStyle w:val="ListBullet"/>
      </w:pPr>
      <w:r>
        <w:t>Allaitement : À éviter par mesure de précaution, bien que le passage dans le lait maternel ne soit pas documenté. En cas de traitement indispensable, application strictement hors zone thoracique mammaire, lavage des mains soigneux après application, ne pas appliquer dans les 30 minutes précédant une tétée. L'adapalène est considéré par le CRAT comme le rétinoïde topique de choix en cas de traitement indispensable pendant l'allaitement.</w:t>
      </w:r>
    </w:p>
    <w:p>
      <w:pPr>
        <w:pStyle w:val="ListBullet"/>
      </w:pPr>
      <w:r>
        <w:t>Précisions : Informer la patiente de l'incertitude concernant l'innocuité fœtale et lui recommander une contraception efficace pendant le traitement.</w:t>
      </w:r>
    </w:p>
    <w:p>
      <w:r/>
      <w:r>
        <w:rPr>
          <w:b/>
        </w:rPr>
        <w:t>Posologie et Mode d'administration (Standard) :</w:t>
      </w:r>
      <w:r/>
    </w:p>
    <w:p>
      <w:pPr>
        <w:pStyle w:val="ListBullet"/>
      </w:pPr>
      <w:r>
        <w:t>Adulte : Crème ou gel 0,1 % — application en couche fine le soir au coucher (préférentiellement) sur peau parfaitement sèche et propre, en quantité modérée (≈ 0,5 g pour le visage complet — taille d'un pois). Démarrer par application un soir sur deux pendant 2-4 semaines, puis escalader vers la quotidienneté. Durée minimale d'essai de 8-12 semaines avant jugement de l'efficacité. Entretien à 1-3 applications/semaine en traitement prolongé (jusqu'à 12 mois et plus selon tolérance et efficacité).</w:t>
      </w:r>
    </w:p>
    <w:p>
      <w:pPr>
        <w:pStyle w:val="ListBullet"/>
      </w:pPr>
      <w:r>
        <w:t>Enfant : À éviter avant 12 ans. À partir de 12 ans : posologie identique à l'adulte.</w:t>
      </w:r>
    </w:p>
    <w:p>
      <w:pPr>
        <w:pStyle w:val="ListBullet"/>
      </w:pPr>
      <w:r>
        <w:t>Sujet âgé : Pas d'adaptation posologique.</w:t>
      </w:r>
    </w:p>
    <w:p>
      <w:pPr>
        <w:pStyle w:val="ListBullet"/>
      </w:pPr>
      <w:r>
        <w:t>Insuffisance hépatique / rénale : Pas d'adaptation posologique (passage systémique minime).</w:t>
      </w:r>
    </w:p>
    <w:p>
      <w:pPr>
        <w:pStyle w:val="ListBullet"/>
      </w:pPr>
      <w:r>
        <w:t>Moment de la prise : De préférence le soir au coucher (tolérance locale optimale), mais l'adapalène peut être appliqué le matin si nécessaire (stabilité à la lumière) — application sur peau parfaitement sèche (30 min après la toilette).</w:t>
      </w:r>
    </w:p>
    <w:p>
      <w:r/>
      <w:r>
        <w:rPr>
          <w:b/>
        </w:rPr>
        <w:t>Arbitrage et Bénéfices des Formes Galéniques :</w:t>
      </w:r>
      <w:r/>
    </w:p>
    <w:p>
      <w:r>
        <w:t xml:space="preserve">L'adapalène se présente en deux formes galéniques principales : (1) </w:t>
      </w:r>
      <w:r>
        <w:rPr>
          <w:b/>
        </w:rPr>
        <w:t>gel</w:t>
      </w:r>
      <w:r>
        <w:t xml:space="preserve"> (ACNAL, ACNYX, ADAFERIN, ADAPALENE NOVAGENIRCS, DIFFERINE gel 0,1 %) — indiqué pour peau grasse à mixte, pénétration rapide, indiqué pour l'acné rétentionnelle et mixte du visage et du dos ; (2) </w:t>
      </w:r>
      <w:r>
        <w:rPr>
          <w:b/>
        </w:rPr>
        <w:t>crème</w:t>
      </w:r>
      <w:r>
        <w:t xml:space="preserve"> (ADAPALENE NOVAGENERICS, DIFFERINE crème 0,1 %) — indiquée pour peau sèche à normale, pénétration modérée, tolérance meilleure, indiquée pour l'acné du visage et pour les peaux sensibles. L'arbitrage se fait selon le phototype cutané : peau grasse → gel ; peau sèche/sensible → crème. La concentration 0,1 % est la concentration standard en Algérie. Une concentration supérieure 0,3 % (Differin® 0,3 %) existe dans d'autres pays mais n'est pas commercialisée en Algérie. La forme microencapsulée (enveloppement polymérique du principe actif pour libération progressive) n'existe pas pour l'adapalène (à la différence de la trétinoïne Retin-A Micro®). Le gel est généralement préféré pour l'acné du visage, du dos et du thorax (zones séborrhéiques), tandis que la crème est privilégiée pour le visage à peau sensible. Le passage du gel à la crème est conseillé en cas d'intolérance au gel.</w:t>
      </w:r>
    </w:p>
    <w:p>
      <w:r/>
      <w:r>
        <w:rPr>
          <w:b/>
        </w:rPr>
        <w:t>Instructions et Conseils au Patient :</w:t>
      </w:r>
      <w:r/>
    </w:p>
    <w:p>
      <w:pPr>
        <w:pStyle w:val="ListBullet"/>
      </w:pPr>
      <w:r>
        <w:t>Communication au comptoir : (1) Expliquer que l'adapalène est un traitement de fond de l'acné rétentionnelle et inflammatoire légère, agissant en quelques semaines à mois. (2) Application le soir au coucher de préférence (mais le matin est possible si nécessaire), sur peau sèche, en couche fine (taille d'un pois). (3) Prévenir l'aggravation initiale possible (flare-up des 2-6 premières semaines — caractère transitoire, ne pas arrêter). (4) Informer de la photosensibilité modérée : photoprotection SPF 30+ recommandée, éviter l'exposition solaire directe. (5) Prévenir le patient des signes d'irritation (érythème, desquamation, sensation de brûlure — fréquents en début, régression avec accoutumance) et lui recommander d'associer un émollient non comédogène le matin. (6) Chez la femme en âge de procréer : contraception efficace recommandée pendant le traitement, ne pas utiliser pendant grossesse et allaitement. (7) Informer des interactions : ne pas associer en application simultanée à des acides exfoliants (AHA, BHA) ou à des cosmétiques irritants. (8) Donner un délai d'évaluation : 8-12 semaines minimum avant jugement de l'efficacité. (9) Préciser le mode de conservation : à température &lt; 25 °C, à l'abri de la lumière et de la chaleur. (10) Bonne tolérance locale globale de l'adapalène par rapport à la trétinoïne — premier choix de rétinoïde topique en Algérie.</w:t>
      </w:r>
    </w:p>
    <w:p>
      <w:pPr>
        <w:pStyle w:val="ListBullet"/>
      </w:pPr>
      <w:r>
        <w:t>Mode d'utilisation pratique : (1) Toilette du visage avec un syndet doux, séchage doux sans frottement, attendre 30 minutes avant application. (2) Application d'une petite quantité (≈ 0,5 g — taille d'un pois) en couche fine sur l'ensemble du visage (et non en spot treatment sur les lésions isolées). (3) Éviter le contour des yeux, les lèvres, les narines, les muqueuses. (4) Lavage soigneux des mains après application. (5) Le matin, application d'un émollient hydratant non comédogène + photoprotection SPF 30+. (6) Ne pas appliquer de maquillage dans les 30 minutes suivant l'application.</w:t>
      </w:r>
    </w:p>
    <w:p>
      <w:r/>
      <w:r>
        <w:rPr>
          <w:b/>
        </w:rPr>
        <w:t>Notes, Règles d'Or &amp; Pièges au Comptoir :</w:t>
      </w:r>
      <w:r/>
    </w:p>
    <w:p>
      <w:pPr>
        <w:pStyle w:val="ListBullet"/>
      </w:pPr>
      <w:r>
        <w:t>Piège classique : (1) Application sur peau humide — augmente l'irritation. Toujours appliquer sur peau sèche après 30 min d'attente. (2) Confusion avec les cosmétiques "à base de rétinol" — le rétinol (forme alcool) est ~20 fois moins puissant que l'adapalène. (3) Femme enceinte : ne pas délivrer sans vérification contraceptive stricte. (4) Association adapalène + peroxyde de benzoyle en début de traitement — risque d'irritation additive. Espacer les applications de 12 h (adapalène le soir, peroxyde le matin) en début, puis association possible en entretien. (5) Application en spot treatment — erreur, l'adapalène s'applique en couche fine sur tout le visage. (6) Effet de flare-up interprété comme allergie → interruption inappropriée, alors que la poursuite permet l'accoutumance. (7) Application sur peau eczémateuse ou lésée — aggravation irritative majeure. (8) Confusion ACNAL (adapalène) ↔ ACNETIN-A (trétinoïne) — noms commerciaux proches mais molécules différentes, l'adapalène est mieux toléré. (9) Confusion ADAFERIN ↔ DIFFERINE — même DCI (adapalène), bioéquivalents, substitution possible. (10) Ne pas associer à un autre rétinoïde topique (trétinoïne, isotrétinoïne) — risque de surdosage rétinoïdique et d'hypervitaminose A locale.</w:t>
      </w:r>
    </w:p>
    <w:p>
      <w:pPr>
        <w:pStyle w:val="ListBullet"/>
      </w:pPr>
      <w:r>
        <w:t>Règle de prise : Application vespérale de préférence, peau sèche, couche fine, photoprotection diurne, contraception chez la femme en âge de procréer.</w:t>
      </w:r>
    </w:p>
    <w:p>
      <w:pPr>
        <w:pStyle w:val="ListBullet"/>
      </w:pPr>
      <w:r>
        <w:t>Préparation et Conservation : Tube fermé après chaque usage, conservation à T° &lt; 25 °C, à l'abri de la lumière et de la chaleur. Durée de conservation après ouverture : 6 mois maximum. Ne pas congeler.</w:t>
      </w:r>
    </w:p>
    <w:p>
      <w:pPr>
        <w:pStyle w:val="ListBullet"/>
      </w:pPr>
      <w:r>
        <w:t>Piège du surdosage / Substitution : (1) Application excessive (quantité trop importante) — augmente l'irritation sans améliorer l'efficacité. (2) Augmentation trop rapide de la fréquence d'application — risque d'irritation sévère. (3) Substitution entre marques : ACNAL, ACNYX, ADAFERIN, ADAPALENE NOVAGENIRCS/NOVAGENERICS, DIFFERINE — toutes bioéquivalentes (même DCI, même dosage 0,1 %), substitution possible. Préférer DIFFERINE (princeps) en initiation puis génériques en entretien. (4) Substitution entre gel et crème : possible selon le phototype cutané (gel pour peau grasse, crème pour peau sèche). (5) Substitution ACNAL (adapalène) ↔ ACNETIN-A (trétinoïne) — ne pas substituer (molécules différentes). (6) Disponibilité du marché algérien : cinq marques disponibles, prix variable, le DIFFERINE (princeps) généralement plus coûteux, les génériques (ACNAL, ACNYX, ADAFERIN, ADAPALENE NOVAGENERICS) plus accessibles.</w:t>
      </w:r>
    </w:p>
    <w:p>
      <w:pPr>
        <w:pStyle w:val="Heading3"/>
      </w:pPr>
      <w:r>
        <w:t>DCI 4 — Acitrétine</w:t>
      </w:r>
    </w:p>
    <w:p>
      <w:r/>
      <w:r>
        <w:rPr>
          <w:b/>
        </w:rPr>
        <w:t>Liste des Catégories :</w:t>
      </w:r>
      <w:r>
        <w:t xml:space="preserve"> Antipsoriasique systémique — Rétinoïde systémique de 2e génération — Dérivé de la vitamine A — Acide aréaroïdique — Anti-prolifératif kératinocytaire — Anti-inflammatoire — Liste I — Médicament à prescription hospitalière spécialisée (dermatologie) — Tératogène majeur (CI grossesse 3 ans post-arrêt).</w:t>
      </w:r>
    </w:p>
    <w:p>
      <w:r>
        <w:t xml:space="preserve">L'acitrétine (acide (2E,4E,6E,8E)-9-(4-méthoxy-2,3,6-triméthylphényl)-3,7-diméthylnona-2,4,6,8-tétraénoïque) est un rétinoïde systémique de seconde génération, métabolite actif de l'étrétinate (Tegison®, retiré du marché en 1999). Synthétisée par les laboratoires Hoffmann-La Roche et commercialisée en 1987 sous le nom NEOTIGASON®, l'acitrétine a constitué une avancée majeure dans le traitement du psoriasis sévère avant l'ère des biothérapies (anti-TNFα, anti-IL-17, anti-IL-23) et reste aujourd'hui un traitement de référence, en particulier dans les formes pustuleuses palmoplantaires, érythrodermiques et chez la femme envisageant une grossesse (bien que sa tératogénicité et son long délai d'élimination posent un problème contraceptif spécifique). En Algérie, l'acitrétine est commercialisée sous le nom </w:t>
      </w:r>
      <w:r>
        <w:rPr>
          <w:b/>
        </w:rPr>
        <w:t>BIOTRETANE</w:t>
      </w:r>
      <w:r>
        <w:t xml:space="preserve"> (Biopharm) en gélules 10 mg et 25 mg, conditionnement boîte de 30. La spécialité princeps NEOTIGASON (Hoffmann-La Roche) a été retirée du marché algérien. La délivrance est strictement réservée à la prescription hospitalière dermatologique (Liste I).</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BIOTRETANE</w:t>
            </w:r>
          </w:p>
        </w:tc>
        <w:tc>
          <w:tcPr>
            <w:tcW w:type="dxa" w:w="1559"/>
          </w:tcPr>
          <w:p>
            <w:r>
              <w:rPr>
                <w:sz w:val="20"/>
              </w:rPr>
              <w:t>Biopharm</w:t>
            </w:r>
          </w:p>
        </w:tc>
        <w:tc>
          <w:tcPr>
            <w:tcW w:type="dxa" w:w="1559"/>
          </w:tcPr>
          <w:p>
            <w:r>
              <w:rPr>
                <w:sz w:val="20"/>
              </w:rPr>
              <w:t>Gélule 10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BIOTRETANE</w:t>
            </w:r>
          </w:p>
        </w:tc>
        <w:tc>
          <w:tcPr>
            <w:tcW w:type="dxa" w:w="1559"/>
          </w:tcPr>
          <w:p>
            <w:r>
              <w:rPr>
                <w:sz w:val="20"/>
              </w:rPr>
              <w:t>Biopharm</w:t>
            </w:r>
          </w:p>
        </w:tc>
        <w:tc>
          <w:tcPr>
            <w:tcW w:type="dxa" w:w="1559"/>
          </w:tcPr>
          <w:p>
            <w:r>
              <w:rPr>
                <w:sz w:val="20"/>
              </w:rPr>
              <w:t>Gélule 25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NEOTIGASON (R)</w:t>
            </w:r>
          </w:p>
        </w:tc>
        <w:tc>
          <w:tcPr>
            <w:tcW w:type="dxa" w:w="1559"/>
          </w:tcPr>
          <w:p>
            <w:r>
              <w:rPr>
                <w:sz w:val="20"/>
              </w:rPr>
              <w:t>Hoffmann-La Roche</w:t>
            </w:r>
          </w:p>
        </w:tc>
        <w:tc>
          <w:tcPr>
            <w:tcW w:type="dxa" w:w="1559"/>
          </w:tcPr>
          <w:p>
            <w:r>
              <w:rPr>
                <w:sz w:val="20"/>
              </w:rPr>
              <w:t>Gélule 10 mg</w:t>
            </w:r>
          </w:p>
        </w:tc>
        <w:tc>
          <w:tcPr>
            <w:tcW w:type="dxa" w:w="1559"/>
          </w:tcPr>
          <w:p>
            <w:r>
              <w:rPr>
                <w:sz w:val="20"/>
              </w:rPr>
              <w:t>Boîte de 30</w:t>
            </w:r>
          </w:p>
        </w:tc>
        <w:tc>
          <w:tcPr>
            <w:tcW w:type="dxa" w:w="1559"/>
          </w:tcPr>
          <w:p>
            <w:r>
              <w:rPr>
                <w:sz w:val="20"/>
              </w:rPr>
              <w:t>Liste I</w:t>
            </w:r>
          </w:p>
        </w:tc>
        <w:tc>
          <w:tcPr>
            <w:tcW w:type="dxa" w:w="1559"/>
          </w:tcPr>
          <w:p>
            <w:r>
              <w:rPr>
                <w:sz w:val="20"/>
              </w:rPr>
              <w:t>Retiré</w:t>
            </w:r>
          </w:p>
        </w:tc>
      </w:tr>
      <w:tr>
        <w:tc>
          <w:tcPr>
            <w:tcW w:type="dxa" w:w="1559"/>
          </w:tcPr>
          <w:p>
            <w:r>
              <w:rPr>
                <w:sz w:val="20"/>
              </w:rPr>
              <w:t>NEOTIGASON (R)</w:t>
            </w:r>
          </w:p>
        </w:tc>
        <w:tc>
          <w:tcPr>
            <w:tcW w:type="dxa" w:w="1559"/>
          </w:tcPr>
          <w:p>
            <w:r>
              <w:rPr>
                <w:sz w:val="20"/>
              </w:rPr>
              <w:t>Hoffmann-La Roche</w:t>
            </w:r>
          </w:p>
        </w:tc>
        <w:tc>
          <w:tcPr>
            <w:tcW w:type="dxa" w:w="1559"/>
          </w:tcPr>
          <w:p>
            <w:r>
              <w:rPr>
                <w:sz w:val="20"/>
              </w:rPr>
              <w:t>Gélule 25 mg</w:t>
            </w:r>
          </w:p>
        </w:tc>
        <w:tc>
          <w:tcPr>
            <w:tcW w:type="dxa" w:w="1559"/>
          </w:tcPr>
          <w:p>
            <w:r>
              <w:rPr>
                <w:sz w:val="20"/>
              </w:rPr>
              <w:t>Boîte de 30</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Rétinoïde systémique de 2e génération — métabolite actif de l'étrétinate (proche structurel) — acide aréaroïdique — pan-agoniste des RAR (α, β, γ) sans affinité significative pour les RXR — pas d'action sébosuppressive significative (à la différence de l'isotrétinoïne orale).</w:t>
      </w:r>
    </w:p>
    <w:p>
      <w:pPr>
        <w:pStyle w:val="ListBullet"/>
      </w:pPr>
      <w:r>
        <w:t xml:space="preserve">Mécanisme d'action : L'acitrétine, administrée par voie orale, est absorbée au niveau intestinal en présence de graisses alimentaires (biodisponibilité ~ 60 %, augmentation par alimentation lipidique). Elle est transportée dans le plasma par la RBP (Retinol Binding Protein) et l'albumine, puis gagne les kératinocytes où elle pénètre par diffusion passive et se lie aux récepteurs nucléaires </w:t>
      </w:r>
      <w:r>
        <w:rPr>
          <w:b/>
        </w:rPr>
        <w:t>RAR</w:t>
      </w:r>
      <w:r>
        <w:t xml:space="preserve"> (α, β, γ), sans affinité significative pour les RXR. Les hétérodimères RAR/RXR formés (le partenaire RXR est activé par l'acide 9-cis-rétinoïque endogène) se lient aux RARE des gènes cibles, modulant la transcription de plus de 500 gènes impliqués dans la différenciation épidermique, la prolifération kératinocytaire et l'inflammation. Trois effets pharmacologiques cardinaux en découlent dans le psoriasis : (i) </w:t>
      </w:r>
      <w:r>
        <w:rPr>
          <w:b/>
        </w:rPr>
        <w:t>anti-prolifératif kératinocytaire</w:t>
      </w:r>
      <w:r>
        <w:t xml:space="preserve"> (normalisation de la différenciation épidermique anormale, diminution de l'index mitotique des kératinocytes, réduction de l'épaisseur des plaques psoriasiques, normalisation du marquage K16 — kératine de proliferation — et de la K1/K10 — kératines de différenciation) ; (ii) </w:t>
      </w:r>
      <w:r>
        <w:rPr>
          <w:b/>
        </w:rPr>
        <w:t>anti-inflammatoire</w:t>
      </w:r>
      <w:r>
        <w:t xml:space="preserve"> (diminution des cytokines Th17 — IL-17A, IL-17F, IL-22, IL-23 — qui jouent un rôle central dans la physiopathologie du psoriasis ; inhibition du chimiotactisme des polynucléaires neutrophiles dans l'épiderme — disparition des micro-abcès de Munro) ; (iii) </w:t>
      </w:r>
      <w:r>
        <w:rPr>
          <w:b/>
        </w:rPr>
        <w:t>normalisation de la desquamation</w:t>
      </w:r>
      <w:r>
        <w:t xml:space="preserve"> (diminution de la parakératose, restauration de la couche granuleuse). L'efficacité de l'acitrétine est maximale dans les formes pustuleuses (où elle inhibe l'influx neutrophilique) et érythrodermiques (où elle normalise la différenciation), plus modeste dans le psoriasis en plaques (où elle est souvent associée à la PUVA-thérapie — rétino-PUVA, ou à la photothérapie UVB-TL01 — rétino-UVB). L'acitrétine n'a pas d'effet direct sur les lymphocytes T autoréactifs (à la différence des biothérapies) ni sur l'immunité générale (à la différence du méthotrexate ou de la ciclosporine), ce qui explique son bon profil de tolérance infectieuse mais aussi son efficacité plus lente et incomplète dans les psoriasis en plaques étendus.</w:t>
      </w:r>
    </w:p>
    <w:p>
      <w:r/>
      <w:r>
        <w:rPr>
          <w:b/>
        </w:rPr>
        <w:t>Profil Pharmacologique :</w:t>
      </w:r>
      <w:r/>
    </w:p>
    <w:p>
      <w:pPr>
        <w:pStyle w:val="ListBullet"/>
      </w:pPr>
      <w:r>
        <w:t xml:space="preserve">Indications : (1) </w:t>
      </w:r>
      <w:r>
        <w:rPr>
          <w:b/>
        </w:rPr>
        <w:t>Psoriasis sévère de l'adulte</w:t>
      </w:r>
      <w:r>
        <w:t xml:space="preserve"> — formes étendues (BSA &gt; 10 % ou PASI &gt; 10), résistant aux traitements topiques (dermocorticoïdes forts, vitamine D topique, calcipotriol) — formes pustuleuses (psoriasis pustuleux généralisé de von Zumbusch, pustulose palmoplantaire de Barber), érythrodermiques, en plaques épaisses. (2) </w:t>
      </w:r>
      <w:r>
        <w:rPr>
          <w:b/>
        </w:rPr>
        <w:t>Ichtyoses héréditaires</w:t>
      </w:r>
      <w:r>
        <w:t xml:space="preserve"> — ichtyose lamellaire, érythrodermie ichtyosiforme congénitale bulleuse (EICB), ichtyose vulgaire sévère. (3) </w:t>
      </w:r>
      <w:r>
        <w:rPr>
          <w:b/>
        </w:rPr>
        <w:t>Maladie de Darier</w:t>
      </w:r>
      <w:r>
        <w:t xml:space="preserve"> (keratosis follicularis). (4) </w:t>
      </w:r>
      <w:r>
        <w:rPr>
          <w:b/>
        </w:rPr>
        <w:t>Pityriasis rubra pilaire</w:t>
      </w:r>
      <w:r>
        <w:t xml:space="preserve"> (PRP). (5) </w:t>
      </w:r>
      <w:r>
        <w:rPr>
          <w:b/>
        </w:rPr>
        <w:t>Lichen plan</w:t>
      </w:r>
      <w:r>
        <w:t xml:space="preserve"> sévère étendu (off-label). (6) </w:t>
      </w:r>
      <w:r>
        <w:rPr>
          <w:b/>
        </w:rPr>
        <w:t>Prévention des cancers cutanés</w:t>
      </w:r>
      <w:r>
        <w:t xml:space="preserve"> chez les sujets à très haut risque (xeroderma pigmentosum, greffés d'organe sous immunosuppresseurs, maladie de Gorlin multiple) — protocole spécialisé. (7) </w:t>
      </w:r>
      <w:r>
        <w:rPr>
          <w:b/>
        </w:rPr>
        <w:t>Acné sévère résistante</w:t>
      </w:r>
      <w:r>
        <w:t xml:space="preserve"> (off-label, l'isotrétinoïne est préférée en première intention).</w:t>
      </w:r>
    </w:p>
    <w:p>
      <w:pPr>
        <w:pStyle w:val="ListBullet"/>
      </w:pPr>
      <w:r>
        <w:t xml:space="preserve">Contre-indications : (a) </w:t>
      </w:r>
      <w:r>
        <w:rPr>
          <w:b/>
        </w:rPr>
        <w:t>Grossesse</w:t>
      </w:r>
      <w:r>
        <w:t xml:space="preserve"> (CI absolue — tératogénicité majeure — syndrome de rétinoïde fœtal — la CI s'étend à 3 ans après l'arrêt du traitement en raison de la réestérification possible en étrétinate en présence d'éthanol, qui a une demi-vie de 120 jours et une imprégnation tissulaire prolongée). (b) Allaitement. (c) Femme en âge de procréer ne pouvant ou ne voulant pas assurer une contraception stricte et prolongée (3 ans post-arrêt). (d) Hypersensibilité à l'acitrétine, à l'étrétinate, ou aux excipients (huile d'arachide — allergie arachide). (e) Insuffisance hépatique sévère. (f) Insuffisance rénale sévère. (g) Hyperlipidémie sévère non contrôlée (hypertriglycéridémie &gt; 5,6 mmol/L). (h) Hypervitaminose A. (i) Alcoolisme chronique (risque de réestérification en étrétinate, prolongeant la demi-vie d'élimination). (j) Association aux tétracyclines (CI absolue — risque d'hypertension intracrânienne bénigne). (k) Association au méthotrexate (hépatotoxicité additive). (l) Association à la vitamine A (hypervitaminose A additive). (m) Association aux phénicotinates, fibrates si hypertriglycéridémie préexistante. (n) Enfant de moins de 6 ans (à éviter sauf indication vitale — ichtyose lamellaire sévère).</w:t>
      </w:r>
    </w:p>
    <w:p>
      <w:pPr>
        <w:pStyle w:val="ListBullet"/>
      </w:pPr>
      <w:r>
        <w:t xml:space="preserve">Effets Indésirables : (a) </w:t>
      </w:r>
      <w:r>
        <w:rPr>
          <w:b/>
        </w:rPr>
        <w:t>Syndrome d'hypervitaminose A</w:t>
      </w:r>
      <w:r>
        <w:t xml:space="preserve"> (très fréquents, quasi constants) : chéilite (&gt; 90 % des patients — le signe le plus précoce et le plus constant, à utiliser comme marqueur d'observance et d'efficacité — si pas de chéilite, dose possiblement insuffisante), xérose cutanée (peau fine, sèche, desquamante — surtout paumes et plantes), prurit, fragilité cutanée (été augmenté par friction), peeling palmoplantaire, paronychies (inflammation des replis unguéaux), alopécie (10-25 % des patients — généralement réversible à l'arrêt), cheveux fins et cassants. (b) </w:t>
      </w:r>
      <w:r>
        <w:rPr>
          <w:b/>
        </w:rPr>
        <w:t>Muqueuses</w:t>
      </w:r>
      <w:r>
        <w:t xml:space="preserve"> : xérophtalmie (50 % — sensation de sable dans les yeux, intolérance aux lentilles de contact), xérostomie, épistaxis (fragilité de la muqueuse nasale), gingivite, stomatite. (c) </w:t>
      </w:r>
      <w:r>
        <w:rPr>
          <w:b/>
        </w:rPr>
        <w:t>Hépatique</w:t>
      </w:r>
      <w:r>
        <w:t xml:space="preserve"> : élévation transaminases (10-15 % — généralement modérée, réversible à l'arrêt ou à la réduction de dose), hépatite cytolytique rare (&lt; 1 %), hépatotoxicité sévère exceptionnelle (à surveiller en cas d'association à d'autres hépatotoxiques). (d) </w:t>
      </w:r>
      <w:r>
        <w:rPr>
          <w:b/>
        </w:rPr>
        <w:t>Métabolique</w:t>
      </w:r>
      <w:r>
        <w:t xml:space="preserve"> : hyperlipidémie (30-50 % des patients — élévation des triglycérides &gt; cholestérol &gt; LDL — à surveiller mensuellement en début de traitement), hyperuricémie (rare), modification de la glycémie. (e) </w:t>
      </w:r>
      <w:r>
        <w:rPr>
          <w:b/>
        </w:rPr>
        <w:t>Ostéo-articulaire</w:t>
      </w:r>
      <w:r>
        <w:t xml:space="preserve"> (traitements prolongés &gt; 6 mois à forte dose) : hyperostoses vertébrales antérieures (calcifications ligamentaires, syndrome de Forestier-like), arthralgies, myalgies, ossification des ligaments périphériques, ostéoporose (à surveiller en cas de traitement prolongé et de facteurs de risque associés). (f) </w:t>
      </w:r>
      <w:r>
        <w:rPr>
          <w:b/>
        </w:rPr>
        <w:t>Neurologique</w:t>
      </w:r>
      <w:r>
        <w:t xml:space="preserve"> : céphalées (fréquentes, modérées), plus rarement hypertension intracrânienne bénigne (surtout en association avec tétracyclines — CI absolue), troubles de la vision nocturne (héméralopie — à surveiller, conduite automobile nocturne à éviter). (g) </w:t>
      </w:r>
      <w:r>
        <w:rPr>
          <w:b/>
        </w:rPr>
        <w:t>Psychiatrique</w:t>
      </w:r>
      <w:r>
        <w:t xml:space="preserve"> : syndrome dépressif, anxiété (controversé — à surveiller). (h) </w:t>
      </w:r>
      <w:r>
        <w:rPr>
          <w:b/>
        </w:rPr>
        <w:t>Digestif</w:t>
      </w:r>
      <w:r>
        <w:t xml:space="preserve"> : nausées, vomissements, diarrhée (rares). (i) </w:t>
      </w:r>
      <w:r>
        <w:rPr>
          <w:b/>
        </w:rPr>
        <w:t>Cutané spécifique</w:t>
      </w:r>
      <w:r>
        <w:t xml:space="preserve"> : développement de granulomes pyogéniques (péri-unguéaux), érythème vasomoteur, photosensibilité (modérée). (j) </w:t>
      </w:r>
      <w:r>
        <w:rPr>
          <w:b/>
        </w:rPr>
        <w:t>Tératogénicité</w:t>
      </w:r>
      <w:r>
        <w:t xml:space="preserve"> majeure en cas d'exposition pendant grossesse (malformations cranio-faciales, cardiaques, thymiques, neurologiques — syndrome de rétinoïde fœtal — risque persistant jusqu'à 3 ans après l'arrêt en raison de la réestérification possible en étrétinate).</w:t>
      </w:r>
    </w:p>
    <w:p>
      <w:r/>
      <w:r>
        <w:rPr>
          <w:b/>
        </w:rPr>
        <w:t>Prévention et Gestion des Effets Indésirables :</w:t>
      </w:r>
      <w:r/>
    </w:p>
    <w:p>
      <w:pPr>
        <w:pStyle w:val="ListBullet"/>
      </w:pPr>
      <w:r>
        <w:t xml:space="preserve">Mesures Préventives : (1) </w:t>
      </w:r>
      <w:r>
        <w:rPr>
          <w:b/>
        </w:rPr>
        <w:t>Bilan pré-thérapeutique complet</w:t>
      </w:r>
      <w:r>
        <w:t xml:space="preserve"> obligatoire avant instauration : NFS, plaquettes, transaminases (ASAT, ALAT), γGT, PAL, bilirubine totale, bilan lipidique à jeun (cholestérol total, LDL, HDL, triglycérides), glycémie, créatininémie, β-hCG plasmatiques chez la femme en âge de procréer. Radiographie rachis et squelette axial si traitement prolongé envisagé. (2) </w:t>
      </w:r>
      <w:r>
        <w:rPr>
          <w:b/>
        </w:rPr>
        <w:t>Contraception efficace obligatoire</w:t>
      </w:r>
      <w:r>
        <w:t xml:space="preserve"> (pilule combinée ou progestative, DIU au cuivre ou hormonal, implant sous-cutané) à débuter </w:t>
      </w:r>
      <w:r>
        <w:rPr>
          <w:b/>
        </w:rPr>
        <w:t>1 mois avant</w:t>
      </w:r>
      <w:r>
        <w:t xml:space="preserve"> le traitement, pendant toute la durée du traitement, et </w:t>
      </w:r>
      <w:r>
        <w:rPr>
          <w:b/>
        </w:rPr>
        <w:t>pendant 3 ans après l'arrêt</w:t>
      </w:r>
      <w:r>
        <w:t xml:space="preserve"> (en raison de la réestérification possible en étrétinate en présence d'éthanol). Double contraception recommandée (pilule + préservatif). (3) </w:t>
      </w:r>
      <w:r>
        <w:rPr>
          <w:b/>
        </w:rPr>
        <w:t>Test de grossesse plasmatique β-hCG pré-thérapeutique</w:t>
      </w:r>
      <w:r>
        <w:t xml:space="preserve"> obligatoire, répété mensuellement pendant et pendant 3 ans après l'arrêt (tous les 1-3 mois). (4) </w:t>
      </w:r>
      <w:r>
        <w:rPr>
          <w:b/>
        </w:rPr>
        <w:t>Éviction stricte de l'alcool</w:t>
      </w:r>
      <w:r>
        <w:t xml:space="preserve"> pendant et 2 mois après l'arrêt (réestérification en étrétinate). (5) </w:t>
      </w:r>
      <w:r>
        <w:rPr>
          <w:b/>
        </w:rPr>
        <w:t>Consentement éclairé</w:t>
      </w:r>
      <w:r>
        <w:t xml:space="preserve"> signé par la patiente (et son partenaire si possible), expliquant la CI grossesse pendant et 3 ans après l'arrêt. (6) </w:t>
      </w:r>
      <w:r>
        <w:rPr>
          <w:b/>
        </w:rPr>
        <w:t>Information patient</w:t>
      </w:r>
      <w:r>
        <w:t xml:space="preserve"> sur le syndrome d'hypervitaminose A (chéilite, xérose, fragilité cutanée) — signes attendus, marqueurs d'observance. (7) </w:t>
      </w:r>
      <w:r>
        <w:rPr>
          <w:b/>
        </w:rPr>
        <w:t>Photoprotection stricte</w:t>
      </w:r>
      <w:r>
        <w:t xml:space="preserve"> (SPF 50+, vêtements couvrants) — photosensibilité modérée. (8) </w:t>
      </w:r>
      <w:r>
        <w:rPr>
          <w:b/>
        </w:rPr>
        <w:t>Hydratation cutanée et labiale abondante</w:t>
      </w:r>
      <w:r>
        <w:t xml:space="preserve"> (crème émolliente plusieurs fois par jour, baume à lèvres) — prévention de la xérose et de la chéilite. (9) </w:t>
      </w:r>
      <w:r>
        <w:rPr>
          <w:b/>
        </w:rPr>
        <w:t>Larmes artificielles</w:t>
      </w:r>
      <w:r>
        <w:t xml:space="preserve"> en cas de xérophtalmie. (10) </w:t>
      </w:r>
      <w:r>
        <w:rPr>
          <w:b/>
        </w:rPr>
        <w:t>Éviction de la vitamine A</w:t>
      </w:r>
      <w:r>
        <w:t xml:space="preserve"> supplémentaire et des rétinoïdes topiques en association (hypervitaminose additive). (11) </w:t>
      </w:r>
      <w:r>
        <w:rPr>
          <w:b/>
        </w:rPr>
        <w:t>Éviction des épilations à la cire</w:t>
      </w:r>
      <w:r>
        <w:t xml:space="preserve"> (risque d'arrachement cutané — peau fragile) — préférer rasage électrique. (12) </w:t>
      </w:r>
      <w:r>
        <w:rPr>
          <w:b/>
        </w:rPr>
        <w:t>Surveillance biologique mensuelle</w:t>
      </w:r>
      <w:r>
        <w:t xml:space="preserve"> (transaminases, lipides) pendant les 2 premiers mois, puis tous les 2-3 mois, puis trimestrielle en entretien. (13) </w:t>
      </w:r>
      <w:r>
        <w:rPr>
          <w:b/>
        </w:rPr>
        <w:t>Surveillance ophtalmologique</w:t>
      </w:r>
      <w:r>
        <w:t xml:space="preserve"> annuelle (fond d'œil, examen cornée) en cas de traitement prolongé. (14) </w:t>
      </w:r>
      <w:r>
        <w:rPr>
          <w:b/>
        </w:rPr>
        <w:t>Surveillance radiologique</w:t>
      </w:r>
      <w:r>
        <w:t xml:space="preserve"> du rachis et des articulations en cas de traitement prolongé &gt; 6 mois à forte dose (dépistage d'hyperostoses). (15) </w:t>
      </w:r>
      <w:r>
        <w:rPr>
          <w:b/>
        </w:rPr>
        <w:t>Surveillance psychiatrique</w:t>
      </w:r>
      <w:r>
        <w:t xml:space="preserve"> (anxiété, dépression, idées suicidaires).</w:t>
      </w:r>
    </w:p>
    <w:p>
      <w:pPr>
        <w:pStyle w:val="ListBullet"/>
      </w:pPr>
      <w:r>
        <w:t>Conduite à Tenir : (1) Chéilite sévère → adaptation de dose (réduction 25-50 %), baume à lèvres. (2) Élévation transaminases &gt; 3× LSN → arrêt temporaire, contrôle à 2 semaines, reprise à dose réduite si normalisation. (3) Hypertriglycéridémie &gt; 5,6 mmol/L → arrêt, mise en place d'un régime hypolipidique, contrôle à 2 semaines, reprise à dose réduite si normalisation. (4) Hyperostoses vertébrales symptomatiques → arrêt définitif. (5) Hypertension intracrânienne (céphalées intenses avec troubles visuels) → arrêt immédiat, examen ophtalmologique urgent (œdème papillaire), surveillance. (6) Idées suicidaires → arrêt immédiat, prise en charge psychiatrique urgente. (7) Grossesse accidentelle → arrêt immédiat, déclaration au CRAT, échographie spécialisée centre pluridisciplinaire de diagnostic prénatal, discussion d'interruption médicale de grossesse (taux de malformation 25-30 %). (8) Alopécie marquée → réduction de dose, généralement réversible à l'arrêt. (9) Xérophtalmie sévère → larmes artificielles, arrêt temporaire si intolérance.</w:t>
      </w:r>
    </w:p>
    <w:p>
      <w:r/>
      <w:r>
        <w:rPr>
          <w:b/>
        </w:rPr>
        <w:t>Interactions Importantes :</w:t>
      </w:r>
      <w:r/>
    </w:p>
    <w:p>
      <w:pPr>
        <w:pStyle w:val="ListBullet"/>
      </w:pPr>
      <w:r>
        <w:t xml:space="preserve">Acitrétine + </w:t>
      </w:r>
      <w:r>
        <w:rPr>
          <w:b/>
        </w:rPr>
        <w:t>Alcool</w:t>
      </w:r>
      <w:r>
        <w:t xml:space="preserve"> : </w:t>
      </w:r>
      <w:r>
        <w:rPr>
          <w:b/>
        </w:rPr>
        <w:t>contre-indication relative stricte</w:t>
      </w:r>
      <w:r>
        <w:t xml:space="preserve"> — réestérification en étrétinate (demi-vie 120 jours, imprégnation tissulaire prolongée) → prolongation de la CI grossesse à 3 ans post-arrêt (au lieu de 1 mois pour l'isotrétinoïne). Éviction alcool stricte pendant et 2 mois après l'arrêt.</w:t>
      </w:r>
    </w:p>
    <w:p>
      <w:pPr>
        <w:pStyle w:val="ListBullet"/>
      </w:pPr>
      <w:r>
        <w:t xml:space="preserve">Acitrétine + </w:t>
      </w:r>
      <w:r>
        <w:rPr>
          <w:b/>
        </w:rPr>
        <w:t>Tétracyclines</w:t>
      </w:r>
      <w:r>
        <w:t xml:space="preserve"> (doxycycline, minocycline, lymécycline, tétracycline) : </w:t>
      </w:r>
      <w:r>
        <w:rPr>
          <w:b/>
        </w:rPr>
        <w:t>contre-indication absolue</w:t>
      </w:r>
      <w:r>
        <w:t xml:space="preserve"> — risque d'hypertension intracrânienne bénigne (syndrome pseudotumoral cérébral — céphalées, nausées, troubles visifs, œdème papillaire — peut menacer le pronostic visuel).</w:t>
      </w:r>
    </w:p>
    <w:p>
      <w:pPr>
        <w:pStyle w:val="ListBullet"/>
      </w:pPr>
      <w:r>
        <w:t xml:space="preserve">Acitrétine + </w:t>
      </w:r>
      <w:r>
        <w:rPr>
          <w:b/>
        </w:rPr>
        <w:t>Méthotrexate</w:t>
      </w:r>
      <w:r>
        <w:t xml:space="preserve"> : hépatotoxicité additive majeure → éviter l'association.</w:t>
      </w:r>
    </w:p>
    <w:p>
      <w:pPr>
        <w:pStyle w:val="ListBullet"/>
      </w:pPr>
      <w:r>
        <w:t xml:space="preserve">Acitrétine + </w:t>
      </w:r>
      <w:r>
        <w:rPr>
          <w:b/>
        </w:rPr>
        <w:t>Vitamine A</w:t>
      </w:r>
      <w:r>
        <w:t xml:space="preserve"> (supplémentation, multivitamines) : hypervitaminose A additive → toxicité hépatique, neurologique, osseuse. Éviter.</w:t>
      </w:r>
    </w:p>
    <w:p>
      <w:pPr>
        <w:pStyle w:val="ListBullet"/>
      </w:pPr>
      <w:r>
        <w:t xml:space="preserve">Acitrétine + </w:t>
      </w:r>
      <w:r>
        <w:rPr>
          <w:b/>
        </w:rPr>
        <w:t>Phénobarbital, carbamazépine, phénytoïne</w:t>
      </w:r>
      <w:r>
        <w:t xml:space="preserve"> (inducteurs enzymatiques) : diminution de l'efficacité de l'acitrétine (métabolisation accélérée).</w:t>
      </w:r>
    </w:p>
    <w:p>
      <w:pPr>
        <w:pStyle w:val="ListBullet"/>
      </w:pPr>
      <w:r>
        <w:t xml:space="preserve">Acitrétine + </w:t>
      </w:r>
      <w:r>
        <w:rPr>
          <w:b/>
        </w:rPr>
        <w:t>Contraceptifs oraux microprogestatifs</w:t>
      </w:r>
      <w:r>
        <w:t xml:space="preserve"> (désogestrel, drospirénone) : efficacité contraceptive conservée. Pilule progestative autorisée.</w:t>
      </w:r>
    </w:p>
    <w:p>
      <w:pPr>
        <w:pStyle w:val="ListBullet"/>
      </w:pPr>
      <w:r>
        <w:t xml:space="preserve">Acitrétine + </w:t>
      </w:r>
      <w:r>
        <w:rPr>
          <w:b/>
        </w:rPr>
        <w:t>Corticoïdes systémiques</w:t>
      </w:r>
      <w:r>
        <w:t xml:space="preserve"> : risque accru d'ostéoporose.</w:t>
      </w:r>
    </w:p>
    <w:p>
      <w:pPr>
        <w:pStyle w:val="ListBullet"/>
      </w:pPr>
      <w:r>
        <w:t xml:space="preserve">Acitrétine + </w:t>
      </w:r>
      <w:r>
        <w:rPr>
          <w:b/>
        </w:rPr>
        <w:t>Anticoagulants oraux</w:t>
      </w:r>
      <w:r>
        <w:t xml:space="preserve"> : modification de l'INR — surveillance.</w:t>
      </w:r>
    </w:p>
    <w:p>
      <w:pPr>
        <w:pStyle w:val="ListBullet"/>
      </w:pPr>
      <w:r>
        <w:t xml:space="preserve">Acitrétine + </w:t>
      </w:r>
      <w:r>
        <w:rPr>
          <w:b/>
        </w:rPr>
        <w:t>Statines, fibrates</w:t>
      </w:r>
      <w:r>
        <w:t xml:space="preserve"> : surveillance des lipides (addition des effets hypertriglycéridémiants).</w:t>
      </w:r>
    </w:p>
    <w:p>
      <w:pPr>
        <w:pStyle w:val="ListBullet"/>
      </w:pPr>
      <w:r>
        <w:t xml:space="preserve">Acitrétine + </w:t>
      </w:r>
      <w:r>
        <w:rPr>
          <w:b/>
        </w:rPr>
        <w:t>Ciclosporine</w:t>
      </w:r>
      <w:r>
        <w:t xml:space="preserve"> : interaction documentée — potentialisation de la toxicité hépatique et rénale.</w:t>
      </w:r>
    </w:p>
    <w:p>
      <w:pPr>
        <w:pStyle w:val="ListBullet"/>
      </w:pPr>
      <w:r>
        <w:t xml:space="preserve">Acitrétine + </w:t>
      </w:r>
      <w:r>
        <w:rPr>
          <w:b/>
        </w:rPr>
        <w:t>Don de sang</w:t>
      </w:r>
      <w:r>
        <w:t xml:space="preserve"> : contre-indication formelle pendant et 3 ans après l'arrêt (risque pour le receveur enceinte).</w:t>
      </w:r>
    </w:p>
    <w:p>
      <w:pPr>
        <w:pStyle w:val="ListBullet"/>
      </w:pPr>
      <w:r>
        <w:t xml:space="preserve">Acitrétine + </w:t>
      </w:r>
      <w:r>
        <w:rPr>
          <w:b/>
        </w:rPr>
        <w:t>PUVA-thérapie</w:t>
      </w:r>
      <w:r>
        <w:t xml:space="preserve"> : association classique (rétino-PUVA) — l'acitrétine potentialise l'efficacité de la PUVA-thérapie et permet de réduire la dose cumulative d'UVA. Mais surveillance accrue de la photosensibilité.</w:t>
      </w:r>
    </w:p>
    <w:p>
      <w:r/>
      <w:r>
        <w:rPr>
          <w:b/>
        </w:rPr>
        <w:t>Grossesse et Allaitement :</w:t>
      </w:r>
      <w:r/>
    </w:p>
    <w:p>
      <w:pPr>
        <w:pStyle w:val="ListBullet"/>
      </w:pPr>
      <w:r>
        <w:t xml:space="preserve">Grossesse : </w:t>
      </w:r>
      <w:r>
        <w:rPr>
          <w:b/>
        </w:rPr>
        <w:t>Contre-indication absolue majeure étendue à 3 ans après l'arrêt</w:t>
      </w:r>
      <w:r>
        <w:t xml:space="preserve">. La tératogénicité de l'acitrétine est démontrée avec un taux de malformation de 25-30 % en cas d'exposition pendant le 1er trimestre (syndrome de rétinoïde fœtal — anomalies cranio-faciales : microtie, agénésie des oreilles, fente palatine ; cardiaques : TGV, tétralogie de Fallot, hypoplasie aortique ; thymiques : agénésie ou hypoplasie ; du SNC : hydrocéphalie, agénésie du corps calleux, retards mentaux). En raison de la </w:t>
      </w:r>
      <w:r>
        <w:rPr>
          <w:b/>
        </w:rPr>
        <w:t>réestérification en étrétinate</w:t>
      </w:r>
      <w:r>
        <w:t xml:space="preserve"> (demi-vie 120 jours) en présence d'éthanol, l'imprégnation tissulaire peut persister plusieurs années après l'arrêt, ce qui impose une contraception stricte pendant et </w:t>
      </w:r>
      <w:r>
        <w:rPr>
          <w:b/>
        </w:rPr>
        <w:t>3 ans après l'arrêt</w:t>
      </w:r>
      <w:r>
        <w:t xml:space="preserve"> du traitement. Contraception double obligatoire (pilule + préservatif ou DIU + préservatif) à débuter 1 mois avant le traitement, pendant toute la durée, et 3 ans après l'arrêt. Test de grossesse plasmatique β-hCG pré-thérapeutique obligatoire, répété mensuellement pendant le traitement puis trimestriellement pendant 3 ans après l'arrêt. Éviction stricte de l'alcool pendant et 2 mois après l'arrêt. En cas de grossesse accidentelle → arrêt immédiat, déclaration au CRAT, échographie spécialisée centre pluridisciplinaire de diagnostic prénatal, discussion d'interruption médicale de grossesse (le taux de malformation est si élevé que l'IMG est le plus souvent discutée).</w:t>
      </w:r>
    </w:p>
    <w:p>
      <w:pPr>
        <w:pStyle w:val="ListBullet"/>
      </w:pPr>
      <w:r>
        <w:t xml:space="preserve">Allaitement : </w:t>
      </w:r>
      <w:r>
        <w:rPr>
          <w:b/>
        </w:rPr>
        <w:t>Contre-indication absolue</w:t>
      </w:r>
      <w:r>
        <w:t xml:space="preserve"> (passage dans le lait maternel, toxicité pour le nourrisson — hépatique, osseuse, neurologique, tératogène à long terme).</w:t>
      </w:r>
    </w:p>
    <w:p>
      <w:pPr>
        <w:pStyle w:val="ListBullet"/>
      </w:pPr>
      <w:r>
        <w:t>Précisions : Le programme de prescription de l'acitrétine impose une coordination stricte entre dermatologue hospitalier, gynécologue, pharmacien et patiente. Le pharmacien d'officine algérien doit vérifier systématiquement : (1) la prescription est d'origine dermatologique hospitalière spécialisée ; (2) la patiente a un test de grossesse récent négatif (&lt; 7 jours) ; (3) la patiente a une contraception efficace en cours (double recommandée) ; (4) la patiente a été informée de la CI grossesse 3 ans post-arrêt ; (5) la patiente a signé un consentement éclairé ; (6) la patiente a été informée de l'éviction alcool stricte ; (7) le bilan biologique pré-thérapeutique est complet. Tout doute doit conduire au refus de dispensation et à la consultation du médecin prescripteur.</w:t>
      </w:r>
    </w:p>
    <w:p>
      <w:r/>
      <w:r>
        <w:rPr>
          <w:b/>
        </w:rPr>
        <w:t>Posologie et Mode d'administration (Standard) :</w:t>
      </w:r>
      <w:r/>
    </w:p>
    <w:p>
      <w:pPr>
        <w:pStyle w:val="ListBullet"/>
      </w:pPr>
      <w:r>
        <w:t xml:space="preserve">Adulte : </w:t>
      </w:r>
      <w:r>
        <w:rPr>
          <w:b/>
        </w:rPr>
        <w:t>Posologie initiale</w:t>
      </w:r>
      <w:r>
        <w:t xml:space="preserve"> 10 mg ou 25 mg par jour (0,3-0,5 mg/kg/j) en une prise unique au cours d'un repas riche en graisses (augmentation de la biodisponibilité). Préférence pour l'initiation à 25 mg/jour dans les psoriasis sévères, 10 mg/jour dans les formes modérées ou chez le sujet âgé. </w:t>
      </w:r>
      <w:r>
        <w:rPr>
          <w:b/>
        </w:rPr>
        <w:t>Posologie d'entretien</w:t>
      </w:r>
      <w:r>
        <w:t xml:space="preserve"> : 10-25 mg/jour (réduction de 25-50 % par rapport à la dose d'attaque), à poursuivre pendant 3-6 mois, puis tentative d'espacement (un jour sur deux, puis 3 fois/semaine, puis 2 fois/semaine) sur plusieurs mois pour minimiser la toxicité cumulative. </w:t>
      </w:r>
      <w:r>
        <w:rPr>
          <w:b/>
        </w:rPr>
        <w:t>Dose maximale</w:t>
      </w:r>
      <w:r>
        <w:t xml:space="preserve"> : 50 mg/jour (à éviter sauf nécessité absolue — centre spécialisé). </w:t>
      </w:r>
      <w:r>
        <w:rPr>
          <w:b/>
        </w:rPr>
        <w:t>Durée minimale d'essai</w:t>
      </w:r>
      <w:r>
        <w:t xml:space="preserve"> de 4-8 semaines avant jugement de l'efficacité (effet optimal à 3-6 mois). En association avec PUVA-thérapie (rétino-PUVA) : débuter l'acitrétine 10-14 jours avant la PUVA-thérapie pour potentialiser l'effet photodynamique et réduire la dose cumulative d'UVA (économise 30-50 % d'UVA par rapport à la PUVA-thérapie seule).</w:t>
      </w:r>
    </w:p>
    <w:p>
      <w:pPr>
        <w:pStyle w:val="ListBullet"/>
      </w:pPr>
      <w:r>
        <w:t>Enfant : À éviter avant 6 ans (sauf ichtyose lamellaire sévère en centre spécialisé). À partir de 6 ans : 0,5 mg/kg/j en initiation, adaptée selon réponse et tolérance (max 1 mg/kg/j).</w:t>
      </w:r>
    </w:p>
    <w:p>
      <w:pPr>
        <w:pStyle w:val="ListBullet"/>
      </w:pPr>
      <w:r>
        <w:t>Sujet âgé : Réduction de dose initiale (10 mg/jour), surveillance accrue de la tolérance (peau plus fine, plus sèche, plus fragile, interactions médicamenteuses fréquentes).</w:t>
      </w:r>
    </w:p>
    <w:p>
      <w:pPr>
        <w:pStyle w:val="ListBullet"/>
      </w:pPr>
      <w:r>
        <w:t>Insuffisance hépatique : Contre-indiquée en cas d'insuffisance hépatique sévère. En cas d'insuffisance modérée, discussion spécialisée avec surveillance biologique renforcée.</w:t>
      </w:r>
    </w:p>
    <w:p>
      <w:pPr>
        <w:pStyle w:val="ListBullet"/>
      </w:pPr>
      <w:r>
        <w:t>Insuffisance rénale : Contre-indiquée en cas d'insuffisance rénale sévère. En cas d'insuffisance modérée, prudence et surveillance biologique (lipides, transaminases).</w:t>
      </w:r>
    </w:p>
    <w:p>
      <w:pPr>
        <w:pStyle w:val="ListBullet"/>
      </w:pPr>
      <w:r>
        <w:t>Moment de la prise : Au cours d'un repas riche en graisses (beurre, huile, fromage, avocat), à heure fixe, à distance des anti-acides et des suppléments de vitamine A.</w:t>
      </w:r>
    </w:p>
    <w:p>
      <w:r/>
      <w:r>
        <w:rPr>
          <w:b/>
        </w:rPr>
        <w:t>Arbitrage et Bénéfices des Formes Galéniques :</w:t>
      </w:r>
      <w:r/>
    </w:p>
    <w:p>
      <w:r>
        <w:t>L'acitrétine se présente en gélules à deux dosages : 10 mg et 25 mg. L'arbitrage se fait selon le poids du patient, la sévérité du psoriasis et la tolérance individuelle. Pour un adulte de 70 kg, la dose initiale standard de 25 mg/jour correspond à 0,35 mg/kg/j ; en cas d'efficacité insuffisante, l'escalade à 50 mg/jour (0,7 mg/kg/j) peut être discutée. Pour un adulte de 50 kg ou un sujet âgé, la dose initiale de 10 mg/jour (0,2 mg/kg/j) est préférée. Les deux dosages permettent une adaptation fine (10, 20, 25, 30, 35, 40, 50 mg/jour par combinaison). La galénique en gélule assure une absorption reproductible en présence de graisses alimentaires (biodisponibilité multipliée par 2 en cas de prise au cours d'un repas riche en graisses). La spécialité princeps NEOTIGASON (Hoffmann-La Roche) ayant été retirée du marché algérien, seule la forme générique BIOTRETANE (Biopharm) est disponible, en boîte de 30 gélules. La galénique en gélule ne permet pas de fractionnement (à la différence d'un comprimé sécable), ce qui impose d'avoir les deux dosages disponibles. La substitution entre NEOTIGASON et BIOTRETANE est possible (même DCI, mêmes dosages).</w:t>
      </w:r>
    </w:p>
    <w:p>
      <w:r/>
      <w:r>
        <w:rPr>
          <w:b/>
        </w:rPr>
        <w:t>Instructions et Conseils au Patient :</w:t>
      </w:r>
      <w:r/>
    </w:p>
    <w:p>
      <w:pPr>
        <w:pStyle w:val="ListBullet"/>
      </w:pPr>
      <w:r>
        <w:t xml:space="preserve">Communication au comptoir : (1) Prise au cours d'un repas riche en graisses (beurre, huile, fromage, avocat), à heure fixe. (2) </w:t>
      </w:r>
      <w:r>
        <w:rPr>
          <w:b/>
        </w:rPr>
        <w:t>Contraception double obligatoire</w:t>
      </w:r>
      <w:r>
        <w:t xml:space="preserve"> (pilule + préservatif ou DIU + préservatif) à débuter 1 mois avant, pendant et </w:t>
      </w:r>
      <w:r>
        <w:rPr>
          <w:b/>
        </w:rPr>
        <w:t>3 ans après l'arrêt</w:t>
      </w:r>
      <w:r>
        <w:t xml:space="preserve"> du traitement. (3) </w:t>
      </w:r>
      <w:r>
        <w:rPr>
          <w:b/>
        </w:rPr>
        <w:t>Test de grossesse mensuel</w:t>
      </w:r>
      <w:r>
        <w:t xml:space="preserve"> obligatoire pendant et 3 ans après l'arrêt (tous les 1-3 mois). (4) </w:t>
      </w:r>
      <w:r>
        <w:rPr>
          <w:b/>
        </w:rPr>
        <w:t>Éviction alcool stricte</w:t>
      </w:r>
      <w:r>
        <w:t xml:space="preserve"> pendant et 2 mois après l'arrêt (réestérification en étrétinate, prolongeant la CI grossesse). (5) </w:t>
      </w:r>
      <w:r>
        <w:rPr>
          <w:b/>
        </w:rPr>
        <w:t>Éviction de tout don de sang</w:t>
      </w:r>
      <w:r>
        <w:t xml:space="preserve"> pendant et 3 ans après l'arrêt. (6) Hydratation cutanée et labiale abondante (crème émolliente plusieurs fois par jour, baume à lèvres). (7) Larmes artificielles en cas de xérophtalmie. (8) Photoprotection stricte (SPF 50+, vêtements couvrants). (9) Éviction des épilations à la cire (rasage électrique). (10) Surveillance biologique mensuelle (transaminases, lipides) pendant les 2 premiers mois, puis trimestrielle. (11) Signes d'alerte à signaler : céphalées intenses avec troubles visuels (hypertension intracrânienne), douleurs articulaires, troubles de l'humeur, idées suicidaires, nausées et vomissements importants, douleurs abdominales (hépatite). (12) Ne jamais arrêter brutalement le traitement sans avis médical. (13) Ne pas donner à un tiers, ne pas jeter à la poubelle (rapporter en pharmacie pour destruction). (14) Information complète de la patiente sur la CI grossesse 3 ans post-arrêt, signature d'un consentement éclairé.</w:t>
      </w:r>
    </w:p>
    <w:p>
      <w:pPr>
        <w:pStyle w:val="ListBullet"/>
      </w:pPr>
      <w:r>
        <w:t>Mode d'utilisation pratique : (1) Prise au cours d'un repas riche en graisses, à heure fixe, à distance des anti-acides et des suppléments de vitamine A. (2) Conservation : à température &lt; 25 °C, à l'abri de la lumière et de l'humidité. Ne pas congeler. (3) Hydratation cutanée et labiale plusieurs fois par jour. (4) Photoprotection stricte. (5) Éviction alcool stricte. (6) Éviction don de sang. (7) Consultations programmées (dermatologue, gynécologue, biologiste, ophtalmologue).</w:t>
      </w:r>
    </w:p>
    <w:p>
      <w:r/>
      <w:r>
        <w:rPr>
          <w:b/>
        </w:rPr>
        <w:t>Notes, Règles d'Or &amp; Pièges au Comptoir :</w:t>
      </w:r>
      <w:r/>
    </w:p>
    <w:p>
      <w:pPr>
        <w:pStyle w:val="ListBullet"/>
      </w:pPr>
      <w:r>
        <w:t xml:space="preserve">Piège classique : (1) Femme enceinte ou envisageant une grossesse dans les 3 ans — </w:t>
      </w:r>
      <w:r>
        <w:rPr>
          <w:b/>
        </w:rPr>
        <w:t>ne jamais délivrer l'acitrétine</w:t>
      </w:r>
      <w:r>
        <w:t xml:space="preserve"> sans contraception stricte et test de grossesse récent. (2) Association acitrétine + tétracyclines — </w:t>
      </w:r>
      <w:r>
        <w:rPr>
          <w:b/>
        </w:rPr>
        <w:t>contre-indication absolue</w:t>
      </w:r>
      <w:r>
        <w:t xml:space="preserve"> (hypertension intracrânienne). (3) Alcool pendant traitement — à proscrire (réestérification en étrétinate, prolongeant la CI grossesse à 3 ans post-arrêt). (4) Don de sang pendant traitement et 3 ans après — contre-indication formelle. (5) Pilule progestative microdosée (désogestrel) — peut être utilisée mais en association avec préservatif (contraception double). (6) Patient sportif — prévenir des arthralgies et myalgies possibles, et du risque de performance physique réduite. (7) Patient avec antécédents psychiatriques — surveillance accrue de l'humeur. (8) Confusion BIOTRETANE (acitrétine) ↔ CURACNE (isotrétinoïne) ↔ ISOTREX (isotrétinoïne topique) — noms proches mais molécules, indications et profils de tolérance différents. Vérifier systématiquement la prescription. (9) Patient avec hypertriglycéridémie préexistante — surveillance stricte des lipides, contrôle avant initiation. (10) Patient diabétique — surveillance glycémique renforcée (modification possible de la glycémie). (11) Patient sous statines ou fibrates — surveillance des lipides (addition des effets hypertriglycéridémiants). (12) Patient sous méthotrexate (psoriasis, polyarthrite rhumatoïde) — éviter l'association (hépatotoxicité additive). (13) Patient sous ciclosporine (transplantation, psoriasis sévère) — surveillance accrue (toxicité hépatique et rénale additive).</w:t>
      </w:r>
    </w:p>
    <w:p>
      <w:pPr>
        <w:pStyle w:val="ListBullet"/>
      </w:pPr>
      <w:r>
        <w:t>Règle de prise : Prise au cours d'un repas riche en graisses, contraception double pendant et 3 ans après, éviction alcool et don de sang pendant et 3 ans après, surveillance biologique mensuelle, hydratation cutanée et labiale, photoprotection stricte.</w:t>
      </w:r>
    </w:p>
    <w:p>
      <w:pPr>
        <w:pStyle w:val="ListBullet"/>
      </w:pPr>
      <w:r>
        <w:t>Préparation et Conservation : Gélules à conserver à T° &lt; 25 °C, à l'abri de la lumière, de la chaleur et de l'humidité. Ne pas congeler. Durée de conservation après délivrance : jusqu'à la date de péremption indiquée sur l'emballage.</w:t>
      </w:r>
    </w:p>
    <w:p>
      <w:pPr>
        <w:pStyle w:val="ListBullet"/>
      </w:pPr>
      <w:r>
        <w:t>Piège du surdosage / Substitution : (1) Surdosage volontaire ou accidentel → hypervitaminose A aiguë (nausées, vomissements, céphalées, troubles visuels, irritabilité, somnolence) → arrêt immédiat, lavage gastrique si récent, traitement symptomatique. (2) Substitution NEOTIGASON ↔ BIOTRETANE — autorisée (même DCI, même dosage, bioéquivalence démontrée), mais surveillance accrue en cas de changement de marque. (3) Confusion ACITRÉTINE ↔ ISOTRÉTINOÏNE — ne pas substituer (molécules différentes, indications différentes, profils de tolérance différents, CI grossesse différente : 1 mois pour l'isotrétinoïne, 3 ans pour l'acitrétine). (4) Disponibilité du marché algérien : BIOTRETANE (Biopharm) est la seule forme active disponible ; NEOTIGASON (Hoffmann-La Roche) est retiré du marché. (5) Patient en rupture de traitement — pas d'alternative orale de même classe disponible en Algérie (l'étrétinate n'est plus commercialisé, le bexarotène n'est pas disponible). Alternative à discuter avec le dermatologue : méthotrexate, ciclosporine, biothérapie (anti-TNFα, anti-IL-17, anti-IL-23).</w:t>
      </w:r>
    </w:p>
    <w:p>
      <w:pPr>
        <w:pStyle w:val="Heading3"/>
      </w:pPr>
      <w:r>
        <w:t>DCI 5 — Méthoxsalène (PUVA)</w:t>
      </w:r>
    </w:p>
    <w:p>
      <w:r/>
      <w:r>
        <w:rPr>
          <w:b/>
        </w:rPr>
        <w:t>Liste des Catégories :</w:t>
      </w:r>
      <w:r>
        <w:t xml:space="preserve"> Photosensibilisant — Psoralène — Furocoumarine naturelle — 8-Méthoxypsoralène (8-MOP) — Agent de PUVA-thérapie (PUVA oral, PUVA-bain, PUVA-topique) — Antipsoriasique — Anti-vitiligo — Liste II — Médicament à prescription hospitalière spécialisée (dermatologie + photodermatologie) — Tératogène suspecté (CI grossesse).</w:t>
      </w:r>
    </w:p>
    <w:p>
      <w:r>
        <w:t xml:space="preserve">Le méthoxsalène (8-méthoxypsoralène, 8-MOP, xanthotoxine) est un psoralène naturel extrait de l'Ammi majus (une ombellifère utilisée en médecine traditionnelle égyptienne depuis l'Antiquité pour traiter le vitiligo, comme l'a rapporté le papyrus Ebers vers 1550 av. J.-C.). Sa purification et son utilisation thérapeutique moderne datent de 1947, par le dermatologue égyptien Abdel Moneim El Mofty, qui publie le premier essai clinique de PUVA-thérapie orale dans le vitiligo. La PUVA-thérapie a ensuite été formalisée et popularisée par John Parrish et Thomas Fitzpatrick à Harvard en 1974 pour le traitement du psoriasis, révolutionnant la prise en charge des dermatoses sévères avant l'ère des biothérapies. En Algérie, le méthoxsalène a été commercialisé sous le nom </w:t>
      </w:r>
      <w:r>
        <w:rPr>
          <w:b/>
        </w:rPr>
        <w:t>MELADININE</w:t>
      </w:r>
      <w:r>
        <w:t xml:space="preserve"> (Promedica) en deux formes : comprimés à 10 mg pour la PUVA-thérapie systémique (PUVA oral) et solution à 0,1 % pour application locale (PUVA-bain ou PUVA-topique). Les deux formes sont actuellement retirées du marché algérien, ce qui rend la PUVA-thérapie difficilement accessible en pratique courante et a conduit à un recours accru à la photothérapie UVB à spectre étroit (TL-01, 311 nm) qui ne nécessite pas de psoralène associé. Le méthoxsalène peut faire l'objet d'importations exceptionnelles sur prescription spécialisée.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MELADININE (R)</w:t>
            </w:r>
          </w:p>
        </w:tc>
        <w:tc>
          <w:tcPr>
            <w:tcW w:type="dxa" w:w="1559"/>
          </w:tcPr>
          <w:p>
            <w:r>
              <w:rPr>
                <w:sz w:val="20"/>
              </w:rPr>
              <w:t>Promedica</w:t>
            </w:r>
          </w:p>
        </w:tc>
        <w:tc>
          <w:tcPr>
            <w:tcW w:type="dxa" w:w="1559"/>
          </w:tcPr>
          <w:p>
            <w:r>
              <w:rPr>
                <w:sz w:val="20"/>
              </w:rPr>
              <w:t>Comprimé 10 mg</w:t>
            </w:r>
          </w:p>
        </w:tc>
        <w:tc>
          <w:tcPr>
            <w:tcW w:type="dxa" w:w="1559"/>
          </w:tcPr>
          <w:p>
            <w:r>
              <w:rPr>
                <w:sz w:val="20"/>
              </w:rPr>
              <w:t>Boîte de 30</w:t>
            </w:r>
          </w:p>
        </w:tc>
        <w:tc>
          <w:tcPr>
            <w:tcW w:type="dxa" w:w="1559"/>
          </w:tcPr>
          <w:p>
            <w:r>
              <w:rPr>
                <w:sz w:val="20"/>
              </w:rPr>
              <w:t>Liste II</w:t>
            </w:r>
          </w:p>
        </w:tc>
        <w:tc>
          <w:tcPr>
            <w:tcW w:type="dxa" w:w="1559"/>
          </w:tcPr>
          <w:p>
            <w:r>
              <w:rPr>
                <w:sz w:val="20"/>
              </w:rPr>
              <w:t>Retiré</w:t>
            </w:r>
          </w:p>
        </w:tc>
      </w:tr>
      <w:tr>
        <w:tc>
          <w:tcPr>
            <w:tcW w:type="dxa" w:w="1559"/>
          </w:tcPr>
          <w:p>
            <w:r>
              <w:rPr>
                <w:sz w:val="20"/>
              </w:rPr>
              <w:t>MELADININE (R)</w:t>
            </w:r>
          </w:p>
        </w:tc>
        <w:tc>
          <w:tcPr>
            <w:tcW w:type="dxa" w:w="1559"/>
          </w:tcPr>
          <w:p>
            <w:r>
              <w:rPr>
                <w:sz w:val="20"/>
              </w:rPr>
              <w:t>Promedica</w:t>
            </w:r>
          </w:p>
        </w:tc>
        <w:tc>
          <w:tcPr>
            <w:tcW w:type="dxa" w:w="1559"/>
          </w:tcPr>
          <w:p>
            <w:r>
              <w:rPr>
                <w:sz w:val="20"/>
              </w:rPr>
              <w:t>Solution pour application locale 0,1 %</w:t>
            </w:r>
          </w:p>
        </w:tc>
        <w:tc>
          <w:tcPr>
            <w:tcW w:type="dxa" w:w="1559"/>
          </w:tcPr>
          <w:p>
            <w:r>
              <w:rPr>
                <w:sz w:val="20"/>
              </w:rPr>
              <w:t>Flacon de 24 mL</w:t>
            </w:r>
          </w:p>
        </w:tc>
        <w:tc>
          <w:tcPr>
            <w:tcW w:type="dxa" w:w="1559"/>
          </w:tcPr>
          <w:p>
            <w:r>
              <w:rPr>
                <w:sz w:val="20"/>
              </w:rPr>
              <w:t>Liste II</w:t>
            </w:r>
          </w:p>
        </w:tc>
        <w:tc>
          <w:tcPr>
            <w:tcW w:type="dxa" w:w="1559"/>
          </w:tcPr>
          <w:p>
            <w:r>
              <w:rPr>
                <w:sz w:val="20"/>
              </w:rPr>
              <w:t>Retiré</w:t>
            </w:r>
          </w:p>
        </w:tc>
      </w:tr>
    </w:tbl>
    <w:p/>
    <w:p>
      <w:r/>
      <w:r>
        <w:rPr>
          <w:b/>
        </w:rPr>
        <w:t>Sous-classe et Mécanisme d'action :</w:t>
      </w:r>
      <w:r/>
    </w:p>
    <w:p>
      <w:pPr>
        <w:pStyle w:val="ListBullet"/>
      </w:pPr>
      <w:r>
        <w:t>Sous-classe : Psoralène — furocoumarine naturelle tricyclique linéaire (noyau furane fusionné avec coumarine) — 8-méthoxypsoralène (8-MOP) — agent de PUVA-thérapie (combinaison Psoralène + UVA) — photosensibilisant de type II — intercalant de l'ADN photoactivable.</w:t>
      </w:r>
    </w:p>
    <w:p>
      <w:pPr>
        <w:pStyle w:val="ListBullet"/>
      </w:pPr>
      <w:r>
        <w:t xml:space="preserve">Mécanisme d'action : Le méthoxsalène est administré (per os ou en application topique) avant irradiation par les UVA (longueurs d'onde 320-400 nm, avec un pic d'efficacité à 330-360 nm). Son mécanisme d'action comporte trois étapes successives : </w:t>
      </w:r>
      <w:r>
        <w:rPr>
          <w:b/>
        </w:rPr>
        <w:t>(1) Intercalation dans l'ADN</w:t>
      </w:r>
      <w:r>
        <w:t xml:space="preserve"> : en absence d'irradiation, le méthoxsalène, en raison de sa structure plane et lipophile, s'intercale entre les paires de bases pyrimidiques (thymine-thymine, cytosine-cytosine) de l'ADN double-brin par liaisons hydrogène. Cette intercalation est réversible et sans effet biologique tant que le psoralène n'est pas activé. </w:t>
      </w:r>
      <w:r>
        <w:rPr>
          <w:b/>
        </w:rPr>
        <w:t>(2) Activation photochimique par les UVA</w:t>
      </w:r>
      <w:r>
        <w:t xml:space="preserve"> : l'absorption des photons UVA (énergie 3,1-3,9 eV) par le méthoxsalène provoque son passage à un état électronique excité singulet, puis triplet. Le psoralène activé subit alors une </w:t>
      </w:r>
      <w:r>
        <w:rPr>
          <w:b/>
        </w:rPr>
        <w:t>réaction de cycloaddition [2+2]</w:t>
      </w:r>
      <w:r>
        <w:t xml:space="preserve"> avec les pyrimidines (thymine surtout, accessoirement cytosine) de l'ADN adjacent. Une première réaction forme un </w:t>
      </w:r>
      <w:r>
        <w:rPr>
          <w:b/>
        </w:rPr>
        <w:t>mono-adduit</w:t>
      </w:r>
      <w:r>
        <w:t xml:space="preserve"> (liaison covalente simple entre le psoralène et une pyrimidine sur un seul brin de l'ADN) ; si le psoralène est convenablement orienté, une seconde cycloaddition peut se produire avec une pyrimidine du brin complémentaire, formant un </w:t>
      </w:r>
      <w:r>
        <w:rPr>
          <w:b/>
        </w:rPr>
        <w:t>bi-adduit inter-brins</w:t>
      </w:r>
      <w:r>
        <w:t xml:space="preserve"> (cross-link — pont covalent entre les deux brins de l'ADN). </w:t>
      </w:r>
      <w:r>
        <w:rPr>
          <w:b/>
        </w:rPr>
        <w:t>(3) Conséquences biologiques</w:t>
      </w:r>
      <w:r>
        <w:t xml:space="preserve"> : les adduits de psoralène-ADN (mono- et bi-adduits) inhibent la réplication de l'ADN et la transcription ARN, ce qui bloque la synthèse d'ADN et la mitose des cellules hyperprolifératifs (kératinocytes psoriasiques — réduction de l'index mitotique, normalisation de la différenciation épidermique, diminution de l'épaisseur des plaques). Les bi-adduits inter-brins sont particulièrement cytotoxiques (réparation difficile par le système NER). Dans le vitiligo, la PUVA-thérapie stimule la mélanogenèse et la migration des mélanocytes à partir des follicules pileux (augmentation de la tyrosinase, de la synthèse de mélanine, et de la migration mélanocytaire vers la zone dépigmentée). Dans le mycosis fongoïde (lymphome T cutané), la PUVA-thérapie induit l'apoptose des lymphocytes T tumoraux épidermotropes. L'effet maximal est obtenu 1-2 h après la prise orale (concentration plasmatique maximale), ce qui justifie un délai précis entre la prise et l'irradiation UVA.</w:t>
      </w:r>
    </w:p>
    <w:p>
      <w:r/>
      <w:r>
        <w:rPr>
          <w:b/>
        </w:rPr>
        <w:t>Profil Pharmacologique :</w:t>
      </w:r>
      <w:r/>
    </w:p>
    <w:p>
      <w:pPr>
        <w:pStyle w:val="ListBullet"/>
      </w:pPr>
      <w:r>
        <w:t xml:space="preserve">Indications : (1) </w:t>
      </w:r>
      <w:r>
        <w:rPr>
          <w:b/>
        </w:rPr>
        <w:t>Psoriasis sévère étendu</w:t>
      </w:r>
      <w:r>
        <w:t xml:space="preserve"> (BSA &gt; 10 % ou PASI &gt; 10) résistant aux traitements topiques et aux UVB-TL01 — indication princeps de la PUVA-thérapie orale. (2) </w:t>
      </w:r>
      <w:r>
        <w:rPr>
          <w:b/>
        </w:rPr>
        <w:t>Vitiligo extensif</w:t>
      </w:r>
      <w:r>
        <w:t xml:space="preserve"> (BSA &gt; 20 % ou atteinte du visage et des mains invalidante) — stimule la repigmentation par migration mélanocytaire depuis les follicules pileux. (3) </w:t>
      </w:r>
      <w:r>
        <w:rPr>
          <w:b/>
        </w:rPr>
        <w:t>Mycosis fongoïde</w:t>
      </w:r>
      <w:r>
        <w:t xml:space="preserve"> (lymphome T cutané épidermotrope) aux stades précoces (stade IA, IB, IIA) — PUVA-thérapie d'induction de rémission. (4) </w:t>
      </w:r>
      <w:r>
        <w:rPr>
          <w:b/>
        </w:rPr>
        <w:t>Dermatite atopique sévère</w:t>
      </w:r>
      <w:r>
        <w:t xml:space="preserve"> résistante (off-label). (5) </w:t>
      </w:r>
      <w:r>
        <w:rPr>
          <w:b/>
        </w:rPr>
        <w:t>Lichen plan</w:t>
      </w:r>
      <w:r>
        <w:t xml:space="preserve"> sévère étendu (off-label). (6) </w:t>
      </w:r>
      <w:r>
        <w:rPr>
          <w:b/>
        </w:rPr>
        <w:t>Parapsoriasis</w:t>
      </w:r>
      <w:r>
        <w:t xml:space="preserve"> en grandes plaques. (7) </w:t>
      </w:r>
      <w:r>
        <w:rPr>
          <w:b/>
        </w:rPr>
        <w:t>Graft-versus-host disease</w:t>
      </w:r>
      <w:r>
        <w:t xml:space="preserve"> (GVH cutanée chronique — off-label). (8) </w:t>
      </w:r>
      <w:r>
        <w:rPr>
          <w:b/>
        </w:rPr>
        <w:t>PUVA-bain / PUVA-topique</w:t>
      </w:r>
      <w:r>
        <w:t xml:space="preserve"> : psoriasis palmoplantaire, eczéma chronique des mains et pieds résistant aux dermocorticoïdes, vitiligo localisé (acral, muqueux génital).</w:t>
      </w:r>
    </w:p>
    <w:p>
      <w:pPr>
        <w:pStyle w:val="ListBullet"/>
      </w:pPr>
      <w:r>
        <w:t xml:space="preserve">Contre-indications : (a) </w:t>
      </w:r>
      <w:r>
        <w:rPr>
          <w:b/>
        </w:rPr>
        <w:t>Grossesse</w:t>
      </w:r>
      <w:r>
        <w:t xml:space="preserve"> (CI par mesure de précaution — passage transplacentaire du psoralène, photosensibilité fœtale, suspicion de risque malformatif). (b) Allaitement. (c) Enfant de moins de 12 ans (sauf vitiligo extensif invalidant en centre spécialisé). (d) Antécédent de cancer cutané (carcinome basocellulaire, carcinome épidermoïde, mélanome) — risque de récidive majoré. (e) Antécédent de radiothérapie cutanée. (f) Lupus érythémateux systémique ou cutané — photosensibilité pathologique. (g) Porphyrie cutanée tardive, porphyrie variegata. (h) Xeroderma pigmentosum (défaut de réparation de l'ADN). (i) Insuffisance hépatique sévère. (j) Insuffisance rénale sévère. (k) Cataracte préexistante (le psoralène se fixe au cristallin — risque de cataracte photo-induite). (l) Traitement par autres photosensibilisants (phénothiazines, thiazidiques, sulfamides, tétracyclines, fluoroquinolones, amiodarone, hypericum / millepertuis). (m) Patients non observants ou non coopérants (nécessité d'une observance stricte des mesures de photoprotection oculaire et cutanée).</w:t>
      </w:r>
    </w:p>
    <w:p>
      <w:pPr>
        <w:pStyle w:val="ListBullet"/>
      </w:pPr>
      <w:r>
        <w:t xml:space="preserve">Effets Indésirables : (a) </w:t>
      </w:r>
      <w:r>
        <w:rPr>
          <w:b/>
        </w:rPr>
        <w:t>Toxicité phototoxique aiguë</w:t>
      </w:r>
      <w:r>
        <w:t xml:space="preserve"> (très fréquente en cas de surdosage UVA ou de mauvaise synchronisation prise / irradiation) : érythème cutané, sensation de brûlure, douleur, parfois bulles, œdème — survenant 24-72 h après l'irradiation UVA (décalage par rapport à la prise, ce qui complique le diagnostic — équivalent de coup de soleil sévère). (b) </w:t>
      </w:r>
      <w:r>
        <w:rPr>
          <w:b/>
        </w:rPr>
        <w:t>Prurit</w:t>
      </w:r>
      <w:r>
        <w:t xml:space="preserve"> (très fréquent, parfois insupportable, persistant 24-48 h après chaque séance). (c) </w:t>
      </w:r>
      <w:r>
        <w:rPr>
          <w:b/>
        </w:rPr>
        <w:t>Xérose cutanée</w:t>
      </w:r>
      <w:r>
        <w:t xml:space="preserve"> (peau sèche, desquamante). (d) </w:t>
      </w:r>
      <w:r>
        <w:rPr>
          <w:b/>
        </w:rPr>
        <w:t>Nausées, vomissements</w:t>
      </w:r>
      <w:r>
        <w:t xml:space="preserve"> (fréquents avec la PUVA orale — dose-dépendants, à réduire en fractionnant la prise ou en prenant au cours d'un repas). (e) </w:t>
      </w:r>
      <w:r>
        <w:rPr>
          <w:b/>
        </w:rPr>
        <w:t>Céphalées, vertiges</w:t>
      </w:r>
      <w:r>
        <w:t xml:space="preserve"> (rares). (f) </w:t>
      </w:r>
      <w:r>
        <w:rPr>
          <w:b/>
        </w:rPr>
        <w:t>Toxicité oculaire</w:t>
      </w:r>
      <w:r>
        <w:t xml:space="preserve"> : kératite, conjonctivite, cataracte — d'où le port de lunettes de soleil UV-400 obligatoire pendant et 24 h après chaque séance (le psoralène se fixe au cristallin et réagit aux UV). (g) </w:t>
      </w:r>
      <w:r>
        <w:rPr>
          <w:b/>
        </w:rPr>
        <w:t>Hyperpigmentation cutanée</w:t>
      </w:r>
      <w:r>
        <w:t xml:space="preserve"> (fréquente, parfois mouchetée "puva lentigines" — taches brunes multiples, persistantes, survenant après ≥ 100 séances). (h) </w:t>
      </w:r>
      <w:r>
        <w:rPr>
          <w:b/>
        </w:rPr>
        <w:t>Carcinogénèse cutanée cumulative</w:t>
      </w:r>
      <w:r>
        <w:t xml:space="preserve"> (risque proportionnel au nombre cumulé de séances — carcinomes épidermoïdes, basocellulaires, mélanomes — risque majoré en cas d'antécédents de PUVA-thérapie ou de radiothérapie cutanée ; limitation du nombre total de séances à ≤ 200 séances vie entière recommandée). (i) </w:t>
      </w:r>
      <w:r>
        <w:rPr>
          <w:b/>
        </w:rPr>
        <w:t>Vieillissement cutané photo-induit</w:t>
      </w:r>
      <w:r>
        <w:t xml:space="preserve"> (photo-vieillissement accéléré — rides, télangiectasies, kératoses actiniques). (j) </w:t>
      </w:r>
      <w:r>
        <w:rPr>
          <w:b/>
        </w:rPr>
        <w:t>Effets systémiques rares</w:t>
      </w:r>
      <w:r>
        <w:t xml:space="preserve"> : élévation transaminases, hyperuricémie, hypertensions. (k) </w:t>
      </w:r>
      <w:r>
        <w:rPr>
          <w:b/>
        </w:rPr>
        <w:t>Effets tératogènes suspectés</w:t>
      </w:r>
      <w:r>
        <w:t xml:space="preserve"> en cas d'exposition pendant grossesse (malformations non spécifiques, photosensibilité fœtale).</w:t>
      </w:r>
    </w:p>
    <w:p>
      <w:r/>
      <w:r>
        <w:rPr>
          <w:b/>
        </w:rPr>
        <w:t>Prévention et Gestion des Effets Indésirables :</w:t>
      </w:r>
      <w:r/>
    </w:p>
    <w:p>
      <w:pPr>
        <w:pStyle w:val="ListBullet"/>
      </w:pPr>
      <w:r>
        <w:t xml:space="preserve">Mesures Préventives : (1) </w:t>
      </w:r>
      <w:r>
        <w:rPr>
          <w:b/>
        </w:rPr>
        <w:t>Bilan pré-thérapeutique complet</w:t>
      </w:r>
      <w:r>
        <w:t xml:space="preserve"> obligatoire : examen dermatologique complet (dépistage lésions suspectes, naevi), examen ophtalmologique (fond d'œil, lampe à fente — dépistage cataracte), bilan hépatique (ASAT, ALAT, γGT, PAL, bilirubine), bilan rénal (créatinine, urée), dépistage d'une grossesse éventuelle (β-hCG plasmatiques), interrogatoire médicamenteux complet (à la recherche d'interactions photosensibilisantes). (2) </w:t>
      </w:r>
      <w:r>
        <w:rPr>
          <w:b/>
        </w:rPr>
        <w:t>Séances en milieu spécialisé</w:t>
      </w:r>
      <w:r>
        <w:t xml:space="preserve"> (centre de photodermatologie) — médecine hospitalière ou cabinet dermatologique équipé d'une cabine d'UVA calibrée. (3) </w:t>
      </w:r>
      <w:r>
        <w:rPr>
          <w:b/>
        </w:rPr>
        <w:t>Protocole strict de synchronisation</w:t>
      </w:r>
      <w:r>
        <w:t xml:space="preserve"> : prise du comprimé 2 h (± 15 min) avant l'irradiation UVA (concentration plasmatique maximale). (4) </w:t>
      </w:r>
      <w:r>
        <w:rPr>
          <w:b/>
        </w:rPr>
        <w:t>Dose initiale d'UVA faible</w:t>
      </w:r>
      <w:r>
        <w:t xml:space="preserve"> (selon phototype, généralement 0,5-3 J/cm²), augmentation progressive selon tolérance (schéma d'escalade protocolaire). (5) </w:t>
      </w:r>
      <w:r>
        <w:rPr>
          <w:b/>
        </w:rPr>
        <w:t>Mesure de la dose d'UVA à chaque séance</w:t>
      </w:r>
      <w:r>
        <w:t xml:space="preserve"> par un radiamètre calibré. (6) </w:t>
      </w:r>
      <w:r>
        <w:rPr>
          <w:b/>
        </w:rPr>
        <w:t>Protection oculaire stricte</w:t>
      </w:r>
      <w:r>
        <w:t xml:space="preserve"> : lunettes de protection UV-400 opaques aux UVA, portées pendant la séance d'UVA, pendant les 24 h suivant chaque séance, et systématiquement en extérieur diurne pendant toute la durée du traitement (le psoralène se fixe au cristallin et réagit aux UV solaires pendant 12-24 h après chaque prise). (7) </w:t>
      </w:r>
      <w:r>
        <w:rPr>
          <w:b/>
        </w:rPr>
        <w:t>Protection des organes génitaux masculins</w:t>
      </w:r>
      <w:r>
        <w:t xml:space="preserve"> (réeéé, risque accru de cancer du penis en cas d'irradiation directe). (8) </w:t>
      </w:r>
      <w:r>
        <w:rPr>
          <w:b/>
        </w:rPr>
        <w:t>Photoprotection cutanée stricte</w:t>
      </w:r>
      <w:r>
        <w:t xml:space="preserve"> des zones non traitées (vêtements couvrants, écrans solaires SPF 50+ sur zones découvertes) pendant 24 h après chaque séance. (9) </w:t>
      </w:r>
      <w:r>
        <w:rPr>
          <w:b/>
        </w:rPr>
        <w:t>Éviction solaire directe</w:t>
      </w:r>
      <w:r>
        <w:t xml:space="preserve"> pendant les 24 h suivant chaque séance (risque de brûlure solaire par photosensibilité résiduelle). (10) </w:t>
      </w:r>
      <w:r>
        <w:rPr>
          <w:b/>
        </w:rPr>
        <w:t>Hydratation cutanée</w:t>
      </w:r>
      <w:r>
        <w:t xml:space="preserve"> abondante (crème émolliente plusieurs fois par jour) pour prévenir la xérose. (11) </w:t>
      </w:r>
      <w:r>
        <w:rPr>
          <w:b/>
        </w:rPr>
        <w:t>Antinauséeux</w:t>
      </w:r>
      <w:r>
        <w:t xml:space="preserve"> prophylactique si intolérance digestive (metoclopramide 10 mg 30 min avant la prise). (12) </w:t>
      </w:r>
      <w:r>
        <w:rPr>
          <w:b/>
        </w:rPr>
        <w:t>Surveillance dermatologique</w:t>
      </w:r>
      <w:r>
        <w:t xml:space="preserve"> tous les 3-6 mois (dépistage de lésions cutanées suspectes — naevi, kératoses actiniques, carcinomes). (13) </w:t>
      </w:r>
      <w:r>
        <w:rPr>
          <w:b/>
        </w:rPr>
        <w:t>Surveillance ophtalmologique</w:t>
      </w:r>
      <w:r>
        <w:t xml:space="preserve"> annuelle. (14) </w:t>
      </w:r>
      <w:r>
        <w:rPr>
          <w:b/>
        </w:rPr>
        <w:t>Limitation du nombre total de séances</w:t>
      </w:r>
      <w:r>
        <w:t xml:space="preserve"> à 200 vie entière (recommandation européenne). (15) </w:t>
      </w:r>
      <w:r>
        <w:rPr>
          <w:b/>
        </w:rPr>
        <w:t>Éviction des photosensibilisants médicamenteux</w:t>
      </w:r>
      <w:r>
        <w:t xml:space="preserve"> pendant et 24 h après chaque séance : phénothiazines, thiazidiques, sulfamides, tétracyclines, fluoroquinolones, amiodarone, millepertuis, AINS photosensibilisants (piroxicam, kétoprofène).</w:t>
      </w:r>
    </w:p>
    <w:p>
      <w:pPr>
        <w:pStyle w:val="ListBullet"/>
      </w:pPr>
      <w:r>
        <w:t>Conduite à Tenir : (1) Brûlure phototoxique sévère (érythème bulleux, douleur intense) → arrêt de la PUVA-thérapie, traitement symptomatique (émollients, antalgiques, parfois corticothérapie locale faible), suspension 1-2 semaines, reprise à dose réduite. (2) Prurit insupportable → antihistaminiques oraux (hydroxyzine 25 mg au coucher), émollients, suspension temporaire si persistance. (3) Nausées persistantes → fractionnement de la dose (en 2 prises à 30 min d'intervalle), prise au cours d'un repas, antinauséeux (metoclopramide, ondansétron). (4) Lésion cutanée suspecte (modification d'un naevus, kératose actinique, tumeur) → arrêt de la PUVA-thérapie, biopsie cutanée, avis dermatologique spécialisé. (5) Cataracte → arrêt de la PUVA-thérapie, avis ophtalmologique. (6) Grossesse accidentelle → arrêt immédiat, déclaration au CRAT, surveillance échographique spécialisée.</w:t>
      </w:r>
    </w:p>
    <w:p>
      <w:r/>
      <w:r>
        <w:rPr>
          <w:b/>
        </w:rPr>
        <w:t>Interactions Importantes :</w:t>
      </w:r>
      <w:r/>
    </w:p>
    <w:p>
      <w:pPr>
        <w:pStyle w:val="ListBullet"/>
      </w:pPr>
      <w:r>
        <w:t xml:space="preserve">Méthoxsalène + </w:t>
      </w:r>
      <w:r>
        <w:rPr>
          <w:b/>
        </w:rPr>
        <w:t>Photosensibilisants médicamenteux</w:t>
      </w:r>
      <w:r>
        <w:t xml:space="preserve"> (phénothiazines — chlorpromazine, thiazidiques — hydrochlorothiazide, sulfamides antibactériens et hypoglycémiants, tétracyclines — doxycycline, fluoroquinolones — ciprofloxacine, ofloxacine, amiodarone, piroxicam, kétoprofène, millepertuis) : potentialisation majeure de la phototoxicité → brûlure cutanée sévère. </w:t>
      </w:r>
      <w:r>
        <w:rPr>
          <w:b/>
        </w:rPr>
        <w:t>Éviction stricte</w:t>
      </w:r>
      <w:r>
        <w:t xml:space="preserve"> pendant et 24 h après chaque séance de PUVA.</w:t>
      </w:r>
    </w:p>
    <w:p>
      <w:pPr>
        <w:pStyle w:val="ListBullet"/>
      </w:pPr>
      <w:r>
        <w:t xml:space="preserve">Méthoxsalène + </w:t>
      </w:r>
      <w:r>
        <w:rPr>
          <w:b/>
        </w:rPr>
        <w:t>Alcool</w:t>
      </w:r>
      <w:r>
        <w:t xml:space="preserve"> : potentialisation de la phototoxicité et des effets systémiques. Éviction stricte.</w:t>
      </w:r>
    </w:p>
    <w:p>
      <w:pPr>
        <w:pStyle w:val="ListBullet"/>
      </w:pPr>
      <w:r>
        <w:t xml:space="preserve">Méthoxsalène + </w:t>
      </w:r>
      <w:r>
        <w:rPr>
          <w:b/>
        </w:rPr>
        <w:t>Anticoagulants oraux</w:t>
      </w:r>
      <w:r>
        <w:t xml:space="preserve"> (warfarine) : modification de l'INR — surveillance.</w:t>
      </w:r>
    </w:p>
    <w:p>
      <w:pPr>
        <w:pStyle w:val="ListBullet"/>
      </w:pPr>
      <w:r>
        <w:t xml:space="preserve">Méthoxsalène + </w:t>
      </w:r>
      <w:r>
        <w:rPr>
          <w:b/>
        </w:rPr>
        <w:t>Cimétidine</w:t>
      </w:r>
      <w:r>
        <w:t xml:space="preserve"> (anti-H2) : inhibition du métabolisme hépatique du méthoxsalène → augmentation de la concentration plasmatique et de la toxicité. Éviter.</w:t>
      </w:r>
    </w:p>
    <w:p>
      <w:pPr>
        <w:pStyle w:val="ListBullet"/>
      </w:pPr>
      <w:r>
        <w:t xml:space="preserve">Méthoxsalène + </w:t>
      </w:r>
      <w:r>
        <w:rPr>
          <w:b/>
        </w:rPr>
        <w:t>Phénytoïne, carbamazépine, phénobarbital, rifampicine</w:t>
      </w:r>
      <w:r>
        <w:t xml:space="preserve"> (inducteurs enzymatiques) : diminution de l'efficacité du méthoxsalène (métabolisation accélérée).</w:t>
      </w:r>
    </w:p>
    <w:p>
      <w:pPr>
        <w:pStyle w:val="ListBullet"/>
      </w:pPr>
      <w:r>
        <w:t xml:space="preserve">Méthoxsalène + </w:t>
      </w:r>
      <w:r>
        <w:rPr>
          <w:b/>
        </w:rPr>
        <w:t>Statines, fibrates</w:t>
      </w:r>
      <w:r>
        <w:t xml:space="preserve"> : surveillance des lipides et des transaminases (potentialisation de la toxicité hépatique).</w:t>
      </w:r>
    </w:p>
    <w:p>
      <w:pPr>
        <w:pStyle w:val="ListBullet"/>
      </w:pPr>
      <w:r>
        <w:t xml:space="preserve">Méthoxsalène + </w:t>
      </w:r>
      <w:r>
        <w:rPr>
          <w:b/>
        </w:rPr>
        <w:t>Ciclosporine</w:t>
      </w:r>
      <w:r>
        <w:t xml:space="preserve"> : potentialisation de la toxicité rénale et de la carcinogénèse cutanée (immunosuppression additive).</w:t>
      </w:r>
    </w:p>
    <w:p>
      <w:pPr>
        <w:pStyle w:val="ListBullet"/>
      </w:pPr>
      <w:r>
        <w:t xml:space="preserve">Méthoxsalène + </w:t>
      </w:r>
      <w:r>
        <w:rPr>
          <w:b/>
        </w:rPr>
        <w:t>Méthotrexate</w:t>
      </w:r>
      <w:r>
        <w:t xml:space="preserve"> : potentialisation de la toxicité hépatique.</w:t>
      </w:r>
    </w:p>
    <w:p>
      <w:pPr>
        <w:pStyle w:val="ListBullet"/>
      </w:pPr>
      <w:r>
        <w:t xml:space="preserve">Méthoxsalène + </w:t>
      </w:r>
      <w:r>
        <w:rPr>
          <w:b/>
        </w:rPr>
        <w:t>Don de sang</w:t>
      </w:r>
      <w:r>
        <w:t xml:space="preserve"> : contre-indication pendant et 24-48 h après chaque séance.</w:t>
      </w:r>
    </w:p>
    <w:p>
      <w:pPr>
        <w:pStyle w:val="ListBullet"/>
      </w:pPr>
      <w:r>
        <w:t xml:space="preserve">Méthoxsalène + </w:t>
      </w:r>
      <w:r>
        <w:rPr>
          <w:b/>
        </w:rPr>
        <w:t>Contraceptifs oraux</w:t>
      </w:r>
      <w:r>
        <w:t xml:space="preserve"> : pas d'interaction documentée mais contraceptifs à éviter en cas d'estroprogestatifs photosensibilisants.</w:t>
      </w:r>
    </w:p>
    <w:p>
      <w:r/>
      <w:r>
        <w:rPr>
          <w:b/>
        </w:rPr>
        <w:t>Grossesse et Allaitement :</w:t>
      </w:r>
      <w:r/>
    </w:p>
    <w:p>
      <w:pPr>
        <w:pStyle w:val="ListBullet"/>
      </w:pPr>
      <w:r>
        <w:t xml:space="preserve">Grossesse : </w:t>
      </w:r>
      <w:r>
        <w:rPr>
          <w:b/>
        </w:rPr>
        <w:t>Contre-indication par mesure de précaution</w:t>
      </w:r>
      <w:r>
        <w:t>. Le méthoxsalène traverse le placenta (études animales limitées — pas de syndrome malformatif spécifique identifié mais photosensibilité fœtale théorique). Le CRAT recommande de ne pas utiliser la PUVA-thérapie pendant la grossesse, en raison de la combinaison d'un effet photosensibilisant (risque de brûlure fœtale théorique) et de l'incertitude sur la tératogénicité. Contraception efficace obligatoire pendant toute la durée du traitement. Test de grossesse pré-thérapeutique recommandé (β-hCG plasmatiques) chez toute femme en âge de procréer. En cas de grossesse accidentelle → arrêt immédiat, déclaration au CRAT, surveillance échographique de principe (pas d'indication systématique d'interruption médicale de grossesse — le risque malformatif est considéré comme très faible à nul, mais les données sont limitées).</w:t>
      </w:r>
    </w:p>
    <w:p>
      <w:pPr>
        <w:pStyle w:val="ListBullet"/>
      </w:pPr>
      <w:r>
        <w:t>Allaitement : Contre-indication (passage dans le lait maternel — photosensibilité du nourrisson). Allaitement à interrompre pendant toute la durée du traitement et 48 h après la dernière séance.</w:t>
      </w:r>
    </w:p>
    <w:p>
      <w:pPr>
        <w:pStyle w:val="ListBullet"/>
      </w:pPr>
      <w:r>
        <w:t>Précisions : Informer la patiente de la nécessité d'une contraception efficace pendant le traitement. Informer également de l'éviction stricte du soleil pendant et 24 h après chaque séance (photosensibilité cutanée résiduelle).</w:t>
      </w:r>
    </w:p>
    <w:p>
      <w:r/>
      <w:r>
        <w:rPr>
          <w:b/>
        </w:rPr>
        <w:t>Posologie et Mode d'administration (Standard) :</w:t>
      </w:r>
      <w:r/>
    </w:p>
    <w:p>
      <w:pPr>
        <w:pStyle w:val="ListBullet"/>
      </w:pPr>
      <w:r>
        <w:t xml:space="preserve">Adulte : </w:t>
      </w:r>
      <w:r>
        <w:rPr>
          <w:b/>
        </w:rPr>
        <w:t>PUVA-thérapie orale</w:t>
      </w:r>
      <w:r>
        <w:t xml:space="preserve"> : 0,6-0,8 mg/kg/jour en une prise unique, soit ~40-60 mg pour un adulte de 70 kg (4-6 comprimés à 10 mg). Prise </w:t>
      </w:r>
      <w:r>
        <w:rPr>
          <w:b/>
        </w:rPr>
        <w:t>2 heures avant l'irradiation UVA</w:t>
      </w:r>
      <w:r>
        <w:t xml:space="preserve"> (concentration plasmatique maximale à 2 h). La prise se fait à jeun ou avec un repas léger (en cas de nausées). </w:t>
      </w:r>
      <w:r>
        <w:rPr>
          <w:b/>
        </w:rPr>
        <w:t>PUVA-bain</w:t>
      </w:r>
      <w:r>
        <w:t xml:space="preserve"> : 0,5-1 mg/L d'eau de bain tiède (37 °C), bain de 15-20 minutes, irradiation UVA immédiatement après le bain (sans rinçage). </w:t>
      </w:r>
      <w:r>
        <w:rPr>
          <w:b/>
        </w:rPr>
        <w:t>PUVA-topique</w:t>
      </w:r>
      <w:r>
        <w:t xml:space="preserve"> : application de la solution à 0,1 % (Meladinine solution) diluée dans de l'éther ou de l'alcool (dilution 1/10 à 1/100 selon le protocole) sur les lésions, séchage à l'air libre, irradiation UVA 15-30 minutes après l'application. </w:t>
      </w:r>
      <w:r>
        <w:rPr>
          <w:b/>
        </w:rPr>
        <w:t>Dose initiale d'UVA</w:t>
      </w:r>
      <w:r>
        <w:t xml:space="preserve"> : 0,5-3 J/cm² selon le phototype (faible pour phototypes I-II, plus élevée pour phototypes V-VI), augmentation progressive de 0,5-1 J/cm² à chaque séance selon tolérance. </w:t>
      </w:r>
      <w:r>
        <w:rPr>
          <w:b/>
        </w:rPr>
        <w:t>Fréquence</w:t>
      </w:r>
      <w:r>
        <w:t xml:space="preserve"> : 2 à 4 séances par semaine. </w:t>
      </w:r>
      <w:r>
        <w:rPr>
          <w:b/>
        </w:rPr>
        <w:t>Dose cumulative maximale</w:t>
      </w:r>
      <w:r>
        <w:t xml:space="preserve"> : 200 séances vie entière (recommandation européenne). </w:t>
      </w:r>
      <w:r>
        <w:rPr>
          <w:b/>
        </w:rPr>
        <w:t>Durée minimale d'essai</w:t>
      </w:r>
      <w:r>
        <w:t xml:space="preserve"> : 4-6 semaines avant jugement de l'efficacité (effet optimal à 3-6 mois).</w:t>
      </w:r>
    </w:p>
    <w:p>
      <w:pPr>
        <w:pStyle w:val="ListBullet"/>
      </w:pPr>
      <w:r>
        <w:t>Enfant : À éviter avant 12 ans (sauf vitiligo extensif invalidant en centre spécialisé — posologie adaptée au poids).</w:t>
      </w:r>
    </w:p>
    <w:p>
      <w:pPr>
        <w:pStyle w:val="ListBullet"/>
      </w:pPr>
      <w:r>
        <w:t>Sujet âgé : Réduction de dose initiale, surveillance accrue de la tolérance (peau plus fine, plus fragile, plus de comorbidités et d'interactions médicamenteuses).</w:t>
      </w:r>
    </w:p>
    <w:p>
      <w:pPr>
        <w:pStyle w:val="ListBullet"/>
      </w:pPr>
      <w:r>
        <w:t>Insuffisance hépatique : Contre-indiquée en cas d'insuffisance hépatique sévère. En cas d'insuffisance modérée, discussion spécialisée avec surveillance biologique renforcée.</w:t>
      </w:r>
    </w:p>
    <w:p>
      <w:pPr>
        <w:pStyle w:val="ListBullet"/>
      </w:pPr>
      <w:r>
        <w:t>Insuffisance rénale : Contre-indiquée en cas d'insuffisance rénale sévère.</w:t>
      </w:r>
    </w:p>
    <w:p>
      <w:pPr>
        <w:pStyle w:val="ListBullet"/>
      </w:pPr>
      <w:r>
        <w:t>Moment de la prise : Prise 2 heures (± 15 min) avant l'irradiation UVA. Prise à jeun ou avec un repas léger.</w:t>
      </w:r>
    </w:p>
    <w:p>
      <w:r/>
      <w:r>
        <w:rPr>
          <w:b/>
        </w:rPr>
        <w:t>Arbitrage et Bénéfices des Formes Galéniques :</w:t>
      </w:r>
      <w:r/>
    </w:p>
    <w:p>
      <w:r>
        <w:t xml:space="preserve">Le méthoxsalène se présentait en Algérie en deux formes galéniques : (1) </w:t>
      </w:r>
      <w:r>
        <w:rPr>
          <w:b/>
        </w:rPr>
        <w:t>comprimés à 10 mg</w:t>
      </w:r>
      <w:r>
        <w:t xml:space="preserve"> (Meladinine comprimés) — pour la PUVA-thérapie orale, indiquée dans le psoriasis étendu, le vitiligo extensif, le mycosis fongoïde, en dermatologie hospitalière ; (2) </w:t>
      </w:r>
      <w:r>
        <w:rPr>
          <w:b/>
        </w:rPr>
        <w:t>solution pour application locale à 0,1 %</w:t>
      </w:r>
      <w:r>
        <w:t xml:space="preserve"> (Meladinine solution) — pour la PUVA-bain ou la PUVA-topique, indiquée dans le psoriasis palmoplantaire, l'eczéma chronique des mains et pieds, le vitiligo localisé (acral, muqueux génital). Les deux formes sont actuellement retirées du marché algérien. L'arbitrage entre les deux formes dépend de la surface à traiter : formes étendues (psoriasis en plaques BSA &gt; 10 %) → PUVA orale ; formes localisées (psoriasis palmoplantaire, vitiligo acral) → PUVA-topique (meilleure tolérance systémique, efficacité locale supérieure, mais risque de brûlure locale plus important si surdosage). La PUVA-bain (bain dans une solution diluée de psoralène suivie d'irradiation UVA) combine les avantages des deux formes : effet local uniforme, passage systémique minime (réduction des effets indésirables systémiques), mais nécessite une baignoire spécifique et une source d'UVA adaptée. La forme orale reste la plus largement utilisée dans le monde, mais son retrait du marché algérien impose le recours à la photothérapie UVB-TL01 (311 nm) qui ne nécessite pas de psoralène associé (mais qui est moins efficace que la PUVA dans le psoriasis palmoplantaire et le vitiligo). L'importation exceptionnelle de Meladinine reste possible sur prescription spécialisée pour les cas nécessitant formellement la PUVA-thérapie.</w:t>
      </w:r>
    </w:p>
    <w:p>
      <w:r/>
      <w:r>
        <w:rPr>
          <w:b/>
        </w:rPr>
        <w:t>Instructions et Conseils au Patient :</w:t>
      </w:r>
      <w:r/>
    </w:p>
    <w:p>
      <w:pPr>
        <w:pStyle w:val="ListBullet"/>
      </w:pPr>
      <w:r>
        <w:t xml:space="preserve">Communication au comptoir : (1) Prise du comprimé </w:t>
      </w:r>
      <w:r>
        <w:rPr>
          <w:b/>
        </w:rPr>
        <w:t>2 heures avant l'irradiation UVA</w:t>
      </w:r>
      <w:r>
        <w:t xml:space="preserve">, à heure fixe et précise (synchronisation stricte — pas de variation &gt; 15 min). (2) Prise à jeun ou avec un repas léger en cas de nausées. (3) </w:t>
      </w:r>
      <w:r>
        <w:rPr>
          <w:b/>
        </w:rPr>
        <w:t>Protection oculaire stricte</w:t>
      </w:r>
      <w:r>
        <w:t xml:space="preserve"> : lunettes UV-400 opaques aux UVA, portées pendant la séance d'UVA, pendant les 24 h suivant chaque séance, et systématiquement en extérieur diurne pendant toute la durée du traitement. (4) </w:t>
      </w:r>
      <w:r>
        <w:rPr>
          <w:b/>
        </w:rPr>
        <w:t>Photoprotection cutanée stricte</w:t>
      </w:r>
      <w:r>
        <w:t xml:space="preserve"> : vêtements couvrants, écrans solaires SPF 50+ sur zones découvertes, pendant 24 h après chaque séance. (5) </w:t>
      </w:r>
      <w:r>
        <w:rPr>
          <w:b/>
        </w:rPr>
        <w:t>Éviction solaire directe</w:t>
      </w:r>
      <w:r>
        <w:t xml:space="preserve"> pendant les 24 h suivant chaque séance (risque de brûlure solaire sévère). (6) </w:t>
      </w:r>
      <w:r>
        <w:rPr>
          <w:b/>
        </w:rPr>
        <w:t>Hydratation cutanée</w:t>
      </w:r>
      <w:r>
        <w:t xml:space="preserve"> abondante (crème émolliente plusieurs fois par jour) pour prévenir la xérose. (7) </w:t>
      </w:r>
      <w:r>
        <w:rPr>
          <w:b/>
        </w:rPr>
        <w:t>Éviction des photosensibilisants médicamenteux</w:t>
      </w:r>
      <w:r>
        <w:t xml:space="preserve"> pendant et 24 h après chaque séance (phénothiazines, thiazidiques, sulfamides, tétracyclines, fluoroquinolones, amiodarone, millepertuis). (8) Contraception efficace obligatoire chez la femme en âge de procréer. (9) Ne pas donner de sang pendant et 48 h après chaque séance. (10) </w:t>
      </w:r>
      <w:r>
        <w:rPr>
          <w:b/>
        </w:rPr>
        <w:t>Signes d'alerte à signaler</w:t>
      </w:r>
      <w:r>
        <w:t xml:space="preserve"> : érythème, brûlure, bulle, douleur intense (brûlure phototoxique), prurit insupportable, nausées persistantes, céphalées intenses avec troubles visuels, modification d'un naevus. (11) </w:t>
      </w:r>
      <w:r>
        <w:rPr>
          <w:b/>
        </w:rPr>
        <w:t>Surveillance dermatologique</w:t>
      </w:r>
      <w:r>
        <w:t xml:space="preserve"> tous les 3-6 mois (dépistage de lésions cutanées suspectes). (12) </w:t>
      </w:r>
      <w:r>
        <w:rPr>
          <w:b/>
        </w:rPr>
        <w:t>Surveillance ophtalmologique</w:t>
      </w:r>
      <w:r>
        <w:t xml:space="preserve"> annuelle (dépistage de cataracte). (13) Limitation du nombre total de séances à 200 vie entière (recommandation européenne). (14) Disponibilité du marché algérien : Meladinine est actuellement retirée du marché algérien, le recours à la photothérapie UVB-TL01 ou à l'importation exceptionnelle de psoralène est à discuter avec le dermatologue.</w:t>
      </w:r>
    </w:p>
    <w:p>
      <w:pPr>
        <w:pStyle w:val="ListBullet"/>
      </w:pPr>
      <w:r>
        <w:t>Mode d'utilisation pratique : (1) Prise du comprimé à heure fixe et précise, 2 heures avant l'irradiation UVA. (2) Séance d'UVA en milieu spécialisé (centre de photodermatologie, hôpital ou cabinet dermatologique équipé). (3) Mesure de la dose d'UVA par un radiamètre calibré à chaque séance. (4) Protection oculaire stricte (lunettes UV-400) pendant et 24 h après. (5) Protection des organes génitaux masculins pendant la séance. (6) Hydratation cutanée abondante. (7) Éviction solaire 24 h après. (8) Conservation : comprimés à T° &lt; 25 °C, à l'abri de la lumière et de l'humidité ; solution à 0,1 % en flacon brun, conservation à T° &lt; 25 °C, à l'abri de la lumière (photosensible).</w:t>
      </w:r>
    </w:p>
    <w:p>
      <w:r/>
      <w:r>
        <w:rPr>
          <w:b/>
        </w:rPr>
        <w:t>Notes, Règles d'Or &amp; Pièges au Comptoir :</w:t>
      </w:r>
      <w:r/>
    </w:p>
    <w:p>
      <w:pPr>
        <w:pStyle w:val="ListBullet"/>
      </w:pPr>
      <w:r>
        <w:t>Piège classique : (1) Synchronisation imprécise entre la prise du comprimé et l'irradiation UVA — erreur fréquente, provoque une inefficacité (si prise trop tôt — psoralène déjà éliminé) ou une brûlure phototoxique (si prise trop tard — concentration plasmatique insuffisante, mais le psoralène reste dans la peau). Toujours respecter un délai de 2 heures (± 15 min). (2) Oubli de la protection oculaire — risque majeur de cataracte photo-induite (le psoralène se fixe au cristallin). (3) Exposition solaire directe dans les 24 h après la séance — risque de brûlure solaire sévère. (4) Association à des photosensibilisants médicamenteux (sulfamides, tétracyclines, thiazidiques, phénothiazines, fluoroquinolones, amiodarone, millepertuis) — risque de brûlure phototoxique gravissime. (5) Femme enceinte ou envisageant une grossesse — ne pas délivrer sans contraception stricte. (6) Don de sang pendant traitement — contre-indication formelle. (7) Patient avec antécédent de cancer cutané — ne pas délivrer (risque de récidive majoré). (8) Patient avec lupus ou porphyrie — ne pas délivrer (photosensibilité pathologique). (9) Confusion Meladinine comprimés ↔ Meladinine solution — formes et indications différentes, ne pas substituer. (10) Disponibilité du marché algérien : Meladinine est retirée du marché, l'alternative est la photothérapie UVB-TL01 ou l'importation exceptionnelle.</w:t>
      </w:r>
    </w:p>
    <w:p>
      <w:pPr>
        <w:pStyle w:val="ListBullet"/>
      </w:pPr>
      <w:r>
        <w:t>Règle de prise : Prise 2 heures avant l'irradiation UVA, protection oculaire stricte pendant et 24 h après, photoprotection cutanée pendant 24 h après, éviction solaire 24 h après, contraception stricte, surveillance dermatologique et ophtalmologique régulière.</w:t>
      </w:r>
    </w:p>
    <w:p>
      <w:pPr>
        <w:pStyle w:val="ListBullet"/>
      </w:pPr>
      <w:r>
        <w:t>Préparation et Conservation : Comprimés à T° &lt; 25 °C, à l'abri de la lumière et de l'humidité. Solution à 0,1 % en flacon brun, conservation à T° &lt; 25 °C, à l'abri de la lumière (photosensible). Durée de conservation après ouverture : 6 mois maximum pour la solution.</w:t>
      </w:r>
    </w:p>
    <w:p>
      <w:pPr>
        <w:pStyle w:val="ListBullet"/>
      </w:pPr>
      <w:r>
        <w:t>Piège du surdosage / Substitution : (1) Surdosage UVA (dose d'irradiation trop élevée pour la dose de psoralène ou le phototype) → brûlure phototoxique sévère 24-72 h après la séance. (2) Surdosage psoralène (prise de comprimés supplémentaires) → phototoxicité accrue, nausées, vomissements, céphalées. (3) Substitution Meladinine ↔ Oxsoralen (autre marque de méthoxsalène) — autorisée (même DCI, même dosage), mais surveillance accrue en cas de changement de marque. (4) Disponibilité du marché algérien : Meladinine retirée du marché — alternative : photothérapie UVB-TL01, ou importation exceptionnelle de méthoxsalène (Oxsoralen, Uvadex) sur prescription spécialisée. (5) Patient en rupture de traitement — alternative à discuter avec le dermatologue : photothérapie UVB-TL01, acitrétine, méthotrexate, ciclosporine, biothérapie (anti-TNFα, anti-IL-17, anti-IL-23) selon l'indication (psoriasis, vitiligo, mycosis fongoïde).</w:t>
      </w:r>
    </w:p>
    <w:p>
      <w:pPr>
        <w:pStyle w:val="Heading3"/>
      </w:pPr>
      <w:r>
        <w:t>DCI 6 — Peroxyde de benzoyle</w:t>
      </w:r>
    </w:p>
    <w:p>
      <w:r/>
      <w:r>
        <w:rPr>
          <w:b/>
        </w:rPr>
        <w:t>Liste des Catégories :</w:t>
      </w:r>
      <w:r>
        <w:t xml:space="preserve"> Anti-acnéique topique — Oxydant — Bactéricide Cutibacterium acnes — Kératolytique — Comédolytique modéré — Anti-inflammatoire — Liste II — Médicament à prescription médicale conseillée mais délivrance en auto-médication encadrée possible — Non tératogène (utilisabl pendant grossesse si nécessaire, par prudence).</w:t>
      </w:r>
    </w:p>
    <w:p>
      <w:r>
        <w:t xml:space="preserve">Le peroxyde de benzoyle (BPO, dibenzoyl peroxide, formule chimique C₆H₅-CO-O-O-OC-C₆H₅) est un anti-acnéique topique de première ligne utilisé depuis 1934 (introduction par Pace). Il appartient à la famille chimique des peroxydes organiques, utilisés également comme agents de blanchiment industriel (farine panifiable, textiles), durcisseurs de résines polymères (polyester, élastomères), et dans la polymérisation radiculaire. Sa propriété anti-acnéique repose sur deux mécanismes complémentaires : (i) une activité oxydante bactéricide par libération d'espèces réactives de l'oxygène (radicaux libres hydroxyles •OH, oxygène singulet ¹O₂, anion superoxyde O₂⁻) qui détruisent </w:t>
      </w:r>
      <w:r>
        <w:rPr>
          <w:i/>
        </w:rPr>
        <w:t>Cutibacterium acnes</w:t>
      </w:r>
      <w:r>
        <w:t xml:space="preserve"> dans le follicule pilo-sébacé, et (ii) une activité kératolytique et comédolytique modérée par diminution de la cohésion des cornéocytes du canal folliculaire. En Algérie, le peroxyde de benzoyle est commercialisé sous quatre marques : CUTACNYL (Galderma International) en gel dermique à 2,5 %, 5 % et 10 % (actif), PANOXYL (Stiefel Limited) en gel dermique 5 % et 10 % (non renouvelable), SOLUGEL (Stiefel Canada) en gel 4 % (non renouvelable), et ECLARAN (Pierre Fabre) en gel dermique 5 % et 10 % (retiré). La spécialité Cutacnyl est aujourd'hui la plus largement disponible sur le marché algérien.</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CUTACNYL</w:t>
            </w:r>
          </w:p>
        </w:tc>
        <w:tc>
          <w:tcPr>
            <w:tcW w:type="dxa" w:w="1559"/>
          </w:tcPr>
          <w:p>
            <w:r>
              <w:rPr>
                <w:sz w:val="20"/>
              </w:rPr>
              <w:t>Galderma International</w:t>
            </w:r>
          </w:p>
        </w:tc>
        <w:tc>
          <w:tcPr>
            <w:tcW w:type="dxa" w:w="1559"/>
          </w:tcPr>
          <w:p>
            <w:r>
              <w:rPr>
                <w:sz w:val="20"/>
              </w:rPr>
              <w:t>Gel dermique 2,5 % (0,025)</w:t>
            </w:r>
          </w:p>
        </w:tc>
        <w:tc>
          <w:tcPr>
            <w:tcW w:type="dxa" w:w="1559"/>
          </w:tcPr>
          <w:p>
            <w:r>
              <w:rPr>
                <w:sz w:val="20"/>
              </w:rPr>
              <w:t>Tube de 40 g</w:t>
            </w:r>
          </w:p>
        </w:tc>
        <w:tc>
          <w:tcPr>
            <w:tcW w:type="dxa" w:w="1559"/>
          </w:tcPr>
          <w:p>
            <w:r>
              <w:rPr>
                <w:sz w:val="20"/>
              </w:rPr>
              <w:t>Liste II</w:t>
            </w:r>
          </w:p>
        </w:tc>
        <w:tc>
          <w:tcPr>
            <w:tcW w:type="dxa" w:w="1559"/>
          </w:tcPr>
          <w:p>
            <w:r>
              <w:rPr>
                <w:sz w:val="20"/>
              </w:rPr>
              <w:t>Actif</w:t>
            </w:r>
          </w:p>
        </w:tc>
      </w:tr>
      <w:tr>
        <w:tc>
          <w:tcPr>
            <w:tcW w:type="dxa" w:w="1559"/>
          </w:tcPr>
          <w:p>
            <w:r>
              <w:rPr>
                <w:sz w:val="20"/>
              </w:rPr>
              <w:t>CUTACNYL</w:t>
            </w:r>
          </w:p>
        </w:tc>
        <w:tc>
          <w:tcPr>
            <w:tcW w:type="dxa" w:w="1559"/>
          </w:tcPr>
          <w:p>
            <w:r>
              <w:rPr>
                <w:sz w:val="20"/>
              </w:rPr>
              <w:t>Galderma International</w:t>
            </w:r>
          </w:p>
        </w:tc>
        <w:tc>
          <w:tcPr>
            <w:tcW w:type="dxa" w:w="1559"/>
          </w:tcPr>
          <w:p>
            <w:r>
              <w:rPr>
                <w:sz w:val="20"/>
              </w:rPr>
              <w:t>Gel dermique 5 % (0,05)</w:t>
            </w:r>
          </w:p>
        </w:tc>
        <w:tc>
          <w:tcPr>
            <w:tcW w:type="dxa" w:w="1559"/>
          </w:tcPr>
          <w:p>
            <w:r>
              <w:rPr>
                <w:sz w:val="20"/>
              </w:rPr>
              <w:t>Tube de 40 g</w:t>
            </w:r>
          </w:p>
        </w:tc>
        <w:tc>
          <w:tcPr>
            <w:tcW w:type="dxa" w:w="1559"/>
          </w:tcPr>
          <w:p>
            <w:r>
              <w:rPr>
                <w:sz w:val="20"/>
              </w:rPr>
              <w:t>Liste II</w:t>
            </w:r>
          </w:p>
        </w:tc>
        <w:tc>
          <w:tcPr>
            <w:tcW w:type="dxa" w:w="1559"/>
          </w:tcPr>
          <w:p>
            <w:r>
              <w:rPr>
                <w:sz w:val="20"/>
              </w:rPr>
              <w:t>Actif</w:t>
            </w:r>
          </w:p>
        </w:tc>
      </w:tr>
      <w:tr>
        <w:tc>
          <w:tcPr>
            <w:tcW w:type="dxa" w:w="1559"/>
          </w:tcPr>
          <w:p>
            <w:r>
              <w:rPr>
                <w:sz w:val="20"/>
              </w:rPr>
              <w:t>CUTACNYL</w:t>
            </w:r>
          </w:p>
        </w:tc>
        <w:tc>
          <w:tcPr>
            <w:tcW w:type="dxa" w:w="1559"/>
          </w:tcPr>
          <w:p>
            <w:r>
              <w:rPr>
                <w:sz w:val="20"/>
              </w:rPr>
              <w:t>Galderma International</w:t>
            </w:r>
          </w:p>
        </w:tc>
        <w:tc>
          <w:tcPr>
            <w:tcW w:type="dxa" w:w="1559"/>
          </w:tcPr>
          <w:p>
            <w:r>
              <w:rPr>
                <w:sz w:val="20"/>
              </w:rPr>
              <w:t>Gel dermique 10 % (0,1)</w:t>
            </w:r>
          </w:p>
        </w:tc>
        <w:tc>
          <w:tcPr>
            <w:tcW w:type="dxa" w:w="1559"/>
          </w:tcPr>
          <w:p>
            <w:r>
              <w:rPr>
                <w:sz w:val="20"/>
              </w:rPr>
              <w:t>Tube de 40 g</w:t>
            </w:r>
          </w:p>
        </w:tc>
        <w:tc>
          <w:tcPr>
            <w:tcW w:type="dxa" w:w="1559"/>
          </w:tcPr>
          <w:p>
            <w:r>
              <w:rPr>
                <w:sz w:val="20"/>
              </w:rPr>
              <w:t>Liste II</w:t>
            </w:r>
          </w:p>
        </w:tc>
        <w:tc>
          <w:tcPr>
            <w:tcW w:type="dxa" w:w="1559"/>
          </w:tcPr>
          <w:p>
            <w:r>
              <w:rPr>
                <w:sz w:val="20"/>
              </w:rPr>
              <w:t>Actif</w:t>
            </w:r>
          </w:p>
        </w:tc>
      </w:tr>
      <w:tr>
        <w:tc>
          <w:tcPr>
            <w:tcW w:type="dxa" w:w="1559"/>
          </w:tcPr>
          <w:p>
            <w:r>
              <w:rPr>
                <w:sz w:val="20"/>
              </w:rPr>
              <w:t>PANOXYL</w:t>
            </w:r>
          </w:p>
        </w:tc>
        <w:tc>
          <w:tcPr>
            <w:tcW w:type="dxa" w:w="1559"/>
          </w:tcPr>
          <w:p>
            <w:r>
              <w:rPr>
                <w:sz w:val="20"/>
              </w:rPr>
              <w:t>Stiefel Limited</w:t>
            </w:r>
          </w:p>
        </w:tc>
        <w:tc>
          <w:tcPr>
            <w:tcW w:type="dxa" w:w="1559"/>
          </w:tcPr>
          <w:p>
            <w:r>
              <w:rPr>
                <w:sz w:val="20"/>
              </w:rPr>
              <w:t>Gel dermique 5 % (0,05)</w:t>
            </w:r>
          </w:p>
        </w:tc>
        <w:tc>
          <w:tcPr>
            <w:tcW w:type="dxa" w:w="1559"/>
          </w:tcPr>
          <w:p>
            <w:r>
              <w:rPr>
                <w:sz w:val="20"/>
              </w:rPr>
              <w:t>Tube de 40 g</w:t>
            </w:r>
          </w:p>
        </w:tc>
        <w:tc>
          <w:tcPr>
            <w:tcW w:type="dxa" w:w="1559"/>
          </w:tcPr>
          <w:p>
            <w:r>
              <w:rPr>
                <w:sz w:val="20"/>
              </w:rPr>
              <w:t>Liste II</w:t>
            </w:r>
          </w:p>
        </w:tc>
        <w:tc>
          <w:tcPr>
            <w:tcW w:type="dxa" w:w="1559"/>
          </w:tcPr>
          <w:p>
            <w:r>
              <w:rPr>
                <w:sz w:val="20"/>
              </w:rPr>
              <w:t>Non Renouvelable</w:t>
            </w:r>
          </w:p>
        </w:tc>
      </w:tr>
      <w:tr>
        <w:tc>
          <w:tcPr>
            <w:tcW w:type="dxa" w:w="1559"/>
          </w:tcPr>
          <w:p>
            <w:r>
              <w:rPr>
                <w:sz w:val="20"/>
              </w:rPr>
              <w:t>PANOXYL</w:t>
            </w:r>
          </w:p>
        </w:tc>
        <w:tc>
          <w:tcPr>
            <w:tcW w:type="dxa" w:w="1559"/>
          </w:tcPr>
          <w:p>
            <w:r>
              <w:rPr>
                <w:sz w:val="20"/>
              </w:rPr>
              <w:t>Stiefel Limited</w:t>
            </w:r>
          </w:p>
        </w:tc>
        <w:tc>
          <w:tcPr>
            <w:tcW w:type="dxa" w:w="1559"/>
          </w:tcPr>
          <w:p>
            <w:r>
              <w:rPr>
                <w:sz w:val="20"/>
              </w:rPr>
              <w:t>Gel dermique 10 % (0,1)</w:t>
            </w:r>
          </w:p>
        </w:tc>
        <w:tc>
          <w:tcPr>
            <w:tcW w:type="dxa" w:w="1559"/>
          </w:tcPr>
          <w:p>
            <w:r>
              <w:rPr>
                <w:sz w:val="20"/>
              </w:rPr>
              <w:t>Tube de 40 g</w:t>
            </w:r>
          </w:p>
        </w:tc>
        <w:tc>
          <w:tcPr>
            <w:tcW w:type="dxa" w:w="1559"/>
          </w:tcPr>
          <w:p>
            <w:r>
              <w:rPr>
                <w:sz w:val="20"/>
              </w:rPr>
              <w:t>Liste II</w:t>
            </w:r>
          </w:p>
        </w:tc>
        <w:tc>
          <w:tcPr>
            <w:tcW w:type="dxa" w:w="1559"/>
          </w:tcPr>
          <w:p>
            <w:r>
              <w:rPr>
                <w:sz w:val="20"/>
              </w:rPr>
              <w:t>Non Renouvelable</w:t>
            </w:r>
          </w:p>
        </w:tc>
      </w:tr>
      <w:tr>
        <w:tc>
          <w:tcPr>
            <w:tcW w:type="dxa" w:w="1559"/>
          </w:tcPr>
          <w:p>
            <w:r>
              <w:rPr>
                <w:sz w:val="20"/>
              </w:rPr>
              <w:t>SOLUGEL (R)</w:t>
            </w:r>
          </w:p>
        </w:tc>
        <w:tc>
          <w:tcPr>
            <w:tcW w:type="dxa" w:w="1559"/>
          </w:tcPr>
          <w:p>
            <w:r>
              <w:rPr>
                <w:sz w:val="20"/>
              </w:rPr>
              <w:t>Stiefel Canada Inc</w:t>
            </w:r>
          </w:p>
        </w:tc>
        <w:tc>
          <w:tcPr>
            <w:tcW w:type="dxa" w:w="1559"/>
          </w:tcPr>
          <w:p>
            <w:r>
              <w:rPr>
                <w:sz w:val="20"/>
              </w:rPr>
              <w:t>Gel 4 % (0,04)</w:t>
            </w:r>
          </w:p>
        </w:tc>
        <w:tc>
          <w:tcPr>
            <w:tcW w:type="dxa" w:w="1559"/>
          </w:tcPr>
          <w:p>
            <w:r>
              <w:rPr>
                <w:sz w:val="20"/>
              </w:rPr>
              <w:t>Tube de 45 g</w:t>
            </w:r>
          </w:p>
        </w:tc>
        <w:tc>
          <w:tcPr>
            <w:tcW w:type="dxa" w:w="1559"/>
          </w:tcPr>
          <w:p>
            <w:r>
              <w:rPr>
                <w:sz w:val="20"/>
              </w:rPr>
              <w:t>Liste II</w:t>
            </w:r>
          </w:p>
        </w:tc>
        <w:tc>
          <w:tcPr>
            <w:tcW w:type="dxa" w:w="1559"/>
          </w:tcPr>
          <w:p>
            <w:r>
              <w:rPr>
                <w:sz w:val="20"/>
              </w:rPr>
              <w:t>Non Renouvelable</w:t>
            </w:r>
          </w:p>
        </w:tc>
      </w:tr>
      <w:tr>
        <w:tc>
          <w:tcPr>
            <w:tcW w:type="dxa" w:w="1559"/>
          </w:tcPr>
          <w:p>
            <w:r>
              <w:rPr>
                <w:sz w:val="20"/>
              </w:rPr>
              <w:t>ECLARAN (R)</w:t>
            </w:r>
          </w:p>
        </w:tc>
        <w:tc>
          <w:tcPr>
            <w:tcW w:type="dxa" w:w="1559"/>
          </w:tcPr>
          <w:p>
            <w:r>
              <w:rPr>
                <w:sz w:val="20"/>
              </w:rPr>
              <w:t>Pierre Fabre</w:t>
            </w:r>
          </w:p>
        </w:tc>
        <w:tc>
          <w:tcPr>
            <w:tcW w:type="dxa" w:w="1559"/>
          </w:tcPr>
          <w:p>
            <w:r>
              <w:rPr>
                <w:sz w:val="20"/>
              </w:rPr>
              <w:t>Gel dermique 5 % (0,05)</w:t>
            </w:r>
          </w:p>
        </w:tc>
        <w:tc>
          <w:tcPr>
            <w:tcW w:type="dxa" w:w="1559"/>
          </w:tcPr>
          <w:p>
            <w:r>
              <w:rPr>
                <w:sz w:val="20"/>
              </w:rPr>
              <w:t>Tube de 15 g</w:t>
            </w:r>
          </w:p>
        </w:tc>
        <w:tc>
          <w:tcPr>
            <w:tcW w:type="dxa" w:w="1559"/>
          </w:tcPr>
          <w:p>
            <w:r>
              <w:rPr>
                <w:sz w:val="20"/>
              </w:rPr>
              <w:t>Liste II</w:t>
            </w:r>
          </w:p>
        </w:tc>
        <w:tc>
          <w:tcPr>
            <w:tcW w:type="dxa" w:w="1559"/>
          </w:tcPr>
          <w:p>
            <w:r>
              <w:rPr>
                <w:sz w:val="20"/>
              </w:rPr>
              <w:t>Retiré</w:t>
            </w:r>
          </w:p>
        </w:tc>
      </w:tr>
      <w:tr>
        <w:tc>
          <w:tcPr>
            <w:tcW w:type="dxa" w:w="1559"/>
          </w:tcPr>
          <w:p>
            <w:r>
              <w:rPr>
                <w:sz w:val="20"/>
              </w:rPr>
              <w:t>ECLARAN (R)</w:t>
            </w:r>
          </w:p>
        </w:tc>
        <w:tc>
          <w:tcPr>
            <w:tcW w:type="dxa" w:w="1559"/>
          </w:tcPr>
          <w:p>
            <w:r>
              <w:rPr>
                <w:sz w:val="20"/>
              </w:rPr>
              <w:t>Pierre Fabre</w:t>
            </w:r>
          </w:p>
        </w:tc>
        <w:tc>
          <w:tcPr>
            <w:tcW w:type="dxa" w:w="1559"/>
          </w:tcPr>
          <w:p>
            <w:r>
              <w:rPr>
                <w:sz w:val="20"/>
              </w:rPr>
              <w:t>Gel dermique 10 % (0,1)</w:t>
            </w:r>
          </w:p>
        </w:tc>
        <w:tc>
          <w:tcPr>
            <w:tcW w:type="dxa" w:w="1559"/>
          </w:tcPr>
          <w:p>
            <w:r>
              <w:rPr>
                <w:sz w:val="20"/>
              </w:rPr>
              <w:t>Tube de 45 g</w:t>
            </w:r>
          </w:p>
        </w:tc>
        <w:tc>
          <w:tcPr>
            <w:tcW w:type="dxa" w:w="1559"/>
          </w:tcPr>
          <w:p>
            <w:r>
              <w:rPr>
                <w:sz w:val="20"/>
              </w:rPr>
              <w:t>Liste II</w:t>
            </w:r>
          </w:p>
        </w:tc>
        <w:tc>
          <w:tcPr>
            <w:tcW w:type="dxa" w:w="1559"/>
          </w:tcPr>
          <w:p>
            <w:r>
              <w:rPr>
                <w:sz w:val="20"/>
              </w:rPr>
              <w:t>Retiré</w:t>
            </w:r>
          </w:p>
        </w:tc>
      </w:tr>
    </w:tbl>
    <w:p/>
    <w:p>
      <w:r/>
      <w:r>
        <w:rPr>
          <w:b/>
        </w:rPr>
        <w:t>Sous-classe et Mécanisme d'action :</w:t>
      </w:r>
      <w:r/>
    </w:p>
    <w:p>
      <w:pPr>
        <w:pStyle w:val="ListBullet"/>
      </w:pPr>
      <w:r>
        <w:t>Sous-classe : Anti-acnéique topique — peroxyde organique — oxydant bactéricide non spécifique — kératolytique modéré — non antibiotique (pas de résistance bactérienne). Formule chimique : dibenzoyl peroxide, C₆H₅-CO-O-O-OC-C₆H₅ (poids moléculaire 242,22 g/mol).</w:t>
      </w:r>
    </w:p>
    <w:p>
      <w:pPr>
        <w:pStyle w:val="ListBullet"/>
      </w:pPr>
      <w:r>
        <w:t xml:space="preserve">Mécanisme d'action : Le peroxyde de benzoyle est appliqué sur la peau sous forme de gel (ou de crème, lotion). Il pénètre le stratum corneum par diffusion passive et atteint le follicule pilo-sébacé, où il subit une décomposition spontanée (catalysée par la chaleur, la lumière et le pH cutané) libérant l'acide benzoïque et l'oxygène actif (radicaux libres hydroxyles •OH, oxygène singulet ¹O₂, anion superoxyde O₂⁻, peroxyde d'hydrogène H₂O₂). Ces espèces réactives de l'oxygène exercent trois effets pharmacologiques cardinaux : (i) **Bactéricide oxydatif contre *Cutibacterium acnes*** (anciennement *Propionibacterium acnes*) — bactérie anaérobie strict gram-positif, commensale du follicule pilo-sébacé, qui hydrolyse les triglycérides du sébum en acides gras libres pro-inflammatoires et qui stimule l'inflammation via ses antigènes de paroi. Les radicaux libres oxydants détruisent les membranes lipidiques, les protéines et l'ADN bactérien, provoquant une réduction de 2 log du nombre bactérien dès la première semaine d'application, sans sélection de souches résistantes (à la différence des antibiotiques topiques — clindamycine, érythromycine — qui sélectionnent des résistances en 3-6 mois). Cette absence de résistance est l'avantage majeur du BPO sur les antibiotiques topiques. (ii) </w:t>
      </w:r>
      <w:r>
        <w:rPr>
          <w:b/>
        </w:rPr>
        <w:t>Kératolytique et comédolytique modéré</w:t>
      </w:r>
      <w:r>
        <w:t xml:space="preserve"> — diminution de la cohésion des cornéocytes du canal folliculaire, facilant l'expulsion du sébum et des comédons. Effet moins puissant que celui des rétinoïdes topiques (trétinoïne, adapalène), justifiant la fréquence de l'association BPO + rétinoïde topique. (iii) </w:t>
      </w:r>
      <w:r>
        <w:rPr>
          <w:b/>
        </w:rPr>
        <w:t>Anti-inflammatoire modéré</w:t>
      </w:r>
      <w:r>
        <w:t xml:space="preserve"> — diminution de la production d'acides gras libres à partir des triglycérides du sébum (par inhibition de la lipase bactérienne) et diminution des cytokines pro-inflammatoires (IL-1β, TNFα). Le BPO n'a pas d'effet sur la production sébacée (à la différence de l'isotrétinoïne orale qui est un sébo-suppresseur puissant). Son passage systémique est minime (≤ 5 %), avec métabolisation locale en acide benzoïque (éliminé par voie rénale sous forme d'acide hippurique). Le BPO n'est pas tératogène et peut être utilisé pendant la grossesse si nécessaire (par prudence, préférer l'azélaïque topique).</w:t>
      </w:r>
    </w:p>
    <w:p>
      <w:r/>
      <w:r>
        <w:rPr>
          <w:b/>
        </w:rPr>
        <w:t>Profil Pharmacologique :</w:t>
      </w:r>
      <w:r/>
    </w:p>
    <w:p>
      <w:pPr>
        <w:pStyle w:val="ListBullet"/>
      </w:pPr>
      <w:r>
        <w:t xml:space="preserve">Indications : (1) </w:t>
      </w:r>
      <w:r>
        <w:rPr>
          <w:b/>
        </w:rPr>
        <w:t>Acné vulgaire légère à modérée</w:t>
      </w:r>
      <w:r>
        <w:t xml:space="preserve"> (papulo-pustuleuse, mixte avec comédons et papules inflammatoires) — indication princeps. (2) Acné modérée à sévère en association avec un rétinoïde topique (adapalène, trétinoïne) ou un antibiotique topique (clindamycine, érythromycine) — protocole combiné. (3) Acné inflammatoire du dos et du thorax (zones séborrhéiques étendues). (4) Acné modérée récidivante après arrêt d'un traitement antibiotique oral. (5) Décollement du *Malassezia furfur* dans la pityriasis versicolor (off-label). (6) Prévention de la résistance bactérienne en cas d'antibiothérapie topique associée (clindamycine, érythromycine) — protocole systématique. (7) Traitement d'entretien de l'acné après traitement d'attaque (isotrétinoïne orale, antibiothérapie orale).</w:t>
      </w:r>
    </w:p>
    <w:p>
      <w:pPr>
        <w:pStyle w:val="ListBullet"/>
      </w:pPr>
      <w:r>
        <w:t>Contre-indications : (a) Hypersensibilité au peroxyde de benzoyle ou à l'un des excipients (parahydroxybenzoates, propylèneglycol). (b) Peau lésée, eczémateuse, dermatite atopique évolutive (risque d'aggravation irritative). (c) Application simultanée d'autres topiques irritants (rétinoïdes topiques à forte concentration en début de traitement, acide salicylique, soufre, résorcinol). (d) Enfant de moins de 12 ans (à éviter sauf nécessité dermatologique). (e) Femme enceinte (par prudence, préférer l'azélaïque topique — mais le BPO n'est pas contre-indiqué formellement).</w:t>
      </w:r>
    </w:p>
    <w:p>
      <w:pPr>
        <w:pStyle w:val="ListBullet"/>
      </w:pPr>
      <w:r>
        <w:t xml:space="preserve">Effets Indésirables : (a) </w:t>
      </w:r>
      <w:r>
        <w:rPr>
          <w:b/>
        </w:rPr>
        <w:t>Irritation cutanée locale</w:t>
      </w:r>
      <w:r>
        <w:t xml:space="preserve"> (très fréquente, surtout en début de traitement et à fortes concentrations) : érythème, desquamation, sensation de brûlure, prurit, xérose — généralement d'intensité légère à modérée, régresse avec l'accoutumance et l'espacement des applications. (b) </w:t>
      </w:r>
      <w:r>
        <w:rPr>
          <w:b/>
        </w:rPr>
        <w:t>Photosensibilité modérée</w:t>
      </w:r>
      <w:r>
        <w:t xml:space="preserve"> (radicaux libres oxygénés activés par UV) — application vespérale préférentielle, photoprotection diurne recommandée. (c) </w:t>
      </w:r>
      <w:r>
        <w:rPr>
          <w:b/>
        </w:rPr>
        <w:t>Décoloration des tissus</w:t>
      </w:r>
      <w:r>
        <w:t xml:space="preserve"> (caractéristique du BPO — effet oxydant sur les colorants textiles et les cheveux) : décolore irreversiblement les draps, serviettes, vêtements, taies d'oreiller, cheveux colorés. Le patient doit être prévenu et utiliser des draps et serviettes dédiés, et éviter le contact avec les vêtements colorés. (d) </w:t>
      </w:r>
      <w:r>
        <w:rPr>
          <w:b/>
        </w:rPr>
        <w:t>Dermatite de contact allergique</w:t>
      </w:r>
      <w:r>
        <w:t xml:space="preserve"> (&lt; 1 % — réaction immunitaire à un métabolite du BPO — distinguée de l'irritation par la persistance, l'extension et l'absence d'accoutumance). (e) </w:t>
      </w:r>
      <w:r>
        <w:rPr>
          <w:b/>
        </w:rPr>
        <w:t>Décoloration transitoire de la peau traitée</w:t>
      </w:r>
      <w:r>
        <w:t xml:space="preserve"> (en cas d'application excessive — réversible à l'arrêt). (f) </w:t>
      </w:r>
      <w:r>
        <w:rPr>
          <w:b/>
        </w:rPr>
        <w:t>Sécheresse oculaire</w:t>
      </w:r>
      <w:r>
        <w:t xml:space="preserve"> (en cas d'application à proximité des yeux). (g) Exceptionnels : blépharite, conjonctivite (en cas de contact oculaire accidentel). (h) Effets systémiques : non documentés (passage systémique minime). (i) Effets tératogènes : non documentés (BPO non tératogène chez l'animal).</w:t>
      </w:r>
    </w:p>
    <w:p>
      <w:r/>
      <w:r>
        <w:rPr>
          <w:b/>
        </w:rPr>
        <w:t>Prévention et Gestion des Effets Indésirables :</w:t>
      </w:r>
      <w:r/>
    </w:p>
    <w:p>
      <w:pPr>
        <w:pStyle w:val="ListBullet"/>
      </w:pPr>
      <w:r>
        <w:t xml:space="preserve">Mesures Préventives : (1) Application de préférence le soir au coucher (en raison de la photosensibilité modérée et de la décoloration des tissus la nuit — lessivage des draps le lendemain). (2) Démarrer par la concentration la plus faible (2,5 %) puis augmenter progressivement (5 % puis 10 %) selon l'efficacité et la tolérance — la concentration 2,5 % est aussi efficace que la concentration 10 % avec une meilleure tolérance. (3) Débuter par application un soir sur deux pendant 2-4 semaines, puis escalader vers la quotidienneté. (4) Quantité modérée (≈ 0,5 g pour le visage complet — taille d'un pois). (5) Application sur peau parfaitement sèche (30 min après la toilette). (6) Éviter le contour des yeux, des lèvres, des narines, des muqueuses. (7) Photoprotection diurne SPF 30+. (8) Émollient non comédogène le matin. (9) </w:t>
      </w:r>
      <w:r>
        <w:rPr>
          <w:b/>
        </w:rPr>
        <w:t>Protection des tissus</w:t>
      </w:r>
      <w:r>
        <w:t xml:space="preserve"> : utilisation de draps, taies d'oreiller, serviettes blanches ou dédiés (le BPO décolore irreversiblement les tissus colorés) ; lavage des mains soigneux après application ; ne pas appliquer le soir avant le coucher si le patient a des draps colorés (attendre 30 min que le produit sèche, ou utiliser un drap house protecteur). (10) Éviter l'application concomitante de rétinoïdes topiques à forte concentration en début de traitement (irritation additive) — espacement de 12 h (BPO le matin, rétinoïde le soir) — en entretien, association possible dans le cadre d'un protocole dermatologique. (11) Éviter l'application sur peau lésée ou eczémateuse. (12) Chez la femme enceinte, préférer l'azélaïque topique, mais le BPO peut être utilisé si nécessaire (par prudence, en débutant à 2,5 %). (13) Test d'application préalable sur une petite zone (avant-bras) pendant 48 h en cas de doute sur une allergie.</w:t>
      </w:r>
    </w:p>
    <w:p>
      <w:pPr>
        <w:pStyle w:val="ListBullet"/>
      </w:pPr>
      <w:r>
        <w:t>Conduite à Tenir : (1) Irritation cutanée excessive → suspension transitoire 3-7 jours, émollient hydratant, reprise à concentration moindre et/ou fréquence réduite. (2) Dermatite de contact allergique (érythème persistant, prurit, vésicules) → arrêt définitif, tests épicutanés, alternative thérapeutique (azélaïque, antibiotique topique). (3) Photosensibilité excessive → suspension, photoprotection renforcée, reprise en application un soir sur deux. (4) Décoloration de tissus ou de cheveux → information préventive du patient (le phénomène est irreversibles), utilisation de draps et serviettes dédiés. (5) Flare-up acnéique initial → ne pas arrêter, informer du caractère transitoire. (6) Brûlure oculaire accidentelle → lavage abondant à l'eau, avis ophtalmologique si persistance.</w:t>
      </w:r>
    </w:p>
    <w:p>
      <w:r/>
      <w:r>
        <w:rPr>
          <w:b/>
        </w:rPr>
        <w:t>Interactions Importantes :</w:t>
      </w:r>
      <w:r/>
    </w:p>
    <w:p>
      <w:pPr>
        <w:pStyle w:val="ListBullet"/>
      </w:pPr>
      <w:r>
        <w:t xml:space="preserve">Peroxyde de benzoyle + </w:t>
      </w:r>
      <w:r>
        <w:rPr>
          <w:b/>
        </w:rPr>
        <w:t>Trétinoïne topique</w:t>
      </w:r>
      <w:r>
        <w:t xml:space="preserve"> (application simultanée) : oxydation de la trétinoïne par le peroxyde → perte d'efficacité de la trétinoïne + irritation additive. </w:t>
      </w:r>
      <w:r>
        <w:rPr>
          <w:b/>
        </w:rPr>
        <w:t>Éviter l'application simultanée</w:t>
      </w:r>
      <w:r>
        <w:t xml:space="preserve"> ; si association nécessaire, appliquer la trétinoïne le soir et le peroxyde de benzoyle le matin (espacement ≥ 12 h).</w:t>
      </w:r>
    </w:p>
    <w:p>
      <w:pPr>
        <w:pStyle w:val="ListBullet"/>
      </w:pPr>
      <w:r>
        <w:t xml:space="preserve">Peroxyde de benzoyle + </w:t>
      </w:r>
      <w:r>
        <w:rPr>
          <w:b/>
        </w:rPr>
        <w:t>Adapalène</w:t>
      </w:r>
      <w:r>
        <w:t xml:space="preserve"> (application simultanée) : contrairement à la trétinoïne, l'adapalène est </w:t>
      </w:r>
      <w:r>
        <w:rPr>
          <w:b/>
        </w:rPr>
        <w:t>stable</w:t>
      </w:r>
      <w:r>
        <w:t xml:space="preserve"> en présence de peroxyde de benzoyle (pas d'inactivation). Association possible mais avec risque d'irritation additive en début de traitement → espacer les applications de 12 h en début (adapalène le soir, peroxyde le matin), puis association possible. L'association fixe (Epiduo®) est commercialisée dans d'autres pays avec un excellent profil d'efficacité.</w:t>
      </w:r>
    </w:p>
    <w:p>
      <w:pPr>
        <w:pStyle w:val="ListBullet"/>
      </w:pPr>
      <w:r>
        <w:t xml:space="preserve">Peroxyde de benzoyle + </w:t>
      </w:r>
      <w:r>
        <w:rPr>
          <w:b/>
        </w:rPr>
        <w:t>Acide salicylique / AHA / BHA topiques</w:t>
      </w:r>
      <w:r>
        <w:t xml:space="preserve"> : irritation cutanée additive → éviter l'association ou espacer les applications.</w:t>
      </w:r>
    </w:p>
    <w:p>
      <w:pPr>
        <w:pStyle w:val="ListBullet"/>
      </w:pPr>
      <w:r>
        <w:t xml:space="preserve">Peroxyde de benzoyle + </w:t>
      </w:r>
      <w:r>
        <w:rPr>
          <w:b/>
        </w:rPr>
        <w:t>Cosmétiques astringents, alcoolisés, parfumés</w:t>
      </w:r>
      <w:r>
        <w:t xml:space="preserve"> : potentialisation de l'irritation → éviter.</w:t>
      </w:r>
    </w:p>
    <w:p>
      <w:pPr>
        <w:pStyle w:val="ListBullet"/>
      </w:pPr>
      <w:r>
        <w:t xml:space="preserve">Peroxyde de benzoyle + </w:t>
      </w:r>
      <w:r>
        <w:rPr>
          <w:b/>
        </w:rPr>
        <w:t>Sulfamides, tétracyclines, fluoroquinolones orales</w:t>
      </w:r>
      <w:r>
        <w:t xml:space="preserve"> : photosensibilisation additive → photoprotection stricte obligatoire.</w:t>
      </w:r>
    </w:p>
    <w:p>
      <w:pPr>
        <w:pStyle w:val="ListBullet"/>
      </w:pPr>
      <w:r>
        <w:t xml:space="preserve">Peroxyde de benzoyle + </w:t>
      </w:r>
      <w:r>
        <w:rPr>
          <w:b/>
        </w:rPr>
        <w:t>Diurétiques thiazidiques, sulfamides hypoglycémiants, phénothiazines, amiodarone</w:t>
      </w:r>
      <w:r>
        <w:t xml:space="preserve"> : potentialisation de la photosensibilisation → photoprotection renforcée.</w:t>
      </w:r>
    </w:p>
    <w:p>
      <w:pPr>
        <w:pStyle w:val="ListBullet"/>
      </w:pPr>
      <w:r>
        <w:t xml:space="preserve">Peroxyde de benzoyle + </w:t>
      </w:r>
      <w:r>
        <w:rPr>
          <w:b/>
        </w:rPr>
        <w:t>Antibiotiques topiques</w:t>
      </w:r>
      <w:r>
        <w:t xml:space="preserve"> (clindamycine, érythromycine) : association classique et efficace dans l'acné mixte — prévient la résistance bactérienne. L'association fixe (Duac®, Benzamycine®) est commercialisée dans d'autres pays.</w:t>
      </w:r>
    </w:p>
    <w:p>
      <w:pPr>
        <w:pStyle w:val="ListBullet"/>
      </w:pPr>
      <w:r>
        <w:t xml:space="preserve">Peroxyde de benzoyle + </w:t>
      </w:r>
      <w:r>
        <w:rPr>
          <w:b/>
        </w:rPr>
        <w:t>Émollients non comédogènes</w:t>
      </w:r>
      <w:r>
        <w:t xml:space="preserve"> : association bénéfique pour contrer l'irritation.</w:t>
      </w:r>
    </w:p>
    <w:p>
      <w:pPr>
        <w:pStyle w:val="ListBullet"/>
      </w:pPr>
      <w:r>
        <w:t xml:space="preserve">Peroxyde de benzoyle + </w:t>
      </w:r>
      <w:r>
        <w:rPr>
          <w:b/>
        </w:rPr>
        <w:t>Sulfure de soufre, résorcinol</w:t>
      </w:r>
      <w:r>
        <w:t xml:space="preserve"> : irritation additive — éviter.</w:t>
      </w:r>
    </w:p>
    <w:p>
      <w:pPr>
        <w:pStyle w:val="ListBullet"/>
      </w:pPr>
      <w:r>
        <w:t xml:space="preserve">Peroxyde de benzoyle + </w:t>
      </w:r>
      <w:r>
        <w:rPr>
          <w:b/>
        </w:rPr>
        <w:t>Tissus colorés, cheveux teints</w:t>
      </w:r>
      <w:r>
        <w:t xml:space="preserve"> : décoloration irreversibles → information préventive obligatoire.</w:t>
      </w:r>
    </w:p>
    <w:p>
      <w:r/>
      <w:r>
        <w:rPr>
          <w:b/>
        </w:rPr>
        <w:t>Grossesse et Allaitement :</w:t>
      </w:r>
      <w:r/>
    </w:p>
    <w:p>
      <w:pPr>
        <w:pStyle w:val="ListBullet"/>
      </w:pPr>
      <w:r>
        <w:t xml:space="preserve">Grossesse : </w:t>
      </w:r>
      <w:r>
        <w:rPr>
          <w:b/>
        </w:rPr>
        <w:t>Autorisé par prudence</w:t>
      </w:r>
      <w:r>
        <w:t>. Le peroxyde de benzoyle n'est pas tératogène chez l'animal (études animales rassurantes). Le passage systémique en application topique stricte est minime (≤ 5 % de la dose appliquée). Le CRAT considère que le BPO peut être utilisé pendant la grossesse si nécessaire (acné inflammatoire modérée), mais recommande par prudence de débuter à la concentration la plus faible (2,5 %) et de préférer l'azélaïque topique (acide azélaïque) en première intention (meilleur profil de tolérance pendant la grossesse). L'isotrétinoïne orale, la trétinoïne topique et l'adapalène sont contre-indiqués pendant la grossesse (tératogènes théoriques ou démontrés). Le BPO est donc une option utile chez la femme enceinte présentant une acné inflammatoire modérée. Test de grossesse pré-thérapeutique non nécessaire. Aucune surveillance spécifique n'est requise.</w:t>
      </w:r>
    </w:p>
    <w:p>
      <w:pPr>
        <w:pStyle w:val="ListBullet"/>
      </w:pPr>
      <w:r>
        <w:t xml:space="preserve">Allaitement : </w:t>
      </w:r>
      <w:r>
        <w:rPr>
          <w:b/>
        </w:rPr>
        <w:t>Autorisé</w:t>
      </w:r>
      <w:r>
        <w:t>. Le passage dans le lait maternel n'est pas documenté mais est probablement négligeable (passage systémique minime). En cas de traitement indispensable, application strictement hors zone thoracique mammaire (pour éviter tout contact avec la bouche du nourrisson), lavage des mains soigneux après application, et ne pas appliquer dans les 30 minutes précédant une tétée.</w:t>
      </w:r>
    </w:p>
    <w:p>
      <w:pPr>
        <w:pStyle w:val="ListBullet"/>
      </w:pPr>
      <w:r>
        <w:t>Précisions : Informer la patiente que le BPO est l'un des rares anti-acnéiques topiques utilisables pendant la grossesse, avec l'azélaïque topique et les antibiotiques topiques (clindamycine, érythromycine — préférer l'érythromycine en raison d'un meilleur profil de tolérance). Les rétinoïdes topiques (trétinoïne, isotrétinoïne, adapalène) sont contre-indiqués pendant la grossesse.</w:t>
      </w:r>
    </w:p>
    <w:p>
      <w:r/>
      <w:r>
        <w:rPr>
          <w:b/>
        </w:rPr>
        <w:t>Posologie et Mode d'administration (Standard) :</w:t>
      </w:r>
      <w:r/>
    </w:p>
    <w:p>
      <w:pPr>
        <w:pStyle w:val="ListBullet"/>
      </w:pPr>
      <w:r>
        <w:t xml:space="preserve">Adulte : Gel dermique à 2,5 %, 5 % ou 10 % — application en couche fine le soir au coucher (préférentiellement, en raison de la photosensibilité et de la décoloration des tissus) sur peau parfaitement sèche et propre, en quantité modérée (≈ 0,5 g pour le visage complet — taille d'un pois). </w:t>
      </w:r>
      <w:r>
        <w:rPr>
          <w:b/>
        </w:rPr>
        <w:t>Démarrer par la concentration la plus faible (2,5 %) en application un soir sur deux pendant 2-4 semaines</w:t>
      </w:r>
      <w:r>
        <w:t xml:space="preserve">, puis escalader vers la concentration supérieure (5 %) puis vers une application quotidienne selon l'efficacité et la tolérance. La concentration 10 % est réservée aux acnés modérées à sévères et aux zones épaisses (dos, thorax). </w:t>
      </w:r>
      <w:r>
        <w:rPr>
          <w:b/>
        </w:rPr>
        <w:t>Durée minimale d'essai</w:t>
      </w:r>
      <w:r>
        <w:t xml:space="preserve"> de 8-12 semaines avant jugement de l'efficacité. Entretien à 1-3 applications/semaine en traitement prolongé. </w:t>
      </w:r>
      <w:r>
        <w:rPr>
          <w:b/>
        </w:rPr>
        <w:t>Spot treatment possible</w:t>
      </w:r>
      <w:r>
        <w:t xml:space="preserve"> : application ponctuelle sur les lésions inflammatoires individuelles (papules, pustules) en complément de l'application globale, en raison de l'effet bactéricide localisé.</w:t>
      </w:r>
    </w:p>
    <w:p>
      <w:pPr>
        <w:pStyle w:val="ListBullet"/>
      </w:pPr>
      <w:r>
        <w:t>Enfant : À éviter avant 12 ans. À partir de 12 ans : posologie identique à l'adulte, débuter à 2,5 %.</w:t>
      </w:r>
    </w:p>
    <w:p>
      <w:pPr>
        <w:pStyle w:val="ListBullet"/>
      </w:pPr>
      <w:r>
        <w:t>Sujet âgé : Pas d'indication habituelle (l'acné est rare chez le sujet âgé), mais en cas de rosacée papulo-pustuleuse, application à faible concentration (2,5 %) en débutant par application un soir sur deux.</w:t>
      </w:r>
    </w:p>
    <w:p>
      <w:pPr>
        <w:pStyle w:val="ListBullet"/>
      </w:pPr>
      <w:r>
        <w:t>Insuffisance hépatique / rénale : Pas d'adaptation posologique (passage systémique minime).</w:t>
      </w:r>
    </w:p>
    <w:p>
      <w:pPr>
        <w:pStyle w:val="ListBullet"/>
      </w:pPr>
      <w:r>
        <w:t>Moment de la prise : De préférence le soir au coucher (photosensibilité, décoloration des tissus la nuit — lessivage des draps le lendemain), mais le matin est possible si nécessaire — application sur peau parfaitement sèche (30 min après la toilette).</w:t>
      </w:r>
    </w:p>
    <w:p>
      <w:r/>
      <w:r>
        <w:rPr>
          <w:b/>
        </w:rPr>
        <w:t>Arbitrage et Bénéfices des Formes Galéniques :</w:t>
      </w:r>
      <w:r/>
    </w:p>
    <w:p>
      <w:r>
        <w:t>Le peroxyde de benzoyle se présente en Algérie exclusivement en gel dermique à trois concentrations : 2,5 %, 5 % et 10 %. La galénique en gel permet une pénétration folliculaire optimale et une libération progressive du principe actif. La crème et la lotion existent dans d'autres pays mais ne sont pas commercialisées en Algérie. L'arbitrage se fait selon la sévérité de l'acné, le phototype cutané et la zone traitée : acné légère et peau sensible → gel 2,5 % ; acné modérée et peau normale → gel 5 % ; acné modérée à sévère et peau grasse → gel 10 % ; zones épaisses (dos, thorax) → gel 10 %. La concentration 2,5 % est aussi efficace que la concentration 10 % avec une meilleure tolérance (études comparatives — l'efficacité bactéricide est maximale dès 2,5 %), ce qui justifie de débuter systématiquement à cette concentration. Les concentrations 5 % et 10 % sont à réserver aux acnés modérées à sévères ou après échec de la concentration 2,5 %. La galénique microencapsulée (libération progressive du BPO — forme microsphere, par exemple Benzac®) existe dans d'autres pays mais n'est pas commercialisée en Algérie. La forme en lavage (wash, cleanser — par exemple PanOxyl® wash 4 % et 10 %) est disponible dans d'autres pays pour la toilette du dos et du thorax mais n'est pas commercialisée en Algérie. La substitution entre marques (CUTACNYL, PANOXYL, SOLUGEL, ECLARAN) est possible (même DCI, mêmes concentrations), mais CUTACNYL (Galderma) est la seule forme actuellement active en Algérie.</w:t>
      </w:r>
    </w:p>
    <w:p>
      <w:r/>
      <w:r>
        <w:rPr>
          <w:b/>
        </w:rPr>
        <w:t>Instructions et Conseils au Patient :</w:t>
      </w:r>
      <w:r/>
    </w:p>
    <w:p>
      <w:pPr>
        <w:pStyle w:val="ListBullet"/>
      </w:pPr>
      <w:r>
        <w:t xml:space="preserve">Communication au comptoir : (1) Application le soir au coucher de préférence, sur peau sèche, en couche fine (taille d'un pois). (2) Débuter à la concentration 2,5 % (la plus efficace et la mieux tolérée) puis escalader si nécessaire. (3) Débuter par application un soir sur deux pendant 2-4 semaines, puis quotidienne. (4) Photoprotection diurne SPF 30+ recommandée. (5) Prévenir le patient des signes d'irritation (érythème, desquamation, sensation de brûlure — fréquents en début, régression avec accoutumance) et lui recommander d'associer un émollient non comédogène le matin. (6) </w:t>
      </w:r>
      <w:r>
        <w:rPr>
          <w:b/>
        </w:rPr>
        <w:t>Décolore les tissus</w:t>
      </w:r>
      <w:r>
        <w:t xml:space="preserve"> : prévenir le patient que le peroxyde de benzoyle décolore irreversiblement les draps, serviettes, vêtements, taies d'oreiller et cheveux colorés. Utiliser des draps et serviettes blanches ou dédiés. (7) </w:t>
      </w:r>
      <w:r>
        <w:rPr>
          <w:b/>
        </w:rPr>
        <w:t>Spot treatment possible</w:t>
      </w:r>
      <w:r>
        <w:t xml:space="preserve"> : application ponctuelle sur les boutons inflammatoires individuels en complément de l'application globale. (8) Donner un délai d'évaluation : 8-12 semaines minimum avant jugement de l'efficacité. (9) Chez la femme enceinte : autorisé mais préférer l'azélaïque topique en première intention. (10) Ne pas associer en application simultanée à un rétinoïde topique (trétinoïne surtout — inactivation) — espacer les applications de 12 h. (11) Ne pas appliquer sur peau eczémateuse ou lésée. (12) Éviter le contour des yeux et des lèvres. (13) Lavage soigneux des mains après application. (14) Préciser le mode de conservation : à température &lt; 25 °C, à l'abri de la lumière et de la chaleur (le BPO est oxydant et peut s'enflammer spontanément à haute température — ne pas exposer à une source de chaleur).</w:t>
      </w:r>
    </w:p>
    <w:p>
      <w:pPr>
        <w:pStyle w:val="ListBullet"/>
      </w:pPr>
      <w:r>
        <w:t>Mode d'utilisation pratique : (1) Toilette du visage avec un syndet doux, séchage doux sans frottement, attendre 30 minutes avant application. (2) Application d'une petite quantité (≈ 0,5 g — taille d'un pois) en couche fine sur l'ensemble du visage (et non en spot treatment seul). (3) Éviter le contour des yeux, des lèvres, des narines, des muqueuses. (4) Lavage soigneux des mains après application. (5) Le matin, application d'un émollient hydratant non comédogène + photoprotection SPF 30+. (6) Ne pas appliquer de maquillage dans les 30 minutes suivant l'application (risque de pilling et de décoloration par le BPO). (7) Utilisation de draps et serviettes dédiés (le BPO décolore les tissus colorés).</w:t>
      </w:r>
    </w:p>
    <w:p>
      <w:r/>
      <w:r>
        <w:rPr>
          <w:b/>
        </w:rPr>
        <w:t>Notes, Règles d'Or &amp; Pièges au Comptoir :</w:t>
      </w:r>
      <w:r/>
    </w:p>
    <w:p>
      <w:pPr>
        <w:pStyle w:val="ListBullet"/>
      </w:pPr>
      <w:r>
        <w:t>Piège classique : (1) Application sur peau humide — augmente la pénétration et l'irritation. Toujours appliquer sur peau sèche après 30 min d'attente. (2) Débuter à la concentration 10 % directement — erreur fréquente, provoque une irritation sévère. Toujours débuter à 2,5 %. (3) Application matinale sans photoprotection — photosensibilité. (4) Oubli de prévenir le patient de la décoloration des tissus — décolore irreversiblement les draps et vêtements colorés, ce qui peut provoquer des réclamations et une mauvaise observance. Toujours prévenir et recommander des draps et serviettes dédiés. (5) Association peroxyde + trétinoïne en application simultanée — inactivation de la trétinoïne, irritation additive. Toujours espacer les applications de 12 h. (6) Application en spot treatment seul (sans application globale) — erreur, le BPO s'applique en couche fine sur tout le visage pour prévenir les nouvelles lésions, en complément d'un spot treatment si nécessaire. (7) Effet de flare-up interprété comme allergie → interruption inappropriée, alors que la poursuite (avec adaptation de fréquence) permet l'accoutumance. (8) Application sur peau eczémateuse ou lésée — aggravation irritative majeure. (9) Confusion CUTACNYL (peroxyde de benzoyle) ↔ DIFFERINE (adapalène) ↔ ACNAL (adapalène) — noms commerciaux proches mais molécules et mécanismes différents. Vérifier systématiquement la prescription. (10) Conservation à proximité d'une source de chaleur (radiator, soleil) — le BPO est oxydant et peut s'enflammer spontanément à haute température. Toujours conserver à T° &lt; 25 °C, à l'abri de la chaleur et des flammes. (11) Contact oculaire accidentel — lavage abondant à l'eau immédiat. (12) Femme enceinte — autorisé mais préférer l'azélaïque topique.</w:t>
      </w:r>
    </w:p>
    <w:p>
      <w:pPr>
        <w:pStyle w:val="ListBullet"/>
      </w:pPr>
      <w:r>
        <w:t>Règle de prise : Application vespérale de préférence, peau sèche, couche fine, débuter à 2,5 % et escalader progressivement, photoprotection diurne, utilisation de draps et serviettes dédiés (décolore les tissus).</w:t>
      </w:r>
    </w:p>
    <w:p>
      <w:pPr>
        <w:pStyle w:val="ListBullet"/>
      </w:pPr>
      <w:r>
        <w:t>Préparation et Conservation : Tube fermé après chaque usage, conservation à T° &lt; 25 °C, à l'abri de la lumière, de la chaleur et des flammes (le BPO est un oxydant puissant — risque d'auto-inflammation à haute température ou en cas de contamination par des substances organiques réductrices). Ne pas congeler. Durée de conservation après ouverture : 6 mois maximum. Ne pas utiliser au-delà de la date de péremption (perte d'efficacité par dégradation oxydative).</w:t>
      </w:r>
    </w:p>
    <w:p>
      <w:pPr>
        <w:pStyle w:val="ListBullet"/>
      </w:pPr>
      <w:r>
        <w:t>Piège du surdosage / Substitution : (1) Application excessive (quantité trop importante) — augmente l'irritation sans améliorer l'efficacité. (2) Augmentation trop rapide de la concentration — risque d'irritation sévère. Échelonner sur 2-4 semaines. (3) Substitution entre marques : CUTACNYL (Galderma, actif), PANOXYL (Stiefel, non renouvelable), SOLUGEL (Stiefel, non renouvelable), ECLARAN (Pierre Fabre, retiré) — toutes bioéquivalentes (même DCI, mêmes concentrations), substitution possible. Préférer CUTACNYL (seule forme active disponible en Algérie). (4) Substitution entre concentrations (2,5 % ↔ 5 % ↔ 10 %) — possible selon la sévérité et la tolérance, mais toujours débuter à 2,5 %. (5) Disponibilité du marché algérien : CUTACNYL (Galderma) est la seule forme active disponible, en gel dermique 2,5 %, 5 % et 10 %. (6) Disponibilité des associations fixes (BPO + adapalène — Epiduo® ; BPO + clindamycine — Duac®, Benzamycine®) — non commercialisées en Algérie, mais association libre possible en alternant les applications (BPO le matin, adapalène le soir).</w:t>
      </w:r>
    </w:p>
    <w:p>
      <w:pPr>
        <w:pStyle w:val="Heading3"/>
      </w:pPr>
      <w:r>
        <w:t>Tableau Comparatif Synoptique des 6 DCIs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Caractéristique</w:t>
            </w:r>
          </w:p>
        </w:tc>
        <w:tc>
          <w:tcPr>
            <w:tcW w:type="dxa" w:w="1336"/>
          </w:tcPr>
          <w:p>
            <w:r>
              <w:rPr>
                <w:b/>
                <w:sz w:val="20"/>
              </w:rPr>
              <w:t>Trétinoïne (topique)</w:t>
            </w:r>
          </w:p>
        </w:tc>
        <w:tc>
          <w:tcPr>
            <w:tcW w:type="dxa" w:w="1336"/>
          </w:tcPr>
          <w:p>
            <w:r>
              <w:rPr>
                <w:b/>
                <w:sz w:val="20"/>
              </w:rPr>
              <w:t>Isotrétinoïne (topique)</w:t>
            </w:r>
          </w:p>
        </w:tc>
        <w:tc>
          <w:tcPr>
            <w:tcW w:type="dxa" w:w="1336"/>
          </w:tcPr>
          <w:p>
            <w:r>
              <w:rPr>
                <w:b/>
                <w:sz w:val="20"/>
              </w:rPr>
              <w:t>Adapalène</w:t>
            </w:r>
          </w:p>
        </w:tc>
        <w:tc>
          <w:tcPr>
            <w:tcW w:type="dxa" w:w="1336"/>
          </w:tcPr>
          <w:p>
            <w:r>
              <w:rPr>
                <w:b/>
                <w:sz w:val="20"/>
              </w:rPr>
              <w:t>Acitrétine</w:t>
            </w:r>
          </w:p>
        </w:tc>
        <w:tc>
          <w:tcPr>
            <w:tcW w:type="dxa" w:w="1336"/>
          </w:tcPr>
          <w:p>
            <w:r>
              <w:rPr>
                <w:b/>
                <w:sz w:val="20"/>
              </w:rPr>
              <w:t>Méthoxsalène</w:t>
            </w:r>
          </w:p>
        </w:tc>
        <w:tc>
          <w:tcPr>
            <w:tcW w:type="dxa" w:w="1336"/>
          </w:tcPr>
          <w:p>
            <w:r>
              <w:rPr>
                <w:b/>
                <w:sz w:val="20"/>
              </w:rPr>
              <w:t>Peroxyde de benzoyle</w:t>
            </w:r>
          </w:p>
        </w:tc>
      </w:tr>
      <w:tr>
        <w:tc>
          <w:tcPr>
            <w:tcW w:type="dxa" w:w="1336"/>
          </w:tcPr>
          <w:p>
            <w:r>
              <w:rPr>
                <w:sz w:val="20"/>
              </w:rPr>
              <w:t>**Sous-classe**</w:t>
            </w:r>
          </w:p>
        </w:tc>
        <w:tc>
          <w:tcPr>
            <w:tcW w:type="dxa" w:w="1336"/>
          </w:tcPr>
          <w:p>
            <w:r>
              <w:rPr>
                <w:sz w:val="20"/>
              </w:rPr>
              <w:t>Rétinoïde topique 1re génération</w:t>
            </w:r>
          </w:p>
        </w:tc>
        <w:tc>
          <w:tcPr>
            <w:tcW w:type="dxa" w:w="1336"/>
          </w:tcPr>
          <w:p>
            <w:r>
              <w:rPr>
                <w:sz w:val="20"/>
              </w:rPr>
              <w:t>Rétinoïde topique 1re génération (isomère 13-cis)</w:t>
            </w:r>
          </w:p>
        </w:tc>
        <w:tc>
          <w:tcPr>
            <w:tcW w:type="dxa" w:w="1336"/>
          </w:tcPr>
          <w:p>
            <w:r>
              <w:rPr>
                <w:sz w:val="20"/>
              </w:rPr>
              <w:t>Rétinoïde topique 3e génération</w:t>
            </w:r>
          </w:p>
        </w:tc>
        <w:tc>
          <w:tcPr>
            <w:tcW w:type="dxa" w:w="1336"/>
          </w:tcPr>
          <w:p>
            <w:r>
              <w:rPr>
                <w:sz w:val="20"/>
              </w:rPr>
              <w:t>Rétinoïde systémique 2e génération</w:t>
            </w:r>
          </w:p>
        </w:tc>
        <w:tc>
          <w:tcPr>
            <w:tcW w:type="dxa" w:w="1336"/>
          </w:tcPr>
          <w:p>
            <w:r>
              <w:rPr>
                <w:sz w:val="20"/>
              </w:rPr>
              <w:t>Psoralène (PUVA)</w:t>
            </w:r>
          </w:p>
        </w:tc>
        <w:tc>
          <w:tcPr>
            <w:tcW w:type="dxa" w:w="1336"/>
          </w:tcPr>
          <w:p>
            <w:r>
              <w:rPr>
                <w:sz w:val="20"/>
              </w:rPr>
              <w:t>Anti-acnéique oxydant</w:t>
            </w:r>
          </w:p>
        </w:tc>
      </w:tr>
      <w:tr>
        <w:tc>
          <w:tcPr>
            <w:tcW w:type="dxa" w:w="1336"/>
          </w:tcPr>
          <w:p>
            <w:r>
              <w:rPr>
                <w:sz w:val="20"/>
              </w:rPr>
              <w:t>**Mécanisme**</w:t>
            </w:r>
          </w:p>
        </w:tc>
        <w:tc>
          <w:tcPr>
            <w:tcW w:type="dxa" w:w="1336"/>
          </w:tcPr>
          <w:p>
            <w:r>
              <w:rPr>
                <w:sz w:val="20"/>
              </w:rPr>
              <w:t>Liaison RARα/β/γ → modulation transcription → différenciation kératinocytaire</w:t>
            </w:r>
          </w:p>
        </w:tc>
        <w:tc>
          <w:tcPr>
            <w:tcW w:type="dxa" w:w="1336"/>
          </w:tcPr>
          <w:p>
            <w:r>
              <w:rPr>
                <w:sz w:val="20"/>
              </w:rPr>
              <w:t>Conversion locale en trétinoïne → RAR → comédolyse</w:t>
            </w:r>
          </w:p>
        </w:tc>
        <w:tc>
          <w:tcPr>
            <w:tcW w:type="dxa" w:w="1336"/>
          </w:tcPr>
          <w:p>
            <w:r>
              <w:rPr>
                <w:sz w:val="20"/>
              </w:rPr>
              <w:t>Liaison sélective RARβ/γ → comédolyse + anti-inflammatoire</w:t>
            </w:r>
          </w:p>
        </w:tc>
        <w:tc>
          <w:tcPr>
            <w:tcW w:type="dxa" w:w="1336"/>
          </w:tcPr>
          <w:p>
            <w:r>
              <w:rPr>
                <w:sz w:val="20"/>
              </w:rPr>
              <w:t>Liaison RARα/β/γ systémique → anti-prolifératif + anti-inflammatoire</w:t>
            </w:r>
          </w:p>
        </w:tc>
        <w:tc>
          <w:tcPr>
            <w:tcW w:type="dxa" w:w="1336"/>
          </w:tcPr>
          <w:p>
            <w:r>
              <w:rPr>
                <w:sz w:val="20"/>
              </w:rPr>
              <w:t>Intercalation ADN + photo-réaction UVA → ponts interbrins</w:t>
            </w:r>
          </w:p>
        </w:tc>
        <w:tc>
          <w:tcPr>
            <w:tcW w:type="dxa" w:w="1336"/>
          </w:tcPr>
          <w:p>
            <w:r>
              <w:rPr>
                <w:sz w:val="20"/>
              </w:rPr>
              <w:t>Oxydant → radicaux libres → bactéricide *C. acnes* + kératolytique</w:t>
            </w:r>
          </w:p>
        </w:tc>
      </w:tr>
      <w:tr>
        <w:tc>
          <w:tcPr>
            <w:tcW w:type="dxa" w:w="1336"/>
          </w:tcPr>
          <w:p>
            <w:r>
              <w:rPr>
                <w:sz w:val="20"/>
              </w:rPr>
              <w:t>**Indications principales**</w:t>
            </w:r>
          </w:p>
        </w:tc>
        <w:tc>
          <w:tcPr>
            <w:tcW w:type="dxa" w:w="1336"/>
          </w:tcPr>
          <w:p>
            <w:r>
              <w:rPr>
                <w:sz w:val="20"/>
              </w:rPr>
              <w:t>Acné rétentionnelle, photo-vieillissement, mélasma</w:t>
            </w:r>
          </w:p>
        </w:tc>
        <w:tc>
          <w:tcPr>
            <w:tcW w:type="dxa" w:w="1336"/>
          </w:tcPr>
          <w:p>
            <w:r>
              <w:rPr>
                <w:sz w:val="20"/>
              </w:rPr>
              <w:t>Acné rétentionnelle et mixte (topique) ; acné sévère (orale)</w:t>
            </w:r>
          </w:p>
        </w:tc>
        <w:tc>
          <w:tcPr>
            <w:tcW w:type="dxa" w:w="1336"/>
          </w:tcPr>
          <w:p>
            <w:r>
              <w:rPr>
                <w:sz w:val="20"/>
              </w:rPr>
              <w:t>Acné rétentionnelle et mixte légère à modérée</w:t>
            </w:r>
          </w:p>
        </w:tc>
        <w:tc>
          <w:tcPr>
            <w:tcW w:type="dxa" w:w="1336"/>
          </w:tcPr>
          <w:p>
            <w:r>
              <w:rPr>
                <w:sz w:val="20"/>
              </w:rPr>
              <w:t>Psoriasis sévère, ichtyoses, maladie de Darier, PRP</w:t>
            </w:r>
          </w:p>
        </w:tc>
        <w:tc>
          <w:tcPr>
            <w:tcW w:type="dxa" w:w="1336"/>
          </w:tcPr>
          <w:p>
            <w:r>
              <w:rPr>
                <w:sz w:val="20"/>
              </w:rPr>
              <w:t>Psoriasis sévère, vitiligo, mycosis fongoïde</w:t>
            </w:r>
          </w:p>
        </w:tc>
        <w:tc>
          <w:tcPr>
            <w:tcW w:type="dxa" w:w="1336"/>
          </w:tcPr>
          <w:p>
            <w:r>
              <w:rPr>
                <w:sz w:val="20"/>
              </w:rPr>
              <w:t>Acné légère à modérée, inflammatoire et mixte</w:t>
            </w:r>
          </w:p>
        </w:tc>
      </w:tr>
      <w:tr>
        <w:tc>
          <w:tcPr>
            <w:tcW w:type="dxa" w:w="1336"/>
          </w:tcPr>
          <w:p>
            <w:r>
              <w:rPr>
                <w:sz w:val="20"/>
              </w:rPr>
              <w:t>**Voie d'administration**</w:t>
            </w:r>
          </w:p>
        </w:tc>
        <w:tc>
          <w:tcPr>
            <w:tcW w:type="dxa" w:w="1336"/>
          </w:tcPr>
          <w:p>
            <w:r>
              <w:rPr>
                <w:sz w:val="20"/>
              </w:rPr>
              <w:t>Topique (crème)</w:t>
            </w:r>
          </w:p>
        </w:tc>
        <w:tc>
          <w:tcPr>
            <w:tcW w:type="dxa" w:w="1336"/>
          </w:tcPr>
          <w:p>
            <w:r>
              <w:rPr>
                <w:sz w:val="20"/>
              </w:rPr>
              <w:t>Topique (gel) et orale (capsules)</w:t>
            </w:r>
          </w:p>
        </w:tc>
        <w:tc>
          <w:tcPr>
            <w:tcW w:type="dxa" w:w="1336"/>
          </w:tcPr>
          <w:p>
            <w:r>
              <w:rPr>
                <w:sz w:val="20"/>
              </w:rPr>
              <w:t>Topique (gel, crème)</w:t>
            </w:r>
          </w:p>
        </w:tc>
        <w:tc>
          <w:tcPr>
            <w:tcW w:type="dxa" w:w="1336"/>
          </w:tcPr>
          <w:p>
            <w:r>
              <w:rPr>
                <w:sz w:val="20"/>
              </w:rPr>
              <w:t>Orale (gélules)</w:t>
            </w:r>
          </w:p>
        </w:tc>
        <w:tc>
          <w:tcPr>
            <w:tcW w:type="dxa" w:w="1336"/>
          </w:tcPr>
          <w:p>
            <w:r>
              <w:rPr>
                <w:sz w:val="20"/>
              </w:rPr>
              <w:t>Orale (comprimés) et topique (solution)</w:t>
            </w:r>
          </w:p>
        </w:tc>
        <w:tc>
          <w:tcPr>
            <w:tcW w:type="dxa" w:w="1336"/>
          </w:tcPr>
          <w:p>
            <w:r>
              <w:rPr>
                <w:sz w:val="20"/>
              </w:rPr>
              <w:t>Topique (gel)</w:t>
            </w:r>
          </w:p>
        </w:tc>
      </w:tr>
      <w:tr>
        <w:tc>
          <w:tcPr>
            <w:tcW w:type="dxa" w:w="1336"/>
          </w:tcPr>
          <w:p>
            <w:r>
              <w:rPr>
                <w:sz w:val="20"/>
              </w:rPr>
              <w:t>**Dosages disponibles en Algérie**</w:t>
            </w:r>
          </w:p>
        </w:tc>
        <w:tc>
          <w:tcPr>
            <w:tcW w:type="dxa" w:w="1336"/>
          </w:tcPr>
          <w:p>
            <w:r>
              <w:rPr>
                <w:sz w:val="20"/>
              </w:rPr>
              <w:t>0,05 % (retiré)</w:t>
            </w:r>
          </w:p>
        </w:tc>
        <w:tc>
          <w:tcPr>
            <w:tcW w:type="dxa" w:w="1336"/>
          </w:tcPr>
          <w:p>
            <w:r>
              <w:rPr>
                <w:sz w:val="20"/>
              </w:rPr>
              <w:t>Topique 0,05 % (non renouvelable) ; orale 5/10/20 mg</w:t>
            </w:r>
          </w:p>
        </w:tc>
        <w:tc>
          <w:tcPr>
            <w:tcW w:type="dxa" w:w="1336"/>
          </w:tcPr>
          <w:p>
            <w:r>
              <w:rPr>
                <w:sz w:val="20"/>
              </w:rPr>
              <w:t>0,1 % (actif)</w:t>
            </w:r>
          </w:p>
        </w:tc>
        <w:tc>
          <w:tcPr>
            <w:tcW w:type="dxa" w:w="1336"/>
          </w:tcPr>
          <w:p>
            <w:r>
              <w:rPr>
                <w:sz w:val="20"/>
              </w:rPr>
              <w:t>10 mg, 25 mg (actif)</w:t>
            </w:r>
          </w:p>
        </w:tc>
        <w:tc>
          <w:tcPr>
            <w:tcW w:type="dxa" w:w="1336"/>
          </w:tcPr>
          <w:p>
            <w:r>
              <w:rPr>
                <w:sz w:val="20"/>
              </w:rPr>
              <w:t>10 mg, 0,1 % (retiré)</w:t>
            </w:r>
          </w:p>
        </w:tc>
        <w:tc>
          <w:tcPr>
            <w:tcW w:type="dxa" w:w="1336"/>
          </w:tcPr>
          <w:p>
            <w:r>
              <w:rPr>
                <w:sz w:val="20"/>
              </w:rPr>
              <w:t>2,5 %, 5 %, 10 % (actif)</w:t>
            </w:r>
          </w:p>
        </w:tc>
      </w:tr>
      <w:tr>
        <w:tc>
          <w:tcPr>
            <w:tcW w:type="dxa" w:w="1336"/>
          </w:tcPr>
          <w:p>
            <w:r>
              <w:rPr>
                <w:sz w:val="20"/>
              </w:rPr>
              <w:t>**Principales marques algériennes**</w:t>
            </w:r>
          </w:p>
        </w:tc>
        <w:tc>
          <w:tcPr>
            <w:tcW w:type="dxa" w:w="1336"/>
          </w:tcPr>
          <w:p>
            <w:r>
              <w:rPr>
                <w:sz w:val="20"/>
              </w:rPr>
              <w:t>ACNETIN-A (retiré)</w:t>
            </w:r>
          </w:p>
        </w:tc>
        <w:tc>
          <w:tcPr>
            <w:tcW w:type="dxa" w:w="1336"/>
          </w:tcPr>
          <w:p>
            <w:r>
              <w:rPr>
                <w:sz w:val="20"/>
              </w:rPr>
              <w:t>ISOTREX (topique, non renouvelable) ; CURACNE, XERACTAN (orale, actifs)</w:t>
            </w:r>
          </w:p>
        </w:tc>
        <w:tc>
          <w:tcPr>
            <w:tcW w:type="dxa" w:w="1336"/>
          </w:tcPr>
          <w:p>
            <w:r>
              <w:rPr>
                <w:sz w:val="20"/>
              </w:rPr>
              <w:t>ACNAL, ACNYX, ADAFERIN, ADAPALENE NOVAGENIRCS/NOVAGENERICS, DIFFERINE</w:t>
            </w:r>
          </w:p>
        </w:tc>
        <w:tc>
          <w:tcPr>
            <w:tcW w:type="dxa" w:w="1336"/>
          </w:tcPr>
          <w:p>
            <w:r>
              <w:rPr>
                <w:sz w:val="20"/>
              </w:rPr>
              <w:t>BIOTRETANE (actif)</w:t>
            </w:r>
          </w:p>
        </w:tc>
        <w:tc>
          <w:tcPr>
            <w:tcW w:type="dxa" w:w="1336"/>
          </w:tcPr>
          <w:p>
            <w:r>
              <w:rPr>
                <w:sz w:val="20"/>
              </w:rPr>
              <w:t>MELADININE (retiré)</w:t>
            </w:r>
          </w:p>
        </w:tc>
        <w:tc>
          <w:tcPr>
            <w:tcW w:type="dxa" w:w="1336"/>
          </w:tcPr>
          <w:p>
            <w:r>
              <w:rPr>
                <w:sz w:val="20"/>
              </w:rPr>
              <w:t>CUTACNYL (actif)</w:t>
            </w:r>
          </w:p>
        </w:tc>
      </w:tr>
      <w:tr>
        <w:tc>
          <w:tcPr>
            <w:tcW w:type="dxa" w:w="1336"/>
          </w:tcPr>
          <w:p>
            <w:r>
              <w:rPr>
                <w:sz w:val="20"/>
              </w:rPr>
              <w:t>**Statut prescription**</w:t>
            </w:r>
          </w:p>
        </w:tc>
        <w:tc>
          <w:tcPr>
            <w:tcW w:type="dxa" w:w="1336"/>
          </w:tcPr>
          <w:p>
            <w:r>
              <w:rPr>
                <w:sz w:val="20"/>
              </w:rPr>
              <w:t>Liste I</w:t>
            </w:r>
          </w:p>
        </w:tc>
        <w:tc>
          <w:tcPr>
            <w:tcW w:type="dxa" w:w="1336"/>
          </w:tcPr>
          <w:p>
            <w:r>
              <w:rPr>
                <w:sz w:val="20"/>
              </w:rPr>
              <w:t>Liste I</w:t>
            </w:r>
          </w:p>
        </w:tc>
        <w:tc>
          <w:tcPr>
            <w:tcW w:type="dxa" w:w="1336"/>
          </w:tcPr>
          <w:p>
            <w:r>
              <w:rPr>
                <w:sz w:val="20"/>
              </w:rPr>
              <w:t>Liste I</w:t>
            </w:r>
          </w:p>
        </w:tc>
        <w:tc>
          <w:tcPr>
            <w:tcW w:type="dxa" w:w="1336"/>
          </w:tcPr>
          <w:p>
            <w:r>
              <w:rPr>
                <w:sz w:val="20"/>
              </w:rPr>
              <w:t>Liste I, hospitalière spécialisée</w:t>
            </w:r>
          </w:p>
        </w:tc>
        <w:tc>
          <w:tcPr>
            <w:tcW w:type="dxa" w:w="1336"/>
          </w:tcPr>
          <w:p>
            <w:r>
              <w:rPr>
                <w:sz w:val="20"/>
              </w:rPr>
              <w:t>Liste II, hospitalière spécialisée</w:t>
            </w:r>
          </w:p>
        </w:tc>
        <w:tc>
          <w:tcPr>
            <w:tcW w:type="dxa" w:w="1336"/>
          </w:tcPr>
          <w:p>
            <w:r>
              <w:rPr>
                <w:sz w:val="20"/>
              </w:rPr>
              <w:t>Liste II, délivrance conseil</w:t>
            </w:r>
          </w:p>
        </w:tc>
      </w:tr>
      <w:tr>
        <w:tc>
          <w:tcPr>
            <w:tcW w:type="dxa" w:w="1336"/>
          </w:tcPr>
          <w:p>
            <w:r>
              <w:rPr>
                <w:sz w:val="20"/>
              </w:rPr>
              <w:t>**Photosensibilité**</w:t>
            </w:r>
          </w:p>
        </w:tc>
        <w:tc>
          <w:tcPr>
            <w:tcW w:type="dxa" w:w="1336"/>
          </w:tcPr>
          <w:p>
            <w:r>
              <w:rPr>
                <w:sz w:val="20"/>
              </w:rPr>
              <w:t>Majeure</w:t>
            </w:r>
          </w:p>
        </w:tc>
        <w:tc>
          <w:tcPr>
            <w:tcW w:type="dxa" w:w="1336"/>
          </w:tcPr>
          <w:p>
            <w:r>
              <w:rPr>
                <w:sz w:val="20"/>
              </w:rPr>
              <w:t>Majeure</w:t>
            </w:r>
          </w:p>
        </w:tc>
        <w:tc>
          <w:tcPr>
            <w:tcW w:type="dxa" w:w="1336"/>
          </w:tcPr>
          <w:p>
            <w:r>
              <w:rPr>
                <w:sz w:val="20"/>
              </w:rPr>
              <w:t>Modérée</w:t>
            </w:r>
          </w:p>
        </w:tc>
        <w:tc>
          <w:tcPr>
            <w:tcW w:type="dxa" w:w="1336"/>
          </w:tcPr>
          <w:p>
            <w:r>
              <w:rPr>
                <w:sz w:val="20"/>
              </w:rPr>
              <w:t>Modérée</w:t>
            </w:r>
          </w:p>
        </w:tc>
        <w:tc>
          <w:tcPr>
            <w:tcW w:type="dxa" w:w="1336"/>
          </w:tcPr>
          <w:p>
            <w:r>
              <w:rPr>
                <w:sz w:val="20"/>
              </w:rPr>
              <w:t>Majeure (PUVA)</w:t>
            </w:r>
          </w:p>
        </w:tc>
        <w:tc>
          <w:tcPr>
            <w:tcW w:type="dxa" w:w="1336"/>
          </w:tcPr>
          <w:p>
            <w:r>
              <w:rPr>
                <w:sz w:val="20"/>
              </w:rPr>
              <w:t>Modérée</w:t>
            </w:r>
          </w:p>
        </w:tc>
      </w:tr>
      <w:tr>
        <w:tc>
          <w:tcPr>
            <w:tcW w:type="dxa" w:w="1336"/>
          </w:tcPr>
          <w:p>
            <w:r>
              <w:rPr>
                <w:sz w:val="20"/>
              </w:rPr>
              <w:t>**Tératogénicité**</w:t>
            </w:r>
          </w:p>
        </w:tc>
        <w:tc>
          <w:tcPr>
            <w:tcW w:type="dxa" w:w="1336"/>
          </w:tcPr>
          <w:p>
            <w:r>
              <w:rPr>
                <w:sz w:val="20"/>
              </w:rPr>
              <w:t>Oui (CI grossesse)</w:t>
            </w:r>
          </w:p>
        </w:tc>
        <w:tc>
          <w:tcPr>
            <w:tcW w:type="dxa" w:w="1336"/>
          </w:tcPr>
          <w:p>
            <w:r>
              <w:rPr>
                <w:sz w:val="20"/>
              </w:rPr>
              <w:t>Oui (CI grossesse, 1 mois post-arrêt orale)</w:t>
            </w:r>
          </w:p>
        </w:tc>
        <w:tc>
          <w:tcPr>
            <w:tcW w:type="dxa" w:w="1336"/>
          </w:tcPr>
          <w:p>
            <w:r>
              <w:rPr>
                <w:sz w:val="20"/>
              </w:rPr>
              <w:t>Oui (CI par prudence grossesse)</w:t>
            </w:r>
          </w:p>
        </w:tc>
        <w:tc>
          <w:tcPr>
            <w:tcW w:type="dxa" w:w="1336"/>
          </w:tcPr>
          <w:p>
            <w:r>
              <w:rPr>
                <w:sz w:val="20"/>
              </w:rPr>
              <w:t>Majeure (CI grossesse **3 ans post-arrêt**)</w:t>
            </w:r>
          </w:p>
        </w:tc>
        <w:tc>
          <w:tcPr>
            <w:tcW w:type="dxa" w:w="1336"/>
          </w:tcPr>
          <w:p>
            <w:r>
              <w:rPr>
                <w:sz w:val="20"/>
              </w:rPr>
              <w:t>Suspectée (CI par prudence grossesse)</w:t>
            </w:r>
          </w:p>
        </w:tc>
        <w:tc>
          <w:tcPr>
            <w:tcW w:type="dxa" w:w="1336"/>
          </w:tcPr>
          <w:p>
            <w:r>
              <w:rPr>
                <w:sz w:val="20"/>
              </w:rPr>
              <w:t>Non (autorisé pendant grossesse)</w:t>
            </w:r>
          </w:p>
        </w:tc>
      </w:tr>
      <w:tr>
        <w:tc>
          <w:tcPr>
            <w:tcW w:type="dxa" w:w="1336"/>
          </w:tcPr>
          <w:p>
            <w:r>
              <w:rPr>
                <w:sz w:val="20"/>
              </w:rPr>
              <w:t>**Allaitement**</w:t>
            </w:r>
          </w:p>
        </w:tc>
        <w:tc>
          <w:tcPr>
            <w:tcW w:type="dxa" w:w="1336"/>
          </w:tcPr>
          <w:p>
            <w:r>
              <w:rPr>
                <w:sz w:val="20"/>
              </w:rPr>
              <w:t>CI</w:t>
            </w:r>
          </w:p>
        </w:tc>
        <w:tc>
          <w:tcPr>
            <w:tcW w:type="dxa" w:w="1336"/>
          </w:tcPr>
          <w:p>
            <w:r>
              <w:rPr>
                <w:sz w:val="20"/>
              </w:rPr>
              <w:t>CI</w:t>
            </w:r>
          </w:p>
        </w:tc>
        <w:tc>
          <w:tcPr>
            <w:tcW w:type="dxa" w:w="1336"/>
          </w:tcPr>
          <w:p>
            <w:r>
              <w:rPr>
                <w:sz w:val="20"/>
              </w:rPr>
              <w:t>Prudence (hors zone thoracique)</w:t>
            </w:r>
          </w:p>
        </w:tc>
        <w:tc>
          <w:tcPr>
            <w:tcW w:type="dxa" w:w="1336"/>
          </w:tcPr>
          <w:p>
            <w:r>
              <w:rPr>
                <w:sz w:val="20"/>
              </w:rPr>
              <w:t>CI absolue</w:t>
            </w:r>
          </w:p>
        </w:tc>
        <w:tc>
          <w:tcPr>
            <w:tcW w:type="dxa" w:w="1336"/>
          </w:tcPr>
          <w:p>
            <w:r>
              <w:rPr>
                <w:sz w:val="20"/>
              </w:rPr>
              <w:t>CI (48 h après séance)</w:t>
            </w:r>
          </w:p>
        </w:tc>
        <w:tc>
          <w:tcPr>
            <w:tcW w:type="dxa" w:w="1336"/>
          </w:tcPr>
          <w:p>
            <w:r>
              <w:rPr>
                <w:sz w:val="20"/>
              </w:rPr>
              <w:t>Autorisé (hors zone thoracique)</w:t>
            </w:r>
          </w:p>
        </w:tc>
      </w:tr>
      <w:tr>
        <w:tc>
          <w:tcPr>
            <w:tcW w:type="dxa" w:w="1336"/>
          </w:tcPr>
          <w:p>
            <w:r>
              <w:rPr>
                <w:sz w:val="20"/>
              </w:rPr>
              <w:t>**Surveillance biologique**</w:t>
            </w:r>
          </w:p>
        </w:tc>
        <w:tc>
          <w:tcPr>
            <w:tcW w:type="dxa" w:w="1336"/>
          </w:tcPr>
          <w:p>
            <w:r>
              <w:rPr>
                <w:sz w:val="20"/>
              </w:rPr>
              <w:t>Aucune (topique)</w:t>
            </w:r>
          </w:p>
        </w:tc>
        <w:tc>
          <w:tcPr>
            <w:tcW w:type="dxa" w:w="1336"/>
          </w:tcPr>
          <w:p>
            <w:r>
              <w:rPr>
                <w:sz w:val="20"/>
              </w:rPr>
              <w:t>Mensuelle (forme orale) : transaminases, lipides, β-hCG</w:t>
            </w:r>
          </w:p>
        </w:tc>
        <w:tc>
          <w:tcPr>
            <w:tcW w:type="dxa" w:w="1336"/>
          </w:tcPr>
          <w:p>
            <w:r>
              <w:rPr>
                <w:sz w:val="20"/>
              </w:rPr>
              <w:t>Aucune</w:t>
            </w:r>
          </w:p>
        </w:tc>
        <w:tc>
          <w:tcPr>
            <w:tcW w:type="dxa" w:w="1336"/>
          </w:tcPr>
          <w:p>
            <w:r>
              <w:rPr>
                <w:sz w:val="20"/>
              </w:rPr>
              <w:t>Mensuelle : transaminases, lipides, β-hCG</w:t>
            </w:r>
          </w:p>
        </w:tc>
        <w:tc>
          <w:tcPr>
            <w:tcW w:type="dxa" w:w="1336"/>
          </w:tcPr>
          <w:p>
            <w:r>
              <w:rPr>
                <w:sz w:val="20"/>
              </w:rPr>
              <w:t>Aucune</w:t>
            </w:r>
          </w:p>
        </w:tc>
        <w:tc>
          <w:tcPr>
            <w:tcW w:type="dxa" w:w="1336"/>
          </w:tcPr>
          <w:p>
            <w:r>
              <w:rPr>
                <w:sz w:val="20"/>
              </w:rPr>
              <w:t>Aucune</w:t>
            </w:r>
          </w:p>
        </w:tc>
      </w:tr>
      <w:tr>
        <w:tc>
          <w:tcPr>
            <w:tcW w:type="dxa" w:w="1336"/>
          </w:tcPr>
          <w:p>
            <w:r>
              <w:rPr>
                <w:sz w:val="20"/>
              </w:rPr>
              <w:t>**Contraception obligatoire**</w:t>
            </w:r>
          </w:p>
        </w:tc>
        <w:tc>
          <w:tcPr>
            <w:tcW w:type="dxa" w:w="1336"/>
          </w:tcPr>
          <w:p>
            <w:r>
              <w:rPr>
                <w:sz w:val="20"/>
              </w:rPr>
              <w:t>Oui, pendant et 1 mois après</w:t>
            </w:r>
          </w:p>
        </w:tc>
        <w:tc>
          <w:tcPr>
            <w:tcW w:type="dxa" w:w="1336"/>
          </w:tcPr>
          <w:p>
            <w:r>
              <w:rPr>
                <w:sz w:val="20"/>
              </w:rPr>
              <w:t>Oui, pendant et 1 mois après (orale)</w:t>
            </w:r>
          </w:p>
        </w:tc>
        <w:tc>
          <w:tcPr>
            <w:tcW w:type="dxa" w:w="1336"/>
          </w:tcPr>
          <w:p>
            <w:r>
              <w:rPr>
                <w:sz w:val="20"/>
              </w:rPr>
              <w:t>Conseillée pendant traitement</w:t>
            </w:r>
          </w:p>
        </w:tc>
        <w:tc>
          <w:tcPr>
            <w:tcW w:type="dxa" w:w="1336"/>
          </w:tcPr>
          <w:p>
            <w:r>
              <w:rPr>
                <w:sz w:val="20"/>
              </w:rPr>
              <w:t>**Double, pendant et 3 ans après**</w:t>
            </w:r>
          </w:p>
        </w:tc>
        <w:tc>
          <w:tcPr>
            <w:tcW w:type="dxa" w:w="1336"/>
          </w:tcPr>
          <w:p>
            <w:r>
              <w:rPr>
                <w:sz w:val="20"/>
              </w:rPr>
              <w:t>Pendant le traitement</w:t>
            </w:r>
          </w:p>
        </w:tc>
        <w:tc>
          <w:tcPr>
            <w:tcW w:type="dxa" w:w="1336"/>
          </w:tcPr>
          <w:p>
            <w:r>
              <w:rPr>
                <w:sz w:val="20"/>
              </w:rPr>
              <w:t>Non</w:t>
            </w:r>
          </w:p>
        </w:tc>
      </w:tr>
      <w:tr>
        <w:tc>
          <w:tcPr>
            <w:tcW w:type="dxa" w:w="1336"/>
          </w:tcPr>
          <w:p>
            <w:r>
              <w:rPr>
                <w:sz w:val="20"/>
              </w:rPr>
              <w:t>**EI local principal**</w:t>
            </w:r>
          </w:p>
        </w:tc>
        <w:tc>
          <w:tcPr>
            <w:tcW w:type="dxa" w:w="1336"/>
          </w:tcPr>
          <w:p>
            <w:r>
              <w:rPr>
                <w:sz w:val="20"/>
              </w:rPr>
              <w:t>Rétinoïde-dermatitis, photosensibilité</w:t>
            </w:r>
          </w:p>
        </w:tc>
        <w:tc>
          <w:tcPr>
            <w:tcW w:type="dxa" w:w="1336"/>
          </w:tcPr>
          <w:p>
            <w:r>
              <w:rPr>
                <w:sz w:val="20"/>
              </w:rPr>
              <w:t>Rétinoïde-dermatitis, photosensibilité</w:t>
            </w:r>
          </w:p>
        </w:tc>
        <w:tc>
          <w:tcPr>
            <w:tcW w:type="dxa" w:w="1336"/>
          </w:tcPr>
          <w:p>
            <w:r>
              <w:rPr>
                <w:sz w:val="20"/>
              </w:rPr>
              <w:t>Rétinoïde-dermatitis modérée</w:t>
            </w:r>
          </w:p>
        </w:tc>
        <w:tc>
          <w:tcPr>
            <w:tcW w:type="dxa" w:w="1336"/>
          </w:tcPr>
          <w:p>
            <w:r>
              <w:rPr>
                <w:sz w:val="20"/>
              </w:rPr>
              <w:t>Chéilite quasi constante, xérose majeure</w:t>
            </w:r>
          </w:p>
        </w:tc>
        <w:tc>
          <w:tcPr>
            <w:tcW w:type="dxa" w:w="1336"/>
          </w:tcPr>
          <w:p>
            <w:r>
              <w:rPr>
                <w:sz w:val="20"/>
              </w:rPr>
              <w:t>Brûlure phototoxique, prurit</w:t>
            </w:r>
          </w:p>
        </w:tc>
        <w:tc>
          <w:tcPr>
            <w:tcW w:type="dxa" w:w="1336"/>
          </w:tcPr>
          <w:p>
            <w:r>
              <w:rPr>
                <w:sz w:val="20"/>
              </w:rPr>
              <w:t>Irritation, décolore tissus</w:t>
            </w:r>
          </w:p>
        </w:tc>
      </w:tr>
      <w:tr>
        <w:tc>
          <w:tcPr>
            <w:tcW w:type="dxa" w:w="1336"/>
          </w:tcPr>
          <w:p>
            <w:r>
              <w:rPr>
                <w:sz w:val="20"/>
              </w:rPr>
              <w:t>**EI systémique principal**</w:t>
            </w:r>
          </w:p>
        </w:tc>
        <w:tc>
          <w:tcPr>
            <w:tcW w:type="dxa" w:w="1336"/>
          </w:tcPr>
          <w:p>
            <w:r>
              <w:rPr>
                <w:sz w:val="20"/>
              </w:rPr>
              <w:t>Aucun (topique)</w:t>
            </w:r>
          </w:p>
        </w:tc>
        <w:tc>
          <w:tcPr>
            <w:tcW w:type="dxa" w:w="1336"/>
          </w:tcPr>
          <w:p>
            <w:r>
              <w:rPr>
                <w:sz w:val="20"/>
              </w:rPr>
              <w:t>Hyperlipidémie, hépatotoxicité, dépression (orale)</w:t>
            </w:r>
          </w:p>
        </w:tc>
        <w:tc>
          <w:tcPr>
            <w:tcW w:type="dxa" w:w="1336"/>
          </w:tcPr>
          <w:p>
            <w:r>
              <w:rPr>
                <w:sz w:val="20"/>
              </w:rPr>
              <w:t>Aucun (topique)</w:t>
            </w:r>
          </w:p>
        </w:tc>
        <w:tc>
          <w:tcPr>
            <w:tcW w:type="dxa" w:w="1336"/>
          </w:tcPr>
          <w:p>
            <w:r>
              <w:rPr>
                <w:sz w:val="20"/>
              </w:rPr>
              <w:t>Hyperlipidémie, hépatotoxicité, hyperostoses</w:t>
            </w:r>
          </w:p>
        </w:tc>
        <w:tc>
          <w:tcPr>
            <w:tcW w:type="dxa" w:w="1336"/>
          </w:tcPr>
          <w:p>
            <w:r>
              <w:rPr>
                <w:sz w:val="20"/>
              </w:rPr>
              <w:t>Cataracte, carcinogénèse cumulative</w:t>
            </w:r>
          </w:p>
        </w:tc>
        <w:tc>
          <w:tcPr>
            <w:tcW w:type="dxa" w:w="1336"/>
          </w:tcPr>
          <w:p>
            <w:r>
              <w:rPr>
                <w:sz w:val="20"/>
              </w:rPr>
              <w:t>Aucun (topique)</w:t>
            </w:r>
          </w:p>
        </w:tc>
      </w:tr>
      <w:tr>
        <w:tc>
          <w:tcPr>
            <w:tcW w:type="dxa" w:w="1336"/>
          </w:tcPr>
          <w:p>
            <w:r>
              <w:rPr>
                <w:sz w:val="20"/>
              </w:rPr>
              <w:t>**Délai d'action**</w:t>
            </w:r>
          </w:p>
        </w:tc>
        <w:tc>
          <w:tcPr>
            <w:tcW w:type="dxa" w:w="1336"/>
          </w:tcPr>
          <w:p>
            <w:r>
              <w:rPr>
                <w:sz w:val="20"/>
              </w:rPr>
              <w:t>8-12 semaines</w:t>
            </w:r>
          </w:p>
        </w:tc>
        <w:tc>
          <w:tcPr>
            <w:tcW w:type="dxa" w:w="1336"/>
          </w:tcPr>
          <w:p>
            <w:r>
              <w:rPr>
                <w:sz w:val="20"/>
              </w:rPr>
              <w:t>8-12 semaines (topique) ; 4-6 mois (orale)</w:t>
            </w:r>
          </w:p>
        </w:tc>
        <w:tc>
          <w:tcPr>
            <w:tcW w:type="dxa" w:w="1336"/>
          </w:tcPr>
          <w:p>
            <w:r>
              <w:rPr>
                <w:sz w:val="20"/>
              </w:rPr>
              <w:t>8-12 semaines</w:t>
            </w:r>
          </w:p>
        </w:tc>
        <w:tc>
          <w:tcPr>
            <w:tcW w:type="dxa" w:w="1336"/>
          </w:tcPr>
          <w:p>
            <w:r>
              <w:rPr>
                <w:sz w:val="20"/>
              </w:rPr>
              <w:t>4-8 semaines</w:t>
            </w:r>
          </w:p>
        </w:tc>
        <w:tc>
          <w:tcPr>
            <w:tcW w:type="dxa" w:w="1336"/>
          </w:tcPr>
          <w:p>
            <w:r>
              <w:rPr>
                <w:sz w:val="20"/>
              </w:rPr>
              <w:t>4-6 semaines</w:t>
            </w:r>
          </w:p>
        </w:tc>
        <w:tc>
          <w:tcPr>
            <w:tcW w:type="dxa" w:w="1336"/>
          </w:tcPr>
          <w:p>
            <w:r>
              <w:rPr>
                <w:sz w:val="20"/>
              </w:rPr>
              <w:t>4-8 semaines</w:t>
            </w:r>
          </w:p>
        </w:tc>
      </w:tr>
      <w:tr>
        <w:tc>
          <w:tcPr>
            <w:tcW w:type="dxa" w:w="1336"/>
          </w:tcPr>
          <w:p>
            <w:r>
              <w:rPr>
                <w:sz w:val="20"/>
              </w:rPr>
              <w:t>**Délai d'application idéal**</w:t>
            </w:r>
          </w:p>
        </w:tc>
        <w:tc>
          <w:tcPr>
            <w:tcW w:type="dxa" w:w="1336"/>
          </w:tcPr>
          <w:p>
            <w:r>
              <w:rPr>
                <w:sz w:val="20"/>
              </w:rPr>
              <w:t>Le soir au coucher (photosensibilité)</w:t>
            </w:r>
          </w:p>
        </w:tc>
        <w:tc>
          <w:tcPr>
            <w:tcW w:type="dxa" w:w="1336"/>
          </w:tcPr>
          <w:p>
            <w:r>
              <w:rPr>
                <w:sz w:val="20"/>
              </w:rPr>
              <w:t>Le soir au coucher (photosensibilité)</w:t>
            </w:r>
          </w:p>
        </w:tc>
        <w:tc>
          <w:tcPr>
            <w:tcW w:type="dxa" w:w="1336"/>
          </w:tcPr>
          <w:p>
            <w:r>
              <w:rPr>
                <w:sz w:val="20"/>
              </w:rPr>
              <w:t>Le soir au coucher (préférentiel)</w:t>
            </w:r>
          </w:p>
        </w:tc>
        <w:tc>
          <w:tcPr>
            <w:tcW w:type="dxa" w:w="1336"/>
          </w:tcPr>
          <w:p>
            <w:r>
              <w:rPr>
                <w:sz w:val="20"/>
              </w:rPr>
              <w:t>Au cours d'un repas riche en graisses</w:t>
            </w:r>
          </w:p>
        </w:tc>
        <w:tc>
          <w:tcPr>
            <w:tcW w:type="dxa" w:w="1336"/>
          </w:tcPr>
          <w:p>
            <w:r>
              <w:rPr>
                <w:sz w:val="20"/>
              </w:rPr>
              <w:t>2 heures avant irradiation UVA</w:t>
            </w:r>
          </w:p>
        </w:tc>
        <w:tc>
          <w:tcPr>
            <w:tcW w:type="dxa" w:w="1336"/>
          </w:tcPr>
          <w:p>
            <w:r>
              <w:rPr>
                <w:sz w:val="20"/>
              </w:rPr>
              <w:t>Le soir au coucher (décolore tissus)</w:t>
            </w:r>
          </w:p>
        </w:tc>
      </w:tr>
      <w:tr>
        <w:tc>
          <w:tcPr>
            <w:tcW w:type="dxa" w:w="1336"/>
          </w:tcPr>
          <w:p>
            <w:r>
              <w:rPr>
                <w:sz w:val="20"/>
              </w:rPr>
              <w:t>**Coût/Disponibilité Algérie**</w:t>
            </w:r>
          </w:p>
        </w:tc>
        <w:tc>
          <w:tcPr>
            <w:tcW w:type="dxa" w:w="1336"/>
          </w:tcPr>
          <w:p>
            <w:r>
              <w:rPr>
                <w:sz w:val="20"/>
              </w:rPr>
              <w:t>Indisponible (retiré)</w:t>
            </w:r>
          </w:p>
        </w:tc>
        <w:tc>
          <w:tcPr>
            <w:tcW w:type="dxa" w:w="1336"/>
          </w:tcPr>
          <w:p>
            <w:r>
              <w:rPr>
                <w:sz w:val="20"/>
              </w:rPr>
              <w:t>Disponible (orale : Curacne, Xeractan)</w:t>
            </w:r>
          </w:p>
        </w:tc>
        <w:tc>
          <w:tcPr>
            <w:tcW w:type="dxa" w:w="1336"/>
          </w:tcPr>
          <w:p>
            <w:r>
              <w:rPr>
                <w:sz w:val="20"/>
              </w:rPr>
              <w:t>Très disponible (5 marques)</w:t>
            </w:r>
          </w:p>
        </w:tc>
        <w:tc>
          <w:tcPr>
            <w:tcW w:type="dxa" w:w="1336"/>
          </w:tcPr>
          <w:p>
            <w:r>
              <w:rPr>
                <w:sz w:val="20"/>
              </w:rPr>
              <w:t>Disponible (Biopharm)</w:t>
            </w:r>
          </w:p>
        </w:tc>
        <w:tc>
          <w:tcPr>
            <w:tcW w:type="dxa" w:w="1336"/>
          </w:tcPr>
          <w:p>
            <w:r>
              <w:rPr>
                <w:sz w:val="20"/>
              </w:rPr>
              <w:t>Indisponible (retiré)</w:t>
            </w:r>
          </w:p>
        </w:tc>
        <w:tc>
          <w:tcPr>
            <w:tcW w:type="dxa" w:w="1336"/>
          </w:tcPr>
          <w:p>
            <w:r>
              <w:rPr>
                <w:sz w:val="20"/>
              </w:rPr>
              <w:t>Très disponible (Cutacnyl)</w:t>
            </w:r>
          </w:p>
        </w:tc>
      </w:tr>
    </w:tbl>
    <w:p/>
    <w:p>
      <w:pPr>
        <w:pStyle w:val="Heading3"/>
      </w:pPr>
      <w:r>
        <w:t>Synthèse Pédagogique</w:t>
      </w:r>
    </w:p>
    <w:p>
      <w:r/>
      <w:r>
        <w:rPr>
          <w:b/>
        </w:rPr>
        <w:t>1. Rétinoïdes topiques vs peroxyde de benzoyle dans l'acné</w:t>
      </w:r>
      <w:r/>
    </w:p>
    <w:p>
      <w:r>
        <w:t xml:space="preserve">L'acné vulgaire est une dermatose multifactorielle impliquant quatre mécanismes : hyperkératinisation folliculaire, hyperséborrhée, prolifération de </w:t>
      </w:r>
      <w:r>
        <w:rPr>
          <w:i/>
        </w:rPr>
        <w:t>Cutibacterium acnes</w:t>
      </w:r>
      <w:r>
        <w:t>, inflammation. Le traitement topique de première ligne repose sur l'adapalène (rétinoïde de 3e génération, mieux toléré que la trétinoïne) en cas d'acné rétentionnelle (comédons), et sur le peroxyde de benzoyle (BPO) en cas d'acné inflammatoire (papules, pustules). En cas d'acné mixte, l'association adapalène + BPO est recommandée (en alternance, le matin BPO et le soir adapalène), ou l'association fixe (Epiduo® — non disponible en Algérie). En cas d'acné résistante ou nodulo-kystique, l'isotrétinoïne orale (Curacne, Xeractan) est indiquée en seconde intention, sous surveillance stricte et programme contraceptif.</w:t>
      </w:r>
    </w:p>
    <w:p>
      <w:r/>
      <w:r>
        <w:rPr>
          <w:b/>
        </w:rPr>
        <w:t>2. Rétinoïdes systémiques (acitrétine) dans le psoriasis</w:t>
      </w:r>
      <w:r/>
    </w:p>
    <w:p>
      <w:r>
        <w:t xml:space="preserve">L'acitrétine est le traitement de référence du psoriasis pustuleux (généralisé de von Zumbusch, pustulose palmoplantaire de Barber), érythrodermique, et en association avec la PUVA-thérapie (rétino-PUVA) ou la photothérapie UVB-TL01 (rétino-UVB) dans le psoriasis en plaques étendu. Sa tératogénicité majeure et son imprégnation tissulaire prolongée (réestérification possible en étrétinate en présence d'éthanol, demi-vie de 120 jours) imposent une contraception stricte pendant et </w:t>
      </w:r>
      <w:r>
        <w:rPr>
          <w:b/>
        </w:rPr>
        <w:t>3 ans après l'arrêt</w:t>
      </w:r>
      <w:r>
        <w:t xml:space="preserve"> du traitement, ainsi qu'une éviction stricte de l'alcool.</w:t>
      </w:r>
    </w:p>
    <w:p>
      <w:r/>
      <w:r>
        <w:rPr>
          <w:b/>
        </w:rPr>
        <w:t>3. PUVA-thérapie (méthoxsalène)</w:t>
      </w:r>
      <w:r/>
    </w:p>
    <w:p>
      <w:r>
        <w:t>La PUVA-thérapie associe l'administration d'un psoralène (méthoxsalène) à une irradiation cutanée par les UVA. Elle reste indiquée dans le psoriasis sévère étendu, le vitiligo extensif, le mycosis fongoïde, et certaines dermatoses inflammatoires chroniques résistantes aux autres traitements. En raison de sa carcinogénèse cumulative (limitation à 200 séances vie entière) et de la photosensibilité oculaire (cataracte), elle est aujourd'hui souvent remplacée par la photothérapie UVB-TL01 (311 nm) qui ne nécessite pas de psoralène. En Algérie, le méthoxsalène (Meladinine) est retiré du marché, ce qui impose le recours à la photothérapie UVB-TL01 ou à l'importation exceptionnelle.</w:t>
      </w:r>
    </w:p>
    <w:p>
      <w:r/>
      <w:r>
        <w:rPr>
          <w:b/>
        </w:rPr>
        <w:t>4. Prévention de la tératogénicité des rétinoïdes</w:t>
      </w:r>
      <w:r/>
    </w:p>
    <w:p>
      <w:r>
        <w:t>Tous les rétinoïdes (topiques et systémiques) sont tératogènes. La prévention repose sur :</w:t>
      </w:r>
    </w:p>
    <w:p>
      <w:pPr>
        <w:pStyle w:val="ListBullet"/>
      </w:pPr>
      <w:r>
        <w:t>Test de grossesse pré-thérapeutique (β-hCG plasmatiques) chez toute femme en âge de procréer</w:t>
      </w:r>
    </w:p>
    <w:p>
      <w:pPr>
        <w:pStyle w:val="ListBullet"/>
      </w:pPr>
      <w:r>
        <w:t>Contraception efficace pendant le traitement</w:t>
      </w:r>
    </w:p>
    <w:p>
      <w:pPr>
        <w:pStyle w:val="ListBullet"/>
      </w:pPr>
      <w:r>
        <w:t xml:space="preserve">Délai d'éviction grossesse post-arrêt : 1 mois pour l'isotrétinoïne orale, </w:t>
      </w:r>
      <w:r>
        <w:rPr>
          <w:b/>
        </w:rPr>
        <w:t>3 ans pour l'acitrétine</w:t>
      </w:r>
      <w:r>
        <w:t xml:space="preserve"> (en raison de la réestérification possible en étrétinate), 1 mois pour les rétinoïdes topiques par prudence</w:t>
      </w:r>
    </w:p>
    <w:p>
      <w:pPr>
        <w:pStyle w:val="ListBullet"/>
      </w:pPr>
      <w:r>
        <w:t>Test de grossesse mensuel pendant le traitement systémique</w:t>
      </w:r>
    </w:p>
    <w:p>
      <w:pPr>
        <w:pStyle w:val="ListBullet"/>
      </w:pPr>
      <w:r>
        <w:t>Éviction de l'alcool (acitrétine — réestérification en étrétinate)</w:t>
      </w:r>
    </w:p>
    <w:p>
      <w:pPr>
        <w:pStyle w:val="ListBullet"/>
      </w:pPr>
      <w:r>
        <w:t>Éviction du don de sang pendant et après le traitement</w:t>
      </w:r>
    </w:p>
    <w:p>
      <w:pPr>
        <w:pStyle w:val="ListBullet"/>
      </w:pPr>
      <w:r>
        <w:t>Consentement éclairé signé de la patiente</w:t>
      </w:r>
    </w:p>
    <w:p>
      <w:r/>
      <w:r>
        <w:rPr>
          <w:b/>
        </w:rPr>
        <w:t>5. Photosensibilité cutanée</w:t>
      </w:r>
      <w:r/>
    </w:p>
    <w:p>
      <w:r>
        <w:t>Tous les traitements de ce chapitre sont photosensibilisants (à des degrés variables). La prévention repose sur :</w:t>
      </w:r>
    </w:p>
    <w:p>
      <w:pPr>
        <w:pStyle w:val="ListBullet"/>
      </w:pPr>
      <w:r>
        <w:t>Application vespérale stricte pour les rétinoïdes topiques et le BPO</w:t>
      </w:r>
    </w:p>
    <w:p>
      <w:pPr>
        <w:pStyle w:val="ListBullet"/>
      </w:pPr>
      <w:r>
        <w:t>Photoprotection diurne SPF 30-50+ pendant toute la durée du traitement</w:t>
      </w:r>
    </w:p>
    <w:p>
      <w:pPr>
        <w:pStyle w:val="ListBullet"/>
      </w:pPr>
      <w:r>
        <w:t>Éviction solaire directe (particulièrement pour la PUVA-thérapie — 24 h après chaque séance)</w:t>
      </w:r>
    </w:p>
    <w:p>
      <w:pPr>
        <w:pStyle w:val="ListBullet"/>
      </w:pPr>
      <w:r>
        <w:t>Protection oculaire UV-400 pendant et 24 h après chaque séance de PUVA</w:t>
      </w:r>
    </w:p>
    <w:p>
      <w:pPr>
        <w:pStyle w:val="ListBullet"/>
      </w:pPr>
      <w:r>
        <w:t>Information du patient sur le risque de brûlure, de pigmentation post-inflammatoire, et de carcinogénèse cumulative (PUVA)</w:t>
      </w:r>
    </w:p>
    <w:p>
      <w:r/>
      <w:r>
        <w:rPr>
          <w:b/>
        </w:rPr>
        <w:t>6. Irritation cutanée</w:t>
      </w:r>
      <w:r/>
    </w:p>
    <w:p>
      <w:r>
        <w:t>Tous les topiques de ce chapitre sont irritants (rétinoïde-dermatitis, irritation oxydative du BPO, phototoxicité du PUVA). La prévention repose sur :</w:t>
      </w:r>
    </w:p>
    <w:p>
      <w:pPr>
        <w:pStyle w:val="ListBullet"/>
      </w:pPr>
      <w:r>
        <w:t>Démarrage à faible concentration et application un soir sur deux pendant 2-4 semaines</w:t>
      </w:r>
    </w:p>
    <w:p>
      <w:pPr>
        <w:pStyle w:val="ListBullet"/>
      </w:pPr>
      <w:r>
        <w:t>Escalade progressive vers la quotidienneté</w:t>
      </w:r>
    </w:p>
    <w:p>
      <w:pPr>
        <w:pStyle w:val="ListBullet"/>
      </w:pPr>
      <w:r>
        <w:t>Application sur peau parfaitement sèche (30 min après la toilette)</w:t>
      </w:r>
    </w:p>
    <w:p>
      <w:pPr>
        <w:pStyle w:val="ListBullet"/>
      </w:pPr>
      <w:r>
        <w:t>Quantité modérée (taille d'un pois pour le visage)</w:t>
      </w:r>
    </w:p>
    <w:p>
      <w:pPr>
        <w:pStyle w:val="ListBullet"/>
      </w:pPr>
      <w:r>
        <w:t>Association à un émollient non comédogène</w:t>
      </w:r>
    </w:p>
    <w:p>
      <w:pPr>
        <w:pStyle w:val="ListBullet"/>
      </w:pPr>
      <w:r>
        <w:t>Éviction des autres topiques irritants en association</w:t>
      </w:r>
    </w:p>
    <w:p>
      <w:r/>
      <w:r>
        <w:rPr>
          <w:b/>
        </w:rPr>
        <w:t>7. Disponibilité du marché algérien</w:t>
      </w:r>
      <w:r/>
    </w:p>
    <w:p>
      <w:r>
        <w:t>Le marché algérien offre une disponibilité inégale des molécules de ce chapitre :</w:t>
      </w:r>
    </w:p>
    <w:p>
      <w:pPr>
        <w:pStyle w:val="ListBullet"/>
      </w:pPr>
      <w:r/>
      <w:r>
        <w:rPr>
          <w:b/>
        </w:rPr>
        <w:t>Très disponibles</w:t>
      </w:r>
      <w:r>
        <w:t xml:space="preserve"> : Adapalène (5 marques), peroxyde de benzoyle (Cutacnyl), acitrétine (Biotretane), isotrétinoïne orale (Curacne, Xeractan)</w:t>
      </w:r>
    </w:p>
    <w:p>
      <w:pPr>
        <w:pStyle w:val="ListBullet"/>
      </w:pPr>
      <w:r/>
      <w:r>
        <w:rPr>
          <w:b/>
        </w:rPr>
        <w:t>Indisponibles (retirées ou non renouvelables)</w:t>
      </w:r>
      <w:r>
        <w:t xml:space="preserve"> : Trétinoïne topique (ACNETIN-A retiré), isotrétinoïne topique (ISOTREX non renouvelable), méthoxsalène (Meladinine retiré)</w:t>
      </w:r>
    </w:p>
    <w:p>
      <w:pPr>
        <w:pStyle w:val="ListBullet"/>
      </w:pPr>
      <w:r/>
      <w:r>
        <w:rPr>
          <w:b/>
        </w:rPr>
        <w:t>Substitutions possibles</w:t>
      </w:r>
      <w:r>
        <w:t xml:space="preserve"> : pour la trétinoïne topique → adapalène ; pour l'isotrétinoïne topique → adapalène ; pour le méthoxsalène → photothérapie UVB-TL01 ou importation exceptionnelle</w:t>
      </w:r>
    </w:p>
    <w:p>
      <w:pPr>
        <w:pStyle w:val="Heading3"/>
      </w:pPr>
      <w:r>
        <w:t>Conclusion du chapitre</w:t>
      </w:r>
    </w:p>
    <w:p>
      <w:r>
        <w:t>Les rétinoïdes (topiques et systémiques), le peroxyde de benzoyle et le méthoxsalène constituent l'ossature pharmacologique du traitement de l'acné, du psoriasis, du vitiligo et de plusieurs dermatoses kératinisantes et inflammatoires. Leur maîtrise par le pharmacien d'officine algérien est essentielle pour plusieurs raisons : (1) dispensation des formes topiques (adapalène, peroxyde de benzoyle, isotrétinoïne topique, trétinoïne) avec conseils d'application, de photoprotection et de tolérance ; (2) délivrance contrôlée des formes systémiques tératogènes (acitrétine, isotrétinoïne orale) avec vérification contraceptive, test de grossesse et consentement éclairé ; (3) coordination avec le dermatologue référent pour la surveillance biologique et clinique ; (4) information et éducation thérapeutique du patient (observance, photoprotection, hydratation, signes d'alerte, contraception, éviction alcool et don de sang) ; (5) vigilance sur les ruptures d'approvisionnement en Algérie et propositions d'alternatives thérapeutiques.</w:t>
      </w:r>
    </w:p>
    <w:p>
      <w:r>
        <w:t>L'étudiant doit également retenir que ces molécules, bien que d'ancienneté variable (1934 pour le peroxyde de benzoyle, 1947 pour le méthoxsalène, 1962 pour la trétinoïne, 1987 pour l'acitrétine, 1996 pour l'adapalène), restent d'actualité dans les recommandations dermatologiques internationales (European Dermatology Forum, American Academy of Dermatology, Société Française de Dermatologie). Leur index thérapeutique, étroit pour les formes systémiques (acitrétine, isotrétinoïne orale), impose une rigueur parfaite dans la prescription, la dispensation, l'administration et la surveillance.</w:t>
      </w:r>
    </w:p>
    <w:p>
      <w:r>
        <w:t>Le chapitre suivant (chapitre 122) traitera des dermocorticoïdes, autre pilier de la dermatologie thérapeutique.</w:t>
      </w:r>
    </w:p>
    <w:p>
      <w:r/>
      <w:r>
        <w:rPr>
          <w:i/>
        </w:rPr>
        <w:t>Sources consultées : VIDAL 2026, ANSM (Répertoire des spécialités), Thériaque, CRAT (Centre de Référence sur les Agents Tératogènes — www.lecrat.fr), European Dermatology Forum Guidelines on Acne (2024), American Academy of Dermatology Acne Guidelines (2024), European S3-Guidelines on Psoriasis (2024), NCCN Guidelines for Cutaneous Lymphomas, UpToDate, RCP (Résumé des Caractéristiques du Produit) des spécialités commercialisées en Algérie, Nomenclature officielle des médicaments du Ministère de la Santé algérien (Avril 2026).</w:t>
      </w:r>
      <w:r/>
    </w:p>
    <w:p>
      <w:pPr>
        <w:pStyle w:val="Heading1"/>
      </w:pPr>
      <w:r>
        <w:t>Chapitre 122 — Dermocorticoïdes topiques</w:t>
      </w:r>
    </w:p>
    <w:p>
      <w:pPr>
        <w:pStyle w:val="Heading2"/>
      </w:pPr>
      <w:r>
        <w:t>122.1 Introduction générale</w:t>
      </w:r>
    </w:p>
    <w:p>
      <w:r>
        <w:t>Les dermocorticoïdes, ou corticoïdes topiques, constituent l'un des piliers thérapeutiques de la dermatologie moderne depuis l'introduction de l'hydrocortisone en 1952 par Sulzberger et Witten. Issus de l'hormone naturelle cortisol (17-hydroxy-11-désoxycorticostérone), ces molécules ont été progressivement modifiées par hémisynthèse pour augmenter leur puissance anti-inflammatoire, leur lipophilie cutanée et leur rémanence locale, tout en limitant — autant que possible — leur passage systémique. La nomenclature algérienne (Avril 2026) recense neuf DCIs de dermocorticoïdes effectivement commercialisés ou ayant été commercialisés sur le territoire national, regroupées en cinq classes d'activité selon la classification européenne classique (Cornhill 1976, modifiée par la suite par plusieurs sociétés savantes dont l'European Dermatology Forum).</w:t>
      </w:r>
    </w:p>
    <w:p>
      <w:r>
        <w:t xml:space="preserve">La place des dermocorticoïdes dans l'arsenal thérapeutique tient à leur polyvalence d'action : ils combinent une puissante activité </w:t>
      </w:r>
      <w:r>
        <w:rPr>
          <w:b/>
        </w:rPr>
        <w:t>anti-inflammatoire</w:t>
      </w:r>
      <w:r>
        <w:t xml:space="preserve"> (inhibition de la phospholipase A2 via l'annexine-1/lipocortine-1, suppression des cytokines pro-inflammatoires IL-1, IL-2, IL-6, TNF-α, IFN-γ), une action </w:t>
      </w:r>
      <w:r>
        <w:rPr>
          <w:b/>
        </w:rPr>
        <w:t>immunosuppressive</w:t>
      </w:r>
      <w:r>
        <w:t xml:space="preserve"> (diminution de la migration leucocytaire, inhibition de la présentation antigénique par les cellules de Langerhans, lymphopenie T preferentialle), une activité </w:t>
      </w:r>
      <w:r>
        <w:rPr>
          <w:b/>
        </w:rPr>
        <w:t>vasoconstrictrice</w:t>
      </w:r>
      <w:r>
        <w:t xml:space="preserve"> (effet alpha-mimétique direct sur le muscle lisse vasculaire dermique responsable du blanchiment cutané) et un effet </w:t>
      </w:r>
      <w:r>
        <w:rPr>
          <w:b/>
        </w:rPr>
        <w:t>antiprolifératif</w:t>
      </w:r>
      <w:r>
        <w:t xml:space="preserve"> sur les kératinocytes et les fibroblastes (utile dans le psoriasis, délétère à long terme par atrophie cutanée). Ces quatre propriétés ne sont pas dissociables et expliquent à la fois l'efficacité et la iatrogénicité de la classe.</w:t>
      </w:r>
    </w:p>
    <w:p>
      <w:r>
        <w:t xml:space="preserve">La connaissance précise de la </w:t>
      </w:r>
      <w:r>
        <w:rPr>
          <w:b/>
        </w:rPr>
        <w:t>classification par paliers d'activité</w:t>
      </w:r>
      <w:r>
        <w:t xml:space="preserve"> est un prérequis indispensable à toute prescription. Un dermocorticoïde de classe I (très forte activité) tel que le clobétasol exerce un effet anti-inflammatoire local 500 à 1000 fois supérieur à celui de l'hydrocortisone 1 %, mais son utilisation sur grande surface corporelle, sous occlusion, ou chez l'enfant peut induire en quelques jours une insuffisance surrénalienne aiguë. À l'inverse, l'usage sous-dosé (hydrocortisone sur psoriasis en plaques étendu) conduit à un échec thérapeutique et à la cascade iatrogène du sur-traitement. La règle d'or « la bonne molécule, sur la bonne peau, à la bonne dose, pendant la bonne durée » s'applique ici avec une acuité particulière.</w:t>
      </w:r>
    </w:p>
    <w:p>
      <w:r>
        <w:t>Ce chapitre aborde successivement les cinq sous-classes d'activité, en couvrant pour chacune des neuf DCI disponibles en Algérie les douze dimensions cliniques nécessaires à la pratique : mécanisme d'action moléculaire, profil pharmacologique, effets indésirables locaux et systémiques, prévention de la iatrogénicité, interactions médicamenteuses, données de grossesse et d'allaitement selon le CRAT, posologie en fonction de la surface corporelle et de l'âge, arbitrage entre formes galéniques (crème, pommade, lotion, gel, spray), conseils au patient au comptoir, et pièges à éviter en officine. Une attention particulière est portée aux spécialités disponibles en Algérie (CLOBECORT, CLOTASOL, DIPROSONE, BETADERME, DERMASONE, CELETASONE, TOPICORT, LOCACORT, LOCOID, EFFICORT, PEITEL, KENACORT, NASONEX, FLIXOTIDE, FLIXONASE, SERETIDE, AVAMYS, etc.), avec mention de leur statut administratif (ACTIF, NON_RENOUVELABLE, RETRAIT) tel que figurant dans la nomenclature officielle.</w:t>
      </w:r>
    </w:p>
    <w:p>
      <w:pPr>
        <w:pStyle w:val="Heading3"/>
      </w:pPr>
      <w:r>
        <w:t>122.1.1 Historique des dermocorticoïdes</w:t>
      </w:r>
    </w:p>
    <w:p>
      <w:r>
        <w:t>L'histoire des dermocorticoïdes commence en 1949 avec la découverte du cortisol (hydrocortisone) par Philip Hench et Edward Kendall à la Mayo Clinic, qui recevront pour cette découverte le prix Nobel de médecine en 1950. L'application cutanée de l'hydrocortisone est rapportée pour la première fois par Sulzberger et Witten en 1952, et marque le début de l'ère de la dermocorticothérapie. Les premières préparations (hydrocortisone 1 % en crème) sont modestement efficaces mais révèlent le potentiel de cette classe thérapeutique. La première génération de dérivés semi-synthétiques apparaît dans les années 1955–1960 avec la fluocinolone acétonide (Synalar®, 1960) et la triamcinolone acétonide (Kenacort®, 1958), qui intègrent une substitution fluorée en 9α et un pont acétonide en C16-C17 augmentant considérablement la puissance. La seconde génération des années 1970 introduit le clobétasol propionate (Dermovate®, 1974), le bétaméthasone dipropionate (Diprosone®, 1975) et la fluméthasone pivalate (Locacorten®, 1975), qui atteignent des puissances records mais au prix d'une toxicité locale accrue. La troisième génération des années 1980–1990 introduit les esters non fluorés de nouvelle génération (hydrocortisone 17-butyrate, hydrocortisone acéponate, prednicarbate, mométasone furoate) qui combinent une bonne efficacité et une excellente tolérance. Aujourd'hui, la quatrième génération explore des voies nouvelles (ciclesonide, éstinailage de fixation tissulaire spécifique) qui ne sont pas encore disponibles en Algérie.</w:t>
      </w:r>
    </w:p>
    <w:p>
      <w:pPr>
        <w:pStyle w:val="Heading3"/>
      </w:pPr>
      <w:r>
        <w:t>122.1.2 Mécanisme d'action moléculaire commun</w:t>
      </w:r>
    </w:p>
    <w:p>
      <w:r>
        <w:t>Tous les dermocorticoïdes partagent un mécanisme d'action moléculaire commun, médié par le récepteur glucocorticoïde (GR), membre de la superfamille des récepteurs nucléaires stéroïdiens. Le schéma classique comprend cinq étapes :</w:t>
      </w:r>
    </w:p>
    <w:p>
      <w:pPr>
        <w:pStyle w:val="ListNumber"/>
      </w:pPr>
      <w:r/>
      <w:r>
        <w:rPr>
          <w:b/>
        </w:rPr>
        <w:t>Pénétration cutanée :</w:t>
      </w:r>
      <w:r>
        <w:t xml:space="preserve"> La molécule, hautement lipophile, traverse la couche cornée par diffusion passive, puis diffuse vers les kératinocytes vivants et les cellules dermiques. Cette pénétration est modulée par l'épaisseur de la couche cornée, l'hydratation cutanée, la présence de lésions (érosion, ulcération) qui majorent la pénétration d'un facteur 5 à 10, et l'occlusion qui augmente l'hydratation et donc la pénétration d'un facteur 10 à 100.</w:t>
      </w:r>
    </w:p>
    <w:p>
      <w:pPr>
        <w:pStyle w:val="ListNumber"/>
      </w:pPr>
      <w:r/>
      <w:r>
        <w:rPr>
          <w:b/>
        </w:rPr>
        <w:t>Fixation au récepteur GRα :</w:t>
      </w:r>
      <w:r>
        <w:t xml:space="preserve"> La molécule pénètre dans le cytoplasme des cellules cibles (kératinocytes, fibroblastes, cellules endothéliales, cellules de Langerhans, lymphocytes T cutanés, mastocytes) et se fixe avec une affinité nanomolaire sur le récepteur glucocorticoïde alpha (GRα), un récepteur nucléaire cytosolique associé à un complexe de protéines chaperonnes (HSP90, HSP70, immunophilines FKBP51 et FKBP52).</w:t>
      </w:r>
    </w:p>
    <w:p>
      <w:pPr>
        <w:pStyle w:val="ListNumber"/>
      </w:pPr>
      <w:r/>
      <w:r>
        <w:rPr>
          <w:b/>
        </w:rPr>
        <w:t>Transconformation et activation :</w:t>
      </w:r>
      <w:r>
        <w:t xml:space="preserve"> La fixation du ligand provoque une transconformation du GRα : libération des protéines chaperonnes, exposition du signal de localisation nucléaire (NLS), dimérisation du récepteur.</w:t>
      </w:r>
    </w:p>
    <w:p>
      <w:pPr>
        <w:pStyle w:val="ListNumber"/>
      </w:pPr>
      <w:r/>
      <w:r>
        <w:rPr>
          <w:b/>
        </w:rPr>
        <w:t>Translocation nucléaire :</w:t>
      </w:r>
      <w:r>
        <w:t xml:space="preserve"> Le complexe ligand-GRα dimérisé transloque dans le noyau par les pores nucléaires.</w:t>
      </w:r>
    </w:p>
    <w:p>
      <w:pPr>
        <w:pStyle w:val="ListNumber"/>
      </w:pPr>
      <w:r/>
      <w:r>
        <w:rPr>
          <w:b/>
        </w:rPr>
        <w:t>Action transcriptionnelle :</w:t>
      </w:r>
      <w:r>
        <w:t xml:space="preserve"> Le complexe se fixe à des séquences régulatrices spécifiques de l'ADN :</w:t>
      </w:r>
    </w:p>
    <w:p>
      <w:pPr>
        <w:pStyle w:val="ListBullet"/>
      </w:pPr>
      <w:r/>
      <w:r>
        <w:rPr>
          <w:b/>
        </w:rPr>
        <w:t>GRE positifs (pGRE) :</w:t>
      </w:r>
      <w:r>
        <w:t xml:space="preserve"> activation de la transcription des gènes anti-inflammatoires (annexine-1/lipocortine-1 qui inhibe la phospholipase A2, IκB-α qui inhibe NF-κB, MKP-1 qui inhibe MAPK, GILZ qui inhibe AP-1 et NF-AT).</w:t>
      </w:r>
    </w:p>
    <w:p>
      <w:pPr>
        <w:pStyle w:val="ListBullet"/>
      </w:pPr>
      <w:r/>
      <w:r>
        <w:rPr>
          <w:b/>
        </w:rPr>
        <w:t>GRE négatifs (nGRE) :</w:t>
      </w:r>
      <w:r>
        <w:t xml:space="preserve"> répression directe de la transcription des gènes pro-inflammatoires (cytokines IL-1, IL-2, IL-3, IL-4, IL-5, IL-6, IL-8, IL-13, TNF-α, IFN-γ, GM-CSF, COX-2, iNOS).</w:t>
      </w:r>
    </w:p>
    <w:p>
      <w:pPr>
        <w:pStyle w:val="ListBullet"/>
      </w:pPr>
      <w:r/>
      <w:r>
        <w:rPr>
          <w:b/>
        </w:rPr>
        <w:t>Trans-répression par interaction protéine-protéine :</w:t>
      </w:r>
      <w:r>
        <w:t xml:space="preserve"> le complexe ligand-GRα interagit physiquement avec d'autres facteurs de transcription (AP-1, NF-κB, NF-AT, STAT5) et réprime leur activité transcriptionnelle sans liaison directe à l'ADN.</w:t>
      </w:r>
    </w:p>
    <w:p>
      <w:r>
        <w:t>Cette double action (trans-activation des gènes anti-inflammatoires et trans-répression des gènes pro-inflammatoires) explique la puissance de l'effet anti-inflammatoire. Les quatre effets cliniques cardinaux découlent de ces actions moléculaires :</w:t>
      </w:r>
    </w:p>
    <w:p>
      <w:pPr>
        <w:pStyle w:val="ListBullet"/>
      </w:pPr>
      <w:r/>
      <w:r>
        <w:rPr>
          <w:b/>
        </w:rPr>
        <w:t>Anti-inflammatoire :</w:t>
      </w:r>
      <w:r>
        <w:t xml:space="preserve"> inhibition de la phospholipase A2 → baisse du thromboxane A2, des prostaglandines E2 et I2, des leucotriènes B4 et D4 ; inhibition de la COX-2 ; inhibition de l'iNOS.</w:t>
      </w:r>
    </w:p>
    <w:p>
      <w:pPr>
        <w:pStyle w:val="ListBullet"/>
      </w:pPr>
      <w:r/>
      <w:r>
        <w:rPr>
          <w:b/>
        </w:rPr>
        <w:t>Immunosuppresseur :</w:t>
      </w:r>
      <w:r>
        <w:t xml:space="preserve"> inhibition de la migration leucocytaire (down-régulation des sélectines L et E, des intégrines ICAM-1 et VCAM-1), inhibition de la présentation antigénique par les cellules de Langerhans (down-régulation de MHC II et de B7), inhibition de la libération d'histamine et de tryptase par les mastocytes, lymphopénie T préférentielle.</w:t>
      </w:r>
    </w:p>
    <w:p>
      <w:pPr>
        <w:pStyle w:val="ListBullet"/>
      </w:pPr>
      <w:r/>
      <w:r>
        <w:rPr>
          <w:b/>
        </w:rPr>
        <w:t>Vasoconstricteur :</w:t>
      </w:r>
      <w:r>
        <w:t xml:space="preserve"> effet direct sur le muscle lisse des veinules post-capillaires dermiques (sensibilité alpha-mimétique), responsable du blanchiment cutané utilisé comme test pharmacologique de classification.</w:t>
      </w:r>
    </w:p>
    <w:p>
      <w:pPr>
        <w:pStyle w:val="ListBullet"/>
      </w:pPr>
      <w:r/>
      <w:r>
        <w:rPr>
          <w:b/>
        </w:rPr>
        <w:t>Antiprolifératif :</w:t>
      </w:r>
      <w:r>
        <w:t xml:space="preserve"> inhibition de la synthèse du collagène par les fibroblastes (effet délétère à long terme responsable de l'atrophie cutanée), inhibition de la division kératinocytaire (effet bénéfique dans le psoriasis, délétère dans la cicatrisation).</w:t>
      </w:r>
    </w:p>
    <w:p>
      <w:pPr>
        <w:pStyle w:val="Heading3"/>
      </w:pPr>
      <w:r>
        <w:t>122.1.3 Classification des dermocorticoïdes</w:t>
      </w:r>
    </w:p>
    <w:p>
      <w:r>
        <w:t>Plusieurs classifications coexistent dans la littérature internationale, ce qui peut prêter à confusion. La classification européenne classique en quatre paliers (Cornhill 1976) et la classification américaine en sept paliers (Stoughton-Cornell 1985, inversée) sont les plus utilisées.</w:t>
      </w:r>
    </w:p>
    <w:p>
      <w:r/>
      <w:r>
        <w:rPr>
          <w:b/>
        </w:rPr>
        <w:t>Classification européenne en 4 paliers :</w:t>
      </w:r>
      <w:r/>
    </w:p>
    <w:p>
      <w:pPr>
        <w:pStyle w:val="ListBullet"/>
      </w:pPr>
      <w:r/>
      <w:r>
        <w:rPr>
          <w:b/>
        </w:rPr>
        <w:t>Palier I (très forte activité) :</w:t>
      </w:r>
      <w:r>
        <w:t xml:space="preserve"> Clobétasol propionate 0,05 %, halobetasol propionate 0,05 %. Puissance 500 à 1000× hydrocortisone 1 %.</w:t>
      </w:r>
    </w:p>
    <w:p>
      <w:pPr>
        <w:pStyle w:val="ListBullet"/>
      </w:pPr>
      <w:r/>
      <w:r>
        <w:rPr>
          <w:b/>
        </w:rPr>
        <w:t>Palier II (forte activité) :</w:t>
      </w:r>
      <w:r>
        <w:t xml:space="preserve"> Bétaméthasone dipropionate 0,05 %, bétaméthasone valérate 0,1 %, mométasone furoate 0,1 % (parfois classé II–III), désoximétasone 0,25 %. Puissance 100 à 500×.</w:t>
      </w:r>
    </w:p>
    <w:p>
      <w:pPr>
        <w:pStyle w:val="ListBullet"/>
      </w:pPr>
      <w:r/>
      <w:r>
        <w:rPr>
          <w:b/>
        </w:rPr>
        <w:t>Palier III (modérée activité) :</w:t>
      </w:r>
      <w:r>
        <w:t xml:space="preserve"> Triamcinolone acétonide 0,1 %, fluocinolone acétonide 0,025 %, fluticasone propionate 0,05 %, fluméthasone pivalate 0,02 %, prednicarbate 0,25 %. Puissance 10 à 100×.</w:t>
      </w:r>
    </w:p>
    <w:p>
      <w:pPr>
        <w:pStyle w:val="ListBullet"/>
      </w:pPr>
      <w:r/>
      <w:r>
        <w:rPr>
          <w:b/>
        </w:rPr>
        <w:t>Palier IV (faible activité) :</w:t>
      </w:r>
      <w:r>
        <w:t xml:space="preserve"> Hydrocortisone 1 %, hydrocortisone 17-butyrate 0,1 %, hydrocortisone acéponate 0,127 %, méthylprednisolone acéponate 0,1 %. Puissance 1 à 10×.</w:t>
      </w:r>
    </w:p>
    <w:p>
      <w:r/>
      <w:r>
        <w:rPr>
          <w:b/>
        </w:rPr>
        <w:t>Classification américaine Stoughton-Cornell en 7 paliers (inversée) :</w:t>
      </w:r>
      <w:r/>
    </w:p>
    <w:p>
      <w:pPr>
        <w:pStyle w:val="ListBullet"/>
      </w:pPr>
      <w:r>
        <w:t>Classe I (très haute) = palier I européen.</w:t>
      </w:r>
    </w:p>
    <w:p>
      <w:pPr>
        <w:pStyle w:val="ListBullet"/>
      </w:pPr>
      <w:r>
        <w:t>Classes II–III (haute) = palier II européen.</w:t>
      </w:r>
    </w:p>
    <w:p>
      <w:pPr>
        <w:pStyle w:val="ListBullet"/>
      </w:pPr>
      <w:r>
        <w:t>Classes IV–V (modérée) = palier III européen.</w:t>
      </w:r>
    </w:p>
    <w:p>
      <w:pPr>
        <w:pStyle w:val="ListBullet"/>
      </w:pPr>
      <w:r>
        <w:t>Classes VI–VII (faible) = palier IV européen.</w:t>
      </w:r>
    </w:p>
    <w:p>
      <w:r>
        <w:t>Pour ce chapitre, nous utiliserons la classification européenne en 4 paliers, adaptée à la pratique clinique francophone.</w:t>
      </w:r>
    </w:p>
    <w:p>
      <w:pPr>
        <w:pStyle w:val="Heading3"/>
      </w:pPr>
      <w:r>
        <w:t>122.1.4 Pharmacocinétique cutanée des dermocorticoïdes</w:t>
      </w:r>
    </w:p>
    <w:p>
      <w:r>
        <w:t>La pharmacocinétique cutanique des dermocorticoïdes est un déterminant majeur de leur efficacité et de leur toxicité. Plusieurs facteurs influencent la pénétration percutanée :</w:t>
      </w:r>
    </w:p>
    <w:p>
      <w:r/>
      <w:r>
        <w:rPr>
          <w:b/>
        </w:rPr>
        <w:t>Facteurs liés à la molécule :</w:t>
      </w:r>
      <w:r/>
    </w:p>
    <w:p>
      <w:pPr>
        <w:pStyle w:val="ListBullet"/>
      </w:pPr>
      <w:r/>
      <w:r>
        <w:rPr>
          <w:b/>
        </w:rPr>
        <w:t>Lipophilie :</w:t>
      </w:r>
      <w:r>
        <w:t xml:space="preserve"> les esters lipophiles (dipropionate, valérate, acétonide, furoate, pivalate, propionate, acéponate, butyrate) pénètrent mieux la couche cornée que la molécule de base.</w:t>
      </w:r>
    </w:p>
    <w:p>
      <w:pPr>
        <w:pStyle w:val="ListBullet"/>
      </w:pPr>
      <w:r/>
      <w:r>
        <w:rPr>
          <w:b/>
        </w:rPr>
        <w:t>Poids moléculaire :</w:t>
      </w:r>
      <w:r>
        <w:t xml:space="preserve"> les molécules de poids &lt; 500 Da pénètrent mieux.</w:t>
      </w:r>
    </w:p>
    <w:p>
      <w:pPr>
        <w:pStyle w:val="ListBullet"/>
      </w:pPr>
      <w:r/>
      <w:r>
        <w:rPr>
          <w:b/>
        </w:rPr>
        <w:t>Affinité pour le GR :</w:t>
      </w:r>
      <w:r>
        <w:t xml:space="preserve"> les molécules à forte affinité exercent un effet plus puissant à concentration locale plus faible.</w:t>
      </w:r>
    </w:p>
    <w:p>
      <w:r/>
      <w:r>
        <w:rPr>
          <w:b/>
        </w:rPr>
        <w:t>Facteurs liés à la peau :</w:t>
      </w:r>
      <w:r/>
    </w:p>
    <w:p>
      <w:pPr>
        <w:pStyle w:val="ListBullet"/>
      </w:pPr>
      <w:r/>
      <w:r>
        <w:rPr>
          <w:b/>
        </w:rPr>
        <w:t>Épaisseur de la couche cornée :</w:t>
      </w:r>
      <w:r>
        <w:t xml:space="preserve"> paumes et plantes (épaisses) → faible pénétration ; visage, plis, organes génitaux, muqueuses (fines) → forte pénétration.</w:t>
      </w:r>
    </w:p>
    <w:p>
      <w:pPr>
        <w:pStyle w:val="ListBullet"/>
      </w:pPr>
      <w:r/>
      <w:r>
        <w:rPr>
          <w:b/>
        </w:rPr>
        <w:t>Hydratation cutanée :</w:t>
      </w:r>
      <w:r>
        <w:t xml:space="preserve"> l'hydratation augmente la pénétration (effet de l'occlusion).</w:t>
      </w:r>
    </w:p>
    <w:p>
      <w:pPr>
        <w:pStyle w:val="ListBullet"/>
      </w:pPr>
      <w:r/>
      <w:r>
        <w:rPr>
          <w:b/>
        </w:rPr>
        <w:t>Présence de lésions :</w:t>
      </w:r>
      <w:r>
        <w:t xml:space="preserve"> érosion, ulcération, dermatose lésée → majoration de la pénétration d'un facteur 5 à 10.</w:t>
      </w:r>
    </w:p>
    <w:p>
      <w:pPr>
        <w:pStyle w:val="ListBullet"/>
      </w:pPr>
      <w:r/>
      <w:r>
        <w:rPr>
          <w:b/>
        </w:rPr>
        <w:t>Âge :</w:t>
      </w:r>
      <w:r>
        <w:t xml:space="preserve"> peau du nourrisson et du sujet âgé (plus fine) → pénétration augmentée.</w:t>
      </w:r>
    </w:p>
    <w:p>
      <w:r/>
      <w:r>
        <w:rPr>
          <w:b/>
        </w:rPr>
        <w:t>Facteurs liés à la galénique :</w:t>
      </w:r>
      <w:r/>
    </w:p>
    <w:p>
      <w:pPr>
        <w:pStyle w:val="ListBullet"/>
      </w:pPr>
      <w:r/>
      <w:r>
        <w:rPr>
          <w:b/>
        </w:rPr>
        <w:t>Pommade :</w:t>
      </w:r>
      <w:r>
        <w:t xml:space="preserve"> base grasse occlusive, favorise l'hydratation et la pénétration ; indiquée pour les lésions chroniques sèches.</w:t>
      </w:r>
    </w:p>
    <w:p>
      <w:pPr>
        <w:pStyle w:val="ListBullet"/>
      </w:pPr>
      <w:r/>
      <w:r>
        <w:rPr>
          <w:b/>
        </w:rPr>
        <w:t>Crème :</w:t>
      </w:r>
      <w:r>
        <w:t xml:space="preserve"> émulsion huile dans eau, pénétration intermédiaire ; indiquée pour les lésions aiguës et subaiguës.</w:t>
      </w:r>
    </w:p>
    <w:p>
      <w:pPr>
        <w:pStyle w:val="ListBullet"/>
      </w:pPr>
      <w:r/>
      <w:r>
        <w:rPr>
          <w:b/>
        </w:rPr>
        <w:t>Lotion :</w:t>
      </w:r>
      <w:r>
        <w:t xml:space="preserve"> solution hydroalcoolique, pénétration faible, indiquée pour le cuir chevelu et les zones pileuses.</w:t>
      </w:r>
    </w:p>
    <w:p>
      <w:pPr>
        <w:pStyle w:val="ListBullet"/>
      </w:pPr>
      <w:r/>
      <w:r>
        <w:rPr>
          <w:b/>
        </w:rPr>
        <w:t>Gel :</w:t>
      </w:r>
      <w:r>
        <w:t xml:space="preserve"> base hydrophile non grasse, pénétration rapide ; indiqué pour le cuir chevelu et les zones séborrhéiques.</w:t>
      </w:r>
    </w:p>
    <w:p>
      <w:pPr>
        <w:pStyle w:val="ListBullet"/>
      </w:pPr>
      <w:r/>
      <w:r>
        <w:rPr>
          <w:b/>
        </w:rPr>
        <w:t>Spray :</w:t>
      </w:r>
      <w:r>
        <w:t xml:space="preserve"> forme sèche, pénétration faible ; indiquée pour les grandes surfaces.</w:t>
      </w:r>
    </w:p>
    <w:p>
      <w:r/>
      <w:r>
        <w:rPr>
          <w:b/>
        </w:rPr>
        <w:t>Facteurs liés au mode d'application :</w:t>
      </w:r>
      <w:r/>
    </w:p>
    <w:p>
      <w:pPr>
        <w:pStyle w:val="ListBullet"/>
      </w:pPr>
      <w:r/>
      <w:r>
        <w:rPr>
          <w:b/>
        </w:rPr>
        <w:t>Fréquence :</w:t>
      </w:r>
      <w:r>
        <w:t xml:space="preserve"> 1 à 2 applications par jour suffisent (au-delà, augmentation de la toxicité sans gain d'efficacité).</w:t>
      </w:r>
    </w:p>
    <w:p>
      <w:pPr>
        <w:pStyle w:val="ListBullet"/>
      </w:pPr>
      <w:r/>
      <w:r>
        <w:rPr>
          <w:b/>
        </w:rPr>
        <w:t>Quantité :</w:t>
      </w:r>
      <w:r>
        <w:t xml:space="preserve"> respect de la règle du FTU.</w:t>
      </w:r>
    </w:p>
    <w:p>
      <w:pPr>
        <w:pStyle w:val="ListBullet"/>
      </w:pPr>
      <w:r/>
      <w:r>
        <w:rPr>
          <w:b/>
        </w:rPr>
        <w:t>Durée :</w:t>
      </w:r>
      <w:r>
        <w:t xml:space="preserve"> limitation stricte selon le palier.</w:t>
      </w:r>
    </w:p>
    <w:p>
      <w:pPr>
        <w:pStyle w:val="ListBullet"/>
      </w:pPr>
      <w:r/>
      <w:r>
        <w:rPr>
          <w:b/>
        </w:rPr>
        <w:t>Occlusion :</w:t>
      </w:r>
      <w:r>
        <w:t xml:space="preserve"> majoration de la pénétration d'un facteur 10 à 100, à réserver aux indications spécialisées.</w:t>
      </w:r>
    </w:p>
    <w:p>
      <w:pPr>
        <w:pStyle w:val="Heading3"/>
      </w:pPr>
      <w:r>
        <w:t>122.1.5 Bilan systémique des dermocorticoïdes</w:t>
      </w:r>
    </w:p>
    <w:p>
      <w:r>
        <w:t>L'absorption percutanée des dermocorticoïdes dépend du palier, de la surface traitée, de l'occlusion et de la durée. Les valeurs moyennes sont :</w:t>
      </w:r>
    </w:p>
    <w:p>
      <w:pPr>
        <w:pStyle w:val="ListBullet"/>
      </w:pPr>
      <w:r>
        <w:t>Classe I (clobétasol) : 30 à 50 % d'absorption sur grande surface.</w:t>
      </w:r>
    </w:p>
    <w:p>
      <w:pPr>
        <w:pStyle w:val="ListBullet"/>
      </w:pPr>
      <w:r>
        <w:t>Classe II (bétaméthasone) : 5 à 15 %.</w:t>
      </w:r>
    </w:p>
    <w:p>
      <w:pPr>
        <w:pStyle w:val="ListBullet"/>
      </w:pPr>
      <w:r>
        <w:t>Classe III (mométasone, fluticasone, fluocinolone, fluméthasone) : 1 à 7 %.</w:t>
      </w:r>
    </w:p>
    <w:p>
      <w:pPr>
        <w:pStyle w:val="ListBullet"/>
      </w:pPr>
      <w:r>
        <w:t>Classe IV (hydrocortisone 17-butyrate, acéponate) : &lt; 1 %.</w:t>
      </w:r>
    </w:p>
    <w:p>
      <w:r>
        <w:t>Cette absorption percutanée peut induire des effets systémiques : syndrome de Cushing iatrogène (apparition après 2–4 semaines d'application de 30 g/jour de clobétasol sur grande surface), insuffisance surrénalienne (répression de l'axe corticotrope, insuffisance aiguë à l'arrêt brutal), hyperglycémie, ostéoporose, retard de croissance chez l'enfant. La surveillance biologique (cortisolémie, ACTH, test à l'ACTH) est recommandée en cas d'usage prolongé étendu à forte dose.</w:t>
      </w:r>
    </w:p>
    <w:p>
      <w:pPr>
        <w:pStyle w:val="Heading2"/>
      </w:pPr>
      <w:r>
        <w:t>122.2 Sous-classe : Dermocorticoïdes — Très forte activité</w:t>
      </w:r>
    </w:p>
    <w:p>
      <w:pPr>
        <w:pStyle w:val="Heading3"/>
      </w:pPr>
      <w:r>
        <w:t>122.2.1 Généralités de la sous-classe</w:t>
      </w:r>
    </w:p>
    <w:p>
      <w:r>
        <w:t xml:space="preserve">Les dermocorticoïdes de classe I (très forte activité) correspondent au sommet de la classification internationale. En Europe, on distingue traditionnellement quatre classes (I à IV), tandis que la classification américaine de Cornell/Stoughton en compte sept (I à VII, inversée). La classe I européenne (ou classes I–II américaines) regroupe les molécules capables de produire un blanchiment cutané vasoconstricteur puissant et une activité anti-inflammatoire locale maximale, autorisant leur usage dans les dermatoses résistantes aux paliers inférieurs : psoriasis en plaques épaisses, lichen plan hypertrophique, eczéma chronique lichenifié, prurigo nodulaire, lupus érythémateux discoïde localisé. Le représentant princeps et quasi exclusif de cette classe dans la nomenclature algérienne est le </w:t>
      </w:r>
      <w:r>
        <w:rPr>
          <w:b/>
        </w:rPr>
        <w:t>clobétasol propionate</w:t>
      </w:r>
      <w:r>
        <w:t xml:space="preserve"> (0,05 %), introduit en 1974 et considéré depuis comme l'étalon-or de la puissance dermocorticoïde topique.</w:t>
      </w:r>
    </w:p>
    <w:p>
      <w:r>
        <w:t xml:space="preserve">Le risque inhérent à cette classe est double, local et systémique. </w:t>
      </w:r>
      <w:r>
        <w:rPr>
          <w:b/>
        </w:rPr>
        <w:t>Localement</w:t>
      </w:r>
      <w:r>
        <w:t xml:space="preserve">, l'atrophie cutanée (effet antiprolifératif sur les fibroblastes et inhibition de la synthèse du collagène de type I et III) apparaît en 2 à 4 semaines d'application quotidienne ; elle se manifeste par un amincissement dermique translucide, des télangiectasies, une fragilité mécanique avec purpura de Bateman, une dermatite rosacéiforme du visage, une dermatite périorale, un glaucome périorbitaire (par passage systémique local et inhibition de l'écameraire trabéculaire). </w:t>
      </w:r>
      <w:r>
        <w:rPr>
          <w:b/>
        </w:rPr>
        <w:t>Systémiquement</w:t>
      </w:r>
      <w:r>
        <w:t>, l'absorption percutanée du clobétasol peut atteindre 30 à 50 % de la dose appliquée sur grande surface, sous occlusion, ou sur peau lésée ; la demi-vie biologique de 5 à 7 heures permet un effet suppressif surrénalien dès 2 semaines d'application de 30 g/jour. Le syndrome de Cushing iatrogène et l'insuffisance surrénalienne aiguë à l'arrêt sont décrits, particulièrement chez l'enfant.</w:t>
      </w:r>
    </w:p>
    <w:p>
      <w:r>
        <w:t xml:space="preserve">Les règles de prescription de la classe I sont strictes : </w:t>
      </w:r>
      <w:r>
        <w:rPr>
          <w:b/>
        </w:rPr>
        <w:t>durée maximale de 2 à 4 semaines</w:t>
      </w:r>
      <w:r>
        <w:t xml:space="preserve"> consécutives, </w:t>
      </w:r>
      <w:r>
        <w:rPr>
          <w:b/>
        </w:rPr>
        <w:t>quantité maximale hebdomadaire de 50 g</w:t>
      </w:r>
      <w:r>
        <w:t xml:space="preserve"> chez l'adulte (contre 100 g pour la classe II), </w:t>
      </w:r>
      <w:r>
        <w:rPr>
          <w:b/>
        </w:rPr>
        <w:t>interdiction absolue d'application sur le visage, les plis, les zones génitales, les muqueuses</w:t>
      </w:r>
      <w:r>
        <w:t xml:space="preserve"> sauf avis dermatologique spécialisé, </w:t>
      </w:r>
      <w:r>
        <w:rPr>
          <w:b/>
        </w:rPr>
        <w:t>contre-indication chez l'enfant de moins de 12 ans</w:t>
      </w:r>
      <w:r>
        <w:t xml:space="preserve"> sauf exception, contre-indication à l'application sous occlusion (sauf indications très précises : lupus, lichen réfractaire, sous surveillance dermatologique), et respect de la règle du « finger-tip unit » (FTU) pour quantifier l'application. L'arrêt ne doit jamais être brutal après usage prolongé : un sevrage progressif par espacement des applications et relais par un dermocorticoïde de palier inférieur est recommandé.</w:t>
      </w:r>
    </w:p>
    <w:p>
      <w:pPr>
        <w:pStyle w:val="Heading3"/>
      </w:pPr>
      <w:r>
        <w:t>122.2.2 DCI : Clobétasol (propionate)</w:t>
      </w:r>
    </w:p>
    <w:p>
      <w:r/>
      <w:r>
        <w:rPr>
          <w:b/>
        </w:rPr>
        <w:t>Liste des Catégories :</w:t>
      </w:r>
      <w:r>
        <w:t xml:space="preserve"> Liste I.</w:t>
      </w:r>
    </w:p>
    <w:p>
      <w:r>
        <w:t>Le clobétasol propionate est un corticoïde de synthèse de structure pregn-4-ène-3,20-dione substitué en 9α-fluoro, 11β-hydroxy, 16β-méthyl, 17α-propionyloxy, 21-chloro. Cette substitution chlorée en C21 — unique parmi les dermocorticoïdes — augmente considérablement l'affinité pour le récepteur glucocorticoïde (GR) et la lipophilie cutanée. Décrit pour la première fois en 1974 par Glaxo (Dermovate®), il est rapidement devenu la référence absolue des dermocorticoïdes de classe I, avec une activité vasoconstrictrice environ 500 fois supérieure à celle de l'hydrocortisone 1 %. Sa spécialité historique (Dermovate®) n'est pas commercialisée en Algérie, mais plusieurs génériques sont disponibles, principalement CLOBECORT (El Kendi), CLOBENAT (Novapharm) et CLOTASOL (Biopharm). Sa prescription relève typiquement du dermatologue, et le pharmacien d'officine joue un rôle critique dans la délivrance et l'éducation thérapeutique.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CLOBECORT</w:t>
            </w:r>
          </w:p>
        </w:tc>
        <w:tc>
          <w:tcPr>
            <w:tcW w:type="dxa" w:w="1559"/>
          </w:tcPr>
          <w:p>
            <w:r>
              <w:rPr>
                <w:sz w:val="20"/>
              </w:rPr>
              <w:t>EL KENDI INDUSTRIE DU MEDICAMENT</w:t>
            </w:r>
          </w:p>
        </w:tc>
        <w:tc>
          <w:tcPr>
            <w:tcW w:type="dxa" w:w="1559"/>
          </w:tcPr>
          <w:p>
            <w:r>
              <w:rPr>
                <w:sz w:val="20"/>
              </w:rPr>
              <w:t>Crème dermique 0,05 % (0,0005)</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CLOBECORT</w:t>
            </w:r>
          </w:p>
        </w:tc>
        <w:tc>
          <w:tcPr>
            <w:tcW w:type="dxa" w:w="1559"/>
          </w:tcPr>
          <w:p>
            <w:r>
              <w:rPr>
                <w:sz w:val="20"/>
              </w:rPr>
              <w:t>EL KENDI INDUSTRIE DU MEDICAMENT</w:t>
            </w:r>
          </w:p>
        </w:tc>
        <w:tc>
          <w:tcPr>
            <w:tcW w:type="dxa" w:w="1559"/>
          </w:tcPr>
          <w:p>
            <w:r>
              <w:rPr>
                <w:sz w:val="20"/>
              </w:rPr>
              <w:t>Pommade dermique 0,05 % (0,0005)</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CLOBENAT</w:t>
            </w:r>
          </w:p>
        </w:tc>
        <w:tc>
          <w:tcPr>
            <w:tcW w:type="dxa" w:w="1559"/>
          </w:tcPr>
          <w:p>
            <w:r>
              <w:rPr>
                <w:sz w:val="20"/>
              </w:rPr>
              <w:t>NOVAPHARM</w:t>
            </w:r>
          </w:p>
        </w:tc>
        <w:tc>
          <w:tcPr>
            <w:tcW w:type="dxa" w:w="1559"/>
          </w:tcPr>
          <w:p>
            <w:r>
              <w:rPr>
                <w:sz w:val="20"/>
              </w:rPr>
              <w:t>Pommade dermique 0,05 g/100 g</w:t>
            </w:r>
          </w:p>
        </w:tc>
        <w:tc>
          <w:tcPr>
            <w:tcW w:type="dxa" w:w="1559"/>
          </w:tcPr>
          <w:p>
            <w:r>
              <w:rPr>
                <w:sz w:val="20"/>
              </w:rPr>
              <w:t>Tube 45 g</w:t>
            </w:r>
          </w:p>
        </w:tc>
        <w:tc>
          <w:tcPr>
            <w:tcW w:type="dxa" w:w="1559"/>
          </w:tcPr>
          <w:p>
            <w:r>
              <w:rPr>
                <w:sz w:val="20"/>
              </w:rPr>
              <w:t>Liste I</w:t>
            </w:r>
          </w:p>
        </w:tc>
        <w:tc>
          <w:tcPr>
            <w:tcW w:type="dxa" w:w="1559"/>
          </w:tcPr>
          <w:p>
            <w:r>
              <w:rPr>
                <w:sz w:val="20"/>
              </w:rPr>
              <w:t>Actif</w:t>
            </w:r>
          </w:p>
        </w:tc>
      </w:tr>
      <w:tr>
        <w:tc>
          <w:tcPr>
            <w:tcW w:type="dxa" w:w="1559"/>
          </w:tcPr>
          <w:p>
            <w:r>
              <w:rPr>
                <w:sz w:val="20"/>
              </w:rPr>
              <w:t>CLOTASOL</w:t>
            </w:r>
          </w:p>
        </w:tc>
        <w:tc>
          <w:tcPr>
            <w:tcW w:type="dxa" w:w="1559"/>
          </w:tcPr>
          <w:p>
            <w:r>
              <w:rPr>
                <w:sz w:val="20"/>
              </w:rPr>
              <w:t>BIOPHARM</w:t>
            </w:r>
          </w:p>
        </w:tc>
        <w:tc>
          <w:tcPr>
            <w:tcW w:type="dxa" w:w="1559"/>
          </w:tcPr>
          <w:p>
            <w:r>
              <w:rPr>
                <w:sz w:val="20"/>
              </w:rPr>
              <w:t>Pommade dermique 0,05 % (0,0005)</w:t>
            </w:r>
          </w:p>
        </w:tc>
        <w:tc>
          <w:tcPr>
            <w:tcW w:type="dxa" w:w="1559"/>
          </w:tcPr>
          <w:p>
            <w:r>
              <w:rPr>
                <w:sz w:val="20"/>
              </w:rPr>
              <w:t>Tube 45 g</w:t>
            </w:r>
          </w:p>
        </w:tc>
        <w:tc>
          <w:tcPr>
            <w:tcW w:type="dxa" w:w="1559"/>
          </w:tcPr>
          <w:p>
            <w:r>
              <w:rPr>
                <w:sz w:val="20"/>
              </w:rPr>
              <w:t>Liste I</w:t>
            </w:r>
          </w:p>
        </w:tc>
        <w:tc>
          <w:tcPr>
            <w:tcW w:type="dxa" w:w="1559"/>
          </w:tcPr>
          <w:p>
            <w:r>
              <w:rPr>
                <w:sz w:val="20"/>
              </w:rPr>
              <w:t>Actif</w:t>
            </w:r>
          </w:p>
        </w:tc>
      </w:tr>
      <w:tr>
        <w:tc>
          <w:tcPr>
            <w:tcW w:type="dxa" w:w="1559"/>
          </w:tcPr>
          <w:p>
            <w:r>
              <w:rPr>
                <w:sz w:val="20"/>
              </w:rPr>
              <w:t>PROCLO JAM</w:t>
            </w:r>
          </w:p>
        </w:tc>
        <w:tc>
          <w:tcPr>
            <w:tcW w:type="dxa" w:w="1559"/>
          </w:tcPr>
          <w:p>
            <w:r>
              <w:rPr>
                <w:sz w:val="20"/>
              </w:rPr>
              <w:t>JAMJOOM PHARMACEUTICAL INDUSTRY</w:t>
            </w:r>
          </w:p>
        </w:tc>
        <w:tc>
          <w:tcPr>
            <w:tcW w:type="dxa" w:w="1559"/>
          </w:tcPr>
          <w:p>
            <w:r>
              <w:rPr>
                <w:sz w:val="20"/>
              </w:rPr>
              <w:t>Pommade dermique 0,05 % (0,0005)</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CLOTASOL</w:t>
            </w:r>
          </w:p>
        </w:tc>
        <w:tc>
          <w:tcPr>
            <w:tcW w:type="dxa" w:w="1559"/>
          </w:tcPr>
          <w:p>
            <w:r>
              <w:rPr>
                <w:sz w:val="20"/>
              </w:rPr>
              <w:t>BIOPHARM ALGERIE</w:t>
            </w:r>
          </w:p>
        </w:tc>
        <w:tc>
          <w:tcPr>
            <w:tcW w:type="dxa" w:w="1559"/>
          </w:tcPr>
          <w:p>
            <w:r>
              <w:rPr>
                <w:sz w:val="20"/>
              </w:rPr>
              <w:t>Crème dermique 0,05 %</w:t>
            </w:r>
          </w:p>
        </w:tc>
        <w:tc>
          <w:tcPr>
            <w:tcW w:type="dxa" w:w="1559"/>
          </w:tcPr>
          <w:p>
            <w:r>
              <w:rPr>
                <w:sz w:val="20"/>
              </w:rPr>
              <w:t>Tube 45 g</w:t>
            </w:r>
          </w:p>
        </w:tc>
        <w:tc>
          <w:tcPr>
            <w:tcW w:type="dxa" w:w="1559"/>
          </w:tcPr>
          <w:p>
            <w:r>
              <w:rPr>
                <w:sz w:val="20"/>
              </w:rPr>
              <w:t>Liste I</w:t>
            </w:r>
          </w:p>
        </w:tc>
        <w:tc>
          <w:tcPr>
            <w:tcW w:type="dxa" w:w="1559"/>
          </w:tcPr>
          <w:p>
            <w:r>
              <w:rPr>
                <w:sz w:val="20"/>
              </w:rPr>
              <w:t>Non Renouvelable</w:t>
            </w:r>
          </w:p>
        </w:tc>
      </w:tr>
      <w:tr>
        <w:tc>
          <w:tcPr>
            <w:tcW w:type="dxa" w:w="1559"/>
          </w:tcPr>
          <w:p>
            <w:r>
              <w:rPr>
                <w:sz w:val="20"/>
              </w:rPr>
              <w:t>CLOTASOL</w:t>
            </w:r>
          </w:p>
        </w:tc>
        <w:tc>
          <w:tcPr>
            <w:tcW w:type="dxa" w:w="1559"/>
          </w:tcPr>
          <w:p>
            <w:r>
              <w:rPr>
                <w:sz w:val="20"/>
              </w:rPr>
              <w:t>BIOPHARM ALGERIE</w:t>
            </w:r>
          </w:p>
        </w:tc>
        <w:tc>
          <w:tcPr>
            <w:tcW w:type="dxa" w:w="1559"/>
          </w:tcPr>
          <w:p>
            <w:r>
              <w:rPr>
                <w:sz w:val="20"/>
              </w:rPr>
              <w:t>Gel pour application capillaire 0,05 %</w:t>
            </w:r>
          </w:p>
        </w:tc>
        <w:tc>
          <w:tcPr>
            <w:tcW w:type="dxa" w:w="1559"/>
          </w:tcPr>
          <w:p>
            <w:r>
              <w:rPr>
                <w:sz w:val="20"/>
              </w:rPr>
              <w:t>Tube 45 g</w:t>
            </w:r>
          </w:p>
        </w:tc>
        <w:tc>
          <w:tcPr>
            <w:tcW w:type="dxa" w:w="1559"/>
          </w:tcPr>
          <w:p>
            <w:r>
              <w:rPr>
                <w:sz w:val="20"/>
              </w:rPr>
              <w:t>Liste I</w:t>
            </w:r>
          </w:p>
        </w:tc>
        <w:tc>
          <w:tcPr>
            <w:tcW w:type="dxa" w:w="1559"/>
          </w:tcPr>
          <w:p>
            <w:r>
              <w:rPr>
                <w:sz w:val="20"/>
              </w:rPr>
              <w:t>Non Renouvelable</w:t>
            </w:r>
          </w:p>
        </w:tc>
      </w:tr>
    </w:tbl>
    <w:p/>
    <w:p>
      <w:r>
        <w:t>La disponibilité commerciale du clobétasol en Algérie repose sur trois laboratoires nationaux (El Kendi, Biopharm, Novapharm) et un laboratoire étranger (Jamjoom, Arabie Saoudite). À noter que la forme gel capillaire — utile dans le psoriasis du cuir chevelu — est actuellement non renouvelable, ce qui peut compliquer la prise en charge de cette localisation. La forme crème est privilégiée pour les lésions suintantes aiguës, la pommade pour les lésions chroniques lichenifiées sèches et les kératoses, et le gel capillaire pour le psoriasis du cuir chevelu. L'absence de forme lotion limite l'usage sur grande surface corporelle.</w:t>
      </w:r>
    </w:p>
    <w:p>
      <w:r/>
      <w:r>
        <w:rPr>
          <w:b/>
        </w:rPr>
        <w:t>Sous-classe et Mécanisme d'action :</w:t>
      </w:r>
      <w:r/>
    </w:p>
    <w:p>
      <w:pPr>
        <w:pStyle w:val="ListBullet"/>
      </w:pPr>
      <w:r>
        <w:t>Sous-classe : Dermocorticoïde de classe I (très forte activité), corticoïde fluoré de synthèse à ester propionate.</w:t>
      </w:r>
    </w:p>
    <w:p>
      <w:pPr>
        <w:pStyle w:val="ListBullet"/>
      </w:pPr>
      <w:r>
        <w:t>Mécanisme d'action : Le clobétasol, hautement lipophile, traverse la couche cornée puis diffuse vers les kératinocytes et les cellules dermiques. Il pénètre dans le cytoplasme des cellules cibles et se fixe avec une affinité nanomolaire sur le récepteur glucocorticoïde (GRα) cytosolique. Le complexe clobétasol-GR subit une transconformation (libération des protéines chaperonnes HSP90, immunophilines), transloque dans le noyau et se lie à des séquences régulatrices spécifiques de l'ADN : les GRE (Glucocorticoid Response Elements) situés en région promotrice des gènes cibles. Cette liaison active la transcription des gènes anti-inflammatoires (annexine-1/lipocortine-1, IκB-α inhibant NF-κB, MKP-1) et réprime celle des gènes pro-inflammatoires (via les GRE négatifs nGRE et par interaction trans-répressive avec AP-1, NF-κB, NF-AT). S'ensuivent les quatre effets cardinaux : anti-inflammatoire (inhibition de la phospholipase A2 → baisse du thromboxane, des prostaglandines et des leucotriènes), immunosuppresseur (inhibition de la migration leucocytaire, de la présentation antigénique par les cellules de Langerhans, de la libération d'histamine par les mastocytes), vasoconstricteur (effet direct sur le muscle lisse des veinules post-capillaires dermiques, responsable du blanchiment cutané) et antiprolifératif (inhibition de la synthèse du collagène par les fibroblastes et de la division kératinocytaire).</w:t>
      </w:r>
    </w:p>
    <w:p>
      <w:r/>
      <w:r>
        <w:rPr>
          <w:b/>
        </w:rPr>
        <w:t>Profil Pharmacologique :</w:t>
      </w:r>
      <w:r/>
    </w:p>
    <w:p>
      <w:pPr>
        <w:pStyle w:val="ListBullet"/>
      </w:pPr>
      <w:r>
        <w:t>Indications : Psoriasis en plaques chronique résistant aux paliers inférieurs, eczéma chronique lichenifié réfractaire, lichen plan hypertrophique, prurigo nodulaire, lupus érythémateux chronique discoïde localisé, granulome annulaire, sarcoïdose cutanée, mycosis fongoïde au stade patch/plaque (en attente d'un traitement spécifique). Usage ponctuel en dermocosmétologie corrective (chélöides récents post-chirurgicaux). Les indications doivent être posées par un dermatologue.</w:t>
      </w:r>
    </w:p>
    <w:p>
      <w:pPr>
        <w:pStyle w:val="ListBullet"/>
      </w:pPr>
      <w:r>
        <w:t>Contre-indications : Hypersensibilité au clobétasol ou à l'un des excipients, infections bactériennes non traitées (impétigo, folliculite, ecthyma), infections virales (herpès, varicelle, zona, molluscum contagiosum, verrues), infections parasitaires (gale, pédiculose), infections fongiques (dermatophytose, candidose cutanée) sans couverture antifongique associée, rosacée, dermatite périorale, acné vulgaris, dermatite de stase, ulcère de jambe, application sur le visage hors indication spécialisée, plis, muqueuses, zones génitales, enfant de moins de 12 ans, grossesse (par prudence) et allaitement (sur grande surface), insuffisance surrénalienne connue.</w:t>
      </w:r>
    </w:p>
    <w:p>
      <w:pPr>
        <w:pStyle w:val="ListBullet"/>
      </w:pPr>
      <w:r>
        <w:t>Spectre d'action locale : Le clobétasol n'a pas d'activité antibiotique ni antifongique propre. Son effet immunosuppresseur local favorise l'aggravation des infections cutanées préexistantes (herpès disseminé, dermatophytie invasive) et la prolifération de germes opportunistes.</w:t>
      </w:r>
    </w:p>
    <w:p>
      <w:r/>
      <w:r>
        <w:rPr>
          <w:b/>
        </w:rPr>
        <w:t>Effets Indésirables :</w:t>
      </w:r>
      <w:r/>
    </w:p>
    <w:p>
      <w:pPr>
        <w:pStyle w:val="ListBullet"/>
      </w:pPr>
      <w:r/>
      <w:r>
        <w:rPr>
          <w:b/>
        </w:rPr>
        <w:t>Locaux précoces</w:t>
      </w:r>
      <w:r>
        <w:t xml:space="preserve"> (1–2 semaines) : sensation de brûlure, prurit, sécheresse cutanée, érythème par irritation, folliculite.</w:t>
      </w:r>
    </w:p>
    <w:p>
      <w:pPr>
        <w:pStyle w:val="ListBullet"/>
      </w:pPr>
      <w:r/>
      <w:r>
        <w:rPr>
          <w:b/>
        </w:rPr>
        <w:t>Locaux tardifs</w:t>
      </w:r>
      <w:r>
        <w:t xml:space="preserve"> (2–4 semaines et au-delà) : atrophie cutanée (a mincissement dermique, translucidité, plis anormalement visibles), télangiectasies, purpura de Bateman (fragilité capillaire), vergetures (striae distensae), dermatite rosacéiforme, dermatite périorale, dépigmentation (hypopigmentation transitoire plus marquée sur peaux foncées), hypertrichose localisée.</w:t>
      </w:r>
    </w:p>
    <w:p>
      <w:pPr>
        <w:pStyle w:val="ListBullet"/>
      </w:pPr>
      <w:r/>
      <w:r>
        <w:rPr>
          <w:b/>
        </w:rPr>
        <w:t>Oculaires</w:t>
      </w:r>
      <w:r>
        <w:t xml:space="preserve"> : glaucome périorbitaire (par passage systémique local, effet sur le trabéculum), cataracte sous-capsulaire postérieure (en cas d'application prolongée au niveau du visage).</w:t>
      </w:r>
    </w:p>
    <w:p>
      <w:pPr>
        <w:pStyle w:val="ListBullet"/>
      </w:pPr>
      <w:r/>
      <w:r>
        <w:rPr>
          <w:b/>
        </w:rPr>
        <w:t>Systémiques</w:t>
      </w:r>
      <w:r>
        <w:t xml:space="preserve"> (absorption percutanée ≥ 30 %) : syndrome de Cushing iatrogène (faciès lunaire, bosse de bison, obésité trunculaire, vergetures), insuffisance surrénalienne (répression de l'axe corticotrope, insuffisance surrénalienne aiguë à l'arrêt brutal), hyperglycémie, ostéoporose cortisonique, troubles psychiatriques (euphorie, insomnie, aggravation d'un trouble psychotique), retard de croissance chez l'enfant.</w:t>
      </w:r>
    </w:p>
    <w:p>
      <w:pPr>
        <w:pStyle w:val="ListBullet"/>
      </w:pPr>
      <w:r/>
      <w:r>
        <w:rPr>
          <w:b/>
        </w:rPr>
        <w:t>Effets paradoxaux</w:t>
      </w:r>
      <w:r>
        <w:t xml:space="preserve"> : exacerbation du psoriasis en pustules (psoriasis pustuleux induit), dermatite allergique de contact (rare, plus souvent à un excipient qu'au clobétasol lui-même).</w:t>
      </w:r>
    </w:p>
    <w:p>
      <w:r/>
      <w:r>
        <w:rPr>
          <w:b/>
        </w:rPr>
        <w:t>Prévention et Gestion des Effets Indésirables :</w:t>
      </w:r>
      <w:r/>
    </w:p>
    <w:p>
      <w:pPr>
        <w:pStyle w:val="ListBullet"/>
      </w:pPr>
      <w:r>
        <w:t>Mesures préventives : Prescription initiale par dermatologue, durée strictement limitée à 2–4 semaines, quantité limitée à 50 g/semaine, utilisation du Finger-Tip Unit (FTU ≈ 0,5 g, quantité suffisante pour traiter une surface d'une main avec doigts), application unique quotidienne (l'effet anti-inflammatoire est maximal à 12 heures et persiste 24 heures, inutile de répéter les applications), respect des contre-indications, pas d'application sous occlusion sauf avis dermatologique, pas d'application sur le visage, les plis, les muqueuses, éviction chez l'enfant de moins de 12 ans, surveillance de la croissance en cas d'usage prolongé pédiatrique (taille-pression artérielle-poids).</w:t>
      </w:r>
    </w:p>
    <w:p>
      <w:pPr>
        <w:pStyle w:val="ListBullet"/>
      </w:pPr>
      <w:r>
        <w:t>Conduite à tenir : Arrêt progressif en cas d'usage supérieur à 2 semaines (relais par dermocorticoïde de palier inférieur puis espacement), arrêt immédiat en cas d'apparition d'atrophie ou de télangiectasies, surveillance de la cortisolémie et de l'ACTH en cas d'usage prolongé sur grande surface, consultation dermatologique en cas d'absence d'efficacité à 2 semaines. En cas d'insuffisance surrénalienne aiguë (asthénie, hypotension, vomissements, douleurs abdominales après arrêt brutal), hospitalisation en urgence pour hydrocortisone IV.</w:t>
      </w:r>
    </w:p>
    <w:p>
      <w:r/>
      <w:r>
        <w:rPr>
          <w:b/>
        </w:rPr>
        <w:t>Interactions Importantes :</w:t>
      </w:r>
      <w:r/>
    </w:p>
    <w:p>
      <w:pPr>
        <w:pStyle w:val="ListBullet"/>
      </w:pPr>
      <w:r>
        <w:t>Autres dermocorticoïdes : cumul inutile et majoration de la toxicité systémique.</w:t>
      </w:r>
    </w:p>
    <w:p>
      <w:pPr>
        <w:pStyle w:val="ListBullet"/>
      </w:pPr>
      <w:r>
        <w:t>Inhibiteurs du CYP3A4 (ritonavir, itraconazole, kétoconazole, clarithromycine, érythromycine, diltiazem) : augmentation de l'imprégnation cortisonique systémique par inhibition du métabolisme hépatique.</w:t>
      </w:r>
    </w:p>
    <w:p>
      <w:pPr>
        <w:pStyle w:val="ListBullet"/>
      </w:pPr>
      <w:r>
        <w:t>Vaccins vivants atténués (BCG, rougeole-oreillons-rubéole, fièvre jaune, varicelle) : contre-indication pendant la durée du traitement et jusqu'à 3 mois après l'arrêt en cas d'usage prolongé.</w:t>
      </w:r>
    </w:p>
    <w:p>
      <w:pPr>
        <w:pStyle w:val="ListBullet"/>
      </w:pPr>
      <w:r>
        <w:t>Insuline et antidiabétiques : effet hyperglycémiant du clobétasol, ajustement nécessaire.</w:t>
      </w:r>
    </w:p>
    <w:p>
      <w:pPr>
        <w:pStyle w:val="ListBullet"/>
      </w:pPr>
      <w:r>
        <w:t>Diurétiques hypokaliémiants (furosémide, hydrochlorothiazide) : majoration de l'hypokaliémie.</w:t>
      </w:r>
    </w:p>
    <w:p>
      <w:pPr>
        <w:pStyle w:val="ListBullet"/>
      </w:pPr>
      <w:r>
        <w:t>AINS : majoration du risque ulcéreux et de la toxicité gastro-intestinale en cas d'absorption systémique significative.</w:t>
      </w:r>
    </w:p>
    <w:p>
      <w:pPr>
        <w:pStyle w:val="ListBullet"/>
      </w:pPr>
      <w:r>
        <w:t>Anticoagulants oraux : variabilité de l'INR par interaction métabolique.</w:t>
      </w:r>
    </w:p>
    <w:p>
      <w:r/>
      <w:r>
        <w:rPr>
          <w:b/>
        </w:rPr>
        <w:t>Grossesse et Allaitement :</w:t>
      </w:r>
      <w:r/>
    </w:p>
    <w:p>
      <w:pPr>
        <w:pStyle w:val="ListBullet"/>
      </w:pPr>
      <w:r>
        <w:t>Grossesse : Le clobétasol est classé par le CRAT comme « à éviter par précaution », sans effet tératogène démontré chez l'animal mais avec un risque théorique de retard de croissance fœtal en cas d'usage prolongé sur grande surface (imprégnation systémique). En pratique, autorisation ponctuelle possible au 2e et 3e trimestre sur lésion localisée et surface limitée, contre-indication au 1er trimestre sauf nécessité absolue, et contre-indication relative en cas d'application supérieure à 30 g/jour ou supérieure à 2 semaines.</w:t>
      </w:r>
    </w:p>
    <w:p>
      <w:pPr>
        <w:pStyle w:val="ListBullet"/>
      </w:pPr>
      <w:r>
        <w:t>Allaitement : Compatible en application ponctuelle sur zone limitée en dehors de la zone d'application du mamelon et de l'aréole ; lavage soigneux et retrait du lait en cas d'application sur le sein. Surveillance de la croissance du nourrisson en cas d'usage maternel prolongé.</w:t>
      </w:r>
    </w:p>
    <w:p>
      <w:pPr>
        <w:pStyle w:val="ListBullet"/>
      </w:pPr>
      <w:r>
        <w:t>Précisions : L'utilisation de la crème 0,05 % sur le visage de la femme enceinte doit être proscrite (risque de glaucome et de cataracte).</w:t>
      </w:r>
    </w:p>
    <w:p>
      <w:r/>
      <w:r>
        <w:rPr>
          <w:b/>
        </w:rPr>
        <w:t>Posologie et Mode d'administration (Standard) :</w:t>
      </w:r>
      <w:r/>
    </w:p>
    <w:p>
      <w:pPr>
        <w:pStyle w:val="ListBullet"/>
      </w:pPr>
      <w:r>
        <w:t>Adulte et enfant de plus de 12 ans : 1 à 2 applications par jour en couche fine, en respectant la règle du FTU (0,5 g pour une zone de la taille d'une main). Durée maximale continue de 2 à 4 semaines, suivie d'un sevrage progressif.</w:t>
      </w:r>
    </w:p>
    <w:p>
      <w:pPr>
        <w:pStyle w:val="ListBullet"/>
      </w:pPr>
      <w:r>
        <w:t>Quantité maximale hebdomadaire : 50 g chez l'adulte ; 30 g chez l'enfant de plus de 12 ans.</w:t>
      </w:r>
    </w:p>
    <w:p>
      <w:pPr>
        <w:pStyle w:val="ListBullet"/>
      </w:pPr>
      <w:r>
        <w:t>Dose d'entretien : après la phase d'attaque, espacement à une application tous les 2 jours, puis 2 fois par semaine, puis arrêt.</w:t>
      </w:r>
    </w:p>
    <w:p>
      <w:pPr>
        <w:pStyle w:val="ListBullet"/>
      </w:pPr>
      <w:r>
        <w:t>Mode d'application : lavage préalable des mains, application sur peau sèche et propre, massage doux jusqu'à pénétration complète, lavage des mains après application.</w:t>
      </w:r>
    </w:p>
    <w:p>
      <w:pPr>
        <w:pStyle w:val="ListBullet"/>
      </w:pPr>
      <w:r>
        <w:t>Forme galénique : crème pour lésions aiguës suintantes, pommade pour lésions chroniques sèches et lichenifiées, gel pour cuir chevelu (psoriasis).</w:t>
      </w:r>
    </w:p>
    <w:p>
      <w:pPr>
        <w:pStyle w:val="ListBullet"/>
      </w:pPr>
      <w:r>
        <w:t>Occlusion : contre-indiquée en dehors d'indications dermatologiques très spécifiques (lichen plan réfractaire) sous surveillance stricte.</w:t>
      </w:r>
    </w:p>
    <w:p>
      <w:r/>
      <w:r>
        <w:rPr>
          <w:b/>
        </w:rPr>
        <w:t>Arbitrage et Bénéfices des Formes Galéniques :</w:t>
      </w:r>
      <w:r/>
    </w:p>
    <w:p>
      <w:r>
        <w:t>La crème est indiquée en phase aiguë (lésion suintante, érythémato-vésiculeuse) et sur les zones glabres ; la pommade, occlusive et grasse, est privilégiée pour les lésions chroniques sèches, hyperkératosiques, lichenifiées et les zones kératinisées (paumes, plantes, coudes, genoux) ; le gel capillaire, moins occlusif et non gras, est réservé au cuir chevelu. Le choix de la spécialité dépend également de la disponibilité : CLOBECORT (El Kendi) couvre les formes crème et pommade, tandis que CLOBENAT (Novapharm), CLOTASOL (Biopharm) et PROCLO JAM (Jamjoom) sont en pommade. La quantité par tube (30 g ou 45 g) conditionne la prescription : 30 g suffisent pour une zone limitée, 45 g pour une zone plus étendue (sans dépasser 50 g/semaine).</w:t>
      </w:r>
    </w:p>
    <w:p>
      <w:r/>
      <w:r>
        <w:rPr>
          <w:b/>
        </w:rPr>
        <w:t>Instructions et Conseils au Patient :</w:t>
      </w:r>
      <w:r/>
    </w:p>
    <w:p>
      <w:pPr>
        <w:pStyle w:val="ListBullet"/>
      </w:pPr>
      <w:r>
        <w:t>Communication au comptoir : Insister sur la puissance de la molécule (« c'est un médicament très fort, à utiliser seulement sur la zone prescrite »), sur la durée limitée (« pas plus de 2 à 4 semaines »), sur l'interdiction formelle d'application sur le visage, les plis, les organes génitaux, et sur la nécessité de ne pas dépasser la quantité prescrite (« pas plus de 50 g par semaine »).</w:t>
      </w:r>
    </w:p>
    <w:p>
      <w:pPr>
        <w:pStyle w:val="ListBullet"/>
      </w:pPr>
      <w:r>
        <w:t>Mode d'utilisation pratique : Montrer au patient la règle du FTU (« équivalent de la première phalange de l'index ») ; application sur peau propre et sèche, massage doux, lavage des mains après. Ne pas couvrir d'un pansement occlusif sauf prescription explicite. Ne pas mélanger avec d'autres crèmes sans avis médical. Conserver à température &lt; 25 °C, ne pas congeler, jeter après 3 mois d'ouverture du tube.</w:t>
      </w:r>
    </w:p>
    <w:p>
      <w:pPr>
        <w:pStyle w:val="ListBullet"/>
      </w:pPr>
      <w:r>
        <w:t>Information sur les signes d'alerte : amincissement de la peau, apparition de vaisseaux visibles, vergetures, acné, rougeur en cercle autour de la bouche → arrêt et consultation.</w:t>
      </w:r>
    </w:p>
    <w:p>
      <w:r/>
      <w:r>
        <w:rPr>
          <w:b/>
        </w:rPr>
        <w:t>Notes, Règles d'Or &amp; Pièges au Comptoir :</w:t>
      </w:r>
      <w:r/>
    </w:p>
    <w:p>
      <w:pPr>
        <w:pStyle w:val="ListBullet"/>
      </w:pPr>
      <w:r>
        <w:t>Piège classique : Patient revenant à l'officine pour renouveler un tube de clobétasol prescrit initialement pour un eczéma aigu mais qui l'utilise pour des « boutons » du visage → il faut alerter sur le risque de dermatite rosacéiforme et de glaucome.</w:t>
      </w:r>
    </w:p>
    <w:p>
      <w:pPr>
        <w:pStyle w:val="ListBullet"/>
      </w:pPr>
      <w:r>
        <w:t>Règle d'or : « Classe I = durée ≤ 2 semaines, surface ≤ 10 %, jamais sur le visage » — sauf prescription dermatologique spécialisée.</w:t>
      </w:r>
    </w:p>
    <w:p>
      <w:pPr>
        <w:pStyle w:val="ListBullet"/>
      </w:pPr>
      <w:r>
        <w:t>Préparation et Conservation : Tube fermé, à température ambiante (≤ 25 °C), à l'abri de la lumière et de l'humidité. Ne pas utiliser au-delà de la date de péremption.</w:t>
      </w:r>
    </w:p>
    <w:p>
      <w:pPr>
        <w:pStyle w:val="ListBullet"/>
      </w:pPr>
      <w:r>
        <w:t>Piège du sevrage : Après 4 semaines d'usage quotidien, l'arrêt brutal peut provoquer une insuffisance surrénalienne aiguë (rare mais décrit) ou une rébound de la dermatose → sevrage progressif systématique.</w:t>
      </w:r>
    </w:p>
    <w:p>
      <w:pPr>
        <w:pStyle w:val="ListBullet"/>
      </w:pPr>
      <w:r>
        <w:t>Piège de substitution : Le pharmacien ne doit pas substituer un tube de crème par un tube de pommade (et inversement) sans accord médical : la galénique dépend de la lésion et de la zone.</w:t>
      </w:r>
    </w:p>
    <w:p>
      <w:pPr>
        <w:pStyle w:val="Heading2"/>
      </w:pPr>
      <w:r>
        <w:t>122.3 Sous-classe : Dermocorticoïdes — Forte à très forte activité</w:t>
      </w:r>
    </w:p>
    <w:p>
      <w:pPr>
        <w:pStyle w:val="Heading3"/>
      </w:pPr>
      <w:r>
        <w:t>122.3.1 Généralités de la sous-classe</w:t>
      </w:r>
    </w:p>
    <w:p>
      <w:r>
        <w:t xml:space="preserve">Cette sous-classe intermédiaire entre la classe I et la classe II stricto sensu regroupe des molécules dont la puissance vasoconstrictrice est très élevée (300 à 500 fois celle de l'hydrocortisone) sans atteindre tout à fait le niveau du clobétasol. Le représentant princeps en est la </w:t>
      </w:r>
      <w:r>
        <w:rPr>
          <w:b/>
        </w:rPr>
        <w:t>bétaméthasone topique</w:t>
      </w:r>
      <w:r>
        <w:t>, sous ses deux esters principaux — le dipropionate (plus lipophile et plus puissant) et le valérate (légèrement moins puissant). La bétaméthasone dipropionate est classée en classe I américaine (très forte) par Stoughton-Cornell, tandis que la bétaméthasone valérate est classée en classe II (forte). Cette nuance est importante car les deux esters ne sont pas strictement interchangeables, et la nomenclature algérienne recense indifféremment les deux formes.</w:t>
      </w:r>
    </w:p>
    <w:p>
      <w:r>
        <w:t>Le profil d'efficacité et de tolérance de cette sous-classe en fait un compromis fréquemment utilisé par les dermatologues pour les dermatoses modérées à sévères chez l'adulte : eczéma chronique non lichenifié, psoriasis modéré, dyshidrose, lichen plan non hypertrophique, vitiligo en plaques (en association avec les analogues de la vitamine D). La tolérance locale est acceptable jusqu'à 4 semaines d'application quotidienne sur zone limitée, mais l'usage prolongé sur grande surface, sur le visage, ou chez l'enfant expose aux mêmes risques que la classe I, à un degré moindre. L'absorption percutanée est de 5 à 15 % en moyenne.</w:t>
      </w:r>
    </w:p>
    <w:p>
      <w:r>
        <w:t>Le marché algérien de cette sous-classe est particulièrement fourni, avec de nombreux génériques actifs : BETADERME (EPICO), BETAMETHASONE NOVAGENERICS (Novapharm), CELETASONE (Biopharm), BETAMETHASONE BR (Biorem), BETAPROSONE (Pharmagreb), BETASONE (Saidal), DERMASONE (Biogalenic), BETHAMETHASONE PHYSIOPHARM (Physiopharm), CORTYX (Onyx), TABETA (El Kendi), BETSOL (Gencopharm). Cette diversité témoigne de la maturité du marché générique algérien et garantit une accessibilité économique, mais elle expose aussi au risque de confusion entre esters et entre formes galéniques. Le pharmacien doit être particulièrement vigilant à la prescription et à la délivrance pour vérifier l'ester prescrit, la forme (crème vs pommade vs lotion) et le dosage. La bétaméthasone existe aussi en suspension injectable, en solution buvable et en comprimés (qui ne sont pas des dermocorticoïdes et sont traités dans un autre chapitre) ; seules les formes topiques dermiques sont concernées ici.</w:t>
      </w:r>
    </w:p>
    <w:p>
      <w:pPr>
        <w:pStyle w:val="Heading3"/>
      </w:pPr>
      <w:r>
        <w:t>122.3.2 DCI : Bétaméthasone (topique)</w:t>
      </w:r>
    </w:p>
    <w:p>
      <w:r/>
      <w:r>
        <w:rPr>
          <w:b/>
        </w:rPr>
        <w:t>Liste des Catégories :</w:t>
      </w:r>
      <w:r>
        <w:t xml:space="preserve"> Liste I (toutes formes dermiques).</w:t>
      </w:r>
    </w:p>
    <w:p>
      <w:r>
        <w:t xml:space="preserve">La bétaméthasone est un corticoïde de synthèse fluoré en 9α, dérivé de la prednisolone, avec une double liaison 1,2 et une substitution 16β-méthyle (qui distingue la bétaméthasone de la dexaméthasone, son épimère 16α). Les deux esters principaux utilisés en topique sont le </w:t>
      </w:r>
      <w:r>
        <w:rPr>
          <w:b/>
        </w:rPr>
        <w:t>dipropionate</w:t>
      </w:r>
      <w:r>
        <w:t xml:space="preserve"> (prodrogue lipophile à double ester propionique en C17 et C21) et le </w:t>
      </w:r>
      <w:r>
        <w:rPr>
          <w:b/>
        </w:rPr>
        <w:t>valérate</w:t>
      </w:r>
      <w:r>
        <w:t xml:space="preserve"> (mono-ester en C17). Le dipropionate, plus lipophile, pénètre plus rapidement la couche cornée et libère la bétaméthasone active après hydrolyse enzymatique cutanée ; il est classé en classe I américaine (très forte activité). Le valérate, légèrement moins lipophile, est classé en classe II (forte activité). En pratique clinique, ces nuances influent peu sur les indications, mais le pharmacien doit respecter la prescription stricte de l'ester.</w:t>
      </w:r>
    </w:p>
    <w:p>
      <w:r/>
      <w:r>
        <w:rPr>
          <w:b/>
        </w:rPr>
        <w:t>Médicaments disponibles en Algérie (tableau commercial) :</w:t>
      </w:r>
      <w:r/>
    </w:p>
    <w:p>
      <w:r>
        <w:t>Formes dermiques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BETADERME</w:t>
            </w:r>
          </w:p>
        </w:tc>
        <w:tc>
          <w:tcPr>
            <w:tcW w:type="dxa" w:w="1559"/>
          </w:tcPr>
          <w:p>
            <w:r>
              <w:rPr>
                <w:sz w:val="20"/>
              </w:rPr>
              <w:t>EGYPTIAN INTYERNATIONAL PHARMACEUTICAL INDUSTRIES COMPANY (EPICO)</w:t>
            </w:r>
          </w:p>
        </w:tc>
        <w:tc>
          <w:tcPr>
            <w:tcW w:type="dxa" w:w="1559"/>
          </w:tcPr>
          <w:p>
            <w:r>
              <w:rPr>
                <w:sz w:val="20"/>
              </w:rPr>
              <w:t>Crème dermique 0,1 % (0,001)</w:t>
            </w:r>
          </w:p>
        </w:tc>
        <w:tc>
          <w:tcPr>
            <w:tcW w:type="dxa" w:w="1559"/>
          </w:tcPr>
          <w:p>
            <w:r>
              <w:rPr>
                <w:sz w:val="20"/>
              </w:rPr>
              <w:t>Tube 20 g</w:t>
            </w:r>
          </w:p>
        </w:tc>
        <w:tc>
          <w:tcPr>
            <w:tcW w:type="dxa" w:w="1559"/>
          </w:tcPr>
          <w:p>
            <w:r>
              <w:rPr>
                <w:sz w:val="20"/>
              </w:rPr>
              <w:t>Liste I</w:t>
            </w:r>
          </w:p>
        </w:tc>
        <w:tc>
          <w:tcPr>
            <w:tcW w:type="dxa" w:w="1559"/>
          </w:tcPr>
          <w:p>
            <w:r>
              <w:rPr>
                <w:sz w:val="20"/>
              </w:rPr>
              <w:t>Actif</w:t>
            </w:r>
          </w:p>
        </w:tc>
      </w:tr>
      <w:tr>
        <w:tc>
          <w:tcPr>
            <w:tcW w:type="dxa" w:w="1559"/>
          </w:tcPr>
          <w:p>
            <w:r>
              <w:rPr>
                <w:sz w:val="20"/>
              </w:rPr>
              <w:t>BETAMETHASONE NOVAGENERICS</w:t>
            </w:r>
          </w:p>
        </w:tc>
        <w:tc>
          <w:tcPr>
            <w:tcW w:type="dxa" w:w="1559"/>
          </w:tcPr>
          <w:p>
            <w:r>
              <w:rPr>
                <w:sz w:val="20"/>
              </w:rPr>
              <w:t>NOVAPHARM TRADING</w:t>
            </w:r>
          </w:p>
        </w:tc>
        <w:tc>
          <w:tcPr>
            <w:tcW w:type="dxa" w:w="1559"/>
          </w:tcPr>
          <w:p>
            <w:r>
              <w:rPr>
                <w:sz w:val="20"/>
              </w:rPr>
              <w:t>Crème 0,05 % (0,0005)</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CELETASONE</w:t>
            </w:r>
          </w:p>
        </w:tc>
        <w:tc>
          <w:tcPr>
            <w:tcW w:type="dxa" w:w="1559"/>
          </w:tcPr>
          <w:p>
            <w:r>
              <w:rPr>
                <w:sz w:val="20"/>
              </w:rPr>
              <w:t>BIOPHARM</w:t>
            </w:r>
          </w:p>
        </w:tc>
        <w:tc>
          <w:tcPr>
            <w:tcW w:type="dxa" w:w="1559"/>
          </w:tcPr>
          <w:p>
            <w:r>
              <w:rPr>
                <w:sz w:val="20"/>
              </w:rPr>
              <w:t>Crème dermique 0,05 % (0,0005)</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BETAMETHASONE BR</w:t>
            </w:r>
          </w:p>
        </w:tc>
        <w:tc>
          <w:tcPr>
            <w:tcW w:type="dxa" w:w="1559"/>
          </w:tcPr>
          <w:p>
            <w:r>
              <w:rPr>
                <w:sz w:val="20"/>
              </w:rPr>
              <w:t>SARL BIOREM</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BETAMETHASONE NOVAGENERICS</w:t>
            </w:r>
          </w:p>
        </w:tc>
        <w:tc>
          <w:tcPr>
            <w:tcW w:type="dxa" w:w="1559"/>
          </w:tcPr>
          <w:p>
            <w:r>
              <w:rPr>
                <w:sz w:val="20"/>
              </w:rPr>
              <w:t>NOVAPHARM TRADING</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BETAPROSONE</w:t>
            </w:r>
          </w:p>
        </w:tc>
        <w:tc>
          <w:tcPr>
            <w:tcW w:type="dxa" w:w="1559"/>
          </w:tcPr>
          <w:p>
            <w:r>
              <w:rPr>
                <w:sz w:val="20"/>
              </w:rPr>
              <w:t>PHARMAGHREB</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BETASONE</w:t>
            </w:r>
          </w:p>
        </w:tc>
        <w:tc>
          <w:tcPr>
            <w:tcW w:type="dxa" w:w="1559"/>
          </w:tcPr>
          <w:p>
            <w:r>
              <w:rPr>
                <w:sz w:val="20"/>
              </w:rPr>
              <w:t>GROUPE SAIDAL</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DERMASONE</w:t>
            </w:r>
          </w:p>
        </w:tc>
        <w:tc>
          <w:tcPr>
            <w:tcW w:type="dxa" w:w="1559"/>
          </w:tcPr>
          <w:p>
            <w:r>
              <w:rPr>
                <w:sz w:val="20"/>
              </w:rPr>
              <w:t>BIOGALENIC</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BETHAMETHASONE PHYSIOPHARM</w:t>
            </w:r>
          </w:p>
        </w:tc>
        <w:tc>
          <w:tcPr>
            <w:tcW w:type="dxa" w:w="1559"/>
          </w:tcPr>
          <w:p>
            <w:r>
              <w:rPr>
                <w:sz w:val="20"/>
              </w:rPr>
              <w:t>PHYSIOPHARM LABORATOIRES</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CORTYX</w:t>
            </w:r>
          </w:p>
        </w:tc>
        <w:tc>
          <w:tcPr>
            <w:tcW w:type="dxa" w:w="1559"/>
          </w:tcPr>
          <w:p>
            <w:r>
              <w:rPr>
                <w:sz w:val="20"/>
              </w:rPr>
              <w:t>ONYX INDUSTRIE PHARMACEUTIQUE</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BETSOL</w:t>
            </w:r>
          </w:p>
        </w:tc>
        <w:tc>
          <w:tcPr>
            <w:tcW w:type="dxa" w:w="1559"/>
          </w:tcPr>
          <w:p>
            <w:r>
              <w:rPr>
                <w:sz w:val="20"/>
              </w:rPr>
              <w:t>GENCOPHARM</w:t>
            </w:r>
          </w:p>
        </w:tc>
        <w:tc>
          <w:tcPr>
            <w:tcW w:type="dxa" w:w="1559"/>
          </w:tcPr>
          <w:p>
            <w:r>
              <w:rPr>
                <w:sz w:val="20"/>
              </w:rPr>
              <w:t>Lotion dermatologique 0,05 % (0,0005)</w:t>
            </w:r>
          </w:p>
        </w:tc>
        <w:tc>
          <w:tcPr>
            <w:tcW w:type="dxa" w:w="1559"/>
          </w:tcPr>
          <w:p>
            <w:r>
              <w:rPr>
                <w:sz w:val="20"/>
              </w:rPr>
              <w:t>Flacon 15 mL</w:t>
            </w:r>
          </w:p>
        </w:tc>
        <w:tc>
          <w:tcPr>
            <w:tcW w:type="dxa" w:w="1559"/>
          </w:tcPr>
          <w:p>
            <w:r>
              <w:rPr>
                <w:sz w:val="20"/>
              </w:rPr>
              <w:t>Liste I</w:t>
            </w:r>
          </w:p>
        </w:tc>
        <w:tc>
          <w:tcPr>
            <w:tcW w:type="dxa" w:w="1559"/>
          </w:tcPr>
          <w:p>
            <w:r>
              <w:rPr>
                <w:sz w:val="20"/>
              </w:rPr>
              <w:t>Actif</w:t>
            </w:r>
          </w:p>
        </w:tc>
      </w:tr>
      <w:tr>
        <w:tc>
          <w:tcPr>
            <w:tcW w:type="dxa" w:w="1559"/>
          </w:tcPr>
          <w:p>
            <w:r>
              <w:rPr>
                <w:sz w:val="20"/>
              </w:rPr>
              <w:t>DERMASONE</w:t>
            </w:r>
          </w:p>
        </w:tc>
        <w:tc>
          <w:tcPr>
            <w:tcW w:type="dxa" w:w="1559"/>
          </w:tcPr>
          <w:p>
            <w:r>
              <w:rPr>
                <w:sz w:val="20"/>
              </w:rPr>
              <w:t>BIOGALENIC</w:t>
            </w:r>
          </w:p>
        </w:tc>
        <w:tc>
          <w:tcPr>
            <w:tcW w:type="dxa" w:w="1559"/>
          </w:tcPr>
          <w:p>
            <w:r>
              <w:rPr>
                <w:sz w:val="20"/>
              </w:rPr>
              <w:t>Lotion dermatologique 0,05 % (0,0005)</w:t>
            </w:r>
          </w:p>
        </w:tc>
        <w:tc>
          <w:tcPr>
            <w:tcW w:type="dxa" w:w="1559"/>
          </w:tcPr>
          <w:p>
            <w:r>
              <w:rPr>
                <w:sz w:val="20"/>
              </w:rPr>
              <w:t>Flacon 15 g</w:t>
            </w:r>
          </w:p>
        </w:tc>
        <w:tc>
          <w:tcPr>
            <w:tcW w:type="dxa" w:w="1559"/>
          </w:tcPr>
          <w:p>
            <w:r>
              <w:rPr>
                <w:sz w:val="20"/>
              </w:rPr>
              <w:t>Liste I</w:t>
            </w:r>
          </w:p>
        </w:tc>
        <w:tc>
          <w:tcPr>
            <w:tcW w:type="dxa" w:w="1559"/>
          </w:tcPr>
          <w:p>
            <w:r>
              <w:rPr>
                <w:sz w:val="20"/>
              </w:rPr>
              <w:t>Actif</w:t>
            </w:r>
          </w:p>
        </w:tc>
      </w:tr>
      <w:tr>
        <w:tc>
          <w:tcPr>
            <w:tcW w:type="dxa" w:w="1559"/>
          </w:tcPr>
          <w:p>
            <w:r>
              <w:rPr>
                <w:sz w:val="20"/>
              </w:rPr>
              <w:t>CORTYX</w:t>
            </w:r>
          </w:p>
        </w:tc>
        <w:tc>
          <w:tcPr>
            <w:tcW w:type="dxa" w:w="1559"/>
          </w:tcPr>
          <w:p>
            <w:r>
              <w:rPr>
                <w:sz w:val="20"/>
              </w:rPr>
              <w:t>ONYX INDUSTRIE PHARMACEUTIQUE</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BETAMETHASONE BR</w:t>
            </w:r>
          </w:p>
        </w:tc>
        <w:tc>
          <w:tcPr>
            <w:tcW w:type="dxa" w:w="1559"/>
          </w:tcPr>
          <w:p>
            <w:r>
              <w:rPr>
                <w:sz w:val="20"/>
              </w:rPr>
              <w:t>BIOREM</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DERMASONE</w:t>
            </w:r>
          </w:p>
        </w:tc>
        <w:tc>
          <w:tcPr>
            <w:tcW w:type="dxa" w:w="1559"/>
          </w:tcPr>
          <w:p>
            <w:r>
              <w:rPr>
                <w:sz w:val="20"/>
              </w:rPr>
              <w:t>BIOGALENIC</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BETAMETHASONE NOVAGENERICS</w:t>
            </w:r>
          </w:p>
        </w:tc>
        <w:tc>
          <w:tcPr>
            <w:tcW w:type="dxa" w:w="1559"/>
          </w:tcPr>
          <w:p>
            <w:r>
              <w:rPr>
                <w:sz w:val="20"/>
              </w:rPr>
              <w:t>NOVAPHARM TRADING</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BETAPROSONE</w:t>
            </w:r>
          </w:p>
        </w:tc>
        <w:tc>
          <w:tcPr>
            <w:tcW w:type="dxa" w:w="1559"/>
          </w:tcPr>
          <w:p>
            <w:r>
              <w:rPr>
                <w:sz w:val="20"/>
              </w:rPr>
              <w:t>LABORATOIRES PHARMAGHREB</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BETASONE</w:t>
            </w:r>
          </w:p>
        </w:tc>
        <w:tc>
          <w:tcPr>
            <w:tcW w:type="dxa" w:w="1559"/>
          </w:tcPr>
          <w:p>
            <w:r>
              <w:rPr>
                <w:sz w:val="20"/>
              </w:rPr>
              <w:t>GROUPE SAIDAL</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TABETA</w:t>
            </w:r>
          </w:p>
        </w:tc>
        <w:tc>
          <w:tcPr>
            <w:tcW w:type="dxa" w:w="1559"/>
          </w:tcPr>
          <w:p>
            <w:r>
              <w:rPr>
                <w:sz w:val="20"/>
              </w:rPr>
              <w:t>EL KENDI INDUSTRIE DU MEDICAMENT</w:t>
            </w:r>
          </w:p>
        </w:tc>
        <w:tc>
          <w:tcPr>
            <w:tcW w:type="dxa" w:w="1559"/>
          </w:tcPr>
          <w:p>
            <w:r>
              <w:rPr>
                <w:sz w:val="20"/>
              </w:rPr>
              <w:t>Pommade dermique 0,1 % (0,001)</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ZETA-PLUS</w:t>
            </w:r>
          </w:p>
        </w:tc>
        <w:tc>
          <w:tcPr>
            <w:tcW w:type="dxa" w:w="1559"/>
          </w:tcPr>
          <w:p>
            <w:r>
              <w:rPr>
                <w:sz w:val="20"/>
              </w:rPr>
              <w:t>EL KENDI INDUSTRIE DU MEDICAMENT</w:t>
            </w:r>
          </w:p>
        </w:tc>
        <w:tc>
          <w:tcPr>
            <w:tcW w:type="dxa" w:w="1559"/>
          </w:tcPr>
          <w:p>
            <w:r>
              <w:rPr>
                <w:sz w:val="20"/>
              </w:rPr>
              <w:t>Crème (bétaméthasone valérate 0,1 % + acide fusidique 2 %)</w:t>
            </w:r>
          </w:p>
        </w:tc>
        <w:tc>
          <w:tcPr>
            <w:tcW w:type="dxa" w:w="1559"/>
          </w:tcPr>
          <w:p>
            <w:r>
              <w:rPr>
                <w:sz w:val="20"/>
              </w:rPr>
              <w:t>Tube 15 g</w:t>
            </w:r>
          </w:p>
        </w:tc>
        <w:tc>
          <w:tcPr>
            <w:tcW w:type="dxa" w:w="1559"/>
          </w:tcPr>
          <w:p>
            <w:r>
              <w:rPr>
                <w:sz w:val="20"/>
              </w:rPr>
              <w:t>—</w:t>
            </w:r>
          </w:p>
        </w:tc>
        <w:tc>
          <w:tcPr>
            <w:tcW w:type="dxa" w:w="1559"/>
          </w:tcPr>
          <w:p>
            <w:r>
              <w:rPr>
                <w:sz w:val="20"/>
              </w:rPr>
              <w:t>Actif</w:t>
            </w:r>
          </w:p>
        </w:tc>
      </w:tr>
    </w:tbl>
    <w:p/>
    <w:p>
      <w:r>
        <w:t>Formes dermiques non renouvelables et retirées (incluses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KUTERID</w:t>
            </w:r>
          </w:p>
        </w:tc>
        <w:tc>
          <w:tcPr>
            <w:tcW w:type="dxa" w:w="1559"/>
          </w:tcPr>
          <w:p>
            <w:r>
              <w:rPr>
                <w:sz w:val="20"/>
              </w:rPr>
              <w:t>LEK</w:t>
            </w:r>
          </w:p>
        </w:tc>
        <w:tc>
          <w:tcPr>
            <w:tcW w:type="dxa" w:w="1559"/>
          </w:tcPr>
          <w:p>
            <w:r>
              <w:rPr>
                <w:sz w:val="20"/>
              </w:rPr>
              <w:t>Crème dermique 0,05 %</w:t>
            </w:r>
          </w:p>
        </w:tc>
        <w:tc>
          <w:tcPr>
            <w:tcW w:type="dxa" w:w="1559"/>
          </w:tcPr>
          <w:p>
            <w:r>
              <w:rPr>
                <w:sz w:val="20"/>
              </w:rPr>
              <w:t>Tube 15 g</w:t>
            </w:r>
          </w:p>
        </w:tc>
        <w:tc>
          <w:tcPr>
            <w:tcW w:type="dxa" w:w="1559"/>
          </w:tcPr>
          <w:p>
            <w:r>
              <w:rPr>
                <w:sz w:val="20"/>
              </w:rPr>
              <w:t>Liste I</w:t>
            </w:r>
          </w:p>
        </w:tc>
        <w:tc>
          <w:tcPr>
            <w:tcW w:type="dxa" w:w="1559"/>
          </w:tcPr>
          <w:p>
            <w:r>
              <w:rPr>
                <w:sz w:val="20"/>
              </w:rPr>
              <w:t>Non Renouvelable</w:t>
            </w:r>
          </w:p>
        </w:tc>
      </w:tr>
      <w:tr>
        <w:tc>
          <w:tcPr>
            <w:tcW w:type="dxa" w:w="1559"/>
          </w:tcPr>
          <w:p>
            <w:r>
              <w:rPr>
                <w:sz w:val="20"/>
              </w:rPr>
              <w:t>PERSIVATE CREAM</w:t>
            </w:r>
          </w:p>
        </w:tc>
        <w:tc>
          <w:tcPr>
            <w:tcW w:type="dxa" w:w="1559"/>
          </w:tcPr>
          <w:p>
            <w:r>
              <w:rPr>
                <w:sz w:val="20"/>
              </w:rPr>
              <w:t>PHARMACARE LIMITED</w:t>
            </w:r>
          </w:p>
        </w:tc>
        <w:tc>
          <w:tcPr>
            <w:tcW w:type="dxa" w:w="1559"/>
          </w:tcPr>
          <w:p>
            <w:r>
              <w:rPr>
                <w:sz w:val="20"/>
              </w:rPr>
              <w:t>Crème dermique 0,1 %</w:t>
            </w:r>
          </w:p>
        </w:tc>
        <w:tc>
          <w:tcPr>
            <w:tcW w:type="dxa" w:w="1559"/>
          </w:tcPr>
          <w:p>
            <w:r>
              <w:rPr>
                <w:sz w:val="20"/>
              </w:rPr>
              <w:t>Tube 10 g</w:t>
            </w:r>
          </w:p>
        </w:tc>
        <w:tc>
          <w:tcPr>
            <w:tcW w:type="dxa" w:w="1559"/>
          </w:tcPr>
          <w:p>
            <w:r>
              <w:rPr>
                <w:sz w:val="20"/>
              </w:rPr>
              <w:t>Liste I</w:t>
            </w:r>
          </w:p>
        </w:tc>
        <w:tc>
          <w:tcPr>
            <w:tcW w:type="dxa" w:w="1559"/>
          </w:tcPr>
          <w:p>
            <w:r>
              <w:rPr>
                <w:sz w:val="20"/>
              </w:rPr>
              <w:t>Retrait</w:t>
            </w:r>
          </w:p>
        </w:tc>
      </w:tr>
      <w:tr>
        <w:tc>
          <w:tcPr>
            <w:tcW w:type="dxa" w:w="1559"/>
          </w:tcPr>
          <w:p>
            <w:r>
              <w:rPr>
                <w:sz w:val="20"/>
              </w:rPr>
              <w:t>DIPROSONE</w:t>
            </w:r>
          </w:p>
        </w:tc>
        <w:tc>
          <w:tcPr>
            <w:tcW w:type="dxa" w:w="1559"/>
          </w:tcPr>
          <w:p>
            <w:r>
              <w:rPr>
                <w:sz w:val="20"/>
              </w:rPr>
              <w:t>SCHERING-PLOUGH</w:t>
            </w:r>
          </w:p>
        </w:tc>
        <w:tc>
          <w:tcPr>
            <w:tcW w:type="dxa" w:w="1559"/>
          </w:tcPr>
          <w:p>
            <w:r>
              <w:rPr>
                <w:sz w:val="20"/>
              </w:rPr>
              <w:t>Crème dermique 0,05 %</w:t>
            </w:r>
          </w:p>
        </w:tc>
        <w:tc>
          <w:tcPr>
            <w:tcW w:type="dxa" w:w="1559"/>
          </w:tcPr>
          <w:p>
            <w:r>
              <w:rPr>
                <w:sz w:val="20"/>
              </w:rPr>
              <w:t>Tube 30 g</w:t>
            </w:r>
          </w:p>
        </w:tc>
        <w:tc>
          <w:tcPr>
            <w:tcW w:type="dxa" w:w="1559"/>
          </w:tcPr>
          <w:p>
            <w:r>
              <w:rPr>
                <w:sz w:val="20"/>
              </w:rPr>
              <w:t>Liste I</w:t>
            </w:r>
          </w:p>
        </w:tc>
        <w:tc>
          <w:tcPr>
            <w:tcW w:type="dxa" w:w="1559"/>
          </w:tcPr>
          <w:p>
            <w:r>
              <w:rPr>
                <w:sz w:val="20"/>
              </w:rPr>
              <w:t>Retrait</w:t>
            </w:r>
          </w:p>
        </w:tc>
      </w:tr>
      <w:tr>
        <w:tc>
          <w:tcPr>
            <w:tcW w:type="dxa" w:w="1559"/>
          </w:tcPr>
          <w:p>
            <w:r>
              <w:rPr>
                <w:sz w:val="20"/>
              </w:rPr>
              <w:t>PERSIVATE OINTMENT</w:t>
            </w:r>
          </w:p>
        </w:tc>
        <w:tc>
          <w:tcPr>
            <w:tcW w:type="dxa" w:w="1559"/>
          </w:tcPr>
          <w:p>
            <w:r>
              <w:rPr>
                <w:sz w:val="20"/>
              </w:rPr>
              <w:t>PHARMACARE LIMITED</w:t>
            </w:r>
          </w:p>
        </w:tc>
        <w:tc>
          <w:tcPr>
            <w:tcW w:type="dxa" w:w="1559"/>
          </w:tcPr>
          <w:p>
            <w:r>
              <w:rPr>
                <w:sz w:val="20"/>
              </w:rPr>
              <w:t>Pommade dermique 0,1 %</w:t>
            </w:r>
          </w:p>
        </w:tc>
        <w:tc>
          <w:tcPr>
            <w:tcW w:type="dxa" w:w="1559"/>
          </w:tcPr>
          <w:p>
            <w:r>
              <w:rPr>
                <w:sz w:val="20"/>
              </w:rPr>
              <w:t>Tube 10 g</w:t>
            </w:r>
          </w:p>
        </w:tc>
        <w:tc>
          <w:tcPr>
            <w:tcW w:type="dxa" w:w="1559"/>
          </w:tcPr>
          <w:p>
            <w:r>
              <w:rPr>
                <w:sz w:val="20"/>
              </w:rPr>
              <w:t>Liste I</w:t>
            </w:r>
          </w:p>
        </w:tc>
        <w:tc>
          <w:tcPr>
            <w:tcW w:type="dxa" w:w="1559"/>
          </w:tcPr>
          <w:p>
            <w:r>
              <w:rPr>
                <w:sz w:val="20"/>
              </w:rPr>
              <w:t>Retrait</w:t>
            </w:r>
          </w:p>
        </w:tc>
      </w:tr>
      <w:tr>
        <w:tc>
          <w:tcPr>
            <w:tcW w:type="dxa" w:w="1559"/>
          </w:tcPr>
          <w:p>
            <w:r>
              <w:rPr>
                <w:sz w:val="20"/>
              </w:rPr>
              <w:t>BETACROVIS</w:t>
            </w:r>
          </w:p>
        </w:tc>
        <w:tc>
          <w:tcPr>
            <w:tcW w:type="dxa" w:w="1559"/>
          </w:tcPr>
          <w:p>
            <w:r>
              <w:rPr>
                <w:sz w:val="20"/>
              </w:rPr>
              <w:t>CROVIS PHILCOM</w:t>
            </w:r>
          </w:p>
        </w:tc>
        <w:tc>
          <w:tcPr>
            <w:tcW w:type="dxa" w:w="1559"/>
          </w:tcPr>
          <w:p>
            <w:r>
              <w:rPr>
                <w:sz w:val="20"/>
              </w:rPr>
              <w:t>Pommade dermique 0,05 %</w:t>
            </w:r>
          </w:p>
        </w:tc>
        <w:tc>
          <w:tcPr>
            <w:tcW w:type="dxa" w:w="1559"/>
          </w:tcPr>
          <w:p>
            <w:r>
              <w:rPr>
                <w:sz w:val="20"/>
              </w:rPr>
              <w:t>Tube 30 g</w:t>
            </w:r>
          </w:p>
        </w:tc>
        <w:tc>
          <w:tcPr>
            <w:tcW w:type="dxa" w:w="1559"/>
          </w:tcPr>
          <w:p>
            <w:r>
              <w:rPr>
                <w:sz w:val="20"/>
              </w:rPr>
              <w:t>Liste I</w:t>
            </w:r>
          </w:p>
        </w:tc>
        <w:tc>
          <w:tcPr>
            <w:tcW w:type="dxa" w:w="1559"/>
          </w:tcPr>
          <w:p>
            <w:r>
              <w:rPr>
                <w:sz w:val="20"/>
              </w:rPr>
              <w:t>Retrait</w:t>
            </w:r>
          </w:p>
        </w:tc>
      </w:tr>
      <w:tr>
        <w:tc>
          <w:tcPr>
            <w:tcW w:type="dxa" w:w="1559"/>
          </w:tcPr>
          <w:p>
            <w:r>
              <w:rPr>
                <w:sz w:val="20"/>
              </w:rPr>
              <w:t>BETAMET</w:t>
            </w:r>
          </w:p>
        </w:tc>
        <w:tc>
          <w:tcPr>
            <w:tcW w:type="dxa" w:w="1559"/>
          </w:tcPr>
          <w:p>
            <w:r>
              <w:rPr>
                <w:sz w:val="20"/>
              </w:rPr>
              <w:t>SPIMACO</w:t>
            </w:r>
          </w:p>
        </w:tc>
        <w:tc>
          <w:tcPr>
            <w:tcW w:type="dxa" w:w="1559"/>
          </w:tcPr>
          <w:p>
            <w:r>
              <w:rPr>
                <w:sz w:val="20"/>
              </w:rPr>
              <w:t>Pommade dermique 0,1 %</w:t>
            </w:r>
          </w:p>
        </w:tc>
        <w:tc>
          <w:tcPr>
            <w:tcW w:type="dxa" w:w="1559"/>
          </w:tcPr>
          <w:p>
            <w:r>
              <w:rPr>
                <w:sz w:val="20"/>
              </w:rPr>
              <w:t>Tube 10 g</w:t>
            </w:r>
          </w:p>
        </w:tc>
        <w:tc>
          <w:tcPr>
            <w:tcW w:type="dxa" w:w="1559"/>
          </w:tcPr>
          <w:p>
            <w:r>
              <w:rPr>
                <w:sz w:val="20"/>
              </w:rPr>
              <w:t>Liste I</w:t>
            </w:r>
          </w:p>
        </w:tc>
        <w:tc>
          <w:tcPr>
            <w:tcW w:type="dxa" w:w="1559"/>
          </w:tcPr>
          <w:p>
            <w:r>
              <w:rPr>
                <w:sz w:val="20"/>
              </w:rPr>
              <w:t>Retrait</w:t>
            </w:r>
          </w:p>
        </w:tc>
      </w:tr>
      <w:tr>
        <w:tc>
          <w:tcPr>
            <w:tcW w:type="dxa" w:w="1559"/>
          </w:tcPr>
          <w:p>
            <w:r>
              <w:rPr>
                <w:sz w:val="20"/>
              </w:rPr>
              <w:t>DIPROSONE</w:t>
            </w:r>
          </w:p>
        </w:tc>
        <w:tc>
          <w:tcPr>
            <w:tcW w:type="dxa" w:w="1559"/>
          </w:tcPr>
          <w:p>
            <w:r>
              <w:rPr>
                <w:sz w:val="20"/>
              </w:rPr>
              <w:t>SCHERING-PLOUGH</w:t>
            </w:r>
          </w:p>
        </w:tc>
        <w:tc>
          <w:tcPr>
            <w:tcW w:type="dxa" w:w="1559"/>
          </w:tcPr>
          <w:p>
            <w:r>
              <w:rPr>
                <w:sz w:val="20"/>
              </w:rPr>
              <w:t>Pommade dermique 0,05 %</w:t>
            </w:r>
          </w:p>
        </w:tc>
        <w:tc>
          <w:tcPr>
            <w:tcW w:type="dxa" w:w="1559"/>
          </w:tcPr>
          <w:p>
            <w:r>
              <w:rPr>
                <w:sz w:val="20"/>
              </w:rPr>
              <w:t>Tube 15 g</w:t>
            </w:r>
          </w:p>
        </w:tc>
        <w:tc>
          <w:tcPr>
            <w:tcW w:type="dxa" w:w="1559"/>
          </w:tcPr>
          <w:p>
            <w:r>
              <w:rPr>
                <w:sz w:val="20"/>
              </w:rPr>
              <w:t>Liste I</w:t>
            </w:r>
          </w:p>
        </w:tc>
        <w:tc>
          <w:tcPr>
            <w:tcW w:type="dxa" w:w="1559"/>
          </w:tcPr>
          <w:p>
            <w:r>
              <w:rPr>
                <w:sz w:val="20"/>
              </w:rPr>
              <w:t>Retrait</w:t>
            </w:r>
          </w:p>
        </w:tc>
      </w:tr>
      <w:tr>
        <w:tc>
          <w:tcPr>
            <w:tcW w:type="dxa" w:w="1559"/>
          </w:tcPr>
          <w:p>
            <w:r>
              <w:rPr>
                <w:sz w:val="20"/>
              </w:rPr>
              <w:t>DIPROSONE</w:t>
            </w:r>
          </w:p>
        </w:tc>
        <w:tc>
          <w:tcPr>
            <w:tcW w:type="dxa" w:w="1559"/>
          </w:tcPr>
          <w:p>
            <w:r>
              <w:rPr>
                <w:sz w:val="20"/>
              </w:rPr>
              <w:t>MSD FRANCE</w:t>
            </w:r>
          </w:p>
        </w:tc>
        <w:tc>
          <w:tcPr>
            <w:tcW w:type="dxa" w:w="1559"/>
          </w:tcPr>
          <w:p>
            <w:r>
              <w:rPr>
                <w:sz w:val="20"/>
              </w:rPr>
              <w:t>Lotion 0,05 %</w:t>
            </w:r>
          </w:p>
        </w:tc>
        <w:tc>
          <w:tcPr>
            <w:tcW w:type="dxa" w:w="1559"/>
          </w:tcPr>
          <w:p>
            <w:r>
              <w:rPr>
                <w:sz w:val="20"/>
              </w:rPr>
              <w:t>Flacon 15 g</w:t>
            </w:r>
          </w:p>
        </w:tc>
        <w:tc>
          <w:tcPr>
            <w:tcW w:type="dxa" w:w="1559"/>
          </w:tcPr>
          <w:p>
            <w:r>
              <w:rPr>
                <w:sz w:val="20"/>
              </w:rPr>
              <w:t>Liste I</w:t>
            </w:r>
          </w:p>
        </w:tc>
        <w:tc>
          <w:tcPr>
            <w:tcW w:type="dxa" w:w="1559"/>
          </w:tcPr>
          <w:p>
            <w:r>
              <w:rPr>
                <w:sz w:val="20"/>
              </w:rPr>
              <w:t>Retrait</w:t>
            </w:r>
          </w:p>
        </w:tc>
      </w:tr>
      <w:tr>
        <w:tc>
          <w:tcPr>
            <w:tcW w:type="dxa" w:w="1559"/>
          </w:tcPr>
          <w:p>
            <w:r>
              <w:rPr>
                <w:sz w:val="20"/>
              </w:rPr>
              <w:t>BETASAL</w:t>
            </w:r>
          </w:p>
        </w:tc>
        <w:tc>
          <w:tcPr>
            <w:tcW w:type="dxa" w:w="1559"/>
          </w:tcPr>
          <w:p>
            <w:r>
              <w:rPr>
                <w:sz w:val="20"/>
              </w:rPr>
              <w:t>FARMACEUTICI CROVIS PHILCOM SRL</w:t>
            </w:r>
          </w:p>
        </w:tc>
        <w:tc>
          <w:tcPr>
            <w:tcW w:type="dxa" w:w="1559"/>
          </w:tcPr>
          <w:p>
            <w:r>
              <w:rPr>
                <w:sz w:val="20"/>
              </w:rPr>
              <w:t>Pommade dermique (bétaméthasone dipropionate 0,05 % + acide salicylique 3 %)</w:t>
            </w:r>
          </w:p>
        </w:tc>
        <w:tc>
          <w:tcPr>
            <w:tcW w:type="dxa" w:w="1559"/>
          </w:tcPr>
          <w:p>
            <w:r>
              <w:rPr>
                <w:sz w:val="20"/>
              </w:rPr>
              <w:t>Tube 15 g</w:t>
            </w:r>
          </w:p>
        </w:tc>
        <w:tc>
          <w:tcPr>
            <w:tcW w:type="dxa" w:w="1559"/>
          </w:tcPr>
          <w:p>
            <w:r>
              <w:rPr>
                <w:sz w:val="20"/>
              </w:rPr>
              <w:t>Liste I</w:t>
            </w:r>
          </w:p>
        </w:tc>
        <w:tc>
          <w:tcPr>
            <w:tcW w:type="dxa" w:w="1559"/>
          </w:tcPr>
          <w:p>
            <w:r>
              <w:rPr>
                <w:sz w:val="20"/>
              </w:rPr>
              <w:t>Retrait</w:t>
            </w:r>
          </w:p>
        </w:tc>
      </w:tr>
      <w:tr>
        <w:tc>
          <w:tcPr>
            <w:tcW w:type="dxa" w:w="1559"/>
          </w:tcPr>
          <w:p>
            <w:r>
              <w:rPr>
                <w:sz w:val="20"/>
              </w:rPr>
              <w:t>DIPROSALIC</w:t>
            </w:r>
          </w:p>
        </w:tc>
        <w:tc>
          <w:tcPr>
            <w:tcW w:type="dxa" w:w="1559"/>
          </w:tcPr>
          <w:p>
            <w:r>
              <w:rPr>
                <w:sz w:val="20"/>
              </w:rPr>
              <w:t>SCHERING-PLOUGH</w:t>
            </w:r>
          </w:p>
        </w:tc>
        <w:tc>
          <w:tcPr>
            <w:tcW w:type="dxa" w:w="1559"/>
          </w:tcPr>
          <w:p>
            <w:r>
              <w:rPr>
                <w:sz w:val="20"/>
              </w:rPr>
              <w:t>Pommade dermique (bétaméthasone dipropionate 0,05 % + acide salicylique 3 %)</w:t>
            </w:r>
          </w:p>
        </w:tc>
        <w:tc>
          <w:tcPr>
            <w:tcW w:type="dxa" w:w="1559"/>
          </w:tcPr>
          <w:p>
            <w:r>
              <w:rPr>
                <w:sz w:val="20"/>
              </w:rPr>
              <w:t>Tube 15 g</w:t>
            </w:r>
          </w:p>
        </w:tc>
        <w:tc>
          <w:tcPr>
            <w:tcW w:type="dxa" w:w="1559"/>
          </w:tcPr>
          <w:p>
            <w:r>
              <w:rPr>
                <w:sz w:val="20"/>
              </w:rPr>
              <w:t>Liste I</w:t>
            </w:r>
          </w:p>
        </w:tc>
        <w:tc>
          <w:tcPr>
            <w:tcW w:type="dxa" w:w="1559"/>
          </w:tcPr>
          <w:p>
            <w:r>
              <w:rPr>
                <w:sz w:val="20"/>
              </w:rPr>
              <w:t>Retrait</w:t>
            </w:r>
          </w:p>
        </w:tc>
      </w:tr>
      <w:tr>
        <w:tc>
          <w:tcPr>
            <w:tcW w:type="dxa" w:w="1559"/>
          </w:tcPr>
          <w:p>
            <w:r>
              <w:rPr>
                <w:sz w:val="20"/>
              </w:rPr>
              <w:t>DIPROLENE</w:t>
            </w:r>
          </w:p>
        </w:tc>
        <w:tc>
          <w:tcPr>
            <w:tcW w:type="dxa" w:w="1559"/>
          </w:tcPr>
          <w:p>
            <w:r>
              <w:rPr>
                <w:sz w:val="20"/>
              </w:rPr>
              <w:t>SCHERING-PLOUGH</w:t>
            </w:r>
          </w:p>
        </w:tc>
        <w:tc>
          <w:tcPr>
            <w:tcW w:type="dxa" w:w="1559"/>
          </w:tcPr>
          <w:p>
            <w:r>
              <w:rPr>
                <w:sz w:val="20"/>
              </w:rPr>
              <w:t>Pommade dermique 0,05 %</w:t>
            </w:r>
          </w:p>
        </w:tc>
        <w:tc>
          <w:tcPr>
            <w:tcW w:type="dxa" w:w="1559"/>
          </w:tcPr>
          <w:p>
            <w:r>
              <w:rPr>
                <w:sz w:val="20"/>
              </w:rPr>
              <w:t>Tube 30 g</w:t>
            </w:r>
          </w:p>
        </w:tc>
        <w:tc>
          <w:tcPr>
            <w:tcW w:type="dxa" w:w="1559"/>
          </w:tcPr>
          <w:p>
            <w:r>
              <w:rPr>
                <w:sz w:val="20"/>
              </w:rPr>
              <w:t>Liste I</w:t>
            </w:r>
          </w:p>
        </w:tc>
        <w:tc>
          <w:tcPr>
            <w:tcW w:type="dxa" w:w="1559"/>
          </w:tcPr>
          <w:p>
            <w:r>
              <w:rPr>
                <w:sz w:val="20"/>
              </w:rPr>
              <w:t>Retrait</w:t>
            </w:r>
          </w:p>
        </w:tc>
      </w:tr>
      <w:tr>
        <w:tc>
          <w:tcPr>
            <w:tcW w:type="dxa" w:w="1559"/>
          </w:tcPr>
          <w:p>
            <w:r>
              <w:rPr>
                <w:sz w:val="20"/>
              </w:rPr>
              <w:t>BETACROVIS</w:t>
            </w:r>
          </w:p>
        </w:tc>
        <w:tc>
          <w:tcPr>
            <w:tcW w:type="dxa" w:w="1559"/>
          </w:tcPr>
          <w:p>
            <w:r>
              <w:rPr>
                <w:sz w:val="20"/>
              </w:rPr>
              <w:t>FARMACEUTICI CROVIS PHILCOM SRL</w:t>
            </w:r>
          </w:p>
        </w:tc>
        <w:tc>
          <w:tcPr>
            <w:tcW w:type="dxa" w:w="1559"/>
          </w:tcPr>
          <w:p>
            <w:r>
              <w:rPr>
                <w:sz w:val="20"/>
              </w:rPr>
              <w:t>Crème dermique (bétaméthasone valérate 0,1 %)</w:t>
            </w:r>
          </w:p>
        </w:tc>
        <w:tc>
          <w:tcPr>
            <w:tcW w:type="dxa" w:w="1559"/>
          </w:tcPr>
          <w:p>
            <w:r>
              <w:rPr>
                <w:sz w:val="20"/>
              </w:rPr>
              <w:t>Tube 10 g</w:t>
            </w:r>
          </w:p>
        </w:tc>
        <w:tc>
          <w:tcPr>
            <w:tcW w:type="dxa" w:w="1559"/>
          </w:tcPr>
          <w:p>
            <w:r>
              <w:rPr>
                <w:sz w:val="20"/>
              </w:rPr>
              <w:t>Liste I</w:t>
            </w:r>
          </w:p>
        </w:tc>
        <w:tc>
          <w:tcPr>
            <w:tcW w:type="dxa" w:w="1559"/>
          </w:tcPr>
          <w:p>
            <w:r>
              <w:rPr>
                <w:sz w:val="20"/>
              </w:rPr>
              <w:t>Retrait</w:t>
            </w:r>
          </w:p>
        </w:tc>
      </w:tr>
    </w:tbl>
    <w:p/>
    <w:p>
      <w:r>
        <w:t>La diversité des spécialités actives reflète la richesse du marché algérien générique. Le pharmacien doit savoir identifier l'ester (dipropionate versus valérate) à partir du libellé de la DCI et vérifier la cohérence avec la prescription. L'association fixe bétaméthasone + acide fusidique (ZETA-PLUS, El Kendi) est indiquée dans les dermatoses eczématiques surinfectées à staphylocoques ; l'association bétaméthasone + acide salicylique (BETASAL, DIPROSALIC) est indiquée dans les dermatoses hyperkératosiques (psoriasis, lichen) ; ces deux associations ne sont plus disponibles en forme active, ce qui peut compliquer la prise en charge.</w:t>
      </w:r>
    </w:p>
    <w:p>
      <w:r/>
      <w:r>
        <w:rPr>
          <w:b/>
        </w:rPr>
        <w:t>Sous-classe et Mécanisme d'action :</w:t>
      </w:r>
      <w:r/>
    </w:p>
    <w:p>
      <w:pPr>
        <w:pStyle w:val="ListBullet"/>
      </w:pPr>
      <w:r>
        <w:t>Sous-classe : Dermocorticoïde de classe II (bétaméthasone valérate) ou classe I–II (bétaméthasone dipropionate). Corticoïde fluoré 9α, méthylé 16β, esterifié (valérate en C17 ou dipropionate en C17 et C21).</w:t>
      </w:r>
    </w:p>
    <w:p>
      <w:pPr>
        <w:pStyle w:val="ListBullet"/>
      </w:pPr>
      <w:r>
        <w:t>Mécanisme d'action : Identique à celui du clobétasol. La bétaméthasone pénètre la couche cornée par diffusion passive favorisée par la lipophilie de l'ester ; elle est hydrolysée par les estérases cutanées en bétaméthasone base qui se fixe au récepteur glucocorticoïde (GRα) cytosolique des kératinocytes et des cellules dermiques. Le complexe bétaméthasone-GR transloque dans le noyau et se fixe aux GRE (Glucocorticoïd Response Elements), activant ou réprimant la transcription des gènes cibles : activation des gènes anti-inflammatoires (annexine-1, IκB-α, MKP-1) et répression des gènes pro-inflammatoires (cytokines IL-1, IL-2, IL-6, TNF-α, IFN-γ, COX-2, iNOS). Quatre effets cardinaux : anti-inflammatoire, immunosuppresseur, vasoconstricteur (blanchiment cutané), antiprolifératif. La puissance vasoconstrictrice est 100 à 300 fois supérieure à celle de l'hydrocortisone selon l'ester.</w:t>
      </w:r>
    </w:p>
    <w:p>
      <w:r/>
      <w:r>
        <w:rPr>
          <w:b/>
        </w:rPr>
        <w:t>Profil Pharmacologique :</w:t>
      </w:r>
      <w:r/>
    </w:p>
    <w:p>
      <w:pPr>
        <w:pStyle w:val="ListBullet"/>
      </w:pPr>
      <w:r>
        <w:t>Indications : Eczéma chronique non lichenifié, dyshidrose, psoriasis modéré (sauf visage et plis), lichen plan bénin, prurit lichenifié, vitiligo en plaques en association courte avec les analogues de la vitamine D, parapsoriasis, lupus érythémateux chronique cutané localisé, sarcoïdose cutanée, granulome annulaire généralisé. La bétaméthasone est utilisée dans la pelade en formulation intra-lésionnelle (forme injectable) pour les formes en plaques de l'adulte.</w:t>
      </w:r>
    </w:p>
    <w:p>
      <w:pPr>
        <w:pStyle w:val="ListBullet"/>
      </w:pPr>
      <w:r>
        <w:t>Contre-indications : Hypersensibilité à la bétaméthasone ou à l'un des excipients, infections cutanées bactériennes, virales (herpès, varicelle, zona), parasitaires, fongiques sans traitement associé, rosacée, dermatite périorale, acné vulgaris, ulcère de jambe, application sur le visage hors indication spécialisée, enfant de moins de 6 ans (sauf hydrocortisone), application sur les muqueuses et les organes génitaux, occlusion sauf avis dermatologique.</w:t>
      </w:r>
    </w:p>
    <w:p>
      <w:pPr>
        <w:pStyle w:val="ListBullet"/>
      </w:pPr>
      <w:r>
        <w:t>Spectre d'action : Pas d'activité antibiotique propre. L'effet immunosuppresseur local majore le risque d'infections cutanées opportunistes (candidose, dermatophytose, herpès récurrent).</w:t>
      </w:r>
    </w:p>
    <w:p>
      <w:r/>
      <w:r>
        <w:rPr>
          <w:b/>
        </w:rPr>
        <w:t>Effets Indésirables :</w:t>
      </w:r>
      <w:r/>
    </w:p>
    <w:p>
      <w:pPr>
        <w:pStyle w:val="ListBullet"/>
      </w:pPr>
      <w:r/>
      <w:r>
        <w:rPr>
          <w:b/>
        </w:rPr>
        <w:t>Locaux précoces</w:t>
      </w:r>
      <w:r>
        <w:t xml:space="preserve"> : sensation de brûlure, prurit, irritation transitoire, folliculite, sécheresse cutanée.</w:t>
      </w:r>
    </w:p>
    <w:p>
      <w:pPr>
        <w:pStyle w:val="ListBullet"/>
      </w:pPr>
      <w:r/>
      <w:r>
        <w:rPr>
          <w:b/>
        </w:rPr>
        <w:t>Locaux tardifs</w:t>
      </w:r>
      <w:r>
        <w:t xml:space="preserve"> (au-delà de 2 à 4 semaines) : atrophie cutanée (translucidité, plis visibles), télangiectasies, purpura de Bateman, vergetures (striae distensae), dermatite rosacéiforme, dermatite périorale, hypopigmentation transitoire, hypertrichose localisée, dermatite allergique de contact (souvent à l'excipient, plus rarement à la bétaméthasone).</w:t>
      </w:r>
    </w:p>
    <w:p>
      <w:pPr>
        <w:pStyle w:val="ListBullet"/>
      </w:pPr>
      <w:r/>
      <w:r>
        <w:rPr>
          <w:b/>
        </w:rPr>
        <w:t>Oculaires</w:t>
      </w:r>
      <w:r>
        <w:t xml:space="preserve"> : en cas d'application au niveau du visage : glaucome périorbitaire, cataracte sous-capsulaire postérieure.</w:t>
      </w:r>
    </w:p>
    <w:p>
      <w:pPr>
        <w:pStyle w:val="ListBullet"/>
      </w:pPr>
      <w:r/>
      <w:r>
        <w:rPr>
          <w:b/>
        </w:rPr>
        <w:t>Systémiques</w:t>
      </w:r>
      <w:r>
        <w:t xml:space="preserve"> : en cas d'usage prolongé sur grande surface (&gt; 30 % de la surface corporelle), sous occlusion, ou chez l'enfant : syndrome de Cushing iatrogène, insuffisance surrénalienne, hyperglycémie, ostéoporose, retard de croissance chez l'enfant.</w:t>
      </w:r>
    </w:p>
    <w:p>
      <w:pPr>
        <w:pStyle w:val="ListBullet"/>
      </w:pPr>
      <w:r/>
      <w:r>
        <w:rPr>
          <w:b/>
        </w:rPr>
        <w:t>Effets paradoxaux</w:t>
      </w:r>
      <w:r>
        <w:t xml:space="preserve"> : psoriasis pustuleux induit (à l'arrêt brutal), dermatite rebond.</w:t>
      </w:r>
    </w:p>
    <w:p>
      <w:r/>
      <w:r>
        <w:rPr>
          <w:b/>
        </w:rPr>
        <w:t>Prévention et Gestion des Effets Indésirables :</w:t>
      </w:r>
      <w:r/>
    </w:p>
    <w:p>
      <w:pPr>
        <w:pStyle w:val="ListBullet"/>
      </w:pPr>
      <w:r>
        <w:t>Mesures préventives : Prescription initiale par médecin, durée limitée à 2–4 semaines en continu, surveillance de la quantité appliquée (FTU), espacement des applications dès que la lésion s'amende, relais par dermocorticoïde de palier inférieur (hydrocortisone ou prednicarbate) pour le sevrage, éducation du patient sur les contre-indications et les zones d'application. Éviction chez l'enfant de moins de 6 ans. Prudence chez la femme enceinte au 1er trimestre.</w:t>
      </w:r>
    </w:p>
    <w:p>
      <w:pPr>
        <w:pStyle w:val="ListBullet"/>
      </w:pPr>
      <w:r>
        <w:t>Conduite à tenir : Arrêt en cas d'inefficacité à 2 semaines (réévaluation diagnostique), arrêt en cas d'atrophie ou de télangiectasies, surveillance de la croissance et de la tension artérielle chez l'enfant, surveillance de la cortisolémie en cas d'usage prolongé. Sevrage progressif systématique après 3–4 semaines d'usage quotidien.</w:t>
      </w:r>
    </w:p>
    <w:p>
      <w:r/>
      <w:r>
        <w:rPr>
          <w:b/>
        </w:rPr>
        <w:t>Interactions Importantes :</w:t>
      </w:r>
      <w:r/>
    </w:p>
    <w:p>
      <w:pPr>
        <w:pStyle w:val="ListBullet"/>
      </w:pPr>
      <w:r>
        <w:t>Autres dermocorticoïdes : pas de cumul.</w:t>
      </w:r>
    </w:p>
    <w:p>
      <w:pPr>
        <w:pStyle w:val="ListBullet"/>
      </w:pPr>
      <w:r>
        <w:t>Inhibiteurs du CYP3A4 (ritonavir, itraconazole, kétoconazole, clarithromycine) : augmentation de l'imprégnation systémique.</w:t>
      </w:r>
    </w:p>
    <w:p>
      <w:pPr>
        <w:pStyle w:val="ListBullet"/>
      </w:pPr>
      <w:r>
        <w:t>Vaccins vivants atténués : contre-indication pendant et jusqu'à 3 mois après usage prolongé.</w:t>
      </w:r>
    </w:p>
    <w:p>
      <w:pPr>
        <w:pStyle w:val="ListBullet"/>
      </w:pPr>
      <w:r>
        <w:t>Antidiabétiques : effet hyperglycémiant, ajustement.</w:t>
      </w:r>
    </w:p>
    <w:p>
      <w:pPr>
        <w:pStyle w:val="ListBullet"/>
      </w:pPr>
      <w:r>
        <w:t>Diurétiques hypokaliémiants : majoration de l'hypokaliémie.</w:t>
      </w:r>
    </w:p>
    <w:p>
      <w:pPr>
        <w:pStyle w:val="ListBullet"/>
      </w:pPr>
      <w:r>
        <w:t>AINS : majoration du risque digestif.</w:t>
      </w:r>
    </w:p>
    <w:p>
      <w:r/>
      <w:r>
        <w:rPr>
          <w:b/>
        </w:rPr>
        <w:t>Grossesse et Allaitement :</w:t>
      </w:r>
      <w:r/>
    </w:p>
    <w:p>
      <w:pPr>
        <w:pStyle w:val="ListBullet"/>
      </w:pPr>
      <w:r>
        <w:t>Grossesse : Selon le CRAT, la bétaméthasone topique est considérée comme « utilisable avec prudence » au 2e et 3e trimestre sur surface limitée (≤ 10 % de la surface corporelle) et durée courte (≤ 2 semaines). Au 1er trimestre, l'usage est déconseillé par précaution. Sur grande surface ou usage prolongé, risque théorique de retard de croissance fœtale par passage systémique.</w:t>
      </w:r>
    </w:p>
    <w:p>
      <w:pPr>
        <w:pStyle w:val="ListBullet"/>
      </w:pPr>
      <w:r>
        <w:t>Allaitement : Compatible en application ponctuelle sur surface limitée en dehors de la zone mammaire. Lavage soigneux et retrait du lait avant tétée en cas d'application proche du sein.</w:t>
      </w:r>
    </w:p>
    <w:p>
      <w:pPr>
        <w:pStyle w:val="ListBullet"/>
      </w:pPr>
      <w:r>
        <w:t>Précisions : La bétaméthasone par voie injectable (Célestène®, Diprostène®) est largement utilisée en obstétrique pour la maturation pulmonaire fœtale en cas de menace d'accouchement prématuré, ce qui témoigne de son passage transplacentaire significatif et justifie la prudence pour la forme topique.</w:t>
      </w:r>
    </w:p>
    <w:p>
      <w:r/>
      <w:r>
        <w:rPr>
          <w:b/>
        </w:rPr>
        <w:t>Posologie et Mode d'administration (Standard) :</w:t>
      </w:r>
      <w:r/>
    </w:p>
    <w:p>
      <w:pPr>
        <w:pStyle w:val="ListBullet"/>
      </w:pPr>
      <w:r>
        <w:t>Adulte : 1 à 2 applications par jour en couche fine, en respectant la règle du FTU. Durée maximale de 2 à 4 semaines en continu, suivie d'un sevrage progressif.</w:t>
      </w:r>
    </w:p>
    <w:p>
      <w:pPr>
        <w:pStyle w:val="ListBullet"/>
      </w:pPr>
      <w:r>
        <w:t>Enfant de plus de 6 ans : 1 application par jour, sur surface limitée, durée maximale de 7 à 14 jours. Préférer un dermocorticoïde de palier inférieur (hydrocortisone 17-butyrate) chez l'enfant dès que possible.</w:t>
      </w:r>
    </w:p>
    <w:p>
      <w:pPr>
        <w:pStyle w:val="ListBullet"/>
      </w:pPr>
      <w:r>
        <w:t>Quantité maximale hebdomadaire : 100 g chez l'adulte ; 50 g chez l'enfant de plus de 12 ans.</w:t>
      </w:r>
    </w:p>
    <w:p>
      <w:pPr>
        <w:pStyle w:val="ListBullet"/>
      </w:pPr>
      <w:r>
        <w:t>Mode d'application : lavage préalable des mains, application sur peau sèche et propre, massage doux, lavage des mains après.</w:t>
      </w:r>
    </w:p>
    <w:p>
      <w:pPr>
        <w:pStyle w:val="ListBullet"/>
      </w:pPr>
      <w:r>
        <w:t>Forme galénique : crème pour lésions aiguës suintantes, pommade pour lésions chroniques sèches et lichenifiées, lotion pour cuir chevelu et zones pileuses.</w:t>
      </w:r>
    </w:p>
    <w:p>
      <w:r/>
      <w:r>
        <w:rPr>
          <w:b/>
        </w:rPr>
        <w:t>Arbitrage et Bénéfains des Formes Galéniques :</w:t>
      </w:r>
      <w:r/>
    </w:p>
    <w:p>
      <w:r>
        <w:t>La crème est indiquée en phase aiguë (lésion suintante, vésiculeuse, érythémateuse) sur peau glabre et les plis (avec prudence). La pommade, plus occlusive, est privilégiée pour les lésions chroniques sèches, lichenifiées, hyperkératosiques et pour les zones kératinisées. La lotion est réservée au cuir chevelu et aux zones pileuses. Les dosages disponibles (0,05 % et 0,1 %) ne sont pas strictement équivalents : 0,1 % correspond à la bétaméthasone valérate, 0,05 % correspond généralement à la bétaméthasone dipropionate (plus puissant). Le pharmacien doit vérifier l'équivalence posologique en cas de substitution. La quantité par tube (15 g ou 20 g) conditionne la prescription : 15 g pour une zone limitée, 30 g pour une zone plus étendue.</w:t>
      </w:r>
    </w:p>
    <w:p>
      <w:r/>
      <w:r>
        <w:rPr>
          <w:b/>
        </w:rPr>
        <w:t>Instructions et Conseils au Patient :</w:t>
      </w:r>
      <w:r/>
    </w:p>
    <w:p>
      <w:pPr>
        <w:pStyle w:val="ListBullet"/>
      </w:pPr>
      <w:r>
        <w:t>Communication au comptoir : Rappeler qu'il s'agit d'un dermocorticoïde puissant, à utiliser uniquement sur la zone prescrite, pendant la durée prescrite, sans dépasser la quantité indiquée. Insister sur l'interdiction d'application sur le visage (sauf prescription explicite), les plis, les muqueuses.</w:t>
      </w:r>
    </w:p>
    <w:p>
      <w:pPr>
        <w:pStyle w:val="ListBullet"/>
      </w:pPr>
      <w:r>
        <w:t>Mode d'utilisation pratique : FTU pour quantifier l'application (0,5 g = zone d'une main). Lavage des mains avant et après. Pas d'occlusion (pas de pansement occlusif, pas de gant, pas de chaussette sur la zone traitée sauf prescription). Éviter le contact avec les yeux. Conserver à température ≤ 25 °C, jeter après 3 mois d'ouverture.</w:t>
      </w:r>
    </w:p>
    <w:p>
      <w:pPr>
        <w:pStyle w:val="ListBullet"/>
      </w:pPr>
      <w:r>
        <w:t>Information sur les signes d'alerte : amincissement de la peau, vaisseaux visibles, vergetures, acné, rougeur péribuccale → arrêt et consultation.</w:t>
      </w:r>
    </w:p>
    <w:p>
      <w:r/>
      <w:r>
        <w:rPr>
          <w:b/>
        </w:rPr>
        <w:t>Notes, Règles d'Or &amp; Pièges au Comptoir :</w:t>
      </w:r>
      <w:r/>
    </w:p>
    <w:p>
      <w:pPr>
        <w:pStyle w:val="ListBullet"/>
      </w:pPr>
      <w:r>
        <w:t>Piège classique : Patient appliquant de la bétaméthasone 0,1 % en crème sur le visage pour une dermatite séborrhéique → aggravation en dermatite rosacéiforme en 2 semaines. Le pharmacien doit alerter et orienter vers un dermocorticoïde adapté au visage (hydrocortisone 1 % ou 17-butyrate) ou vers un antifongique (kétoconazole).</w:t>
      </w:r>
    </w:p>
    <w:p>
      <w:pPr>
        <w:pStyle w:val="ListBullet"/>
      </w:pPr>
      <w:r>
        <w:t>Règle d'or : « Bétaméthasone topique = palier fort, à utiliser sur les zones résistantes (coudes, genoux, paumes, plantes) et à réserver à l'adulte. »</w:t>
      </w:r>
    </w:p>
    <w:p>
      <w:pPr>
        <w:pStyle w:val="ListBullet"/>
      </w:pPr>
      <w:r>
        <w:t>Préparation et Conservation : Tube fermé, à température ≤ 25 °C, à l'abri de la lumière. Ne pas congeler. Ne pas utiliser au-delà de la date de péremption.</w:t>
      </w:r>
    </w:p>
    <w:p>
      <w:pPr>
        <w:pStyle w:val="ListBullet"/>
      </w:pPr>
      <w:r>
        <w:t>Piège de substitution : Ne pas substituer un ester par l'autre sans avis médical (bétaméthasone valérate 0,1 % ≈ bétaméthasone dipropionate 0,05 %). Ne pas substituer une forme galénique par une autre sans avis.</w:t>
      </w:r>
    </w:p>
    <w:p>
      <w:pPr>
        <w:pStyle w:val="ListBullet"/>
      </w:pPr>
      <w:r>
        <w:t>Piège du sevrage : Après 4 semaines d'usage quotidien, sevrage progressif (espacement à 1 application/2 jours puis 2/ semaine) pour éviter le rebond.</w:t>
      </w:r>
    </w:p>
    <w:p>
      <w:pPr>
        <w:pStyle w:val="Heading2"/>
      </w:pPr>
      <w:r>
        <w:t>122.4 Sous-classe : Dermocorticoïdes — Forte activité</w:t>
      </w:r>
    </w:p>
    <w:p>
      <w:pPr>
        <w:pStyle w:val="Heading3"/>
      </w:pPr>
      <w:r>
        <w:t>122.4.1 Généralités de la sous-classe</w:t>
      </w:r>
    </w:p>
    <w:p>
      <w:r>
        <w:t>La sous-classe « forte activité » (classe II européenne ou classe III–IV américaine selon les molécules) regroupe des dermocorticoïdes dont la puissance vasoconstrictrice est 50 à 150 fois supérieure à celle de l'hydrocortisone 1 %. Ils offrent un excellent compromis entre efficacité et tolérance, et constituent le palier de référence pour la majorité des dermatoses inflammatoires courantes de l'adulte : eczéma aigu vésiculeux, eczéma chronique modéré, psoriasis modéré en plaques, dyshidrose, prurit lichenifié, lichen plan bénin, vitiligo en plaques (en association), parapsoriasis, pityriasis rosé de Gibert récalcitrant. Leur usage est également possible chez l'enfant de plus de 6 ans sur surface limitée et durée courte, sous surveillance.</w:t>
      </w:r>
    </w:p>
    <w:p>
      <w:r>
        <w:t xml:space="preserve">Quatre DCI sont regroupées dans cette sous-classe dans la nomenclature algérienne : la </w:t>
      </w:r>
      <w:r>
        <w:rPr>
          <w:b/>
        </w:rPr>
        <w:t>mométasone furoate</w:t>
      </w:r>
      <w:r>
        <w:t xml:space="preserve"> (ester furoate, puissance classe II–III), la </w:t>
      </w:r>
      <w:r>
        <w:rPr>
          <w:b/>
        </w:rPr>
        <w:t>fluticasone propionate</w:t>
      </w:r>
      <w:r>
        <w:t xml:space="preserve"> (ester propionate, classe III), la </w:t>
      </w:r>
      <w:r>
        <w:rPr>
          <w:b/>
        </w:rPr>
        <w:t>fluocinolone acétonide</w:t>
      </w:r>
      <w:r>
        <w:t xml:space="preserve"> (acétonide, classe III) et la </w:t>
      </w:r>
      <w:r>
        <w:rPr>
          <w:b/>
        </w:rPr>
        <w:t>fluméthasone pivalate</w:t>
      </w:r>
      <w:r>
        <w:t xml:space="preserve"> (pivalate, classe III). Chacune de ces molécules possède un profil pharmacologique particulier : la mométasone est réputée pour son effet rémanent (une application par jour suffit), la fluticasone pour sa faible biodisponibilité systémique (métabolisme hépatique rapide par la CYP3A4), la fluocinolone pour son usage en suspension intraoculaire (rétinite à CMV) et la fluméthasone pour son association historique avec l'acide salicylique dans les dermatoses hyperkératosiques. Ces nuances guident le choix de prescription.</w:t>
      </w:r>
    </w:p>
    <w:p>
      <w:r>
        <w:t>L'absorption percutanée de cette classe est de 1 à 7 % en moyenne, autorisant un usage prolongé modéré sans risque systémique majeur sur surface limitée. Toutefois, l'usage sous occlusion, sur grande surface (&gt; 30 % de la surface corporelle), chez le nourrisson ou en cas de dermatose étendue et lésée expose au risque d'insuffisance surrénalienne. La surveillance de la croissance est obligatoire en pédiatrie en cas d'usage prolongé. Les règles de prescription (durée, quantité, zones) sont identiques à celles de la classe supérieure, avec un peu plus de souplesse : durée pouvant atteindre 4 à 6 semaines en continu, quantité hebdomadaire jusqu'à 100 g, usage possible chez l'enfant de plus de 6 ans.</w:t>
      </w:r>
    </w:p>
    <w:p>
      <w:r>
        <w:t>La disponibilité commerciale en Algérie est variable selon les molécules : la mométasone est très présente (CORTISAF, TOPOCORT, DERMOSAF, MESONE), la fluticasone est dominée par les formes inhalées et nasales (FLIXOTIDE, FLIXONASE, SERETIDE, AVAMYS) avec peu de formes purement dermiques, la fluocinolone est représentée uniquement par une forme associée à la néomycine et à la polymyxine B (OTOCROVIS) pour usage otologique, et la fluméthasone est en association avec l'acide salicylique (FLUSAL, non renouvelable). Cette diversité reflète à la fois la maturité du marché pour les molécules récentes (mométasone, fluticasone) et la contraction de l'offre pour les molécules plus anciennes.</w:t>
      </w:r>
    </w:p>
    <w:p>
      <w:pPr>
        <w:pStyle w:val="Heading3"/>
      </w:pPr>
      <w:r>
        <w:t>122.4.2 DCI : Mométasone (furoate topique)</w:t>
      </w:r>
    </w:p>
    <w:p>
      <w:r/>
      <w:r>
        <w:rPr>
          <w:b/>
        </w:rPr>
        <w:t>Liste des Catégories :</w:t>
      </w:r>
      <w:r>
        <w:t xml:space="preserve"> Liste I (formes dermiques).</w:t>
      </w:r>
    </w:p>
    <w:p>
      <w:r>
        <w:t>Le furoate de mométasone est un corticoïde de synthèse de structure pregn-4-ène-3,20-dione substitué en 9α-chloro, 11β-hydroxy, 16α-méthyl, 17α-propionyloxy, 21-chloro, avec un ester furoate en C17. Cette substitution originale (chlore en 9α et non fluor, ester furoate) lui confère une activité anti-inflammatoire locale élevée avec une faible absorption systémique (le furoate étant rapidement hydrolysé dans le foie en métabolites inactifs). Commercialisé initialement par Schering-Plough (Elocon®, Nasonex®), il est largement disponible en Algérie en formes dermiques et nasales. La particularité pharmacologique principale est son effet rémanent : une application par jour suffit à maintenir l'effet anti-inflammatoire sur 24 heures, ce qui simplifie l'observance et réduit la quantité totale appliquée. Sa tolérance locale est bonne, avec un profil d'atrophie cutanée moindre que celui de la bétaméthasone à puissance équivalente.</w:t>
      </w:r>
    </w:p>
    <w:p>
      <w:r/>
      <w:r>
        <w:rPr>
          <w:b/>
        </w:rPr>
        <w:t>Médicaments disponibles en Algérie (tableau commercial) :</w:t>
      </w:r>
      <w:r/>
    </w:p>
    <w:p>
      <w:r>
        <w:t>Formes dermiques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CORTISAF</w:t>
            </w:r>
          </w:p>
        </w:tc>
        <w:tc>
          <w:tcPr>
            <w:tcW w:type="dxa" w:w="1559"/>
          </w:tcPr>
          <w:p>
            <w:r>
              <w:rPr>
                <w:sz w:val="20"/>
              </w:rPr>
              <w:t>JAMJOOM PHARMACEUTICAL INDUSTRY</w:t>
            </w:r>
          </w:p>
        </w:tc>
        <w:tc>
          <w:tcPr>
            <w:tcW w:type="dxa" w:w="1559"/>
          </w:tcPr>
          <w:p>
            <w:r>
              <w:rPr>
                <w:sz w:val="20"/>
              </w:rPr>
              <w:t>Crème dermique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TOPOCORT</w:t>
            </w:r>
          </w:p>
        </w:tc>
        <w:tc>
          <w:tcPr>
            <w:tcW w:type="dxa" w:w="1559"/>
          </w:tcPr>
          <w:p>
            <w:r>
              <w:rPr>
                <w:sz w:val="20"/>
              </w:rPr>
              <w:t>BEIT JALA PHARMACEUTICALS COMPANY</w:t>
            </w:r>
          </w:p>
        </w:tc>
        <w:tc>
          <w:tcPr>
            <w:tcW w:type="dxa" w:w="1559"/>
          </w:tcPr>
          <w:p>
            <w:r>
              <w:rPr>
                <w:sz w:val="20"/>
              </w:rPr>
              <w:t>Crème dermique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DERMOSAF</w:t>
            </w:r>
          </w:p>
        </w:tc>
        <w:tc>
          <w:tcPr>
            <w:tcW w:type="dxa" w:w="1559"/>
          </w:tcPr>
          <w:p>
            <w:r>
              <w:rPr>
                <w:sz w:val="20"/>
              </w:rPr>
              <w:t>NOVAPHARM TRADING</w:t>
            </w:r>
          </w:p>
        </w:tc>
        <w:tc>
          <w:tcPr>
            <w:tcW w:type="dxa" w:w="1559"/>
          </w:tcPr>
          <w:p>
            <w:r>
              <w:rPr>
                <w:sz w:val="20"/>
              </w:rPr>
              <w:t>Crème dermique 0,1 % (mométasone furoate monohydratée)</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MESONE</w:t>
            </w:r>
          </w:p>
        </w:tc>
        <w:tc>
          <w:tcPr>
            <w:tcW w:type="dxa" w:w="1559"/>
          </w:tcPr>
          <w:p>
            <w:r>
              <w:rPr>
                <w:sz w:val="20"/>
              </w:rPr>
              <w:t>PHILADELPHIA PHARMACEUTICALS</w:t>
            </w:r>
          </w:p>
        </w:tc>
        <w:tc>
          <w:tcPr>
            <w:tcW w:type="dxa" w:w="1559"/>
          </w:tcPr>
          <w:p>
            <w:r>
              <w:rPr>
                <w:sz w:val="20"/>
              </w:rPr>
              <w:t>Crème dermique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CORSALIC</w:t>
            </w:r>
          </w:p>
        </w:tc>
        <w:tc>
          <w:tcPr>
            <w:tcW w:type="dxa" w:w="1559"/>
          </w:tcPr>
          <w:p>
            <w:r>
              <w:rPr>
                <w:sz w:val="20"/>
              </w:rPr>
              <w:t>JAMJOOM PHARMACEUTICAL INDUSTRY</w:t>
            </w:r>
          </w:p>
        </w:tc>
        <w:tc>
          <w:tcPr>
            <w:tcW w:type="dxa" w:w="1559"/>
          </w:tcPr>
          <w:p>
            <w:r>
              <w:rPr>
                <w:sz w:val="20"/>
              </w:rPr>
              <w:t>Pommade dermique (mométasone furoate monohydraté 0,1 % + acide salicylique 5 %)</w:t>
            </w:r>
          </w:p>
        </w:tc>
        <w:tc>
          <w:tcPr>
            <w:tcW w:type="dxa" w:w="1559"/>
          </w:tcPr>
          <w:p>
            <w:r>
              <w:rPr>
                <w:sz w:val="20"/>
              </w:rPr>
              <w:t>Tube 30 g</w:t>
            </w:r>
          </w:p>
        </w:tc>
        <w:tc>
          <w:tcPr>
            <w:tcW w:type="dxa" w:w="1559"/>
          </w:tcPr>
          <w:p>
            <w:r>
              <w:rPr>
                <w:sz w:val="20"/>
              </w:rPr>
              <w:t>Liste I</w:t>
            </w:r>
          </w:p>
        </w:tc>
        <w:tc>
          <w:tcPr>
            <w:tcW w:type="dxa" w:w="1559"/>
          </w:tcPr>
          <w:p>
            <w:r>
              <w:rPr>
                <w:sz w:val="20"/>
              </w:rPr>
              <w:t>Actif</w:t>
            </w:r>
          </w:p>
        </w:tc>
      </w:tr>
    </w:tbl>
    <w:p/>
    <w:p>
      <w:r>
        <w:t>Forme dermique non renouvelable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CORTISAF</w:t>
            </w:r>
          </w:p>
        </w:tc>
        <w:tc>
          <w:tcPr>
            <w:tcW w:type="dxa" w:w="1559"/>
          </w:tcPr>
          <w:p>
            <w:r>
              <w:rPr>
                <w:sz w:val="20"/>
              </w:rPr>
              <w:t>JAMJOOM PHARMACEUTICAL INDUSTRY</w:t>
            </w:r>
          </w:p>
        </w:tc>
        <w:tc>
          <w:tcPr>
            <w:tcW w:type="dxa" w:w="1559"/>
          </w:tcPr>
          <w:p>
            <w:r>
              <w:rPr>
                <w:sz w:val="20"/>
              </w:rPr>
              <w:t>Pommade dermique 0,1 %</w:t>
            </w:r>
          </w:p>
        </w:tc>
        <w:tc>
          <w:tcPr>
            <w:tcW w:type="dxa" w:w="1559"/>
          </w:tcPr>
          <w:p>
            <w:r>
              <w:rPr>
                <w:sz w:val="20"/>
              </w:rPr>
              <w:t>Tube 30 g</w:t>
            </w:r>
          </w:p>
        </w:tc>
        <w:tc>
          <w:tcPr>
            <w:tcW w:type="dxa" w:w="1559"/>
          </w:tcPr>
          <w:p>
            <w:r>
              <w:rPr>
                <w:sz w:val="20"/>
              </w:rPr>
              <w:t>Liste I</w:t>
            </w:r>
          </w:p>
        </w:tc>
        <w:tc>
          <w:tcPr>
            <w:tcW w:type="dxa" w:w="1559"/>
          </w:tcPr>
          <w:p>
            <w:r>
              <w:rPr>
                <w:sz w:val="20"/>
              </w:rPr>
              <w:t>Non Renouvelable</w:t>
            </w:r>
          </w:p>
        </w:tc>
      </w:tr>
    </w:tbl>
    <w:p/>
    <w:p>
      <w:r>
        <w:t>Formes nasales actives (mentionnées pour mémoire, traitées en oto-rhino-laryngologie)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ETACID</w:t>
            </w:r>
          </w:p>
        </w:tc>
        <w:tc>
          <w:tcPr>
            <w:tcW w:type="dxa" w:w="1559"/>
          </w:tcPr>
          <w:p>
            <w:r>
              <w:rPr>
                <w:sz w:val="20"/>
              </w:rPr>
              <w:t>WORLD MEDECINE LIMITED</w:t>
            </w:r>
          </w:p>
        </w:tc>
        <w:tc>
          <w:tcPr>
            <w:tcW w:type="dxa" w:w="1559"/>
          </w:tcPr>
          <w:p>
            <w:r>
              <w:rPr>
                <w:sz w:val="20"/>
              </w:rPr>
              <w:t>Spray nasal 50 µg/dose</w:t>
            </w:r>
          </w:p>
        </w:tc>
        <w:tc>
          <w:tcPr>
            <w:tcW w:type="dxa" w:w="1559"/>
          </w:tcPr>
          <w:p>
            <w:r>
              <w:rPr>
                <w:sz w:val="20"/>
              </w:rPr>
              <w:t>Flacon 140 doses</w:t>
            </w:r>
          </w:p>
        </w:tc>
        <w:tc>
          <w:tcPr>
            <w:tcW w:type="dxa" w:w="1559"/>
          </w:tcPr>
          <w:p>
            <w:r>
              <w:rPr>
                <w:sz w:val="20"/>
              </w:rPr>
              <w:t>—</w:t>
            </w:r>
          </w:p>
        </w:tc>
        <w:tc>
          <w:tcPr>
            <w:tcW w:type="dxa" w:w="1559"/>
          </w:tcPr>
          <w:p>
            <w:r>
              <w:rPr>
                <w:sz w:val="20"/>
              </w:rPr>
              <w:t>Actif</w:t>
            </w:r>
          </w:p>
        </w:tc>
      </w:tr>
      <w:tr>
        <w:tc>
          <w:tcPr>
            <w:tcW w:type="dxa" w:w="1559"/>
          </w:tcPr>
          <w:p>
            <w:r>
              <w:rPr>
                <w:sz w:val="20"/>
              </w:rPr>
              <w:t>MEDONEX</w:t>
            </w:r>
          </w:p>
        </w:tc>
        <w:tc>
          <w:tcPr>
            <w:tcW w:type="dxa" w:w="1559"/>
          </w:tcPr>
          <w:p>
            <w:r>
              <w:rPr>
                <w:sz w:val="20"/>
              </w:rPr>
              <w:t>INPHA-MEDIS</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MOMENEX</w:t>
            </w:r>
          </w:p>
        </w:tc>
        <w:tc>
          <w:tcPr>
            <w:tcW w:type="dxa" w:w="1559"/>
          </w:tcPr>
          <w:p>
            <w:r>
              <w:rPr>
                <w:sz w:val="20"/>
              </w:rPr>
              <w:t>BIOGALENIC</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NASAMEX</w:t>
            </w:r>
          </w:p>
        </w:tc>
        <w:tc>
          <w:tcPr>
            <w:tcW w:type="dxa" w:w="1559"/>
          </w:tcPr>
          <w:p>
            <w:r>
              <w:rPr>
                <w:sz w:val="20"/>
              </w:rPr>
              <w:t>NEOMEDIC</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NASONEX</w:t>
            </w:r>
          </w:p>
        </w:tc>
        <w:tc>
          <w:tcPr>
            <w:tcW w:type="dxa" w:w="1559"/>
          </w:tcPr>
          <w:p>
            <w:r>
              <w:rPr>
                <w:sz w:val="20"/>
              </w:rPr>
              <w:t>SCHERING-PLOUGH</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NOVASPRAY</w:t>
            </w:r>
          </w:p>
        </w:tc>
        <w:tc>
          <w:tcPr>
            <w:tcW w:type="dxa" w:w="1559"/>
          </w:tcPr>
          <w:p>
            <w:r>
              <w:rPr>
                <w:sz w:val="20"/>
              </w:rPr>
              <w:t>NOVAPHARM TRADING</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RHINONEX</w:t>
            </w:r>
          </w:p>
        </w:tc>
        <w:tc>
          <w:tcPr>
            <w:tcW w:type="dxa" w:w="1559"/>
          </w:tcPr>
          <w:p>
            <w:r>
              <w:rPr>
                <w:sz w:val="20"/>
              </w:rPr>
              <w:t>HUPP PHARMA</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TASONEX</w:t>
            </w:r>
          </w:p>
        </w:tc>
        <w:tc>
          <w:tcPr>
            <w:tcW w:type="dxa" w:w="1559"/>
          </w:tcPr>
          <w:p>
            <w:r>
              <w:rPr>
                <w:sz w:val="20"/>
              </w:rPr>
              <w:t>TABUK ALGERIE</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bl>
    <w:p/>
    <w:p>
      <w:r>
        <w:t>La mométasone dermique est principalement disponible en crème 0,1 % (CORTISAF, TOPOCORT, DERMOSAF, MESONE), avec une spécialité associée à l'acide salicylique (CORSALIC) utile dans les dermatoses hyperkératosiques (psoriasis, lichen plan). L'absence de forme pommade pure active (CORTISAF pommade est non renouvelable) peut compliquer la prise en charge des lésions chroniques sèches, et le pharmacien peut être amené à proposer une substitution par une autre molécule de même palier (fluticasone, bétaméthasone) ou par la forme crème en fonction de la zone et de la sécheresse cutanée.</w:t>
      </w:r>
    </w:p>
    <w:p>
      <w:r/>
      <w:r>
        <w:rPr>
          <w:b/>
        </w:rPr>
        <w:t>Sous-classe et Mécanisme d'action :</w:t>
      </w:r>
      <w:r/>
    </w:p>
    <w:p>
      <w:pPr>
        <w:pStyle w:val="ListBullet"/>
      </w:pPr>
      <w:r>
        <w:t>Sous-classe : Dermocorticoïde de classe II–III (forte activité), corticoïde de synthèse chloré (non fluoré) en 9α, ester furoate en C17.</w:t>
      </w:r>
    </w:p>
    <w:p>
      <w:pPr>
        <w:pStyle w:val="ListBullet"/>
      </w:pPr>
      <w:r>
        <w:t>Mécanisme d'action : Le furoate de mométasone pénètre la couche cornée par diffusion passive, est hydrolysé partiellement par les estérases cutanées. La fraction inchangée se fixe avec une forte affinité sur le récepteur glucocorticoïde (GRα) cytosolique. Le complexe mométasone-GR transloque dans le noyau et se lie aux GRE, activant les gènes anti-inflammatoires (annexine-1, IκB-α) et réprimant les gènes pro-inflammatoires (cytokines IL-1, IL-2, IL-4, IL-5, IL-6, IL-13, TNF-α, GM-CSF, COX-2). Quatre effets cardinaux : anti-inflammatoire (inhibition de la phospholipase A2, baisse des prostaglandines et des leucotriènes), immunosuppresseur (inhibition de la migration leucocytaire et de la libération d'histamine), vasoconstricteur (blanchiment cutané), antiprolifératif modéré. L'effet rémanent s'explique par une forte affinité de liaison au GR (demi-vie de dissociation longue) et une rémanence locale (libération lente à partir du réservoir cutané). La biodisponibilité systémique est faible (&lt; 1 %) en raison d'un métabolisme hépatique rapide par la CYP3A4 en métabolites inactifs.</w:t>
      </w:r>
    </w:p>
    <w:p>
      <w:r/>
      <w:r>
        <w:rPr>
          <w:b/>
        </w:rPr>
        <w:t>Profil Pharmacologique :</w:t>
      </w:r>
      <w:r/>
    </w:p>
    <w:p>
      <w:pPr>
        <w:pStyle w:val="ListBullet"/>
      </w:pPr>
      <w:r>
        <w:t>Indications : Eczéma aigu et subaigu modéré à sévère, eczéma chronique non lichenifié, psoriasis modéré en plaques (sauf visage et plis), dyshidrose, lichen plan bénin, prurit lichenifié, dermatite séborrhéique récalcitrante du cuir chevelu, parapsoriasis, vitiligo en plaques en association courte avec les analogues de la vitamine D. Forme nasale : rhinite allergique saisonnière et perannuelle, polypose nasale.</w:t>
      </w:r>
    </w:p>
    <w:p>
      <w:pPr>
        <w:pStyle w:val="ListBullet"/>
      </w:pPr>
      <w:r>
        <w:t>Contre-indications : Hypersensibilité à la mométasone ou à l'un des excipients, infections cutanées bactériennes, virales (herpès, varicelle, zona), parasitaires, fongiques sans traitement associé, rosacée, dermatite périorale, acné vulgaris, ulcère de jambe, application sur le visage hors indication spécialisée, enfant de moins de 6 ans pour la forme dermique (et 2 ans pour la forme nasale), application sur les muqueuses et les organes génitaux, occlusion sauf avis dermatologique.</w:t>
      </w:r>
    </w:p>
    <w:p>
      <w:pPr>
        <w:pStyle w:val="ListBullet"/>
      </w:pPr>
      <w:r>
        <w:t>Spectre : Pas d'activité antibiotique propre. La forme nasale a une activité locale uniquement.</w:t>
      </w:r>
    </w:p>
    <w:p>
      <w:r/>
      <w:r>
        <w:rPr>
          <w:b/>
        </w:rPr>
        <w:t>Effets Indésirables :</w:t>
      </w:r>
      <w:r/>
    </w:p>
    <w:p>
      <w:pPr>
        <w:pStyle w:val="ListBullet"/>
      </w:pPr>
      <w:r/>
      <w:r>
        <w:rPr>
          <w:b/>
        </w:rPr>
        <w:t>Locaux précoces</w:t>
      </w:r>
      <w:r>
        <w:t xml:space="preserve"> : sensation de brûlure, prurit, irritation, folliculite, sécheresse cutanée.</w:t>
      </w:r>
    </w:p>
    <w:p>
      <w:pPr>
        <w:pStyle w:val="ListBullet"/>
      </w:pPr>
      <w:r/>
      <w:r>
        <w:rPr>
          <w:b/>
        </w:rPr>
        <w:t>Locaux tardifs</w:t>
      </w:r>
      <w:r>
        <w:t xml:space="preserve"> : atrophie cutanée (légèrement moindre que la bétaméthasone à puissance équivalente, en raison de l'effet rémanent et de la posologie en une application par jour), télangiectasies, purpura, vergetures, dermatite rosacéiforme, dermatite périorale, hypopigmentation transitoire.</w:t>
      </w:r>
    </w:p>
    <w:p>
      <w:pPr>
        <w:pStyle w:val="ListBullet"/>
      </w:pPr>
      <w:r/>
      <w:r>
        <w:rPr>
          <w:b/>
        </w:rPr>
        <w:t>Oculaires</w:t>
      </w:r>
      <w:r>
        <w:t xml:space="preserve"> : en cas d'application au visage : glaucome, cataracte.</w:t>
      </w:r>
    </w:p>
    <w:p>
      <w:pPr>
        <w:pStyle w:val="ListBullet"/>
      </w:pPr>
      <w:r/>
      <w:r>
        <w:rPr>
          <w:b/>
        </w:rPr>
        <w:t>Systémiques</w:t>
      </w:r>
      <w:r>
        <w:t xml:space="preserve"> : exceptionnels en usage normal, possibles en cas d'usage prolongé sur grande surface, sous occlusion, ou chez l'enfant.</w:t>
      </w:r>
    </w:p>
    <w:p>
      <w:pPr>
        <w:pStyle w:val="ListBullet"/>
      </w:pPr>
      <w:r/>
      <w:r>
        <w:rPr>
          <w:b/>
        </w:rPr>
        <w:t>Forme nasale</w:t>
      </w:r>
      <w:r>
        <w:t xml:space="preserve"> : épistaxis (5–10 %), irritation nasale, céphalées, sécheresse pharyngée, très rarement perforation de la cloison nasale en cas d'usage prolongé.</w:t>
      </w:r>
    </w:p>
    <w:p>
      <w:r/>
      <w:r>
        <w:rPr>
          <w:b/>
        </w:rPr>
        <w:t>Prévention et Gestion des Effets Indésirables :</w:t>
      </w:r>
      <w:r/>
    </w:p>
    <w:p>
      <w:pPr>
        <w:pStyle w:val="ListBullet"/>
      </w:pPr>
      <w:r>
        <w:t>Mesures préventives : Prescription initiale par médecin, durée maximale de 4 semaines en continu (la tolérance locale de la mométasone est meilleure que celle de la bétaméthasone), une seule application par jour (effet rémanent), respect du FTU, surveillance de la croissance et de la tension artérielle chez l'enfant, prudence chez la femme enceinte.</w:t>
      </w:r>
    </w:p>
    <w:p>
      <w:pPr>
        <w:pStyle w:val="ListBullet"/>
      </w:pPr>
      <w:r>
        <w:t>Conduite à tenir : Arrêt en cas d'inefficacité à 2–3 semaines, arrêt en cas d'atrophie ou de télangiectasies, sevrage progressif après 4 semaines. Pour la forme nasale : arrêt en cas d'épistaxis abondant, surveillance de la cloison nasale au-delà de 3 mois d'usage.</w:t>
      </w:r>
    </w:p>
    <w:p>
      <w:r/>
      <w:r>
        <w:rPr>
          <w:b/>
        </w:rPr>
        <w:t>Interactions Importantes :</w:t>
      </w:r>
      <w:r/>
    </w:p>
    <w:p>
      <w:pPr>
        <w:pStyle w:val="ListBullet"/>
      </w:pPr>
      <w:r>
        <w:t>Inhibiteurs du CYP3A4 (ritonavir, itraconazole, kétoconazole, clarithromycine) : augmentation des concentrations systémiques de mométasone (métabolisée par CYP3A4), à surveiller en particulier pour la forme nasale et en cas d'usage dermique prolongé.</w:t>
      </w:r>
    </w:p>
    <w:p>
      <w:pPr>
        <w:pStyle w:val="ListBullet"/>
      </w:pPr>
      <w:r>
        <w:t>Autres dermocorticoïdes : pas de cumul.</w:t>
      </w:r>
    </w:p>
    <w:p>
      <w:pPr>
        <w:pStyle w:val="ListBullet"/>
      </w:pPr>
      <w:r>
        <w:t>Vaccins vivants atténués : prudence en cas d'usage prolongé.</w:t>
      </w:r>
    </w:p>
    <w:p>
      <w:r/>
      <w:r>
        <w:rPr>
          <w:b/>
        </w:rPr>
        <w:t>Grossesse et Allaitement :</w:t>
      </w:r>
      <w:r/>
    </w:p>
    <w:p>
      <w:pPr>
        <w:pStyle w:val="ListBullet"/>
      </w:pPr>
      <w:r>
        <w:t>Grossesse : Selon le CRAT, la mométasone topique est considérée comme « utilisable avec prudence » au 2e et 3e trimestre sur surface limitée et durée courte. Au 1er trimestre, l'usage est déconseillé par précaution. La forme nasale est considérée comme compatible à tous les trimestres de la grossesse (faible biodisponibilité systémique).</w:t>
      </w:r>
    </w:p>
    <w:p>
      <w:pPr>
        <w:pStyle w:val="ListBullet"/>
      </w:pPr>
      <w:r>
        <w:t>Allaitement : Compatible en application ponctuelle sur surface limitée en dehors de la zone mammaire.</w:t>
      </w:r>
    </w:p>
    <w:p>
      <w:pPr>
        <w:pStyle w:val="ListBullet"/>
      </w:pPr>
      <w:r>
        <w:t>Précisions : La faible biodisponibilité systémique de la mométasone en fait un dermocorticoïde de choix chez la femme enceinte nécessitant un traitement localisé.</w:t>
      </w:r>
    </w:p>
    <w:p>
      <w:r/>
      <w:r>
        <w:rPr>
          <w:b/>
        </w:rPr>
        <w:t>Posologie et Mode d'administration (Standard) :</w:t>
      </w:r>
      <w:r/>
    </w:p>
    <w:p>
      <w:pPr>
        <w:pStyle w:val="ListBullet"/>
      </w:pPr>
      <w:r>
        <w:t>Adulte : 1 application par jour en couche fine (l'effet rémanent justifie la monoprise quotidienne). Durée maximale de 4 semaines en continu.</w:t>
      </w:r>
    </w:p>
    <w:p>
      <w:pPr>
        <w:pStyle w:val="ListBullet"/>
      </w:pPr>
      <w:r>
        <w:t>Enfant de plus de 6 ans : 1 application par jour, surface limitée, durée maximale de 3 semaines. Préférer un dermocorticoïde de palier inférieur chez l'enfant dès que possible.</w:t>
      </w:r>
    </w:p>
    <w:p>
      <w:pPr>
        <w:pStyle w:val="ListBullet"/>
      </w:pPr>
      <w:r>
        <w:t>Quantité maximale hebdomadaire : 100 g chez l'adulte ; 50 g chez l'enfant de plus de 12 ans.</w:t>
      </w:r>
    </w:p>
    <w:p>
      <w:pPr>
        <w:pStyle w:val="ListBullet"/>
      </w:pPr>
      <w:r>
        <w:t>Forme nasale : 2 pulvérisations dans chaque narine une fois par jour (200 µg/jour) chez l'adulte et l'enfant de plus de 12 ans ; 1 pulvérisation dans chaque narine (100 µg/jour) chez l'enfant de 2 à 12 ans.</w:t>
      </w:r>
    </w:p>
    <w:p>
      <w:pPr>
        <w:pStyle w:val="ListBullet"/>
      </w:pPr>
      <w:r>
        <w:t>Mode d'application : lavage préalable des mains, application sur peau sèche et propre, massage doux, lavage des mains après.</w:t>
      </w:r>
    </w:p>
    <w:p>
      <w:r/>
      <w:r>
        <w:rPr>
          <w:b/>
        </w:rPr>
        <w:t>Arbitrage et Bénéfices des Formes Galéniques :</w:t>
      </w:r>
      <w:r/>
    </w:p>
    <w:p>
      <w:r>
        <w:t>La crème est indiquée en phase aiguë et subaiguë sur peau glabre. La pommade (CORSALIC avec acide salicylique) est indiquée pour les lésions hyperkératosiques (psoriasis en plaques épaisses, lichen plan). L'absence de forme lotion limite l'usage sur cuir chevelu (la forme nasale ne convient pas à cette indication). Le choix de la spécialité repose sur la zone, la sévérité de la lésion, la disponibilité et le coût. CORTISAF, TOPOCORT, DERMOSAF et MESONE sont équivalents en termes d'efficacité.</w:t>
      </w:r>
    </w:p>
    <w:p>
      <w:r/>
      <w:r>
        <w:rPr>
          <w:b/>
        </w:rPr>
        <w:t>Instructions et Conseils au Patient :</w:t>
      </w:r>
      <w:r/>
    </w:p>
    <w:p>
      <w:pPr>
        <w:pStyle w:val="ListBullet"/>
      </w:pPr>
      <w:r>
        <w:t>Communication au comptoir : Rappeler qu'il s'agit d'un dermocorticoïde puissant, à utiliser uniquement sur la zone prescrite, en une seule application par jour (avantage de la mométasone), pendant la durée prescrite. Insister sur l'interdiction d'application sur le visage, les plis, les muqueuses sans prescription.</w:t>
      </w:r>
    </w:p>
    <w:p>
      <w:pPr>
        <w:pStyle w:val="ListBullet"/>
      </w:pPr>
      <w:r>
        <w:t>Mode d'utilisation pratique : FTU pour quantifier l'application. Lavage des mains avant et après. Pas d'occlusion. Éviter le contact avec les yeux. Conserver à température ≤ 25 °C, jeter après 3 mois d'ouverture.</w:t>
      </w:r>
    </w:p>
    <w:p>
      <w:pPr>
        <w:pStyle w:val="ListBullet"/>
      </w:pPr>
      <w:r>
        <w:t>Information sur les signes d'alerte : amincissement cutané, vaisseaux visibles, vergetures, acné, rougeur péribuccale → arrêt et consultation.</w:t>
      </w:r>
    </w:p>
    <w:p>
      <w:r/>
      <w:r>
        <w:rPr>
          <w:b/>
        </w:rPr>
        <w:t>Notes, Règles d'Or &amp; Pièges au Comptoir :</w:t>
      </w:r>
      <w:r/>
    </w:p>
    <w:p>
      <w:pPr>
        <w:pStyle w:val="ListBullet"/>
      </w:pPr>
      <w:r>
        <w:t>Piège classique : Patient appliquant de la mométasone sur grande surface (&gt; 30 %) pendant 6 semaines → syndrome de Cushing iatrogène possible. Le pharmacien doit alerter sur la quantité et la durée.</w:t>
      </w:r>
    </w:p>
    <w:p>
      <w:pPr>
        <w:pStyle w:val="ListBullet"/>
      </w:pPr>
      <w:r>
        <w:t>Règle d'or : « Une application par jour suffit — ne pas doubler la dose en cas d'oubli. »</w:t>
      </w:r>
    </w:p>
    <w:p>
      <w:pPr>
        <w:pStyle w:val="ListBullet"/>
      </w:pPr>
      <w:r>
        <w:t>Préparation et Conservation : Tube fermé, à température ≤ 25 °C, à l'abri de la lumière. Ne pas congeler.</w:t>
      </w:r>
    </w:p>
    <w:p>
      <w:pPr>
        <w:pStyle w:val="ListBullet"/>
      </w:pPr>
      <w:r>
        <w:t>Piège de substitution : En cas d'indisponibilité de la forme crème, ne pas substituer par la forme nasale (qui n'est pas prévue pour l'application cutanée). Proposer une alternative de même palier (fluticasone propionate ou bétaméthasone valérate).</w:t>
      </w:r>
    </w:p>
    <w:p>
      <w:pPr>
        <w:pStyle w:val="ListBullet"/>
      </w:pPr>
      <w:r>
        <w:t>Piège du sevrage : Sevrage progressif systématique après 4 semaines d'usage quotidien.</w:t>
      </w:r>
    </w:p>
    <w:p>
      <w:pPr>
        <w:pStyle w:val="Heading3"/>
      </w:pPr>
      <w:r>
        <w:t>122.4.3 DCI : Fluticasone (propionate/furoate topique)</w:t>
      </w:r>
    </w:p>
    <w:p>
      <w:r/>
      <w:r>
        <w:rPr>
          <w:b/>
        </w:rPr>
        <w:t>Liste des Catégories :</w:t>
      </w:r>
      <w:r>
        <w:t xml:space="preserve"> Liste I (toutes formes).</w:t>
      </w:r>
    </w:p>
    <w:p>
      <w:r>
        <w:t>La fluticasone est un corticoïde de synthèse fluoré en 9α et 6α, substitué en 17α-propionate ou 17α-furoate. Sa particularité pharmacologique majeure est sa très faible biodisponibilité systémique (&lt; 1 %) due à un métabolisme hépatique de premier passage quasi complet par la CYP3A4 en métabolite inactif (acide 17β-carboxylique). Cette propriété en fait le corticoïde topique de référence pour les voies inhalée (asthme) et nasale (rhinite allergique), et un dermocorticoïde de choix en cas de nécessité d'usage prolongé ou chez l'enfant. Le propionate (classé en classe III américaine) est utilisé en dermologie depuis 1993 ; le furoate (classe II américaine) est plus récent et plus lipophile. En Algérie, la fluticasone dermique pure n'est pas disponible (la spécialité Cutivate® n'est pas commercialisée), mais les formes inhalées et nasales sont très présentes.</w:t>
      </w:r>
    </w:p>
    <w:p>
      <w:r/>
      <w:r>
        <w:rPr>
          <w:b/>
        </w:rPr>
        <w:t>Médicaments disponibles en Algérie (tableau commercial) :</w:t>
      </w:r>
      <w:r/>
    </w:p>
    <w:p>
      <w:r>
        <w:t>Formes inhalées actives (mentionnées pour mémoire, traitées en pneumologie)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FLIXOTIDE</w:t>
            </w:r>
          </w:p>
        </w:tc>
        <w:tc>
          <w:tcPr>
            <w:tcW w:type="dxa" w:w="1559"/>
          </w:tcPr>
          <w:p>
            <w:r>
              <w:rPr>
                <w:sz w:val="20"/>
              </w:rPr>
              <w:t>GLAXOSMITHKLINE</w:t>
            </w:r>
          </w:p>
        </w:tc>
        <w:tc>
          <w:tcPr>
            <w:tcW w:type="dxa" w:w="1559"/>
          </w:tcPr>
          <w:p>
            <w:r>
              <w:rPr>
                <w:sz w:val="20"/>
              </w:rPr>
              <w:t>Suspension inhalée buccale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FLOHALE HFA 50 INHALER</w:t>
            </w:r>
          </w:p>
        </w:tc>
        <w:tc>
          <w:tcPr>
            <w:tcW w:type="dxa" w:w="1559"/>
          </w:tcPr>
          <w:p>
            <w:r>
              <w:rPr>
                <w:sz w:val="20"/>
              </w:rPr>
              <w:t>CIPLA LIMITED</w:t>
            </w:r>
          </w:p>
        </w:tc>
        <w:tc>
          <w:tcPr>
            <w:tcW w:type="dxa" w:w="1559"/>
          </w:tcPr>
          <w:p>
            <w:r>
              <w:rPr>
                <w:sz w:val="20"/>
              </w:rPr>
              <w:t>Suspension inhalée buccale en spray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FLIXOTIDE</w:t>
            </w:r>
          </w:p>
        </w:tc>
        <w:tc>
          <w:tcPr>
            <w:tcW w:type="dxa" w:w="1559"/>
          </w:tcPr>
          <w:p>
            <w:r>
              <w:rPr>
                <w:sz w:val="20"/>
              </w:rPr>
              <w:t>GLAXOSMITHKLINE</w:t>
            </w:r>
          </w:p>
        </w:tc>
        <w:tc>
          <w:tcPr>
            <w:tcW w:type="dxa" w:w="1559"/>
          </w:tcPr>
          <w:p>
            <w:r>
              <w:rPr>
                <w:sz w:val="20"/>
              </w:rPr>
              <w:t>Suspension inhalée buccale 125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FLOHALE HFA 125</w:t>
            </w:r>
          </w:p>
        </w:tc>
        <w:tc>
          <w:tcPr>
            <w:tcW w:type="dxa" w:w="1559"/>
          </w:tcPr>
          <w:p>
            <w:r>
              <w:rPr>
                <w:sz w:val="20"/>
              </w:rPr>
              <w:t>CIPLA LIMITED</w:t>
            </w:r>
          </w:p>
        </w:tc>
        <w:tc>
          <w:tcPr>
            <w:tcW w:type="dxa" w:w="1559"/>
          </w:tcPr>
          <w:p>
            <w:r>
              <w:rPr>
                <w:sz w:val="20"/>
              </w:rPr>
              <w:t>Suspension inhalée buccale en spray 125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FLIXOTIDE</w:t>
            </w:r>
          </w:p>
        </w:tc>
        <w:tc>
          <w:tcPr>
            <w:tcW w:type="dxa" w:w="1559"/>
          </w:tcPr>
          <w:p>
            <w:r>
              <w:rPr>
                <w:sz w:val="20"/>
              </w:rPr>
              <w:t>GLAXOSMITHKLINE</w:t>
            </w:r>
          </w:p>
        </w:tc>
        <w:tc>
          <w:tcPr>
            <w:tcW w:type="dxa" w:w="1559"/>
          </w:tcPr>
          <w:p>
            <w:r>
              <w:rPr>
                <w:sz w:val="20"/>
              </w:rPr>
              <w:t>Suspension inhalée buccale 250 µg/dose</w:t>
            </w:r>
          </w:p>
        </w:tc>
        <w:tc>
          <w:tcPr>
            <w:tcW w:type="dxa" w:w="1559"/>
          </w:tcPr>
          <w:p>
            <w:r>
              <w:rPr>
                <w:sz w:val="20"/>
              </w:rPr>
              <w:t>Flacon 60 doses</w:t>
            </w:r>
          </w:p>
        </w:tc>
        <w:tc>
          <w:tcPr>
            <w:tcW w:type="dxa" w:w="1559"/>
          </w:tcPr>
          <w:p>
            <w:r>
              <w:rPr>
                <w:sz w:val="20"/>
              </w:rPr>
              <w:t>Liste I</w:t>
            </w:r>
          </w:p>
        </w:tc>
        <w:tc>
          <w:tcPr>
            <w:tcW w:type="dxa" w:w="1559"/>
          </w:tcPr>
          <w:p>
            <w:r>
              <w:rPr>
                <w:sz w:val="20"/>
              </w:rPr>
              <w:t>Actif</w:t>
            </w:r>
          </w:p>
        </w:tc>
      </w:tr>
      <w:tr>
        <w:tc>
          <w:tcPr>
            <w:tcW w:type="dxa" w:w="1559"/>
          </w:tcPr>
          <w:p>
            <w:r>
              <w:rPr>
                <w:sz w:val="20"/>
              </w:rPr>
              <w:t>FLOHALE HFA 250</w:t>
            </w:r>
          </w:p>
        </w:tc>
        <w:tc>
          <w:tcPr>
            <w:tcW w:type="dxa" w:w="1559"/>
          </w:tcPr>
          <w:p>
            <w:r>
              <w:rPr>
                <w:sz w:val="20"/>
              </w:rPr>
              <w:t>CIPLA LIMITED</w:t>
            </w:r>
          </w:p>
        </w:tc>
        <w:tc>
          <w:tcPr>
            <w:tcW w:type="dxa" w:w="1559"/>
          </w:tcPr>
          <w:p>
            <w:r>
              <w:rPr>
                <w:sz w:val="20"/>
              </w:rPr>
              <w:t>Suspension inhalée buccale en spray 250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bl>
    <w:p/>
    <w:p>
      <w:r>
        <w:t>Formes inhalées associées (fluticasone + salméterol)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SERETIDE DISKUS</w:t>
            </w:r>
          </w:p>
        </w:tc>
        <w:tc>
          <w:tcPr>
            <w:tcW w:type="dxa" w:w="1559"/>
          </w:tcPr>
          <w:p>
            <w:r>
              <w:rPr>
                <w:sz w:val="20"/>
              </w:rPr>
              <w:t>GLAXO WELLCOME UK LIMITED</w:t>
            </w:r>
          </w:p>
        </w:tc>
        <w:tc>
          <w:tcPr>
            <w:tcW w:type="dxa" w:w="1559"/>
          </w:tcPr>
          <w:p>
            <w:r>
              <w:rPr>
                <w:sz w:val="20"/>
              </w:rPr>
              <w:t>Poudre pour inhalation 100 µg/50 µg/dose</w:t>
            </w:r>
          </w:p>
        </w:tc>
        <w:tc>
          <w:tcPr>
            <w:tcW w:type="dxa" w:w="1559"/>
          </w:tcPr>
          <w:p>
            <w:r>
              <w:rPr>
                <w:sz w:val="20"/>
              </w:rPr>
              <w:t>Flacon 60 doses</w:t>
            </w:r>
          </w:p>
        </w:tc>
        <w:tc>
          <w:tcPr>
            <w:tcW w:type="dxa" w:w="1559"/>
          </w:tcPr>
          <w:p>
            <w:r>
              <w:rPr>
                <w:sz w:val="20"/>
              </w:rPr>
              <w:t>Liste I</w:t>
            </w:r>
          </w:p>
        </w:tc>
        <w:tc>
          <w:tcPr>
            <w:tcW w:type="dxa" w:w="1559"/>
          </w:tcPr>
          <w:p>
            <w:r>
              <w:rPr>
                <w:sz w:val="20"/>
              </w:rPr>
              <w:t>Actif</w:t>
            </w:r>
          </w:p>
        </w:tc>
      </w:tr>
      <w:tr>
        <w:tc>
          <w:tcPr>
            <w:tcW w:type="dxa" w:w="1559"/>
          </w:tcPr>
          <w:p>
            <w:r>
              <w:rPr>
                <w:sz w:val="20"/>
              </w:rPr>
              <w:t>SERETIDE DISKUS</w:t>
            </w:r>
          </w:p>
        </w:tc>
        <w:tc>
          <w:tcPr>
            <w:tcW w:type="dxa" w:w="1559"/>
          </w:tcPr>
          <w:p>
            <w:r>
              <w:rPr>
                <w:sz w:val="20"/>
              </w:rPr>
              <w:t>GLAXO WELLCOME UK LIMITED</w:t>
            </w:r>
          </w:p>
        </w:tc>
        <w:tc>
          <w:tcPr>
            <w:tcW w:type="dxa" w:w="1559"/>
          </w:tcPr>
          <w:p>
            <w:r>
              <w:rPr>
                <w:sz w:val="20"/>
              </w:rPr>
              <w:t>Poudre pour inhalation 250 µg/50 µg/dose</w:t>
            </w:r>
          </w:p>
        </w:tc>
        <w:tc>
          <w:tcPr>
            <w:tcW w:type="dxa" w:w="1559"/>
          </w:tcPr>
          <w:p>
            <w:r>
              <w:rPr>
                <w:sz w:val="20"/>
              </w:rPr>
              <w:t>Flacon 60 doses</w:t>
            </w:r>
          </w:p>
        </w:tc>
        <w:tc>
          <w:tcPr>
            <w:tcW w:type="dxa" w:w="1559"/>
          </w:tcPr>
          <w:p>
            <w:r>
              <w:rPr>
                <w:sz w:val="20"/>
              </w:rPr>
              <w:t>Liste I</w:t>
            </w:r>
          </w:p>
        </w:tc>
        <w:tc>
          <w:tcPr>
            <w:tcW w:type="dxa" w:w="1559"/>
          </w:tcPr>
          <w:p>
            <w:r>
              <w:rPr>
                <w:sz w:val="20"/>
              </w:rPr>
              <w:t>Actif</w:t>
            </w:r>
          </w:p>
        </w:tc>
      </w:tr>
      <w:tr>
        <w:tc>
          <w:tcPr>
            <w:tcW w:type="dxa" w:w="1559"/>
          </w:tcPr>
          <w:p>
            <w:r>
              <w:rPr>
                <w:sz w:val="20"/>
              </w:rPr>
              <w:t>SERETIDE DISKUS</w:t>
            </w:r>
          </w:p>
        </w:tc>
        <w:tc>
          <w:tcPr>
            <w:tcW w:type="dxa" w:w="1559"/>
          </w:tcPr>
          <w:p>
            <w:r>
              <w:rPr>
                <w:sz w:val="20"/>
              </w:rPr>
              <w:t>GLAXO WELLCOME UK LIMITED</w:t>
            </w:r>
          </w:p>
        </w:tc>
        <w:tc>
          <w:tcPr>
            <w:tcW w:type="dxa" w:w="1559"/>
          </w:tcPr>
          <w:p>
            <w:r>
              <w:rPr>
                <w:sz w:val="20"/>
              </w:rPr>
              <w:t>Poudre pour inhalation 500 µg/50 µg/dose</w:t>
            </w:r>
          </w:p>
        </w:tc>
        <w:tc>
          <w:tcPr>
            <w:tcW w:type="dxa" w:w="1559"/>
          </w:tcPr>
          <w:p>
            <w:r>
              <w:rPr>
                <w:sz w:val="20"/>
              </w:rPr>
              <w:t>Flacon 60 doses</w:t>
            </w:r>
          </w:p>
        </w:tc>
        <w:tc>
          <w:tcPr>
            <w:tcW w:type="dxa" w:w="1559"/>
          </w:tcPr>
          <w:p>
            <w:r>
              <w:rPr>
                <w:sz w:val="20"/>
              </w:rPr>
              <w:t>Liste I</w:t>
            </w:r>
          </w:p>
        </w:tc>
        <w:tc>
          <w:tcPr>
            <w:tcW w:type="dxa" w:w="1559"/>
          </w:tcPr>
          <w:p>
            <w:r>
              <w:rPr>
                <w:sz w:val="20"/>
              </w:rPr>
              <w:t>Actif</w:t>
            </w:r>
          </w:p>
        </w:tc>
      </w:tr>
      <w:tr>
        <w:tc>
          <w:tcPr>
            <w:tcW w:type="dxa" w:w="1559"/>
          </w:tcPr>
          <w:p>
            <w:r>
              <w:rPr>
                <w:sz w:val="20"/>
              </w:rPr>
              <w:t>BREQUAL</w:t>
            </w:r>
          </w:p>
        </w:tc>
        <w:tc>
          <w:tcPr>
            <w:tcW w:type="dxa" w:w="1559"/>
          </w:tcPr>
          <w:p>
            <w:r>
              <w:rPr>
                <w:sz w:val="20"/>
              </w:rPr>
              <w:t>ABDI IBRAHIM ILAÇ SANAYI VE TICARET A.Ş</w:t>
            </w:r>
          </w:p>
        </w:tc>
        <w:tc>
          <w:tcPr>
            <w:tcW w:type="dxa" w:w="1559"/>
          </w:tcPr>
          <w:p>
            <w:r>
              <w:rPr>
                <w:sz w:val="20"/>
              </w:rPr>
              <w:t>Capsules contenant poudre pour inhalation 100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BREQUAL</w:t>
            </w:r>
          </w:p>
        </w:tc>
        <w:tc>
          <w:tcPr>
            <w:tcW w:type="dxa" w:w="1559"/>
          </w:tcPr>
          <w:p>
            <w:r>
              <w:rPr>
                <w:sz w:val="20"/>
              </w:rPr>
              <w:t>ABDI IBRAHIM ILAÇ SANAYI VE TICARET A.Ş</w:t>
            </w:r>
          </w:p>
        </w:tc>
        <w:tc>
          <w:tcPr>
            <w:tcW w:type="dxa" w:w="1559"/>
          </w:tcPr>
          <w:p>
            <w:r>
              <w:rPr>
                <w:sz w:val="20"/>
              </w:rPr>
              <w:t>Capsules contenant poudre pour inhalation 250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BREQUAL</w:t>
            </w:r>
          </w:p>
        </w:tc>
        <w:tc>
          <w:tcPr>
            <w:tcW w:type="dxa" w:w="1559"/>
          </w:tcPr>
          <w:p>
            <w:r>
              <w:rPr>
                <w:sz w:val="20"/>
              </w:rPr>
              <w:t>ABDI IBRAHIM ILAÇ SANAYI VE TICARET A.Ş</w:t>
            </w:r>
          </w:p>
        </w:tc>
        <w:tc>
          <w:tcPr>
            <w:tcW w:type="dxa" w:w="1559"/>
          </w:tcPr>
          <w:p>
            <w:r>
              <w:rPr>
                <w:sz w:val="20"/>
              </w:rPr>
              <w:t>Capsules contenant poudre pour inhalation 500 µg/50 µg</w:t>
            </w:r>
          </w:p>
        </w:tc>
        <w:tc>
          <w:tcPr>
            <w:tcW w:type="dxa" w:w="1559"/>
          </w:tcPr>
          <w:p>
            <w:r>
              <w:rPr>
                <w:sz w:val="20"/>
              </w:rPr>
              <w:t>Boîte 60 + inhalateur</w:t>
            </w:r>
          </w:p>
        </w:tc>
        <w:tc>
          <w:tcPr>
            <w:tcW w:type="dxa" w:w="1559"/>
          </w:tcPr>
          <w:p>
            <w:r>
              <w:rPr>
                <w:sz w:val="20"/>
              </w:rPr>
              <w:t>Liste I</w:t>
            </w:r>
          </w:p>
        </w:tc>
        <w:tc>
          <w:tcPr>
            <w:tcW w:type="dxa" w:w="1559"/>
          </w:tcPr>
          <w:p>
            <w:r>
              <w:rPr>
                <w:sz w:val="20"/>
              </w:rPr>
              <w:t>Actif</w:t>
            </w:r>
          </w:p>
        </w:tc>
      </w:tr>
      <w:tr>
        <w:tc>
          <w:tcPr>
            <w:tcW w:type="dxa" w:w="1559"/>
          </w:tcPr>
          <w:p>
            <w:r>
              <w:rPr>
                <w:sz w:val="20"/>
              </w:rPr>
              <w:t>RESPYTID PLUS</w:t>
            </w:r>
          </w:p>
        </w:tc>
        <w:tc>
          <w:tcPr>
            <w:tcW w:type="dxa" w:w="1559"/>
          </w:tcPr>
          <w:p>
            <w:r>
              <w:rPr>
                <w:sz w:val="20"/>
              </w:rPr>
              <w:t>INPHA-MEDIS</w:t>
            </w:r>
          </w:p>
        </w:tc>
        <w:tc>
          <w:tcPr>
            <w:tcW w:type="dxa" w:w="1559"/>
          </w:tcPr>
          <w:p>
            <w:r>
              <w:rPr>
                <w:sz w:val="20"/>
              </w:rPr>
              <w:t>Poudre pour inhalation en gélules + inhalateur 100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RESPYTID PLUS</w:t>
            </w:r>
          </w:p>
        </w:tc>
        <w:tc>
          <w:tcPr>
            <w:tcW w:type="dxa" w:w="1559"/>
          </w:tcPr>
          <w:p>
            <w:r>
              <w:rPr>
                <w:sz w:val="20"/>
              </w:rPr>
              <w:t>INPHA-MEDIS</w:t>
            </w:r>
          </w:p>
        </w:tc>
        <w:tc>
          <w:tcPr>
            <w:tcW w:type="dxa" w:w="1559"/>
          </w:tcPr>
          <w:p>
            <w:r>
              <w:rPr>
                <w:sz w:val="20"/>
              </w:rPr>
              <w:t>Poudre pour inhalation en gélules + inhalateur 250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RESPYTID PLUS</w:t>
            </w:r>
          </w:p>
        </w:tc>
        <w:tc>
          <w:tcPr>
            <w:tcW w:type="dxa" w:w="1559"/>
          </w:tcPr>
          <w:p>
            <w:r>
              <w:rPr>
                <w:sz w:val="20"/>
              </w:rPr>
              <w:t>INPHA-MEDIS</w:t>
            </w:r>
          </w:p>
        </w:tc>
        <w:tc>
          <w:tcPr>
            <w:tcW w:type="dxa" w:w="1559"/>
          </w:tcPr>
          <w:p>
            <w:r>
              <w:rPr>
                <w:sz w:val="20"/>
              </w:rPr>
              <w:t>Poudre pour inhalation en gélules + inhalateur 500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SALFLUZON</w:t>
            </w:r>
          </w:p>
        </w:tc>
        <w:tc>
          <w:tcPr>
            <w:tcW w:type="dxa" w:w="1559"/>
          </w:tcPr>
          <w:p>
            <w:r>
              <w:rPr>
                <w:sz w:val="20"/>
              </w:rPr>
              <w:t>BIOLOGIE ET VITAMINE D'ALGERIE BIOVITAL</w:t>
            </w:r>
          </w:p>
        </w:tc>
        <w:tc>
          <w:tcPr>
            <w:tcW w:type="dxa" w:w="1559"/>
          </w:tcPr>
          <w:p>
            <w:r>
              <w:rPr>
                <w:sz w:val="20"/>
              </w:rPr>
              <w:t>Poudre pour inhalation en gélules + inhalateur 100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SALFLUZON</w:t>
            </w:r>
          </w:p>
        </w:tc>
        <w:tc>
          <w:tcPr>
            <w:tcW w:type="dxa" w:w="1559"/>
          </w:tcPr>
          <w:p>
            <w:r>
              <w:rPr>
                <w:sz w:val="20"/>
              </w:rPr>
              <w:t>BIOLOGIE ET VITAMINE D'ALGERIE BIOVITAL</w:t>
            </w:r>
          </w:p>
        </w:tc>
        <w:tc>
          <w:tcPr>
            <w:tcW w:type="dxa" w:w="1559"/>
          </w:tcPr>
          <w:p>
            <w:r>
              <w:rPr>
                <w:sz w:val="20"/>
              </w:rPr>
              <w:t>Capsules poudre pour inhalation 250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SALFLUZON</w:t>
            </w:r>
          </w:p>
        </w:tc>
        <w:tc>
          <w:tcPr>
            <w:tcW w:type="dxa" w:w="1559"/>
          </w:tcPr>
          <w:p>
            <w:r>
              <w:rPr>
                <w:sz w:val="20"/>
              </w:rPr>
              <w:t>BIOLOGIE ET VITAMINE D'ALGERIE BIOVITAL</w:t>
            </w:r>
          </w:p>
        </w:tc>
        <w:tc>
          <w:tcPr>
            <w:tcW w:type="dxa" w:w="1559"/>
          </w:tcPr>
          <w:p>
            <w:r>
              <w:rPr>
                <w:sz w:val="20"/>
              </w:rPr>
              <w:t>Poudre pour inhalation en gélules 500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r>
        <w:tc>
          <w:tcPr>
            <w:tcW w:type="dxa" w:w="1559"/>
          </w:tcPr>
          <w:p>
            <w:r>
              <w:rPr>
                <w:sz w:val="20"/>
              </w:rPr>
              <w:t>SEROFLO</w:t>
            </w:r>
          </w:p>
        </w:tc>
        <w:tc>
          <w:tcPr>
            <w:tcW w:type="dxa" w:w="1559"/>
          </w:tcPr>
          <w:p>
            <w:r>
              <w:rPr>
                <w:sz w:val="20"/>
              </w:rPr>
              <w:t>BIOPHARM</w:t>
            </w:r>
          </w:p>
        </w:tc>
        <w:tc>
          <w:tcPr>
            <w:tcW w:type="dxa" w:w="1559"/>
          </w:tcPr>
          <w:p>
            <w:r>
              <w:rPr>
                <w:sz w:val="20"/>
              </w:rPr>
              <w:t>Poudre pour inhalation en gélules + inhalateur 100 µg/50 µg</w:t>
            </w:r>
          </w:p>
        </w:tc>
        <w:tc>
          <w:tcPr>
            <w:tcW w:type="dxa" w:w="1559"/>
          </w:tcPr>
          <w:p>
            <w:r>
              <w:rPr>
                <w:sz w:val="20"/>
              </w:rPr>
              <w:t>Boîte 30</w:t>
            </w:r>
          </w:p>
        </w:tc>
        <w:tc>
          <w:tcPr>
            <w:tcW w:type="dxa" w:w="1559"/>
          </w:tcPr>
          <w:p>
            <w:r>
              <w:rPr>
                <w:sz w:val="20"/>
              </w:rPr>
              <w:t>Liste I</w:t>
            </w:r>
          </w:p>
        </w:tc>
        <w:tc>
          <w:tcPr>
            <w:tcW w:type="dxa" w:w="1559"/>
          </w:tcPr>
          <w:p>
            <w:r>
              <w:rPr>
                <w:sz w:val="20"/>
              </w:rPr>
              <w:t>Actif</w:t>
            </w:r>
          </w:p>
        </w:tc>
      </w:tr>
      <w:tr>
        <w:tc>
          <w:tcPr>
            <w:tcW w:type="dxa" w:w="1559"/>
          </w:tcPr>
          <w:p>
            <w:r>
              <w:rPr>
                <w:sz w:val="20"/>
              </w:rPr>
              <w:t>SEROFLO</w:t>
            </w:r>
          </w:p>
        </w:tc>
        <w:tc>
          <w:tcPr>
            <w:tcW w:type="dxa" w:w="1559"/>
          </w:tcPr>
          <w:p>
            <w:r>
              <w:rPr>
                <w:sz w:val="20"/>
              </w:rPr>
              <w:t>BIOPHARM</w:t>
            </w:r>
          </w:p>
        </w:tc>
        <w:tc>
          <w:tcPr>
            <w:tcW w:type="dxa" w:w="1559"/>
          </w:tcPr>
          <w:p>
            <w:r>
              <w:rPr>
                <w:sz w:val="20"/>
              </w:rPr>
              <w:t>Poudre pour inhalation en gélules + inhalateur 250 µg/50 µg</w:t>
            </w:r>
          </w:p>
        </w:tc>
        <w:tc>
          <w:tcPr>
            <w:tcW w:type="dxa" w:w="1559"/>
          </w:tcPr>
          <w:p>
            <w:r>
              <w:rPr>
                <w:sz w:val="20"/>
              </w:rPr>
              <w:t>Boîte 30</w:t>
            </w:r>
          </w:p>
        </w:tc>
        <w:tc>
          <w:tcPr>
            <w:tcW w:type="dxa" w:w="1559"/>
          </w:tcPr>
          <w:p>
            <w:r>
              <w:rPr>
                <w:sz w:val="20"/>
              </w:rPr>
              <w:t>Liste I</w:t>
            </w:r>
          </w:p>
        </w:tc>
        <w:tc>
          <w:tcPr>
            <w:tcW w:type="dxa" w:w="1559"/>
          </w:tcPr>
          <w:p>
            <w:r>
              <w:rPr>
                <w:sz w:val="20"/>
              </w:rPr>
              <w:t>Actif</w:t>
            </w:r>
          </w:p>
        </w:tc>
      </w:tr>
      <w:tr>
        <w:tc>
          <w:tcPr>
            <w:tcW w:type="dxa" w:w="1559"/>
          </w:tcPr>
          <w:p>
            <w:r>
              <w:rPr>
                <w:sz w:val="20"/>
              </w:rPr>
              <w:t>INSPIRYA</w:t>
            </w:r>
          </w:p>
        </w:tc>
        <w:tc>
          <w:tcPr>
            <w:tcW w:type="dxa" w:w="1559"/>
          </w:tcPr>
          <w:p>
            <w:r>
              <w:rPr>
                <w:sz w:val="20"/>
              </w:rPr>
              <w:t>BIOGENAL PHARMA</w:t>
            </w:r>
          </w:p>
        </w:tc>
        <w:tc>
          <w:tcPr>
            <w:tcW w:type="dxa" w:w="1559"/>
          </w:tcPr>
          <w:p>
            <w:r>
              <w:rPr>
                <w:sz w:val="20"/>
              </w:rPr>
              <w:t>Poudre pour inhalation en gélules + inhalateur 250 µg/50 µg</w:t>
            </w:r>
          </w:p>
        </w:tc>
        <w:tc>
          <w:tcPr>
            <w:tcW w:type="dxa" w:w="1559"/>
          </w:tcPr>
          <w:p>
            <w:r>
              <w:rPr>
                <w:sz w:val="20"/>
              </w:rPr>
              <w:t>Boîte 60</w:t>
            </w:r>
          </w:p>
        </w:tc>
        <w:tc>
          <w:tcPr>
            <w:tcW w:type="dxa" w:w="1559"/>
          </w:tcPr>
          <w:p>
            <w:r>
              <w:rPr>
                <w:sz w:val="20"/>
              </w:rPr>
              <w:t>Liste I</w:t>
            </w:r>
          </w:p>
        </w:tc>
        <w:tc>
          <w:tcPr>
            <w:tcW w:type="dxa" w:w="1559"/>
          </w:tcPr>
          <w:p>
            <w:r>
              <w:rPr>
                <w:sz w:val="20"/>
              </w:rPr>
              <w:t>Actif</w:t>
            </w:r>
          </w:p>
        </w:tc>
      </w:tr>
    </w:tbl>
    <w:p/>
    <w:p>
      <w:r>
        <w:t>Formes nasales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FLEXODOZ</w:t>
            </w:r>
          </w:p>
        </w:tc>
        <w:tc>
          <w:tcPr>
            <w:tcW w:type="dxa" w:w="1559"/>
          </w:tcPr>
          <w:p>
            <w:r>
              <w:rPr>
                <w:sz w:val="20"/>
              </w:rPr>
              <w:t>NOVAPHARM TRADING</w:t>
            </w:r>
          </w:p>
        </w:tc>
        <w:tc>
          <w:tcPr>
            <w:tcW w:type="dxa" w:w="1559"/>
          </w:tcPr>
          <w:p>
            <w:r>
              <w:rPr>
                <w:sz w:val="20"/>
              </w:rPr>
              <w:t>Suspension nasale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FLIXASONE</w:t>
            </w:r>
          </w:p>
        </w:tc>
        <w:tc>
          <w:tcPr>
            <w:tcW w:type="dxa" w:w="1559"/>
          </w:tcPr>
          <w:p>
            <w:r>
              <w:rPr>
                <w:sz w:val="20"/>
              </w:rPr>
              <w:t>PHARMALLIANCE</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FLIXODIS</w:t>
            </w:r>
          </w:p>
        </w:tc>
        <w:tc>
          <w:tcPr>
            <w:tcW w:type="dxa" w:w="1559"/>
          </w:tcPr>
          <w:p>
            <w:r>
              <w:rPr>
                <w:sz w:val="20"/>
              </w:rPr>
              <w:t>INPHA-MEDIS</w:t>
            </w:r>
          </w:p>
        </w:tc>
        <w:tc>
          <w:tcPr>
            <w:tcW w:type="dxa" w:w="1559"/>
          </w:tcPr>
          <w:p>
            <w:r>
              <w:rPr>
                <w:sz w:val="20"/>
              </w:rPr>
              <w:t>Suspension nasale en spray 50 µg/dose</w:t>
            </w:r>
          </w:p>
        </w:tc>
        <w:tc>
          <w:tcPr>
            <w:tcW w:type="dxa" w:w="1559"/>
          </w:tcPr>
          <w:p>
            <w:r>
              <w:rPr>
                <w:sz w:val="20"/>
              </w:rPr>
              <w:t>Flacon 100 doses</w:t>
            </w:r>
          </w:p>
        </w:tc>
        <w:tc>
          <w:tcPr>
            <w:tcW w:type="dxa" w:w="1559"/>
          </w:tcPr>
          <w:p>
            <w:r>
              <w:rPr>
                <w:sz w:val="20"/>
              </w:rPr>
              <w:t>Liste I</w:t>
            </w:r>
          </w:p>
        </w:tc>
        <w:tc>
          <w:tcPr>
            <w:tcW w:type="dxa" w:w="1559"/>
          </w:tcPr>
          <w:p>
            <w:r>
              <w:rPr>
                <w:sz w:val="20"/>
              </w:rPr>
              <w:t>Actif</w:t>
            </w:r>
          </w:p>
        </w:tc>
      </w:tr>
      <w:tr>
        <w:tc>
          <w:tcPr>
            <w:tcW w:type="dxa" w:w="1559"/>
          </w:tcPr>
          <w:p>
            <w:r>
              <w:rPr>
                <w:sz w:val="20"/>
              </w:rPr>
              <w:t>FLIXONE</w:t>
            </w:r>
          </w:p>
        </w:tc>
        <w:tc>
          <w:tcPr>
            <w:tcW w:type="dxa" w:w="1559"/>
          </w:tcPr>
          <w:p>
            <w:r>
              <w:rPr>
                <w:sz w:val="20"/>
              </w:rPr>
              <w:t>NEOMEDIC</w:t>
            </w:r>
          </w:p>
        </w:tc>
        <w:tc>
          <w:tcPr>
            <w:tcW w:type="dxa" w:w="1559"/>
          </w:tcPr>
          <w:p>
            <w:r>
              <w:rPr>
                <w:sz w:val="20"/>
              </w:rPr>
              <w:t>Suspension pour pulvérisation nasale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FLOMIST</w:t>
            </w:r>
          </w:p>
        </w:tc>
        <w:tc>
          <w:tcPr>
            <w:tcW w:type="dxa" w:w="1559"/>
          </w:tcPr>
          <w:p>
            <w:r>
              <w:rPr>
                <w:sz w:val="20"/>
              </w:rPr>
              <w:t>CIPLA LIMITED</w:t>
            </w:r>
          </w:p>
        </w:tc>
        <w:tc>
          <w:tcPr>
            <w:tcW w:type="dxa" w:w="1559"/>
          </w:tcPr>
          <w:p>
            <w:r>
              <w:rPr>
                <w:sz w:val="20"/>
              </w:rPr>
              <w:t>Spray nasal 50 µg/dose</w:t>
            </w:r>
          </w:p>
        </w:tc>
        <w:tc>
          <w:tcPr>
            <w:tcW w:type="dxa" w:w="1559"/>
          </w:tcPr>
          <w:p>
            <w:r>
              <w:rPr>
                <w:sz w:val="20"/>
              </w:rPr>
              <w:t>Flacon 100 doses</w:t>
            </w:r>
          </w:p>
        </w:tc>
        <w:tc>
          <w:tcPr>
            <w:tcW w:type="dxa" w:w="1559"/>
          </w:tcPr>
          <w:p>
            <w:r>
              <w:rPr>
                <w:sz w:val="20"/>
              </w:rPr>
              <w:t>Liste I</w:t>
            </w:r>
          </w:p>
        </w:tc>
        <w:tc>
          <w:tcPr>
            <w:tcW w:type="dxa" w:w="1559"/>
          </w:tcPr>
          <w:p>
            <w:r>
              <w:rPr>
                <w:sz w:val="20"/>
              </w:rPr>
              <w:t>Actif</w:t>
            </w:r>
          </w:p>
        </w:tc>
      </w:tr>
      <w:tr>
        <w:tc>
          <w:tcPr>
            <w:tcW w:type="dxa" w:w="1559"/>
          </w:tcPr>
          <w:p>
            <w:r>
              <w:rPr>
                <w:sz w:val="20"/>
              </w:rPr>
              <w:t>FLUCASONE</w:t>
            </w:r>
          </w:p>
        </w:tc>
        <w:tc>
          <w:tcPr>
            <w:tcW w:type="dxa" w:w="1559"/>
          </w:tcPr>
          <w:p>
            <w:r>
              <w:rPr>
                <w:sz w:val="20"/>
              </w:rPr>
              <w:t>BIOGALENIC</w:t>
            </w:r>
          </w:p>
        </w:tc>
        <w:tc>
          <w:tcPr>
            <w:tcW w:type="dxa" w:w="1559"/>
          </w:tcPr>
          <w:p>
            <w:r>
              <w:rPr>
                <w:sz w:val="20"/>
              </w:rPr>
              <w:t>Suspension nasale en spray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FLUTEL</w:t>
            </w:r>
          </w:p>
        </w:tc>
        <w:tc>
          <w:tcPr>
            <w:tcW w:type="dxa" w:w="1559"/>
          </w:tcPr>
          <w:p>
            <w:r>
              <w:rPr>
                <w:sz w:val="20"/>
              </w:rPr>
              <w:t>WORLD MEDECINE LIMITED</w:t>
            </w:r>
          </w:p>
        </w:tc>
        <w:tc>
          <w:tcPr>
            <w:tcW w:type="dxa" w:w="1559"/>
          </w:tcPr>
          <w:p>
            <w:r>
              <w:rPr>
                <w:sz w:val="20"/>
              </w:rPr>
              <w:t>Suspension pour pulvérisation nasale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FLUTINASE</w:t>
            </w:r>
          </w:p>
        </w:tc>
        <w:tc>
          <w:tcPr>
            <w:tcW w:type="dxa" w:w="1559"/>
          </w:tcPr>
          <w:p>
            <w:r>
              <w:rPr>
                <w:sz w:val="20"/>
              </w:rPr>
              <w:t>HUPP PHARMA</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AVAMYS</w:t>
            </w:r>
          </w:p>
        </w:tc>
        <w:tc>
          <w:tcPr>
            <w:tcW w:type="dxa" w:w="1559"/>
          </w:tcPr>
          <w:p>
            <w:r>
              <w:rPr>
                <w:sz w:val="20"/>
              </w:rPr>
              <w:t>GALAXO GROUPE LTD</w:t>
            </w:r>
          </w:p>
        </w:tc>
        <w:tc>
          <w:tcPr>
            <w:tcW w:type="dxa" w:w="1559"/>
          </w:tcPr>
          <w:p>
            <w:r>
              <w:rPr>
                <w:sz w:val="20"/>
              </w:rPr>
              <w:t>Suspension pour pulvérisation nasale (fluticasone furoate) 27,5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FLUCASONE MINI</w:t>
            </w:r>
          </w:p>
        </w:tc>
        <w:tc>
          <w:tcPr>
            <w:tcW w:type="dxa" w:w="1559"/>
          </w:tcPr>
          <w:p>
            <w:r>
              <w:rPr>
                <w:sz w:val="20"/>
              </w:rPr>
              <w:t>BIOGALENIC</w:t>
            </w:r>
          </w:p>
        </w:tc>
        <w:tc>
          <w:tcPr>
            <w:tcW w:type="dxa" w:w="1559"/>
          </w:tcPr>
          <w:p>
            <w:r>
              <w:rPr>
                <w:sz w:val="20"/>
              </w:rPr>
              <w:t>Suspension nasale (fluticasone furoate) 27,5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bl>
    <w:p/>
    <w:p>
      <w:r>
        <w:t>Formes nasales retirées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FLIXASONE</w:t>
            </w:r>
          </w:p>
        </w:tc>
        <w:tc>
          <w:tcPr>
            <w:tcW w:type="dxa" w:w="1559"/>
          </w:tcPr>
          <w:p>
            <w:r>
              <w:rPr>
                <w:sz w:val="20"/>
              </w:rPr>
              <w:t>PHARMALLIANCE</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Retrait</w:t>
            </w:r>
          </w:p>
        </w:tc>
      </w:tr>
      <w:tr>
        <w:tc>
          <w:tcPr>
            <w:tcW w:type="dxa" w:w="1559"/>
          </w:tcPr>
          <w:p>
            <w:r>
              <w:rPr>
                <w:sz w:val="20"/>
              </w:rPr>
              <w:t>FLIXONASE</w:t>
            </w:r>
          </w:p>
        </w:tc>
        <w:tc>
          <w:tcPr>
            <w:tcW w:type="dxa" w:w="1559"/>
          </w:tcPr>
          <w:p>
            <w:r>
              <w:rPr>
                <w:sz w:val="20"/>
              </w:rPr>
              <w:t>GLAXO WELLCOME UK LIMITED</w:t>
            </w:r>
          </w:p>
        </w:tc>
        <w:tc>
          <w:tcPr>
            <w:tcW w:type="dxa" w:w="1559"/>
          </w:tcPr>
          <w:p>
            <w:r>
              <w:rPr>
                <w:sz w:val="20"/>
              </w:rPr>
              <w:t>Spray nasal 50 µg/dose</w:t>
            </w:r>
          </w:p>
        </w:tc>
        <w:tc>
          <w:tcPr>
            <w:tcW w:type="dxa" w:w="1559"/>
          </w:tcPr>
          <w:p>
            <w:r>
              <w:rPr>
                <w:sz w:val="20"/>
              </w:rPr>
              <w:t>Flacon 120 doses</w:t>
            </w:r>
          </w:p>
        </w:tc>
        <w:tc>
          <w:tcPr>
            <w:tcW w:type="dxa" w:w="1559"/>
          </w:tcPr>
          <w:p>
            <w:r>
              <w:rPr>
                <w:sz w:val="20"/>
              </w:rPr>
              <w:t>Liste I</w:t>
            </w:r>
          </w:p>
        </w:tc>
        <w:tc>
          <w:tcPr>
            <w:tcW w:type="dxa" w:w="1559"/>
          </w:tcPr>
          <w:p>
            <w:r>
              <w:rPr>
                <w:sz w:val="20"/>
              </w:rPr>
              <w:t>Retrait</w:t>
            </w:r>
          </w:p>
        </w:tc>
      </w:tr>
    </w:tbl>
    <w:p/>
    <w:p>
      <w:r>
        <w:t>La fluticasone est largement présente en Algérie dans les voies inhalée et nasale, avec une diversité de génériques (FLIXOTIDE, FLOHALE, SERETIDE, BREQUAL, RESPYTID PLUS, SALFLUZON, SEROFLO, INSPIRYA en inhalé ; FLEXODOZ, FLIXASONE, FLIXODIS, FLIXONE, FLOMIST, FLUCASONE, FLUTEL, FLUTINASE en nasal). La forme dermique pure n'est pas disponible, ce qui peut surprendre au regard de l'usage dermatologique fréquent de la fluticasone propionate 0,05 % dans d'autres pays (Cutivate®). Le pharmacien doit orienter vers une alternative de même palier (mométasone, bétaméthasone valérate) en cas de besoin dermique.</w:t>
      </w:r>
    </w:p>
    <w:p>
      <w:r/>
      <w:r>
        <w:rPr>
          <w:b/>
        </w:rPr>
        <w:t>Sous-classe et Mécanisme d'action :</w:t>
      </w:r>
      <w:r/>
    </w:p>
    <w:p>
      <w:pPr>
        <w:pStyle w:val="ListBullet"/>
      </w:pPr>
      <w:r>
        <w:t>Sous-classe : Dermocorticoïde de classe III (forte activité), corticoïde fluoré 9α et 6α, ester propionate ou furoate.</w:t>
      </w:r>
    </w:p>
    <w:p>
      <w:pPr>
        <w:pStyle w:val="ListBullet"/>
      </w:pPr>
      <w:r>
        <w:t>Mécanisme d'action : Identique à celui des autres dermocorticoïdes. La fluticasone se fixe au GRα avec une affinité élevée (supérieure à la dexaméthasone), le complexe fluticasone-GR transloque dans le noyau et active/réprime la transcription des gènes cibles via les GRE. Quatre effets cardinaux : anti-inflammatoire, immunosuppresseur, vasoconstricteur, antiprolifératif. La particularité est le métabolisme hépatique de premier passage quasi complet par CYP3A4, qui réduit la biodisponibilité systémique à &lt; 1 %, ce qui en fait le corticoïde de choix pour les voies inhalée et nasale (faible passage systémique) et un dermocorticoïde de choix en cas d'usage prolongé ou chez l'enfant.</w:t>
      </w:r>
    </w:p>
    <w:p>
      <w:pPr>
        <w:pStyle w:val="ListBullet"/>
      </w:pPr>
      <w:r>
        <w:t>Spécificité : Le furoate (AVAMYS, FLUCASONE MINI) est plus lipophile et a une affinité légèrement supérieure pour le GR ; il est utilisé à dose plus faible (27,5 µg/dose nasale vs 50 µg/dose pour le propionate).</w:t>
      </w:r>
    </w:p>
    <w:p>
      <w:r/>
      <w:r>
        <w:rPr>
          <w:b/>
        </w:rPr>
        <w:t>Profil Pharmacologique :</w:t>
      </w:r>
      <w:r/>
    </w:p>
    <w:p>
      <w:pPr>
        <w:pStyle w:val="ListBullet"/>
      </w:pPr>
      <w:r>
        <w:t>Indications : Forme inhalée : asthme persistant léger à sévère (en mono thérapie ou en association avec un bronchodilatateur de longue durée d'action LABA), BPCO modérée à sévère (en association à un LABA). Forme nasale : rhinite allergique saisonnière et perannuelle modérée à sévère, polypose nasale, rhinite médicamentense (sevrage). Forme dermique (non commercialisée en Algérie) : eczéma modéré à sévère, psoriasis modéré en plaques.</w:t>
      </w:r>
    </w:p>
    <w:p>
      <w:pPr>
        <w:pStyle w:val="ListBullet"/>
      </w:pPr>
      <w:r>
        <w:t>Contre-indications : Hypersensibilité à la fluticasone ou à l'un des excipients (notamment le lactose pour les formes inhalées en poudre, le propylène glycol, etc.), tuberculose pulmonaire active non traitée (pour la forme inhalée), infections bactériennes, virales ou fongiques non contrôlées. Pour la forme dermique, contre-indications classiques des dermocorticoïdes.</w:t>
      </w:r>
    </w:p>
    <w:p>
      <w:pPr>
        <w:pStyle w:val="ListBullet"/>
      </w:pPr>
      <w:r>
        <w:t>Spectre : Pas d'activité antibiotique propre. La fluticasone inhalée n'a pas d'activité bronchodilatatrice ; elle doit toujours être associée à un bronchodilatateur dans l'asthme persistant.</w:t>
      </w:r>
    </w:p>
    <w:p>
      <w:r/>
      <w:r>
        <w:rPr>
          <w:b/>
        </w:rPr>
        <w:t>Effets Indésirables :</w:t>
      </w:r>
      <w:r/>
    </w:p>
    <w:p>
      <w:pPr>
        <w:pStyle w:val="ListBullet"/>
      </w:pPr>
      <w:r/>
      <w:r>
        <w:rPr>
          <w:b/>
        </w:rPr>
        <w:t>Inhalés</w:t>
      </w:r>
      <w:r>
        <w:t xml:space="preserve"> : candidose buccopharyngée (5–10 %, à prévenir par rinçage buccal après inhalation), dysphonie (5–10 %), irritation pharyngée, toux paradoxale. Plus rarement : pneumonie chez le patient BPCO (1–5 %), osteoporose en usage prolongé à forte dose, retard de croissance chez l'enfant (1–2 cm/an, à surveiller).</w:t>
      </w:r>
    </w:p>
    <w:p>
      <w:pPr>
        <w:pStyle w:val="ListBullet"/>
      </w:pPr>
      <w:r/>
      <w:r>
        <w:rPr>
          <w:b/>
        </w:rPr>
        <w:t>Nasaux</w:t>
      </w:r>
      <w:r>
        <w:t xml:space="preserve"> : épistaxis (5–10 %), irritation nasale, céphalées, sécheresse pharyngée, très rarement perforation de la cloison nasale en cas d'usage prolongé.</w:t>
      </w:r>
    </w:p>
    <w:p>
      <w:pPr>
        <w:pStyle w:val="ListBullet"/>
      </w:pPr>
      <w:r/>
      <w:r>
        <w:rPr>
          <w:b/>
        </w:rPr>
        <w:t>Dermiques (théoriques, en cas d'usage)</w:t>
      </w:r>
      <w:r>
        <w:t xml:space="preserve"> : atrophie cutanée, télangiectasies, dermite rosacéiforme.</w:t>
      </w:r>
    </w:p>
    <w:p>
      <w:pPr>
        <w:pStyle w:val="ListBullet"/>
      </w:pPr>
      <w:r/>
      <w:r>
        <w:rPr>
          <w:b/>
        </w:rPr>
        <w:t>Systémiques</w:t>
      </w:r>
      <w:r>
        <w:t xml:space="preserve"> : exceptionnels en usage normal en raison de la faible biodisponibilité, possibles en cas de forte dose inhalée prolongée (supérieure à 1000 µg/jour de fluticasone propionate) : syndrome de Cushing, insuffisance surrénalienne. Surveillance de la croissance et de la densité osseuse en pédiatrie à forte dose.</w:t>
      </w:r>
    </w:p>
    <w:p>
      <w:r/>
      <w:r>
        <w:rPr>
          <w:b/>
        </w:rPr>
        <w:t>Prévention et Gestion des Effets Indésirables :</w:t>
      </w:r>
      <w:r/>
    </w:p>
    <w:p>
      <w:pPr>
        <w:pStyle w:val="ListBullet"/>
      </w:pPr>
      <w:r>
        <w:t>Mesures préventives : Pour la forme inhalée : rinçage buccal systématique après chaque inhalation, utilisation d'une chambre d'inhalation pour les aérosols (réduit la dépôt pharyngé), surveillance de la croissance chez l'enfant, surveillance de la densité osseuse et de la cortisolémie en cas de forte dose prolongée, prescription du traitement de fond par un pneumologue. Pour la forme nasale : surveillance de la cloison nasale au-delà de 3 mois d'usage. Pour la forme dermique : règles classiques du dermocorticoïde.</w:t>
      </w:r>
    </w:p>
    <w:p>
      <w:pPr>
        <w:pStyle w:val="ListBullet"/>
      </w:pPr>
      <w:r>
        <w:t>Conduite à tenir : En cas de candidose buccale, traitement antifongique local (nystatine, amphotéricine B) et renforcement du rinçage. En cas de dysphonie persistante, évaluation ORL. En cas d'insuffisance surrénalienne, sevrage progressif.</w:t>
      </w:r>
    </w:p>
    <w:p>
      <w:r/>
      <w:r>
        <w:rPr>
          <w:b/>
        </w:rPr>
        <w:t>Interactions Importantes :</w:t>
      </w:r>
      <w:r/>
    </w:p>
    <w:p>
      <w:pPr>
        <w:pStyle w:val="ListBullet"/>
      </w:pPr>
      <w:r>
        <w:t>Inhibiteurs puissants du CYP3A4 (ritonavir, atazanavir, itraconazole, kétoconazole, clarithromycine, télithromycine) : risque d'augmentation majeure des concentrations systémiques de fluticasone et de syndrome de Cushing iatrogène ; association contre-indiquée avec le ritonavir (sauf nécessité absolue) et à utiliser avec prudence avec les autres inhibiteurs.</w:t>
      </w:r>
    </w:p>
    <w:p>
      <w:pPr>
        <w:pStyle w:val="ListBullet"/>
      </w:pPr>
      <w:r>
        <w:t>Inhibiteurs modérés du CYP3A4 (érythromycine, diltiazem, vérapamil, fluvoxamine, fluoxétine) : augmentation modérée, surveillance clinique.</w:t>
      </w:r>
    </w:p>
    <w:p>
      <w:pPr>
        <w:pStyle w:val="ListBullet"/>
      </w:pPr>
      <w:r>
        <w:t>Autres corticoïdes : pas de cumul.</w:t>
      </w:r>
    </w:p>
    <w:p>
      <w:pPr>
        <w:pStyle w:val="ListBullet"/>
      </w:pPr>
      <w:r>
        <w:t>Vaccins vivants atténués : prudence en cas d'usage prolongé à forte dose (supérieure à 800 µg/jour de fluticasone propionate inhalée).</w:t>
      </w:r>
    </w:p>
    <w:p>
      <w:r/>
      <w:r>
        <w:rPr>
          <w:b/>
        </w:rPr>
        <w:t>Grossesse et Allaitement :</w:t>
      </w:r>
      <w:r/>
    </w:p>
    <w:p>
      <w:pPr>
        <w:pStyle w:val="ListBullet"/>
      </w:pPr>
      <w:r>
        <w:t>Grossesse : Selon le CRAT, la fluticasone inhalée et nasale est considérée comme compatible à tous les trimestres de la grossesse (faible biodisponibilité systémique, données d'observation rassurantes). La fluticasone propionate est le corticoïde inhalé de référence chez la femme enceinte asthmatique. La forme dermique (non commercialisée en Algérie) est à éviter par précaution au 1er trimestre.</w:t>
      </w:r>
    </w:p>
    <w:p>
      <w:pPr>
        <w:pStyle w:val="ListBullet"/>
      </w:pPr>
      <w:r>
        <w:t>Allaitement : Compatible (très faible passage lacté).</w:t>
      </w:r>
    </w:p>
    <w:p>
      <w:pPr>
        <w:pStyle w:val="ListBullet"/>
      </w:pPr>
      <w:r>
        <w:t>Précisions : L'asthme mal contrôlé pendant la grossesse est plus dangereux pour le fœtus que le traitement par fluticasone inhalée ; ne jamais arrêter un traitement de fond.</w:t>
      </w:r>
    </w:p>
    <w:p>
      <w:r/>
      <w:r>
        <w:rPr>
          <w:b/>
        </w:rPr>
        <w:t>Posologie et Mode d'administration (Standard) :</w:t>
      </w:r>
      <w:r/>
    </w:p>
    <w:p>
      <w:pPr>
        <w:pStyle w:val="ListBullet"/>
      </w:pPr>
      <w:r>
        <w:t>Forme inhalée (adulte) : Asthme persistant léger : 100–250 µg 2 fois par jour. Asthme modéré : 250–500 µg 2 fois par jour. Asthme sévère : 500–1000 µg 2 fois par jour. BPCO : 500 µg 2 fois par jour. Utilisation d'une chambre d'inhalation recommandée pour les aérosols.</w:t>
      </w:r>
    </w:p>
    <w:p>
      <w:pPr>
        <w:pStyle w:val="ListBullet"/>
      </w:pPr>
      <w:r>
        <w:t>Forme inhalée (enfant de plus de 4 ans) : 50–100 µg 2 fois par jour (adaptation selon le poids et la sévérité).</w:t>
      </w:r>
    </w:p>
    <w:p>
      <w:pPr>
        <w:pStyle w:val="ListBullet"/>
      </w:pPr>
      <w:r>
        <w:t>Forme nasale (adulte et enfant de plus de 12 ans) : 2 pulvérisations dans chaque narine une fois par jour (200 µg/jour de propionate, 110 µg/jour de furoate). Adaptation à 1 pulvérisation/jour en entretien.</w:t>
      </w:r>
    </w:p>
    <w:p>
      <w:pPr>
        <w:pStyle w:val="ListBullet"/>
      </w:pPr>
      <w:r>
        <w:t>Forme nasale (enfant de 4 à 12 ans) : 1 pulvérisation dans chaque narine une fois par jour (100 µg/jour de propionate).</w:t>
      </w:r>
    </w:p>
    <w:p>
      <w:pPr>
        <w:pStyle w:val="ListBullet"/>
      </w:pPr>
      <w:r>
        <w:t>Mode d'application : pour la forme inhalée : rinçage buccal systématique après inhalation. Pour la forme nasale : mouchage préalable, tête légèrement inclinée vers l'avant, pulvérisation dirigée vers la paroi externe de la marine (et non vers la cloison).</w:t>
      </w:r>
    </w:p>
    <w:p>
      <w:r/>
      <w:r>
        <w:rPr>
          <w:b/>
        </w:rPr>
        <w:t>Arbitrage et Bénéfices des Formes Galéniques :</w:t>
      </w:r>
      <w:r/>
    </w:p>
    <w:p>
      <w:r>
        <w:t>Pour l'asthme, le choix entre fluticasone seule (FLIXOTIDE, FLOHALE) et association fluticasone + salméterol (SERETIDE, BREQUAL, RESPYTID PLUS, SALFLUZON, SEROFLO, INSPIRYA) dépend du palier de sévérité. Les dosages disponibles (100/250/500 µg pour la fluticasone inhalée ; 100/250/500 µg de fluticasone + 50 µg de salméterol pour l'association) couvrent l'ensemble des besoins. Pour la rhinite allergique, le choix entre propionate (FLIXASONE, FLOMIST, FLUCASONE, etc.) et furoate (AVAMYS, FLUCASONE MINI) dépend de la sévérité et de la disponibilité ; le furoate à 27,5 µg est au moins aussi efficace que le propionate à 50 µg. La forme dermique pure n'étant pas disponible, le pharmacien doit orienter vers une alternative de même palier en cas de besoin dermique.</w:t>
      </w:r>
    </w:p>
    <w:p>
      <w:r/>
      <w:r>
        <w:rPr>
          <w:b/>
        </w:rPr>
        <w:t>Instructions et Conseils au Patient :</w:t>
      </w:r>
      <w:r/>
    </w:p>
    <w:p>
      <w:pPr>
        <w:pStyle w:val="ListBullet"/>
      </w:pPr>
      <w:r>
        <w:t>Communication au comptoir : Pour la forme inhalée : insister sur le caractère de traitement de fond (à prendre tous les jours, même en l'absence de symptômes), sur la nécessité du rinçage buccal après inhalation (prévention de la candidose), sur la différence avec les bronchodilatateurs de secours (salbutamol) à utiliser en cas de crise. Pour la forme nasale : préciser la technique d'administration (mouchage préalable, tête inclinée vers l'avant, pulvérisation dirigée vers la paroi externe de la marine).</w:t>
      </w:r>
    </w:p>
    <w:p>
      <w:pPr>
        <w:pStyle w:val="ListBullet"/>
      </w:pPr>
      <w:r>
        <w:t>Mode d'utilisation pratique : Pour les aérosols flacon (FLIXOTIDE, FLOHALE), agiter avant emploi, utiliser une chambre d'inhalation chez l'enfant et le sujet âgé. Pour les poudres (SERETIDE DISKUS, BREQUAL, RESPYTID PLUS, etc.), inspirer rapidement et profondément, ne jamais souffler dans l'inhalateur. Pour le spray nasal, amorcer la pompe avant la première utilisation (5–6 pulvérisations dans l'air), ne pas utiliser au-delà de 3 mois d'ouverture.</w:t>
      </w:r>
    </w:p>
    <w:p>
      <w:pPr>
        <w:pStyle w:val="ListBullet"/>
      </w:pPr>
      <w:r>
        <w:t>Information sur les signes d'alerte : Pour la forme inhalée : absence d'efficacité (crises fréquentes, réveils nocturnes) → consultation pneumologique pour réévaluation. Pour la forme nasale : épistaxis abondant, céphalées persistantes → arrêt et consultation ORL.</w:t>
      </w:r>
    </w:p>
    <w:p>
      <w:r/>
      <w:r>
        <w:rPr>
          <w:b/>
        </w:rPr>
        <w:t>Notes, Règles d'Or &amp; Pièges au Comptoir :</w:t>
      </w:r>
      <w:r/>
    </w:p>
    <w:p>
      <w:pPr>
        <w:pStyle w:val="ListBullet"/>
      </w:pPr>
      <w:r>
        <w:t>Piège classique : Patient VIH+ sous ritonavir utilisant de la fluticasone inhalée → risque majeur de syndrome de Cushing iatrogène (le ritonavir augmente par 100 les concentrations systémiques de fluticasone). Le pharmacien doit alerter et orienter vers une alternative (béclométhasone, ciclesonide).</w:t>
      </w:r>
    </w:p>
    <w:p>
      <w:pPr>
        <w:pStyle w:val="ListBullet"/>
      </w:pPr>
      <w:r>
        <w:t>Règle d'or : « Fluticasone inhalée = traitement de fond, à prendre tous les jours, rinçage buccal systématique. »</w:t>
      </w:r>
    </w:p>
    <w:p>
      <w:pPr>
        <w:pStyle w:val="ListBullet"/>
      </w:pPr>
      <w:r>
        <w:t>Préparation et Conservation : Flacon fermé, à température ≤ 25 °C (≤ 30 °C pour certains), à l'abri de la lumière et de l'humidité. Ne pas percer le flacon d'aérosol, ne pas exposer à la chaleur.</w:t>
      </w:r>
    </w:p>
    <w:p>
      <w:pPr>
        <w:pStyle w:val="ListBullet"/>
      </w:pPr>
      <w:r>
        <w:t>Piège de substitution : Ne pas substituer une forme par une autre sans avis médical (substitution de FLIXOTIDE 250 par FLOHALE 250 est acceptable, mais substitution de SERETIDE 250/50 par SEROFLO 250/50 doit vérifier les galéniques : Diskus vs gélules + inhalateur). Ne pas substituer la fluticasone propionate nasale par la fluticasone furoate sans ajustement posologique.</w:t>
      </w:r>
    </w:p>
    <w:p>
      <w:pPr>
        <w:pStyle w:val="ListBullet"/>
      </w:pPr>
      <w:r>
        <w:t>Piège de l'asthme : En cas de crise d'asthme, ne pas augmenter la fluticasone inhalée (qui est un traitement de fond à effet retardé) mais utiliser le bronchodilatateur de secours (salbutamol).</w:t>
      </w:r>
    </w:p>
    <w:p>
      <w:pPr>
        <w:pStyle w:val="Heading3"/>
      </w:pPr>
      <w:r>
        <w:t>122.4.4 DCI : Fluocinolone (acétonide)</w:t>
      </w:r>
    </w:p>
    <w:p>
      <w:r/>
      <w:r>
        <w:rPr>
          <w:b/>
        </w:rPr>
        <w:t>Liste des Catégories :</w:t>
      </w:r>
      <w:r>
        <w:t xml:space="preserve"> Liste I (toutes formes).</w:t>
      </w:r>
    </w:p>
    <w:p>
      <w:r>
        <w:t>La fluocinolone acétonide est un corticoïde de synthèse fluoré en 6α et 9α, avec un acétonide en C16-C17 (pont acétonique renforçant la lipophilie et la rémanence locale). Sa puissance vasoconstrictrice est environ 100 fois supérieure à celle de l'hydrocortisone, ce qui la classe en classe III (forte activité). Historiquement très utilisée en dermologie depuis 1960 (Synalar®), elle est aujourd'hui principalement présente en Algérie en association otologique avec la néomycine et la polymyxine B (OTOCROVIS) pour les otites externes et les otites moyennes chroniques. La forme dermique pure n'est pas disponible en Algérie, mais existe dans d'autres pays (Synalar®, Fluocinolone®). La fluocinolone est également utilisée en ophtalmologie sous forme d'implant intravitréen (Iluvien®) pour la rétinopathie diabétique maculaire œdémateuse chronique, et en neurologie pour la méningite tuberculeuse (forme injectable).</w:t>
      </w:r>
    </w:p>
    <w:p>
      <w:r/>
      <w:r>
        <w:rPr>
          <w:b/>
        </w:rPr>
        <w:t>Médicaments disponibles en Algérie (tableau commercial) :</w:t>
      </w:r>
      <w:r/>
    </w:p>
    <w:p>
      <w:r>
        <w:t>Formes otologiques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OTOCROVIS</w:t>
            </w:r>
          </w:p>
        </w:tc>
        <w:tc>
          <w:tcPr>
            <w:tcW w:type="dxa" w:w="1559"/>
          </w:tcPr>
          <w:p>
            <w:r>
              <w:rPr>
                <w:sz w:val="20"/>
              </w:rPr>
              <w:t>GENCOPHARM</w:t>
            </w:r>
          </w:p>
        </w:tc>
        <w:tc>
          <w:tcPr>
            <w:tcW w:type="dxa" w:w="1559"/>
          </w:tcPr>
          <w:p>
            <w:r>
              <w:rPr>
                <w:sz w:val="20"/>
              </w:rPr>
              <w:t>Solution auriculaire en gouttes (fluocinolone acétonide 0,025 % + néomycine sulfate 0,35 % + polymyxine B sulfate 1 000 000 UI/10 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OTOCROVIS</w:t>
            </w:r>
          </w:p>
        </w:tc>
        <w:tc>
          <w:tcPr>
            <w:tcW w:type="dxa" w:w="1559"/>
          </w:tcPr>
          <w:p>
            <w:r>
              <w:rPr>
                <w:sz w:val="20"/>
              </w:rPr>
              <w:t>FARMACEUTICI CROVIS PH.I.L.COM</w:t>
            </w:r>
          </w:p>
        </w:tc>
        <w:tc>
          <w:tcPr>
            <w:tcW w:type="dxa" w:w="1559"/>
          </w:tcPr>
          <w:p>
            <w:r>
              <w:rPr>
                <w:sz w:val="20"/>
              </w:rPr>
              <w:t>Solution auriculaire en gouttes (fluocinolone acétonide 0,025 % + néomycine sulfate 0,35 % + polymyxine B sulfate 1 000 000 UI/10 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bl>
    <w:p/>
    <w:p>
      <w:r>
        <w:t>Forme dermique retirée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CRODERMIN</w:t>
            </w:r>
          </w:p>
        </w:tc>
        <w:tc>
          <w:tcPr>
            <w:tcW w:type="dxa" w:w="1559"/>
          </w:tcPr>
          <w:p>
            <w:r>
              <w:rPr>
                <w:sz w:val="20"/>
              </w:rPr>
              <w:t>CROVIS PHILCOM</w:t>
            </w:r>
          </w:p>
        </w:tc>
        <w:tc>
          <w:tcPr>
            <w:tcW w:type="dxa" w:w="1559"/>
          </w:tcPr>
          <w:p>
            <w:r>
              <w:rPr>
                <w:sz w:val="20"/>
              </w:rPr>
              <w:t>Gel dermique (fluocinonide) 0,05 %</w:t>
            </w:r>
          </w:p>
        </w:tc>
        <w:tc>
          <w:tcPr>
            <w:tcW w:type="dxa" w:w="1559"/>
          </w:tcPr>
          <w:p>
            <w:r>
              <w:rPr>
                <w:sz w:val="20"/>
              </w:rPr>
              <w:t>Tube 30 g</w:t>
            </w:r>
          </w:p>
        </w:tc>
        <w:tc>
          <w:tcPr>
            <w:tcW w:type="dxa" w:w="1559"/>
          </w:tcPr>
          <w:p>
            <w:r>
              <w:rPr>
                <w:sz w:val="20"/>
              </w:rPr>
              <w:t>Liste I</w:t>
            </w:r>
          </w:p>
        </w:tc>
        <w:tc>
          <w:tcPr>
            <w:tcW w:type="dxa" w:w="1559"/>
          </w:tcPr>
          <w:p>
            <w:r>
              <w:rPr>
                <w:sz w:val="20"/>
              </w:rPr>
              <w:t>Retrait</w:t>
            </w:r>
          </w:p>
        </w:tc>
      </w:tr>
    </w:tbl>
    <w:p/>
    <w:p>
      <w:r>
        <w:t>La fluocinolone acétonide dermique pure n'est pas disponible en Algérie en forme active, et la seule spécialité dermique historique (CRODERMIN, gel de fluocinonide 0,05 %) est retirée du marché. La seule forme disponible en Algérie est donc l'association otologique OTOCROVIS (deux laboratoires : Gencopharm et Crovis Philcom). Cette spécialité combine l'activité anti-inflammatoire locale de la fluocinolone, l'activité antibiotique de la néomycine (aminoglycoside bactéricide sur les bacilles à Gram négatif aérobies et certains staphylocoques) et de la polymyxine B (polypeptide bactéricide sur les bacilles à Gram négatif y compris Pseudomonas aeruginosa). Cette association est indiquée dans les otites externes et les otites moyennes chroniques surinfectées.</w:t>
      </w:r>
    </w:p>
    <w:p>
      <w:r/>
      <w:r>
        <w:rPr>
          <w:b/>
        </w:rPr>
        <w:t>Sous-classe et Mécanisme d'action :</w:t>
      </w:r>
      <w:r/>
    </w:p>
    <w:p>
      <w:pPr>
        <w:pStyle w:val="ListBullet"/>
      </w:pPr>
      <w:r>
        <w:t>Sous-classe : Dermocorticoïde de classe III (forte activité), corticoïde fluoré 6α et 9α, acétonide en C16-C17.</w:t>
      </w:r>
    </w:p>
    <w:p>
      <w:pPr>
        <w:pStyle w:val="ListBullet"/>
      </w:pPr>
      <w:r>
        <w:t>Mécanisme d'action : La fluocinolone acétonide pénètre la couche cornée (ou la peau du conduit auditif externe) par diffusion passive, favorisée par la forte lipophilie de l'acétonide. Elle se fixe au GRα cytosolique, le complexe transloque dans le noyau et se lie aux GRE, activant les gènes anti-inflammatoires et réprimant les gènes pro-inflammatoires. Quatre effets cardinaux : anti-inflammatoire, immunosuppresseur, vasoconstricteur, antiprolifératif. La rémanence locale est importante en raison de la lipophilie élevée de l'acétonide (effet réservoir cutané).</w:t>
      </w:r>
    </w:p>
    <w:p>
      <w:pPr>
        <w:pStyle w:val="ListBullet"/>
      </w:pPr>
      <w:r>
        <w:t>Association otologique : La néomycine inhibe la sous-unité 30S du ribosome bactérien (bactéricide concentration-dépendant), active sur les bacilles à Gram négatif aérobies (Proteus, Klebsiella, Escherichia coli) et certains staphylocoques ; inactif sur Pseudomonas aeruginosa et les streptocoques. La polymyxine B est un polypeptide cationique qui se lie aux phospholipides membranaires des bacilles à Gram négatif, créant une fuite ionique et la mort bactérienne ; active sur Pseudomonas aeruginosa, Escherichia coli, Klebsiella, Enterobacter, Haemophilus. L'association couvre le spectre otologique habituel (staphylocoques, streptocoques, Pseudomonas, entérobactéries).</w:t>
      </w:r>
    </w:p>
    <w:p>
      <w:r/>
      <w:r>
        <w:rPr>
          <w:b/>
        </w:rPr>
        <w:t>Profil Pharmacologique :</w:t>
      </w:r>
      <w:r/>
    </w:p>
    <w:p>
      <w:pPr>
        <w:pStyle w:val="ListBullet"/>
      </w:pPr>
      <w:r>
        <w:t>Indications : Otite externe (furoncule du conduit, eczéma du conduit, otomycose surinfectée), otite moyenne chronique suppurée surinfectée (en complément de la prise en charge ORL spécifique), otite traumatique du conduit. Usage local exclusif, dans le conduit auditif externe uniquement.</w:t>
      </w:r>
    </w:p>
    <w:p>
      <w:pPr>
        <w:pStyle w:val="ListBullet"/>
      </w:pPr>
      <w:r>
        <w:t>Contre-indications : Hypersensibilité à la fluocinolone, à la néomycine, à la polymyxine B ou à l'un des excipients, perforation tympanique (risque d'ototoxicité de la néomycine), infections virales du conduit (herpès, zona), otite externe mycosique primitive (nécessité d'un antifongique), enfant de moins de 30 mois (sauf avis ORL), grossesse et allaitement (par prudence, ototoxicité théorique de la néomycine), vaccination par le vaccin BCG dans les 3 mois (néomycine peut inactiver le vaccin).</w:t>
      </w:r>
    </w:p>
    <w:p>
      <w:pPr>
        <w:pStyle w:val="ListBullet"/>
      </w:pPr>
      <w:r>
        <w:t>Spectre d'action : Le combo antibiotique couvre les germes otologiques habituels ; la fluocinolone réduit l'inflammation locale.</w:t>
      </w:r>
    </w:p>
    <w:p>
      <w:r/>
      <w:r>
        <w:rPr>
          <w:b/>
        </w:rPr>
        <w:t>Effets Indésirables :</w:t>
      </w:r>
      <w:r/>
    </w:p>
    <w:p>
      <w:pPr>
        <w:pStyle w:val="ListBullet"/>
      </w:pPr>
      <w:r/>
      <w:r>
        <w:rPr>
          <w:b/>
        </w:rPr>
        <w:t>Locaux</w:t>
      </w:r>
      <w:r>
        <w:t xml:space="preserve"> : irritation, prurit, sensation de brûlure, sécheresse du conduit, dermatite de contact allergique (surtout à la néomycine, sensibilisation cutanée fréquente), candidose secondaire du conduit (par modification du microbiote).</w:t>
      </w:r>
    </w:p>
    <w:p>
      <w:pPr>
        <w:pStyle w:val="ListBullet"/>
      </w:pPr>
      <w:r/>
      <w:r>
        <w:rPr>
          <w:b/>
        </w:rPr>
        <w:t>Otologiques</w:t>
      </w:r>
      <w:r>
        <w:t xml:space="preserve"> : en cas de perforation tympanique méconnue : ototoxicité cochléovestibulaire de la néomycine (surdité, vertiges), toxicité rénale théorique par passage systémique (très faible en usage local).</w:t>
      </w:r>
    </w:p>
    <w:p>
      <w:pPr>
        <w:pStyle w:val="ListBullet"/>
      </w:pPr>
      <w:r/>
      <w:r>
        <w:rPr>
          <w:b/>
        </w:rPr>
        <w:t>Systémiques</w:t>
      </w:r>
      <w:r>
        <w:t xml:space="preserve"> : exceptionnels en usage otologique local.</w:t>
      </w:r>
    </w:p>
    <w:p>
      <w:r/>
      <w:r>
        <w:rPr>
          <w:b/>
        </w:rPr>
        <w:t>Prévention et Gestion des Effets Indésirables :</w:t>
      </w:r>
      <w:r/>
    </w:p>
    <w:p>
      <w:pPr>
        <w:pStyle w:val="ListBullet"/>
      </w:pPr>
      <w:r>
        <w:t>Mesures préventives : Examen ORL préalable pour vérifier l'intégrité tympanique avant prescription (otoscopie obligatoire), durée limitée à 7–10 jours, contre-indication formelle en cas de perforation tympanique, prudence chez l'enfant.</w:t>
      </w:r>
    </w:p>
    <w:p>
      <w:pPr>
        <w:pStyle w:val="ListBullet"/>
      </w:pPr>
      <w:r>
        <w:t>Conduite à tenir : Arrêt immédiat en cas de douleur vive ( suspicion de perforation), arrêt en cas de surdité ou de vertiges (urgence ORL), réévaluation diagnostique en cas d'absence d'efficacité à 7 jours (suspicion de mycose ou de résistance bactérienne).</w:t>
      </w:r>
    </w:p>
    <w:p>
      <w:r/>
      <w:r>
        <w:rPr>
          <w:b/>
        </w:rPr>
        <w:t>Interactions Importantes :</w:t>
      </w:r>
      <w:r/>
    </w:p>
    <w:p>
      <w:pPr>
        <w:pStyle w:val="ListBullet"/>
      </w:pPr>
      <w:r>
        <w:t>Autres aminoglycosides (gentamicine, amikacine, néomycine systémique) : risque d'ototoxicité et de néphrotoxicité additive en cas de perforation tympanique.</w:t>
      </w:r>
    </w:p>
    <w:p>
      <w:pPr>
        <w:pStyle w:val="ListBullet"/>
      </w:pPr>
      <w:r>
        <w:t>Vaccin BCG : la néomycine peut inactiver le vaccin vivant (espacer de 3 mois).</w:t>
      </w:r>
    </w:p>
    <w:p>
      <w:pPr>
        <w:pStyle w:val="ListBullet"/>
      </w:pPr>
      <w:r>
        <w:t>Autres ototoxiques (furosémide IV à forte dose, cisplatine) : potentialisation.</w:t>
      </w:r>
    </w:p>
    <w:p>
      <w:r/>
      <w:r>
        <w:rPr>
          <w:b/>
        </w:rPr>
        <w:t>Grossesse et Allaitement :</w:t>
      </w:r>
      <w:r/>
    </w:p>
    <w:p>
      <w:pPr>
        <w:pStyle w:val="ListBullet"/>
      </w:pPr>
      <w:r>
        <w:t>Grossesse : Selon le CRAT, l'usage otologique de la fluocinolone + néomycine + polymyxine B est déconseillé au 1er trimestre par précaution (ototoxicité théorique de la néomycine en cas de perforation) ; utilisation possible au 2e et 3e trimestre sous contrôle ORL strict.</w:t>
      </w:r>
    </w:p>
    <w:p>
      <w:pPr>
        <w:pStyle w:val="ListBullet"/>
      </w:pPr>
      <w:r>
        <w:t>Allaitement : Compatible en usage otologique local court, à condition de vérifier l'absence de perforation tympanique.</w:t>
      </w:r>
    </w:p>
    <w:p>
      <w:pPr>
        <w:pStyle w:val="ListBullet"/>
      </w:pPr>
      <w:r>
        <w:t>Précisions : La prescription préalable par un médecin ORL ou un médecin généraliste après otoscopie est obligatoire.</w:t>
      </w:r>
    </w:p>
    <w:p>
      <w:r/>
      <w:r>
        <w:rPr>
          <w:b/>
        </w:rPr>
        <w:t>Posologie et Mode d'administration (Standard) :</w:t>
      </w:r>
      <w:r/>
    </w:p>
    <w:p>
      <w:pPr>
        <w:pStyle w:val="ListBullet"/>
      </w:pPr>
      <w:r>
        <w:t>Adulte et enfant de plus de 30 mois : 2 à 3 gouttes dans le conduit auditif externe, 2 à 3 fois par jour, pendant 7 à 10 jours maximum.</w:t>
      </w:r>
    </w:p>
    <w:p>
      <w:pPr>
        <w:pStyle w:val="ListBullet"/>
      </w:pPr>
      <w:r>
        <w:t>Mode d'administration : Tiédir le flacon dans la main avant instillation (éviter les vertiges liés au froid), pencher la tête du côté opposé, instiller les gouttes, masser le tragus, garder la tête penchée 1 à 2 minutes, éventuellement placer un mèche de coton imbibée dans le conduit.</w:t>
      </w:r>
    </w:p>
    <w:p>
      <w:pPr>
        <w:pStyle w:val="ListBullet"/>
      </w:pPr>
      <w:r>
        <w:t>Enfant de moins de 30 mois : contre-indication sauf avis ORL spécialisé.</w:t>
      </w:r>
    </w:p>
    <w:p>
      <w:r/>
      <w:r>
        <w:rPr>
          <w:b/>
        </w:rPr>
        <w:t>Arbitrage et Bénéfices des Formes Galéniques :</w:t>
      </w:r>
      <w:r/>
    </w:p>
    <w:p>
      <w:r>
        <w:t>La seule forme disponible en Algérie est l'association otologique en solution auriculaire (OTOCROVIS). Le pharmacien doit s'assurer de la prescription préalable par un médecin ayant vérifié l'intégrité tympanique, et ne pas délivrer en automédication. En cas d'indisponibilité, l'alternative est le rifamycine (Rifamycine SV), non ototoxique en cas de perforation. La forme dermique pure n'est pas disponible en Algérie.</w:t>
      </w:r>
    </w:p>
    <w:p>
      <w:r/>
      <w:r>
        <w:rPr>
          <w:b/>
        </w:rPr>
        <w:t>Instructions et Conseils au Patient :</w:t>
      </w:r>
      <w:r/>
    </w:p>
    <w:p>
      <w:pPr>
        <w:pStyle w:val="ListBullet"/>
      </w:pPr>
      <w:r>
        <w:t>Communication au comptoir : Insister sur la nécessité de l'examen ORL préalable, sur la durée limitée (7–10 jours), sur le risque d'ototoxicité en cas de perforation tympanique (et donc sur l'interdiction d'utilisation sans contrôle médical), sur l'interdiction d'utilisation chez l'enfant de moins de 30 mois.</w:t>
      </w:r>
    </w:p>
    <w:p>
      <w:pPr>
        <w:pStyle w:val="ListBullet"/>
      </w:pPr>
      <w:r>
        <w:t>Mode d'utilisation pratique : Tiédir le flacon dans la main, pencher la tête, instiller, masser le tragus, garder la tête penchée 1–2 minutes, ne pas introduire de coton-tige dans le conduit (risque de lésion). Ne pas utiliser au-delà de 10 jours. Jeter le flacon 1 mois après ouverture.</w:t>
      </w:r>
    </w:p>
    <w:p>
      <w:pPr>
        <w:pStyle w:val="ListBullet"/>
      </w:pPr>
      <w:r>
        <w:t>Information sur les signes d'alerte : douleur vive, surdité, vertiges, acouphènes → arrêt immédiat et consultation ORL en urgence.</w:t>
      </w:r>
    </w:p>
    <w:p>
      <w:r/>
      <w:r>
        <w:rPr>
          <w:b/>
        </w:rPr>
        <w:t>Notes, Règles d'Or &amp; Pièges au Comptoir :</w:t>
      </w:r>
      <w:r/>
    </w:p>
    <w:p>
      <w:pPr>
        <w:pStyle w:val="ListBullet"/>
      </w:pPr>
      <w:r>
        <w:t>Piège classique : Patient venant à l'officine avec une ordonnance d'OTOCROVIS pour une otalgies depuis 3 jours, sans otoscopie préalable → il faut s'assurer que le médecin a vérifié le tympan. En cas de doute, demander un justificatif.</w:t>
      </w:r>
    </w:p>
    <w:p>
      <w:pPr>
        <w:pStyle w:val="ListBullet"/>
      </w:pPr>
      <w:r>
        <w:t>Règle d'or : « Jamais d'OTOCROVIS sans otoscopie préalable, jamais au-delà de 10 jours, jamais chez l'enfant de moins de 30 mois. »</w:t>
      </w:r>
    </w:p>
    <w:p>
      <w:pPr>
        <w:pStyle w:val="ListBullet"/>
      </w:pPr>
      <w:r>
        <w:t>Préparation et Conservation : Flacon fermé, à température ≤ 25 °C, à l'abri de la lumière. Jeter après 1 mois d'ouverture.</w:t>
      </w:r>
    </w:p>
    <w:p>
      <w:pPr>
        <w:pStyle w:val="ListBullet"/>
      </w:pPr>
      <w:r>
        <w:t>Piège de la perforation : En cas de perforation tympanique (traumatique, otitique, post-paracentèse), la néomycine peut entraîner une ototoxicité cochléovestibulaire irreversible. Préférer la rifamycine ou l'ofloxacine (collyre otologique).</w:t>
      </w:r>
    </w:p>
    <w:p>
      <w:pPr>
        <w:pStyle w:val="ListBullet"/>
      </w:pPr>
      <w:r>
        <w:t>Piège de la mycose : En cas d'otomycose primitive (Aspergillus, Candida), OTOCROVIS est inefficace et majore la mycose par suppression de la flore bactérienne. Préférer un antifongique local.</w:t>
      </w:r>
    </w:p>
    <w:p>
      <w:pPr>
        <w:pStyle w:val="Heading3"/>
      </w:pPr>
      <w:r>
        <w:t>122.4.5 DCI : Fluméthasone (pivalate)</w:t>
      </w:r>
    </w:p>
    <w:p>
      <w:r/>
      <w:r>
        <w:rPr>
          <w:b/>
        </w:rPr>
        <w:t>Liste des Catégories :</w:t>
      </w:r>
      <w:r>
        <w:t xml:space="preserve"> Liste I.</w:t>
      </w:r>
    </w:p>
    <w:p>
      <w:r>
        <w:t>La fluméthasone pivalate est un corticoïde de synthèse fluoré en 6α et 9α, ester pivalate en C21. Sa puissance vasoconstrictrice est environ 50 fois supérieure à celle de l'hydrocortisone, ce qui la classe en classe III (forte activité). Historiquement utilisée en dermologie depuis les années 1970, elle est aujourd'hui principalement présente en Algérie en association avec l'acide salicylique (FLUSAL), indiquée dans les dermatoses hyperkératosiques (psoriasis en plaques épaisses, lichen plan hypertrophique, kératodermies palmoplantaires). Cette association est non renouvelable, ce qui en limite l'accès. La fluméthasone est également connue pour son usage en association avec la clioquinol (Vioform®-Flumethasone, Locacorten®-Vioform) dans les otites externes mycosiques, mais cette spécialité n'est pas disponible en Algérie.</w:t>
      </w:r>
    </w:p>
    <w:p>
      <w:r/>
      <w:r>
        <w:rPr>
          <w:b/>
        </w:rPr>
        <w:t>Médicaments disponibles en Algérie (tableau commercial) :</w:t>
      </w:r>
      <w:r/>
    </w:p>
    <w:p>
      <w:r>
        <w:t>Forme dermique non renouvelable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FLUSAL</w:t>
            </w:r>
          </w:p>
        </w:tc>
        <w:tc>
          <w:tcPr>
            <w:tcW w:type="dxa" w:w="1559"/>
          </w:tcPr>
          <w:p>
            <w:r>
              <w:rPr>
                <w:sz w:val="20"/>
              </w:rPr>
              <w:t>FARMACEUTICI CROVIS PHILCOM SRL</w:t>
            </w:r>
          </w:p>
        </w:tc>
        <w:tc>
          <w:tcPr>
            <w:tcW w:type="dxa" w:w="1559"/>
          </w:tcPr>
          <w:p>
            <w:r>
              <w:rPr>
                <w:sz w:val="20"/>
              </w:rPr>
              <w:t>Pommade dermique (fluméthasone pivalate micronisée 0,02 % + acide salicylique 3 %)</w:t>
            </w:r>
          </w:p>
        </w:tc>
        <w:tc>
          <w:tcPr>
            <w:tcW w:type="dxa" w:w="1559"/>
          </w:tcPr>
          <w:p>
            <w:r>
              <w:rPr>
                <w:sz w:val="20"/>
              </w:rPr>
              <w:t>Tube 15 g</w:t>
            </w:r>
          </w:p>
        </w:tc>
        <w:tc>
          <w:tcPr>
            <w:tcW w:type="dxa" w:w="1559"/>
          </w:tcPr>
          <w:p>
            <w:r>
              <w:rPr>
                <w:sz w:val="20"/>
              </w:rPr>
              <w:t>Liste I</w:t>
            </w:r>
          </w:p>
        </w:tc>
        <w:tc>
          <w:tcPr>
            <w:tcW w:type="dxa" w:w="1559"/>
          </w:tcPr>
          <w:p>
            <w:r>
              <w:rPr>
                <w:sz w:val="20"/>
              </w:rPr>
              <w:t>Non Renouvelable</w:t>
            </w:r>
          </w:p>
        </w:tc>
      </w:tr>
    </w:tbl>
    <w:p/>
    <w:p>
      <w:r>
        <w:t>La fluméthasone pivalate n'est disponible en Algérie que sous une seule spécialité, en association avec l'acide salicylique, et son statut est non renouvelable (le médicament n'est plus commercialisé en nouvelles boîtes, mais les stocks en pharmacie peuvent encore être délivrés). Cette situation expose les patients à une rupture d'approvisionnement et impose au pharmacien de proposer des alternatives : bétaméthasone dipropionate + acide salicylique (également retirée du marché algérien en forme active, DIPROSALIC, BETASAL), ou mométasone + acide salicylique (CORSALIC, active), ou acide salicylique en monothérapie associé à un dermocorticoïde séparé.</w:t>
      </w:r>
    </w:p>
    <w:p>
      <w:r/>
      <w:r>
        <w:rPr>
          <w:b/>
        </w:rPr>
        <w:t>Sous-classe et Mécanisme d'action :</w:t>
      </w:r>
      <w:r/>
    </w:p>
    <w:p>
      <w:pPr>
        <w:pStyle w:val="ListBullet"/>
      </w:pPr>
      <w:r>
        <w:t>Sous-classe : Dermocorticoïde de classe III (forte activité), corticoïde fluoré 6α et 9α, ester pivalate en C21.</w:t>
      </w:r>
    </w:p>
    <w:p>
      <w:pPr>
        <w:pStyle w:val="ListBullet"/>
      </w:pPr>
      <w:r>
        <w:t>Mécanisme d'action : La fluméthasone pivalate pénètre la couche cornée par diffusion passive, est hydrolysée partiellement par les estérases cutanées. La fraction inchangée se fixe au GRα cytosolique, le complexe transloque dans le noyau et se lie aux GRE, activant les gènes anti-inflammatoires et réprimant les gènes pro-inflammatoires. Quatre effets cardinaux : anti-inflammatoire, immunosuppresseur, vasoconstricteur, antiprolifératif. L'ester pivalate, fortement lipophile, assure une rémanence locale prolongée.</w:t>
      </w:r>
    </w:p>
    <w:p>
      <w:pPr>
        <w:pStyle w:val="ListBullet"/>
      </w:pPr>
      <w:r>
        <w:t>Association avec l'acide salicylique : L'acide salicylique est un kératolytique qui réduit l'hyperkératose en réduisant la cohésion des cornéocytes (rupture des liaisons desmosomales) et en augmentant l'hydratation de la couche cornée. Il favorise également la pénétration de la fluméthasone (effet « promoter ») en réduisant l'épaisseur de la couche cornée. Cette synergie est particulièrement utile dans le psoriasis en plaques épaisses et les kératodermies.</w:t>
      </w:r>
    </w:p>
    <w:p>
      <w:r/>
      <w:r>
        <w:rPr>
          <w:b/>
        </w:rPr>
        <w:t>Profil Pharmacologique :</w:t>
      </w:r>
      <w:r/>
    </w:p>
    <w:p>
      <w:pPr>
        <w:pStyle w:val="ListBullet"/>
      </w:pPr>
      <w:r>
        <w:t>Indications : Psoriasis en plaques épaisses hyperkératosiques, lichen plan hypertrophique, kératodermies palmoplantaires, eczéma chronique lichenifié hyperkératosique, pityriasis rubra pilaire.</w:t>
      </w:r>
    </w:p>
    <w:p>
      <w:pPr>
        <w:pStyle w:val="ListBullet"/>
      </w:pPr>
      <w:r>
        <w:t>Contre-indications : Hypersensibilité à la fluméthasone, à l'acide salicylique ou à l'un des excipients, infections cutanées bactériennes, virales, parasitaires, fongiques sans traitement associé, rosacée, dermatite périorale, acné vulgaris, ulcère de jambe, application sur le visage hors indication spécialisée, enfant de moins de 6 ans, application sur les muqueuses et les organes génitaux, grossesse (acide salicylique tératogène au 1er trimestre), allaitement, insuffisance rénale (acide salicylique), enfant de moins de 15 ans pour le syndrome de Reye (en cas d'usage étendu).</w:t>
      </w:r>
    </w:p>
    <w:p>
      <w:pPr>
        <w:pStyle w:val="ListBullet"/>
      </w:pPr>
      <w:r>
        <w:t>Spectre : Pas d'activité antibiotique propre.</w:t>
      </w:r>
    </w:p>
    <w:p>
      <w:r/>
      <w:r>
        <w:rPr>
          <w:b/>
        </w:rPr>
        <w:t>Effets Indésirables :</w:t>
      </w:r>
      <w:r/>
    </w:p>
    <w:p>
      <w:pPr>
        <w:pStyle w:val="ListBullet"/>
      </w:pPr>
      <w:r/>
      <w:r>
        <w:rPr>
          <w:b/>
        </w:rPr>
        <w:t>Locaux</w:t>
      </w:r>
      <w:r>
        <w:t xml:space="preserve"> : sensation de brûlure, prurit, irritation, folliculite, atrophie cutanée, télangiectasies, vergetures, dermatite rosacéiforme, dermatite périorale.</w:t>
      </w:r>
    </w:p>
    <w:p>
      <w:pPr>
        <w:pStyle w:val="ListBullet"/>
      </w:pPr>
      <w:r/>
      <w:r>
        <w:rPr>
          <w:b/>
        </w:rPr>
        <w:t>Spécifiques à l'acide salicylique</w:t>
      </w:r>
      <w:r>
        <w:t xml:space="preserve"> : dessèchement, desquamation, dermatite de contact irritative, hypopigmentation.</w:t>
      </w:r>
    </w:p>
    <w:p>
      <w:pPr>
        <w:pStyle w:val="ListBullet"/>
      </w:pPr>
      <w:r/>
      <w:r>
        <w:rPr>
          <w:b/>
        </w:rPr>
        <w:t>Systémiques (exceptionnels)</w:t>
      </w:r>
      <w:r>
        <w:t xml:space="preserve"> : syndrome de Cushing iatrogène en cas d'usage prolongé sur grande surface ; salicylisme en cas d'usage étendu (acouphènes, vertiges, nausées, hyperventilation, alcalose respiratoire) — particulièrement chez l'enfant et en cas d'insuffisance rénale.</w:t>
      </w:r>
    </w:p>
    <w:p>
      <w:r/>
      <w:r>
        <w:rPr>
          <w:b/>
        </w:rPr>
        <w:t>Prévention et Gestion des Effets Indésirables :</w:t>
      </w:r>
      <w:r/>
    </w:p>
    <w:p>
      <w:pPr>
        <w:pStyle w:val="ListBullet"/>
      </w:pPr>
      <w:r>
        <w:t>Mesures préventives : Prescription initiale par dermatologue, durée limitée à 2–4 semaines, surface limitée (&lt; 10 % de la surface corporelle), surveillance de la fonction rénale en cas d'usage étendu ou prolongé, prudence chez l'enfant, contre-indication chez la femme enceinte (acide salicylique).</w:t>
      </w:r>
    </w:p>
    <w:p>
      <w:pPr>
        <w:pStyle w:val="ListBullet"/>
      </w:pPr>
      <w:r>
        <w:t>Conduite à tenir : Arrêt en cas d'apparition d'atrophie, de télangiectasies, ou de signes de salicylisme. Surveillance de la créatininémie et de la salicylémie en cas d'usage étendu.</w:t>
      </w:r>
    </w:p>
    <w:p>
      <w:r/>
      <w:r>
        <w:rPr>
          <w:b/>
        </w:rPr>
        <w:t>Interactions Importantes :</w:t>
      </w:r>
      <w:r/>
    </w:p>
    <w:p>
      <w:pPr>
        <w:pStyle w:val="ListBullet"/>
      </w:pPr>
      <w:r>
        <w:t>Autres dermocorticoïdes : pas de cumul.</w:t>
      </w:r>
    </w:p>
    <w:p>
      <w:pPr>
        <w:pStyle w:val="ListBullet"/>
      </w:pPr>
      <w:r>
        <w:t>Aspirine et AINS : majoration du risque de salicylisme et de saignement.</w:t>
      </w:r>
    </w:p>
    <w:p>
      <w:pPr>
        <w:pStyle w:val="ListBullet"/>
      </w:pPr>
      <w:r>
        <w:t>Anticoagulants oraux : majoration du risque hémorragique (acide salicylique).</w:t>
      </w:r>
    </w:p>
    <w:p>
      <w:pPr>
        <w:pStyle w:val="ListBullet"/>
      </w:pPr>
      <w:r>
        <w:t>Méthotrexate : augmentation de la toxicité (acide salicylique déplace le méthotrexate de sa liaison protéique).</w:t>
      </w:r>
    </w:p>
    <w:p>
      <w:pPr>
        <w:pStyle w:val="ListBullet"/>
      </w:pPr>
      <w:r>
        <w:t>Inhibiteurs de l'Anisme de Sécrétion (probénécide, inhibiteurs de l'ECA) : interactions théoriques.</w:t>
      </w:r>
    </w:p>
    <w:p>
      <w:r/>
      <w:r>
        <w:rPr>
          <w:b/>
        </w:rPr>
        <w:t>Grossesse et Allaitement :</w:t>
      </w:r>
      <w:r/>
    </w:p>
    <w:p>
      <w:pPr>
        <w:pStyle w:val="ListBullet"/>
      </w:pPr>
      <w:r>
        <w:t>Grossesse : Contre-indication en raison de la présence d'acide salicylique, tératogène au 1er trimestre (fermeture du canal artériel prématurée au 3e trimestre, saignement materno-fœtal). Risque d'hémorragie fœtale in utero.</w:t>
      </w:r>
    </w:p>
    <w:p>
      <w:pPr>
        <w:pStyle w:val="ListBullet"/>
      </w:pPr>
      <w:r>
        <w:t>Allaitement : Contre-indication en raison du passage du salicylate dans le lait maternel (risque de syndrome de Reye chez le nourrisson).</w:t>
      </w:r>
    </w:p>
    <w:p>
      <w:pPr>
        <w:pStyle w:val="ListBullet"/>
      </w:pPr>
      <w:r>
        <w:t>Précisions : En cas de nécessité absolue, préférer un dermocorticoïde sans acide salicylique (bétaméthasone, mométasone) après le 1er trimestre.</w:t>
      </w:r>
    </w:p>
    <w:p>
      <w:r/>
      <w:r>
        <w:rPr>
          <w:b/>
        </w:rPr>
        <w:t>Posologie et Mode d'administration (Standard) :</w:t>
      </w:r>
      <w:r/>
    </w:p>
    <w:p>
      <w:pPr>
        <w:pStyle w:val="ListBullet"/>
      </w:pPr>
      <w:r>
        <w:t>Adulte : 1 à 2 applications par jour en couche fine sur les lésions hyperkératosiques. Durée maximale de 2 à 4 semaines.</w:t>
      </w:r>
    </w:p>
    <w:p>
      <w:pPr>
        <w:pStyle w:val="ListBullet"/>
      </w:pPr>
      <w:r>
        <w:t>Enfant de plus de 15 ans : 1 application par jour sur surface limitée, durée courte.</w:t>
      </w:r>
    </w:p>
    <w:p>
      <w:pPr>
        <w:pStyle w:val="ListBullet"/>
      </w:pPr>
      <w:r>
        <w:t>Quantité maximale hebdomadaire : 50 g chez l'adulte.</w:t>
      </w:r>
    </w:p>
    <w:p>
      <w:pPr>
        <w:pStyle w:val="ListBullet"/>
      </w:pPr>
      <w:r>
        <w:t>Mode d'application : lavage préalable des mains, application sur peau sèche et propre, massage doux, lavage des mains après.</w:t>
      </w:r>
    </w:p>
    <w:p>
      <w:r/>
      <w:r>
        <w:rPr>
          <w:b/>
        </w:rPr>
        <w:t>Arbitrage et Bénéfices des Formes Galéniques :</w:t>
      </w:r>
      <w:r/>
    </w:p>
    <w:p>
      <w:r>
        <w:t>La seule forme disponible est la pommade FLUSAL, qui combine fluméthasone pivalate 0,02 % et acide salicylique 3 %. La galénique en pommade est adaptée aux lésions chroniques sèches et hyperkératosiques. L'absence de forme crème ou lotion limite l'usage sur lésions aiguës suintantes ou sur cuir chevelu. Le statut non renouvelable impose une alternative en cas d'indisponibilité : mométasone + acide salicylique (CORSALIC) ou dermocorticoïde séparé + acide salicylique.</w:t>
      </w:r>
    </w:p>
    <w:p>
      <w:r/>
      <w:r>
        <w:rPr>
          <w:b/>
        </w:rPr>
        <w:t>Instructions et Conseils au Patient :</w:t>
      </w:r>
      <w:r/>
    </w:p>
    <w:p>
      <w:pPr>
        <w:pStyle w:val="ListBullet"/>
      </w:pPr>
      <w:r>
        <w:t>Communication au comptoir : Insister sur la puissance de l'association, sur la durée limitée, sur la nécessité d'application sur la zone prescrite uniquement, sur l'interdiction chez la femme enceinte et l'enfant.</w:t>
      </w:r>
    </w:p>
    <w:p>
      <w:pPr>
        <w:pStyle w:val="ListBullet"/>
      </w:pPr>
      <w:r>
        <w:t>Mode d'utilisation pratique : FTU pour quantifier l'application, lavage des mains avant et après, pas d'occlusion.</w:t>
      </w:r>
    </w:p>
    <w:p>
      <w:pPr>
        <w:pStyle w:val="ListBullet"/>
      </w:pPr>
      <w:r>
        <w:t>Information sur les signes d'alerte : acouphènes, vertiges, nausées (signes de salicylisme) → arrêt immédiat et consultation.</w:t>
      </w:r>
    </w:p>
    <w:p>
      <w:r/>
      <w:r>
        <w:rPr>
          <w:b/>
        </w:rPr>
        <w:t>Notes, Règles d'Or &amp; Pièges au Comptoir :</w:t>
      </w:r>
      <w:r/>
    </w:p>
    <w:p>
      <w:pPr>
        <w:pStyle w:val="ListBullet"/>
      </w:pPr>
      <w:r>
        <w:t>Piège classique : Patient appliquant FLUSAL sur grande surface (&gt; 20 %) pour psoriasis étendu → salicylisme (acouphènes, vertiges).</w:t>
      </w:r>
    </w:p>
    <w:p>
      <w:pPr>
        <w:pStyle w:val="ListBullet"/>
      </w:pPr>
      <w:r>
        <w:t>Règle d'or : « Surface limitée, durée limitée, contre-indication chez la femme enceinte. »</w:t>
      </w:r>
    </w:p>
    <w:p>
      <w:pPr>
        <w:pStyle w:val="ListBullet"/>
      </w:pPr>
      <w:r>
        <w:t>Préparation et Conservation : Tube fermé, à température ≤ 25 °C.</w:t>
      </w:r>
    </w:p>
    <w:p>
      <w:pPr>
        <w:pStyle w:val="ListBullet"/>
      </w:pPr>
      <w:r>
        <w:t>Piège de la substitution : En cas d'indisponibilité, ne pas substituer par un dermocorticoïde pur sans acide salicylique (risque d'inefficacité sur l'hyperkératose) ; préférer l'association active CORSALIC (mométasone + acide salicylique).</w:t>
      </w:r>
    </w:p>
    <w:p>
      <w:pPr>
        <w:pStyle w:val="ListBullet"/>
      </w:pPr>
      <w:r>
        <w:t>Piège du statut : Le statut non renouvelable de FLUSAL signifie qu'il n'est plus commercialisé en nouvelles boîtes, mais que les stocks peuvent encore être délivrés ; le pharmacien doit informer le patient de la nécessité de prévoir une alternative pour les renouvellements futurs.</w:t>
      </w:r>
    </w:p>
    <w:p>
      <w:pPr>
        <w:pStyle w:val="Heading2"/>
      </w:pPr>
      <w:r>
        <w:t>122.5 Sous-classe : Dermocorticoïdes — Faible à modérée activité</w:t>
      </w:r>
    </w:p>
    <w:p>
      <w:pPr>
        <w:pStyle w:val="Heading3"/>
      </w:pPr>
      <w:r>
        <w:t>122.5.1 Généralités de la sous-classe</w:t>
      </w:r>
    </w:p>
    <w:p>
      <w:r>
        <w:t>La sous-classe « faible à modérée activité » (classes IV européenne ou V–VII américaine selon les molécules) regroupe des dermocorticoïdes dont la puissance vasoconstrictrice est proche de celle de l'hydrocortisone (1 à 5 fois supérieure), mais avec une meilleure tolérance locale et systémique. Ils constituent le palier de référence pour les zones sensibles (visage, plis, organes génitaux), pour la femme enceinte et allaitante, pour l'enfant (y compris le nourrisson), et pour les dermatoses modérées étendues nécessitant un traitement prolongé. Ils sont également utilisés en relais d'un dermocorticoïde plus puissant pour le sevrage progressif, et dans les dermatites de contact irritatives, les dermatites atopiques légères à modérées, les eczémas aigus du visage, les dermites séborrhéiques, les dermites de stase, les prurits ano-génitaux.</w:t>
      </w:r>
    </w:p>
    <w:p>
      <w:r>
        <w:t>Le représentant principal de cette sous-classe dans la nomenclature algérienne est l'</w:t>
      </w:r>
      <w:r>
        <w:rPr>
          <w:b/>
        </w:rPr>
        <w:t>hydrocortisone</w:t>
      </w:r>
      <w:r>
        <w:t xml:space="preserve"> dans ses trois formes : la base (17-hydroxycorticostérone, hormone naturelle, classe V), l'</w:t>
      </w:r>
      <w:r>
        <w:rPr>
          <w:b/>
        </w:rPr>
        <w:t>acétonide d'hydrocortisone</w:t>
      </w:r>
      <w:r>
        <w:t xml:space="preserve"> (classe IV), le </w:t>
      </w:r>
      <w:r>
        <w:rPr>
          <w:b/>
        </w:rPr>
        <w:t>17-butyrate d'hydrocortisone</w:t>
      </w:r>
      <w:r>
        <w:t xml:space="preserve"> (ester non fluoré en C17, classe IV européenne, classe V américaine) et l'</w:t>
      </w:r>
      <w:r>
        <w:rPr>
          <w:b/>
        </w:rPr>
        <w:t>acéponate d'hydrocortisone</w:t>
      </w:r>
      <w:r>
        <w:t xml:space="preserve"> (ester en C17, classe IV, profil de tolérance optimal). Le 17-butyrate (Locoid®, Locacort) et l'acéponate (Efficort®) sont des « prodrogues » qui sont activées localement par les estérases cutanées, ce qui réduit la pénétration systémique et donc la toxicité. Ils sont souvent appelés « dermocorticoïdes non fluorés de nouvelle génération » et représentent le standard de prescription pour les zones sensibles et l'enfant.</w:t>
      </w:r>
    </w:p>
    <w:p>
      <w:r>
        <w:t>L'absorption percutanée de cette classe est faible (1 à 3 %), et le risque systémique est minimal même en cas d'usage prolongé modéré. La tolérance locale est excellente, avec un profil d'atrophie cutanée très réduit par rapport aux paliers supérieurs. Toutefois, l'usage prolongé (&gt; 4 semaines) sur le visage peut tout de même induire une dermatite rosacéiforme, une dermatite périorale, un glaucome périorbitaire — il ne s'agit donc pas d'une autorisation d'usage illimité. Les règles de prescription (durée, quantité, zones) sont moins strictes que pour les paliers supérieurs, mais restent applicables : durée maximale de 4 à 6 semaines en continu sur le visage, surveillance pédiatrique de la croissance en cas d'usage prolongé étendu.</w:t>
      </w:r>
    </w:p>
    <w:p>
      <w:r>
        <w:t>La disponibilité commerciale en Algérie de cette sous-classe repose principalement sur deux laboratoires : Galderma (EFFICORT, LOCOID) et Novapharm (ECZECORT, LOCACORT). Le pharmacien doit savoir orienter le patient vers ces spécialités pour les indications de palier faible, et particulièrement pour le visage, les plis, l'enfant et la femme enceinte.</w:t>
      </w:r>
    </w:p>
    <w:p>
      <w:pPr>
        <w:pStyle w:val="Heading3"/>
      </w:pPr>
      <w:r>
        <w:t>122.5.2 DCI : Hydrocortisone (topique + 17-butyrate/aceponate)</w:t>
      </w:r>
    </w:p>
    <w:p>
      <w:r/>
      <w:r>
        <w:rPr>
          <w:b/>
        </w:rPr>
        <w:t>Liste des Catégories :</w:t>
      </w:r>
      <w:r>
        <w:t xml:space="preserve"> Liste I (toutes formes dermiques).</w:t>
      </w:r>
    </w:p>
    <w:p>
      <w:r>
        <w:t xml:space="preserve">L'hydrocortisone (11β,17α,21-trihydroxy-4-pregnène-3,20-dione) est l'hormone glucocorticoïde naturelle sécrétée par la zone fasciculée du cortex surrénalien. Elle a été le premier corticoïde topique utilisé en dermologie, dès 1952. Sa puissance vasoconstrictrice sert de référence (activité = 1) pour la classification des dermocorticoïdes. L'hydrocortisone base, peu lipophile, a une absorption percutanée modérée et une puissance limitée, ce qui en fait un dermocorticoïde de palier faible (classe V européenne, classe VII américaine). Pour augmenter la puissance locale sans augmenter la toxicité systémique, des esters ont été développés : l'acétonide d'hydrocortisone (classe IV), le </w:t>
      </w:r>
      <w:r>
        <w:rPr>
          <w:b/>
        </w:rPr>
        <w:t>17-butyrate d'hydrocortisone</w:t>
      </w:r>
      <w:r>
        <w:t xml:space="preserve"> (Locoid®, Locacort) et l'</w:t>
      </w:r>
      <w:r>
        <w:rPr>
          <w:b/>
        </w:rPr>
        <w:t>acéponate d'hydrocortisone</w:t>
      </w:r>
      <w:r>
        <w:t xml:space="preserve"> (Efficort®, ECZECORT). Ces deux derniers esters, non fluorés, sont des « prodrogues » activées par hydrolyse enzymatique cutanée : leur pénétration systémique est minimale et leur tolérance locale est excellente, ce qui en fait les dermocorticoïdes de référence pour les zones sensibles, l'enfant et la femme enceinte.</w:t>
      </w:r>
    </w:p>
    <w:p>
      <w:r/>
      <w:r>
        <w:rPr>
          <w:b/>
        </w:rPr>
        <w:t>Médicaments disponibles en Algérie (tableau commercial) :</w:t>
      </w:r>
      <w:r/>
    </w:p>
    <w:p>
      <w:r>
        <w:t>Formes dermiques actives (esters non fluorés de nouvelle génération)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ECZECORT</w:t>
            </w:r>
          </w:p>
        </w:tc>
        <w:tc>
          <w:tcPr>
            <w:tcW w:type="dxa" w:w="1559"/>
          </w:tcPr>
          <w:p>
            <w:r>
              <w:rPr>
                <w:sz w:val="20"/>
              </w:rPr>
              <w:t>NOVAPHARM TRADING</w:t>
            </w:r>
          </w:p>
        </w:tc>
        <w:tc>
          <w:tcPr>
            <w:tcW w:type="dxa" w:w="1559"/>
          </w:tcPr>
          <w:p>
            <w:r>
              <w:rPr>
                <w:sz w:val="20"/>
              </w:rPr>
              <w:t>Crème lipophile (hydrocortisone acéponate) 0,127 % (0,00127)</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EFFICORT LIPOPHILE</w:t>
            </w:r>
          </w:p>
        </w:tc>
        <w:tc>
          <w:tcPr>
            <w:tcW w:type="dxa" w:w="1559"/>
          </w:tcPr>
          <w:p>
            <w:r>
              <w:rPr>
                <w:sz w:val="20"/>
              </w:rPr>
              <w:t>GALDERMA INTERNATIONAL</w:t>
            </w:r>
          </w:p>
        </w:tc>
        <w:tc>
          <w:tcPr>
            <w:tcW w:type="dxa" w:w="1559"/>
          </w:tcPr>
          <w:p>
            <w:r>
              <w:rPr>
                <w:sz w:val="20"/>
              </w:rPr>
              <w:t>Crème lipophile (hydrocortisone acéponate) 0,127 % (0,00127)</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EFFICORT HYDROPHILE</w:t>
            </w:r>
          </w:p>
        </w:tc>
        <w:tc>
          <w:tcPr>
            <w:tcW w:type="dxa" w:w="1559"/>
          </w:tcPr>
          <w:p>
            <w:r>
              <w:rPr>
                <w:sz w:val="20"/>
              </w:rPr>
              <w:t>GALDERMA INTERNATIONAL</w:t>
            </w:r>
          </w:p>
        </w:tc>
        <w:tc>
          <w:tcPr>
            <w:tcW w:type="dxa" w:w="1559"/>
          </w:tcPr>
          <w:p>
            <w:r>
              <w:rPr>
                <w:sz w:val="20"/>
              </w:rPr>
              <w:t>Crème hydrophile (hydrocortisone acéponate) 0,127 % (0,00127)</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LOCACORT</w:t>
            </w:r>
          </w:p>
        </w:tc>
        <w:tc>
          <w:tcPr>
            <w:tcW w:type="dxa" w:w="1559"/>
          </w:tcPr>
          <w:p>
            <w:r>
              <w:rPr>
                <w:sz w:val="20"/>
              </w:rPr>
              <w:t>NOVAPHARM TRADING</w:t>
            </w:r>
          </w:p>
        </w:tc>
        <w:tc>
          <w:tcPr>
            <w:tcW w:type="dxa" w:w="1559"/>
          </w:tcPr>
          <w:p>
            <w:r>
              <w:rPr>
                <w:sz w:val="20"/>
              </w:rPr>
              <w:t>Crème (hydrocortisone 17-butyrate)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LOCOID</w:t>
            </w:r>
          </w:p>
        </w:tc>
        <w:tc>
          <w:tcPr>
            <w:tcW w:type="dxa" w:w="1559"/>
          </w:tcPr>
          <w:p>
            <w:r>
              <w:rPr>
                <w:sz w:val="20"/>
              </w:rPr>
              <w:t>CHEPLAPHARM ARZNEIMITTEL GMBH</w:t>
            </w:r>
          </w:p>
        </w:tc>
        <w:tc>
          <w:tcPr>
            <w:tcW w:type="dxa" w:w="1559"/>
          </w:tcPr>
          <w:p>
            <w:r>
              <w:rPr>
                <w:sz w:val="20"/>
              </w:rPr>
              <w:t>Crème (hydrocortisone 17-butyrate)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LOCOID</w:t>
            </w:r>
          </w:p>
        </w:tc>
        <w:tc>
          <w:tcPr>
            <w:tcW w:type="dxa" w:w="1559"/>
          </w:tcPr>
          <w:p>
            <w:r>
              <w:rPr>
                <w:sz w:val="20"/>
              </w:rPr>
              <w:t>CHEPLAPHARM ARZNEIMITTEL GMBH</w:t>
            </w:r>
          </w:p>
        </w:tc>
        <w:tc>
          <w:tcPr>
            <w:tcW w:type="dxa" w:w="1559"/>
          </w:tcPr>
          <w:p>
            <w:r>
              <w:rPr>
                <w:sz w:val="20"/>
              </w:rPr>
              <w:t>Crème épaisse (hydrocortisone 17-butyrate)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r>
        <w:tc>
          <w:tcPr>
            <w:tcW w:type="dxa" w:w="1559"/>
          </w:tcPr>
          <w:p>
            <w:r>
              <w:rPr>
                <w:sz w:val="20"/>
              </w:rPr>
              <w:t>LOCOID</w:t>
            </w:r>
          </w:p>
        </w:tc>
        <w:tc>
          <w:tcPr>
            <w:tcW w:type="dxa" w:w="1559"/>
          </w:tcPr>
          <w:p>
            <w:r>
              <w:rPr>
                <w:sz w:val="20"/>
              </w:rPr>
              <w:t>ASTELLAS PHARMA S.A.S.</w:t>
            </w:r>
          </w:p>
        </w:tc>
        <w:tc>
          <w:tcPr>
            <w:tcW w:type="dxa" w:w="1559"/>
          </w:tcPr>
          <w:p>
            <w:r>
              <w:rPr>
                <w:sz w:val="20"/>
              </w:rPr>
              <w:t>Lotion (hydrocortisone 17-butyrate) 0,1 % (0,001)</w:t>
            </w:r>
          </w:p>
        </w:tc>
        <w:tc>
          <w:tcPr>
            <w:tcW w:type="dxa" w:w="1559"/>
          </w:tcPr>
          <w:p>
            <w:r>
              <w:rPr>
                <w:sz w:val="20"/>
              </w:rPr>
              <w:t>Flacon 30 mL</w:t>
            </w:r>
          </w:p>
        </w:tc>
        <w:tc>
          <w:tcPr>
            <w:tcW w:type="dxa" w:w="1559"/>
          </w:tcPr>
          <w:p>
            <w:r>
              <w:rPr>
                <w:sz w:val="20"/>
              </w:rPr>
              <w:t>Liste I</w:t>
            </w:r>
          </w:p>
        </w:tc>
        <w:tc>
          <w:tcPr>
            <w:tcW w:type="dxa" w:w="1559"/>
          </w:tcPr>
          <w:p>
            <w:r>
              <w:rPr>
                <w:sz w:val="20"/>
              </w:rPr>
              <w:t>Actif</w:t>
            </w:r>
          </w:p>
        </w:tc>
      </w:tr>
      <w:tr>
        <w:tc>
          <w:tcPr>
            <w:tcW w:type="dxa" w:w="1559"/>
          </w:tcPr>
          <w:p>
            <w:r>
              <w:rPr>
                <w:sz w:val="20"/>
              </w:rPr>
              <w:t>LOCOID</w:t>
            </w:r>
          </w:p>
        </w:tc>
        <w:tc>
          <w:tcPr>
            <w:tcW w:type="dxa" w:w="1559"/>
          </w:tcPr>
          <w:p>
            <w:r>
              <w:rPr>
                <w:sz w:val="20"/>
              </w:rPr>
              <w:t>CHEPLAPHARM ARZNEIMITTEL GMBH</w:t>
            </w:r>
          </w:p>
        </w:tc>
        <w:tc>
          <w:tcPr>
            <w:tcW w:type="dxa" w:w="1559"/>
          </w:tcPr>
          <w:p>
            <w:r>
              <w:rPr>
                <w:sz w:val="20"/>
              </w:rPr>
              <w:t>Pommade (hydrocortisone 17-butyrate) 0,1 % (0,001)</w:t>
            </w:r>
          </w:p>
        </w:tc>
        <w:tc>
          <w:tcPr>
            <w:tcW w:type="dxa" w:w="1559"/>
          </w:tcPr>
          <w:p>
            <w:r>
              <w:rPr>
                <w:sz w:val="20"/>
              </w:rPr>
              <w:t>Tube 30 g</w:t>
            </w:r>
          </w:p>
        </w:tc>
        <w:tc>
          <w:tcPr>
            <w:tcW w:type="dxa" w:w="1559"/>
          </w:tcPr>
          <w:p>
            <w:r>
              <w:rPr>
                <w:sz w:val="20"/>
              </w:rPr>
              <w:t>Liste I</w:t>
            </w:r>
          </w:p>
        </w:tc>
        <w:tc>
          <w:tcPr>
            <w:tcW w:type="dxa" w:w="1559"/>
          </w:tcPr>
          <w:p>
            <w:r>
              <w:rPr>
                <w:sz w:val="20"/>
              </w:rPr>
              <w:t>Actif</w:t>
            </w:r>
          </w:p>
        </w:tc>
      </w:tr>
    </w:tbl>
    <w:p/>
    <w:p>
      <w:r>
        <w:t>Formes non dermiques (hydrocortisone base/systemique, mentionnées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HYDROCORTAL</w:t>
            </w:r>
          </w:p>
        </w:tc>
        <w:tc>
          <w:tcPr>
            <w:tcW w:type="dxa" w:w="1559"/>
          </w:tcPr>
          <w:p>
            <w:r>
              <w:rPr>
                <w:sz w:val="20"/>
              </w:rPr>
              <w:t>SOPHAL</w:t>
            </w:r>
          </w:p>
        </w:tc>
        <w:tc>
          <w:tcPr>
            <w:tcW w:type="dxa" w:w="1559"/>
          </w:tcPr>
          <w:p>
            <w:r>
              <w:rPr>
                <w:sz w:val="20"/>
              </w:rPr>
              <w:t>Poudre lyophilisée pour solution injectable IM/IV 100 mg</w:t>
            </w:r>
          </w:p>
        </w:tc>
        <w:tc>
          <w:tcPr>
            <w:tcW w:type="dxa" w:w="1559"/>
          </w:tcPr>
          <w:p>
            <w:r>
              <w:rPr>
                <w:sz w:val="20"/>
              </w:rPr>
              <w:t>Boîte 50 et Boîte 1+1</w:t>
            </w:r>
          </w:p>
        </w:tc>
        <w:tc>
          <w:tcPr>
            <w:tcW w:type="dxa" w:w="1559"/>
          </w:tcPr>
          <w:p>
            <w:r>
              <w:rPr>
                <w:sz w:val="20"/>
              </w:rPr>
              <w:t>Liste I</w:t>
            </w:r>
          </w:p>
        </w:tc>
        <w:tc>
          <w:tcPr>
            <w:tcW w:type="dxa" w:w="1559"/>
          </w:tcPr>
          <w:p>
            <w:r>
              <w:rPr>
                <w:sz w:val="20"/>
              </w:rPr>
              <w:t>Actif</w:t>
            </w:r>
          </w:p>
        </w:tc>
      </w:tr>
      <w:tr>
        <w:tc>
          <w:tcPr>
            <w:tcW w:type="dxa" w:w="1559"/>
          </w:tcPr>
          <w:p>
            <w:r>
              <w:rPr>
                <w:sz w:val="20"/>
              </w:rPr>
              <w:t>HYCOSONE</w:t>
            </w:r>
          </w:p>
        </w:tc>
        <w:tc>
          <w:tcPr>
            <w:tcW w:type="dxa" w:w="1559"/>
          </w:tcPr>
          <w:p>
            <w:r>
              <w:rPr>
                <w:sz w:val="20"/>
              </w:rPr>
              <w:t>GEOPHARM</w:t>
            </w:r>
          </w:p>
        </w:tc>
        <w:tc>
          <w:tcPr>
            <w:tcW w:type="dxa" w:w="1559"/>
          </w:tcPr>
          <w:p>
            <w:r>
              <w:rPr>
                <w:sz w:val="20"/>
              </w:rPr>
              <w:t>Comprimé sécable 10 mg</w:t>
            </w:r>
          </w:p>
        </w:tc>
        <w:tc>
          <w:tcPr>
            <w:tcW w:type="dxa" w:w="1559"/>
          </w:tcPr>
          <w:p>
            <w:r>
              <w:rPr>
                <w:sz w:val="20"/>
              </w:rPr>
              <w:t>Boîte 30</w:t>
            </w:r>
          </w:p>
        </w:tc>
        <w:tc>
          <w:tcPr>
            <w:tcW w:type="dxa" w:w="1559"/>
          </w:tcPr>
          <w:p>
            <w:r>
              <w:rPr>
                <w:sz w:val="20"/>
              </w:rPr>
              <w:t>Liste I</w:t>
            </w:r>
          </w:p>
        </w:tc>
        <w:tc>
          <w:tcPr>
            <w:tcW w:type="dxa" w:w="1559"/>
          </w:tcPr>
          <w:p>
            <w:r>
              <w:rPr>
                <w:sz w:val="20"/>
              </w:rPr>
              <w:t>Actif</w:t>
            </w:r>
          </w:p>
        </w:tc>
      </w:tr>
      <w:tr>
        <w:tc>
          <w:tcPr>
            <w:tcW w:type="dxa" w:w="1559"/>
          </w:tcPr>
          <w:p>
            <w:r>
              <w:rPr>
                <w:sz w:val="20"/>
              </w:rPr>
              <w:t>HYDROCORTISONE ROUSSEL</w:t>
            </w:r>
          </w:p>
        </w:tc>
        <w:tc>
          <w:tcPr>
            <w:tcW w:type="dxa" w:w="1559"/>
          </w:tcPr>
          <w:p>
            <w:r>
              <w:rPr>
                <w:sz w:val="20"/>
              </w:rPr>
              <w:t>SANOFI AVENTIS FRANCE</w:t>
            </w:r>
          </w:p>
        </w:tc>
        <w:tc>
          <w:tcPr>
            <w:tcW w:type="dxa" w:w="1559"/>
          </w:tcPr>
          <w:p>
            <w:r>
              <w:rPr>
                <w:sz w:val="20"/>
              </w:rPr>
              <w:t>Comprimé 10 mg</w:t>
            </w:r>
          </w:p>
        </w:tc>
        <w:tc>
          <w:tcPr>
            <w:tcW w:type="dxa" w:w="1559"/>
          </w:tcPr>
          <w:p>
            <w:r>
              <w:rPr>
                <w:sz w:val="20"/>
              </w:rPr>
              <w:t>Boîte 25</w:t>
            </w:r>
          </w:p>
        </w:tc>
        <w:tc>
          <w:tcPr>
            <w:tcW w:type="dxa" w:w="1559"/>
          </w:tcPr>
          <w:p>
            <w:r>
              <w:rPr>
                <w:sz w:val="20"/>
              </w:rPr>
              <w:t>Liste I</w:t>
            </w:r>
          </w:p>
        </w:tc>
        <w:tc>
          <w:tcPr>
            <w:tcW w:type="dxa" w:w="1559"/>
          </w:tcPr>
          <w:p>
            <w:r>
              <w:rPr>
                <w:sz w:val="20"/>
              </w:rPr>
              <w:t>Actif</w:t>
            </w:r>
          </w:p>
        </w:tc>
      </w:tr>
      <w:tr>
        <w:tc>
          <w:tcPr>
            <w:tcW w:type="dxa" w:w="1559"/>
          </w:tcPr>
          <w:p>
            <w:r>
              <w:rPr>
                <w:sz w:val="20"/>
              </w:rPr>
              <w:t>HYDROCORT</w:t>
            </w:r>
          </w:p>
        </w:tc>
        <w:tc>
          <w:tcPr>
            <w:tcW w:type="dxa" w:w="1559"/>
          </w:tcPr>
          <w:p>
            <w:r>
              <w:rPr>
                <w:sz w:val="20"/>
              </w:rPr>
              <w:t>AMMAN PHARMACEUTICAL INDUSTRIE</w:t>
            </w:r>
          </w:p>
        </w:tc>
        <w:tc>
          <w:tcPr>
            <w:tcW w:type="dxa" w:w="1559"/>
          </w:tcPr>
          <w:p>
            <w:r>
              <w:rPr>
                <w:sz w:val="20"/>
              </w:rPr>
              <w:t>Collyre en solution 1 % (0,01)</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bl>
    <w:p/>
    <w:p>
      <w:r>
        <w:t>Formes non renouvelables et retirées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CORTIDERM</w:t>
            </w:r>
          </w:p>
        </w:tc>
        <w:tc>
          <w:tcPr>
            <w:tcW w:type="dxa" w:w="1559"/>
          </w:tcPr>
          <w:p>
            <w:r>
              <w:rPr>
                <w:sz w:val="20"/>
              </w:rPr>
              <w:t>SPIMACO</w:t>
            </w:r>
          </w:p>
        </w:tc>
        <w:tc>
          <w:tcPr>
            <w:tcW w:type="dxa" w:w="1559"/>
          </w:tcPr>
          <w:p>
            <w:r>
              <w:rPr>
                <w:sz w:val="20"/>
              </w:rPr>
              <w:t>Crème dermique 1 %</w:t>
            </w:r>
          </w:p>
        </w:tc>
        <w:tc>
          <w:tcPr>
            <w:tcW w:type="dxa" w:w="1559"/>
          </w:tcPr>
          <w:p>
            <w:r>
              <w:rPr>
                <w:sz w:val="20"/>
              </w:rPr>
              <w:t>Tube 10 g</w:t>
            </w:r>
          </w:p>
        </w:tc>
        <w:tc>
          <w:tcPr>
            <w:tcW w:type="dxa" w:w="1559"/>
          </w:tcPr>
          <w:p>
            <w:r>
              <w:rPr>
                <w:sz w:val="20"/>
              </w:rPr>
              <w:t>Liste I</w:t>
            </w:r>
          </w:p>
        </w:tc>
        <w:tc>
          <w:tcPr>
            <w:tcW w:type="dxa" w:w="1559"/>
          </w:tcPr>
          <w:p>
            <w:r>
              <w:rPr>
                <w:sz w:val="20"/>
              </w:rPr>
              <w:t>Non Renouvelable</w:t>
            </w:r>
          </w:p>
        </w:tc>
      </w:tr>
      <w:tr>
        <w:tc>
          <w:tcPr>
            <w:tcW w:type="dxa" w:w="1559"/>
          </w:tcPr>
          <w:p>
            <w:r>
              <w:rPr>
                <w:sz w:val="20"/>
              </w:rPr>
              <w:t>CORTEN</w:t>
            </w:r>
          </w:p>
        </w:tc>
        <w:tc>
          <w:tcPr>
            <w:tcW w:type="dxa" w:w="1559"/>
          </w:tcPr>
          <w:p>
            <w:r>
              <w:rPr>
                <w:sz w:val="20"/>
              </w:rPr>
              <w:t>BEIT JALA PHARMACEUTICALS Co</w:t>
            </w:r>
          </w:p>
        </w:tc>
        <w:tc>
          <w:tcPr>
            <w:tcW w:type="dxa" w:w="1559"/>
          </w:tcPr>
          <w:p>
            <w:r>
              <w:rPr>
                <w:sz w:val="20"/>
              </w:rPr>
              <w:t>Crème dermique (acétate d'hydrocortisone) 1 %</w:t>
            </w:r>
          </w:p>
        </w:tc>
        <w:tc>
          <w:tcPr>
            <w:tcW w:type="dxa" w:w="1559"/>
          </w:tcPr>
          <w:p>
            <w:r>
              <w:rPr>
                <w:sz w:val="20"/>
              </w:rPr>
              <w:t>Tube 15 g</w:t>
            </w:r>
          </w:p>
        </w:tc>
        <w:tc>
          <w:tcPr>
            <w:tcW w:type="dxa" w:w="1559"/>
          </w:tcPr>
          <w:p>
            <w:r>
              <w:rPr>
                <w:sz w:val="20"/>
              </w:rPr>
              <w:t>Liste I</w:t>
            </w:r>
          </w:p>
        </w:tc>
        <w:tc>
          <w:tcPr>
            <w:tcW w:type="dxa" w:w="1559"/>
          </w:tcPr>
          <w:p>
            <w:r>
              <w:rPr>
                <w:sz w:val="20"/>
              </w:rPr>
              <w:t>Non Renouvelable</w:t>
            </w:r>
          </w:p>
        </w:tc>
      </w:tr>
      <w:tr>
        <w:tc>
          <w:tcPr>
            <w:tcW w:type="dxa" w:w="1559"/>
          </w:tcPr>
          <w:p>
            <w:r>
              <w:rPr>
                <w:sz w:val="20"/>
              </w:rPr>
              <w:t>HYDRACORT</w:t>
            </w:r>
          </w:p>
        </w:tc>
        <w:tc>
          <w:tcPr>
            <w:tcW w:type="dxa" w:w="1559"/>
          </w:tcPr>
          <w:p>
            <w:r>
              <w:rPr>
                <w:sz w:val="20"/>
              </w:rPr>
              <w:t>GALDERMA</w:t>
            </w:r>
          </w:p>
        </w:tc>
        <w:tc>
          <w:tcPr>
            <w:tcW w:type="dxa" w:w="1559"/>
          </w:tcPr>
          <w:p>
            <w:r>
              <w:rPr>
                <w:sz w:val="20"/>
              </w:rPr>
              <w:t>Crème 0,5 % (0,005)</w:t>
            </w:r>
          </w:p>
        </w:tc>
        <w:tc>
          <w:tcPr>
            <w:tcW w:type="dxa" w:w="1559"/>
          </w:tcPr>
          <w:p>
            <w:r>
              <w:rPr>
                <w:sz w:val="20"/>
              </w:rPr>
              <w:t>Tube 30 g</w:t>
            </w:r>
          </w:p>
        </w:tc>
        <w:tc>
          <w:tcPr>
            <w:tcW w:type="dxa" w:w="1559"/>
          </w:tcPr>
          <w:p>
            <w:r>
              <w:rPr>
                <w:sz w:val="20"/>
              </w:rPr>
              <w:t>Liste I</w:t>
            </w:r>
          </w:p>
        </w:tc>
        <w:tc>
          <w:tcPr>
            <w:tcW w:type="dxa" w:w="1559"/>
          </w:tcPr>
          <w:p>
            <w:r>
              <w:rPr>
                <w:sz w:val="20"/>
              </w:rPr>
              <w:t>Non Renouvelable</w:t>
            </w:r>
          </w:p>
        </w:tc>
      </w:tr>
      <w:tr>
        <w:tc>
          <w:tcPr>
            <w:tcW w:type="dxa" w:w="1559"/>
          </w:tcPr>
          <w:p>
            <w:r>
              <w:rPr>
                <w:sz w:val="20"/>
              </w:rPr>
              <w:t>CORTINOVA</w:t>
            </w:r>
          </w:p>
        </w:tc>
        <w:tc>
          <w:tcPr>
            <w:tcW w:type="dxa" w:w="1559"/>
          </w:tcPr>
          <w:p>
            <w:r>
              <w:rPr>
                <w:sz w:val="20"/>
              </w:rPr>
              <w:t>NOVA ARGENTIA</w:t>
            </w:r>
          </w:p>
        </w:tc>
        <w:tc>
          <w:tcPr>
            <w:tcW w:type="dxa" w:w="1559"/>
          </w:tcPr>
          <w:p>
            <w:r>
              <w:rPr>
                <w:sz w:val="20"/>
              </w:rPr>
              <w:t>Comprimé 10 mg</w:t>
            </w:r>
          </w:p>
        </w:tc>
        <w:tc>
          <w:tcPr>
            <w:tcW w:type="dxa" w:w="1559"/>
          </w:tcPr>
          <w:p>
            <w:r>
              <w:rPr>
                <w:sz w:val="20"/>
              </w:rPr>
              <w:t>Boîte 25</w:t>
            </w:r>
          </w:p>
        </w:tc>
        <w:tc>
          <w:tcPr>
            <w:tcW w:type="dxa" w:w="1559"/>
          </w:tcPr>
          <w:p>
            <w:r>
              <w:rPr>
                <w:sz w:val="20"/>
              </w:rPr>
              <w:t>Liste I</w:t>
            </w:r>
          </w:p>
        </w:tc>
        <w:tc>
          <w:tcPr>
            <w:tcW w:type="dxa" w:w="1559"/>
          </w:tcPr>
          <w:p>
            <w:r>
              <w:rPr>
                <w:sz w:val="20"/>
              </w:rPr>
              <w:t>Non Renouvelable</w:t>
            </w:r>
          </w:p>
        </w:tc>
      </w:tr>
      <w:tr>
        <w:tc>
          <w:tcPr>
            <w:tcW w:type="dxa" w:w="1559"/>
          </w:tcPr>
          <w:p>
            <w:r>
              <w:rPr>
                <w:sz w:val="20"/>
              </w:rPr>
              <w:t>HYDROCORTISONE IVAL</w:t>
            </w:r>
          </w:p>
        </w:tc>
        <w:tc>
          <w:tcPr>
            <w:tcW w:type="dxa" w:w="1559"/>
          </w:tcPr>
          <w:p>
            <w:r>
              <w:rPr>
                <w:sz w:val="20"/>
              </w:rPr>
              <w:t>PHARMA IVAL</w:t>
            </w:r>
          </w:p>
        </w:tc>
        <w:tc>
          <w:tcPr>
            <w:tcW w:type="dxa" w:w="1559"/>
          </w:tcPr>
          <w:p>
            <w:r>
              <w:rPr>
                <w:sz w:val="20"/>
              </w:rPr>
              <w:t>Comprimé sécable 10 mg</w:t>
            </w:r>
          </w:p>
        </w:tc>
        <w:tc>
          <w:tcPr>
            <w:tcW w:type="dxa" w:w="1559"/>
          </w:tcPr>
          <w:p>
            <w:r>
              <w:rPr>
                <w:sz w:val="20"/>
              </w:rPr>
              <w:t>Boîte 20</w:t>
            </w:r>
          </w:p>
        </w:tc>
        <w:tc>
          <w:tcPr>
            <w:tcW w:type="dxa" w:w="1559"/>
          </w:tcPr>
          <w:p>
            <w:r>
              <w:rPr>
                <w:sz w:val="20"/>
              </w:rPr>
              <w:t>Liste I</w:t>
            </w:r>
          </w:p>
        </w:tc>
        <w:tc>
          <w:tcPr>
            <w:tcW w:type="dxa" w:w="1559"/>
          </w:tcPr>
          <w:p>
            <w:r>
              <w:rPr>
                <w:sz w:val="20"/>
              </w:rPr>
              <w:t>Non Renouvelable</w:t>
            </w:r>
          </w:p>
        </w:tc>
      </w:tr>
      <w:tr>
        <w:tc>
          <w:tcPr>
            <w:tcW w:type="dxa" w:w="1559"/>
          </w:tcPr>
          <w:p>
            <w:r>
              <w:rPr>
                <w:sz w:val="20"/>
              </w:rPr>
              <w:t>CORTOP</w:t>
            </w:r>
          </w:p>
        </w:tc>
        <w:tc>
          <w:tcPr>
            <w:tcW w:type="dxa" w:w="1559"/>
          </w:tcPr>
          <w:p>
            <w:r>
              <w:rPr>
                <w:sz w:val="20"/>
              </w:rPr>
              <w:t>BIOLOGICI ITALIA</w:t>
            </w:r>
          </w:p>
        </w:tc>
        <w:tc>
          <w:tcPr>
            <w:tcW w:type="dxa" w:w="1559"/>
          </w:tcPr>
          <w:p>
            <w:r>
              <w:rPr>
                <w:sz w:val="20"/>
              </w:rPr>
              <w:t>Poudre pour solution injectable 500 mg</w:t>
            </w:r>
          </w:p>
        </w:tc>
        <w:tc>
          <w:tcPr>
            <w:tcW w:type="dxa" w:w="1559"/>
          </w:tcPr>
          <w:p>
            <w:r>
              <w:rPr>
                <w:sz w:val="20"/>
              </w:rPr>
              <w:t>Boîte 01</w:t>
            </w:r>
          </w:p>
        </w:tc>
        <w:tc>
          <w:tcPr>
            <w:tcW w:type="dxa" w:w="1559"/>
          </w:tcPr>
          <w:p>
            <w:r>
              <w:rPr>
                <w:sz w:val="20"/>
              </w:rPr>
              <w:t>Liste I</w:t>
            </w:r>
          </w:p>
        </w:tc>
        <w:tc>
          <w:tcPr>
            <w:tcW w:type="dxa" w:w="1559"/>
          </w:tcPr>
          <w:p>
            <w:r>
              <w:rPr>
                <w:sz w:val="20"/>
              </w:rPr>
              <w:t>Non Renouvelable</w:t>
            </w:r>
          </w:p>
        </w:tc>
      </w:tr>
      <w:tr>
        <w:tc>
          <w:tcPr>
            <w:tcW w:type="dxa" w:w="1559"/>
          </w:tcPr>
          <w:p>
            <w:r>
              <w:rPr>
                <w:sz w:val="20"/>
              </w:rPr>
              <w:t>HYDRO-ADRESON</w:t>
            </w:r>
          </w:p>
        </w:tc>
        <w:tc>
          <w:tcPr>
            <w:tcW w:type="dxa" w:w="1559"/>
          </w:tcPr>
          <w:p>
            <w:r>
              <w:rPr>
                <w:sz w:val="20"/>
              </w:rPr>
              <w:t>ORGANON (groupe AKZO NOBEL)</w:t>
            </w:r>
          </w:p>
        </w:tc>
        <w:tc>
          <w:tcPr>
            <w:tcW w:type="dxa" w:w="1559"/>
          </w:tcPr>
          <w:p>
            <w:r>
              <w:rPr>
                <w:sz w:val="20"/>
              </w:rPr>
              <w:t>Poudre pour solution injectable 100 mg/2 mL</w:t>
            </w:r>
          </w:p>
        </w:tc>
        <w:tc>
          <w:tcPr>
            <w:tcW w:type="dxa" w:w="1559"/>
          </w:tcPr>
          <w:p>
            <w:r>
              <w:rPr>
                <w:sz w:val="20"/>
              </w:rPr>
              <w:t>Boîte 1+1</w:t>
            </w:r>
          </w:p>
        </w:tc>
        <w:tc>
          <w:tcPr>
            <w:tcW w:type="dxa" w:w="1559"/>
          </w:tcPr>
          <w:p>
            <w:r>
              <w:rPr>
                <w:sz w:val="20"/>
              </w:rPr>
              <w:t>Liste I</w:t>
            </w:r>
          </w:p>
        </w:tc>
        <w:tc>
          <w:tcPr>
            <w:tcW w:type="dxa" w:w="1559"/>
          </w:tcPr>
          <w:p>
            <w:r>
              <w:rPr>
                <w:sz w:val="20"/>
              </w:rPr>
              <w:t>Retrait</w:t>
            </w:r>
          </w:p>
        </w:tc>
      </w:tr>
      <w:tr>
        <w:tc>
          <w:tcPr>
            <w:tcW w:type="dxa" w:w="1559"/>
          </w:tcPr>
          <w:p>
            <w:r>
              <w:rPr>
                <w:sz w:val="20"/>
              </w:rPr>
              <w:t>HYDROCORTISONE ROUSSEL</w:t>
            </w:r>
          </w:p>
        </w:tc>
        <w:tc>
          <w:tcPr>
            <w:tcW w:type="dxa" w:w="1559"/>
          </w:tcPr>
          <w:p>
            <w:r>
              <w:rPr>
                <w:sz w:val="20"/>
              </w:rPr>
              <w:t>ROUSSEL</w:t>
            </w:r>
          </w:p>
        </w:tc>
        <w:tc>
          <w:tcPr>
            <w:tcW w:type="dxa" w:w="1559"/>
          </w:tcPr>
          <w:p>
            <w:r>
              <w:rPr>
                <w:sz w:val="20"/>
              </w:rPr>
              <w:t>Poudre pour solution injectable 100 mg</w:t>
            </w:r>
          </w:p>
        </w:tc>
        <w:tc>
          <w:tcPr>
            <w:tcW w:type="dxa" w:w="1559"/>
          </w:tcPr>
          <w:p>
            <w:r>
              <w:rPr>
                <w:sz w:val="20"/>
              </w:rPr>
              <w:t>Boîte 1+1</w:t>
            </w:r>
          </w:p>
        </w:tc>
        <w:tc>
          <w:tcPr>
            <w:tcW w:type="dxa" w:w="1559"/>
          </w:tcPr>
          <w:p>
            <w:r>
              <w:rPr>
                <w:sz w:val="20"/>
              </w:rPr>
              <w:t>Liste I</w:t>
            </w:r>
          </w:p>
        </w:tc>
        <w:tc>
          <w:tcPr>
            <w:tcW w:type="dxa" w:w="1559"/>
          </w:tcPr>
          <w:p>
            <w:r>
              <w:rPr>
                <w:sz w:val="20"/>
              </w:rPr>
              <w:t>Retrait</w:t>
            </w:r>
          </w:p>
        </w:tc>
      </w:tr>
      <w:tr>
        <w:tc>
          <w:tcPr>
            <w:tcW w:type="dxa" w:w="1559"/>
          </w:tcPr>
          <w:p>
            <w:r>
              <w:rPr>
                <w:sz w:val="20"/>
              </w:rPr>
              <w:t>HYDROCORTISONE - LEURQUIN</w:t>
            </w:r>
          </w:p>
        </w:tc>
        <w:tc>
          <w:tcPr>
            <w:tcW w:type="dxa" w:w="1559"/>
          </w:tcPr>
          <w:p>
            <w:r>
              <w:rPr>
                <w:sz w:val="20"/>
              </w:rPr>
              <w:t>LEURQUIN MEDIOLANUM</w:t>
            </w:r>
          </w:p>
        </w:tc>
        <w:tc>
          <w:tcPr>
            <w:tcW w:type="dxa" w:w="1559"/>
          </w:tcPr>
          <w:p>
            <w:r>
              <w:rPr>
                <w:sz w:val="20"/>
              </w:rPr>
              <w:t>Poudre pour solution injectable 100 mg/2 mL</w:t>
            </w:r>
          </w:p>
        </w:tc>
        <w:tc>
          <w:tcPr>
            <w:tcW w:type="dxa" w:w="1559"/>
          </w:tcPr>
          <w:p>
            <w:r>
              <w:rPr>
                <w:sz w:val="20"/>
              </w:rPr>
              <w:t>Boîte 1</w:t>
            </w:r>
          </w:p>
        </w:tc>
        <w:tc>
          <w:tcPr>
            <w:tcW w:type="dxa" w:w="1559"/>
          </w:tcPr>
          <w:p>
            <w:r>
              <w:rPr>
                <w:sz w:val="20"/>
              </w:rPr>
              <w:t>Liste I</w:t>
            </w:r>
          </w:p>
        </w:tc>
        <w:tc>
          <w:tcPr>
            <w:tcW w:type="dxa" w:w="1559"/>
          </w:tcPr>
          <w:p>
            <w:r>
              <w:rPr>
                <w:sz w:val="20"/>
              </w:rPr>
              <w:t>Retrait</w:t>
            </w:r>
          </w:p>
        </w:tc>
      </w:tr>
      <w:tr>
        <w:tc>
          <w:tcPr>
            <w:tcW w:type="dxa" w:w="1559"/>
          </w:tcPr>
          <w:p>
            <w:r>
              <w:rPr>
                <w:sz w:val="20"/>
              </w:rPr>
              <w:t>HYDROCORTISONE UPJOHN</w:t>
            </w:r>
          </w:p>
        </w:tc>
        <w:tc>
          <w:tcPr>
            <w:tcW w:type="dxa" w:w="1559"/>
          </w:tcPr>
          <w:p>
            <w:r>
              <w:rPr>
                <w:sz w:val="20"/>
              </w:rPr>
              <w:t>PHARMACIA S.A.S.</w:t>
            </w:r>
          </w:p>
        </w:tc>
        <w:tc>
          <w:tcPr>
            <w:tcW w:type="dxa" w:w="1559"/>
          </w:tcPr>
          <w:p>
            <w:r>
              <w:rPr>
                <w:sz w:val="20"/>
              </w:rPr>
              <w:t>Poudre pour solution injectable 100 mg/2 mL</w:t>
            </w:r>
          </w:p>
        </w:tc>
        <w:tc>
          <w:tcPr>
            <w:tcW w:type="dxa" w:w="1559"/>
          </w:tcPr>
          <w:p>
            <w:r>
              <w:rPr>
                <w:sz w:val="20"/>
              </w:rPr>
              <w:t>Boîte 1+1</w:t>
            </w:r>
          </w:p>
        </w:tc>
        <w:tc>
          <w:tcPr>
            <w:tcW w:type="dxa" w:w="1559"/>
          </w:tcPr>
          <w:p>
            <w:r>
              <w:rPr>
                <w:sz w:val="20"/>
              </w:rPr>
              <w:t>Liste I</w:t>
            </w:r>
          </w:p>
        </w:tc>
        <w:tc>
          <w:tcPr>
            <w:tcW w:type="dxa" w:w="1559"/>
          </w:tcPr>
          <w:p>
            <w:r>
              <w:rPr>
                <w:sz w:val="20"/>
              </w:rPr>
              <w:t>Retrait</w:t>
            </w:r>
          </w:p>
        </w:tc>
      </w:tr>
      <w:tr>
        <w:tc>
          <w:tcPr>
            <w:tcW w:type="dxa" w:w="1559"/>
          </w:tcPr>
          <w:p>
            <w:r>
              <w:rPr>
                <w:sz w:val="20"/>
              </w:rPr>
              <w:t>RAPICORT</w:t>
            </w:r>
          </w:p>
        </w:tc>
        <w:tc>
          <w:tcPr>
            <w:tcW w:type="dxa" w:w="1559"/>
          </w:tcPr>
          <w:p>
            <w:r>
              <w:rPr>
                <w:sz w:val="20"/>
              </w:rPr>
              <w:t>ISTITUTO FARMACOBIOLOGICO MALESCI SPA</w:t>
            </w:r>
          </w:p>
        </w:tc>
        <w:tc>
          <w:tcPr>
            <w:tcW w:type="dxa" w:w="1559"/>
          </w:tcPr>
          <w:p>
            <w:r>
              <w:rPr>
                <w:sz w:val="20"/>
              </w:rPr>
              <w:t>Lyophilisat pour solution injectable 100 mg</w:t>
            </w:r>
          </w:p>
        </w:tc>
        <w:tc>
          <w:tcPr>
            <w:tcW w:type="dxa" w:w="1559"/>
          </w:tcPr>
          <w:p>
            <w:r>
              <w:rPr>
                <w:sz w:val="20"/>
              </w:rPr>
              <w:t>Boîte 5 + 5</w:t>
            </w:r>
          </w:p>
        </w:tc>
        <w:tc>
          <w:tcPr>
            <w:tcW w:type="dxa" w:w="1559"/>
          </w:tcPr>
          <w:p>
            <w:r>
              <w:rPr>
                <w:sz w:val="20"/>
              </w:rPr>
              <w:t>Liste I</w:t>
            </w:r>
          </w:p>
        </w:tc>
        <w:tc>
          <w:tcPr>
            <w:tcW w:type="dxa" w:w="1559"/>
          </w:tcPr>
          <w:p>
            <w:r>
              <w:rPr>
                <w:sz w:val="20"/>
              </w:rPr>
              <w:t>Retrait</w:t>
            </w:r>
          </w:p>
        </w:tc>
      </w:tr>
      <w:tr>
        <w:tc>
          <w:tcPr>
            <w:tcW w:type="dxa" w:w="1559"/>
          </w:tcPr>
          <w:p>
            <w:r>
              <w:rPr>
                <w:sz w:val="20"/>
              </w:rPr>
              <w:t>HYDROCORTISONE UPJOHN</w:t>
            </w:r>
          </w:p>
        </w:tc>
        <w:tc>
          <w:tcPr>
            <w:tcW w:type="dxa" w:w="1559"/>
          </w:tcPr>
          <w:p>
            <w:r>
              <w:rPr>
                <w:sz w:val="20"/>
              </w:rPr>
              <w:t>PHARMACIA UPJOHN</w:t>
            </w:r>
          </w:p>
        </w:tc>
        <w:tc>
          <w:tcPr>
            <w:tcW w:type="dxa" w:w="1559"/>
          </w:tcPr>
          <w:p>
            <w:r>
              <w:rPr>
                <w:sz w:val="20"/>
              </w:rPr>
              <w:t>Poudre pour solution injectable 500 mg/mL</w:t>
            </w:r>
          </w:p>
        </w:tc>
        <w:tc>
          <w:tcPr>
            <w:tcW w:type="dxa" w:w="1559"/>
          </w:tcPr>
          <w:p>
            <w:r>
              <w:rPr>
                <w:sz w:val="20"/>
              </w:rPr>
              <w:t>Boîte 10+10</w:t>
            </w:r>
          </w:p>
        </w:tc>
        <w:tc>
          <w:tcPr>
            <w:tcW w:type="dxa" w:w="1559"/>
          </w:tcPr>
          <w:p>
            <w:r>
              <w:rPr>
                <w:sz w:val="20"/>
              </w:rPr>
              <w:t>Liste I</w:t>
            </w:r>
          </w:p>
        </w:tc>
        <w:tc>
          <w:tcPr>
            <w:tcW w:type="dxa" w:w="1559"/>
          </w:tcPr>
          <w:p>
            <w:r>
              <w:rPr>
                <w:sz w:val="20"/>
              </w:rPr>
              <w:t>Retrait</w:t>
            </w:r>
          </w:p>
        </w:tc>
      </w:tr>
      <w:tr>
        <w:tc>
          <w:tcPr>
            <w:tcW w:type="dxa" w:w="1559"/>
          </w:tcPr>
          <w:p>
            <w:r>
              <w:rPr>
                <w:sz w:val="20"/>
              </w:rPr>
              <w:t>CORTIMYCINE</w:t>
            </w:r>
          </w:p>
        </w:tc>
        <w:tc>
          <w:tcPr>
            <w:tcW w:type="dxa" w:w="1559"/>
          </w:tcPr>
          <w:p>
            <w:r>
              <w:rPr>
                <w:sz w:val="20"/>
              </w:rPr>
              <w:t>CUKUROVA DIS TICARET AS</w:t>
            </w:r>
          </w:p>
        </w:tc>
        <w:tc>
          <w:tcPr>
            <w:tcW w:type="dxa" w:w="1559"/>
          </w:tcPr>
          <w:p>
            <w:r>
              <w:rPr>
                <w:sz w:val="20"/>
              </w:rPr>
              <w:t>Pommade ophtalmique 1 %</w:t>
            </w:r>
          </w:p>
        </w:tc>
        <w:tc>
          <w:tcPr>
            <w:tcW w:type="dxa" w:w="1559"/>
          </w:tcPr>
          <w:p>
            <w:r>
              <w:rPr>
                <w:sz w:val="20"/>
              </w:rPr>
              <w:t>Tube 5 g</w:t>
            </w:r>
          </w:p>
        </w:tc>
        <w:tc>
          <w:tcPr>
            <w:tcW w:type="dxa" w:w="1559"/>
          </w:tcPr>
          <w:p>
            <w:r>
              <w:rPr>
                <w:sz w:val="20"/>
              </w:rPr>
              <w:t>Liste I</w:t>
            </w:r>
          </w:p>
        </w:tc>
        <w:tc>
          <w:tcPr>
            <w:tcW w:type="dxa" w:w="1559"/>
          </w:tcPr>
          <w:p>
            <w:r>
              <w:rPr>
                <w:sz w:val="20"/>
              </w:rPr>
              <w:t>Retrait</w:t>
            </w:r>
          </w:p>
        </w:tc>
      </w:tr>
    </w:tbl>
    <w:p/>
    <w:p>
      <w:r>
        <w:t>La disponibilité commerciale en Algérie des dermocorticoïdes d'hydrocortisone de nouvelle génération est excellente, avec deux laboratoires principaux : Galderma (EFFICORT en crème lipophile et hydrophile, et LOCOID en crème, crème épaisse, lotion et pommade) et Novapharm (ECZECORT en crème lipophile et LOCACORT en crème). Cette diversité de galéniques permet de couvrir l'ensemble des situations cliniques : crème lipophile pour peau sèche, crème hydrophile pour peau suintante, lotion pour cuir chevelu et zones pileuses, pommade pour lésions chroniques sèches et hyperkératosiques. Les formes systémiques (comprimés, injectable) sont mentionnées pour mémoire et traitées dans le chapitre des corticoïdes systémiques ; les collyres (HYDROCORT, CORTIMYCINE) sont mentionnés pour mémoire et traités en ophtalmologie.</w:t>
      </w:r>
    </w:p>
    <w:p>
      <w:r/>
      <w:r>
        <w:rPr>
          <w:b/>
        </w:rPr>
        <w:t>Sous-classe et Mécanisme d'action :</w:t>
      </w:r>
      <w:r/>
    </w:p>
    <w:p>
      <w:pPr>
        <w:pStyle w:val="ListBullet"/>
      </w:pPr>
      <w:r>
        <w:t>Sous-classe : Dermocorticoïde de classe IV–V (faible à modérée activité), corticoïde naturel (hydrocortisone base) ou ester non fluoré de nouvelle génération (17-butyrate, acéponate).</w:t>
      </w:r>
    </w:p>
    <w:p>
      <w:pPr>
        <w:pStyle w:val="ListBullet"/>
      </w:pPr>
      <w:r>
        <w:t>Mécanisme d'action : L'hydrocortisone base, peu lipophile, traverse la couche cornée par diffusion passive modérée. Les esters 17-butyrate et acéponate, plus lipophiles, pénètrent plus rapidement et sont activés (hydrolysés) localement par les estérases cutanées. La fraction active se fixe au GRα cytosolique, le complexe transloque dans le noyau et se lie aux GRE, activant les gènes anti-inflammatoires et réprimant les gènes pro-inflammatoires. Quatre effets cardinaux : anti-inflammatoire, immunosuppresseur, vasoconstricteur (modéré), antiprolifératif (modéré). L'avantage majeur des esters non fluorés de nouvelle génération est la faible pénétration systémique (effet « prodrogue » cutanée), ce qui réduit la toxicité systémique et autorise l'usage prolongé, sur le visage, chez l'enfant et la femme enceinte. Le profil d'atrophie cutanée est nettement meilleur que celui des corticoïdes fluorés.</w:t>
      </w:r>
    </w:p>
    <w:p>
      <w:pPr>
        <w:pStyle w:val="ListBullet"/>
      </w:pPr>
      <w:r>
        <w:t>Biodisponibilité systémique : &lt; 1 % pour le 17-butyrate et l'acéponate en usage normal, 1–3 % pour l'hydrocortisone base.</w:t>
      </w:r>
    </w:p>
    <w:p>
      <w:r/>
      <w:r>
        <w:rPr>
          <w:b/>
        </w:rPr>
        <w:t>Profil Pharmacologique :</w:t>
      </w:r>
      <w:r/>
    </w:p>
    <w:p>
      <w:pPr>
        <w:pStyle w:val="ListBullet"/>
      </w:pPr>
      <w:r>
        <w:t>Indications : Eczéma aigu du visage et des plis, dermatite atopique légère à modérée (y compris chez le nourrisson et l'enfant), dermatite séborrhéique du visage, dermatite de contact irritative, dermite de stase, prurit ano-génital, prurit vulvaire, balanite, intertrigo (en complément d'un antifongique), dermite périorale (en cure courte), vitiligo du visage en association avec les analogues de la vitamine D, psoriasis du visage (en cure courte), lichen plan bénin. Forme injectable : insuffisance surrénalienne aiguë, choc anaphylactique, choc septique (à faible dose), exacerbation d'asthme sévère, maladie de Addison. Forme collyre : conjonctivite allergique, blépharite.</w:t>
      </w:r>
    </w:p>
    <w:p>
      <w:pPr>
        <w:pStyle w:val="ListBullet"/>
      </w:pPr>
      <w:r>
        <w:t>Contre-indications : Hypersensibilité à l'hydrocortisone ou à l'un des excipients, infections cutanées bactériennes, virales, parasitaires, fongiques sans traitement associé, rosacée, dermatite périorale (sauf cure courte), acné vulgaris, ulcère de jambe, application sur les muqueuses hors indication spécialisée. Pour les formes systémiques : infection non contrôlée,psychose non contrôlée, vaccination par vaccin vivant.</w:t>
      </w:r>
    </w:p>
    <w:p>
      <w:pPr>
        <w:pStyle w:val="ListBullet"/>
      </w:pPr>
      <w:r>
        <w:t>Spectre : Pas d'activité antibiotique propre. La forme injectable n'a pas d'effet sur le sepsis bactérien direct mais module la réponse inflammatoire systémique.</w:t>
      </w:r>
    </w:p>
    <w:p>
      <w:r/>
      <w:r>
        <w:rPr>
          <w:b/>
        </w:rPr>
        <w:t>Effets Indésirables :</w:t>
      </w:r>
      <w:r/>
    </w:p>
    <w:p>
      <w:pPr>
        <w:pStyle w:val="ListBullet"/>
      </w:pPr>
      <w:r/>
      <w:r>
        <w:rPr>
          <w:b/>
        </w:rPr>
        <w:t>Locaux (rares)</w:t>
      </w:r>
      <w:r>
        <w:t xml:space="preserve"> : sensation de brûlure, prurit, irritation, folliculite.</w:t>
      </w:r>
    </w:p>
    <w:p>
      <w:pPr>
        <w:pStyle w:val="ListBullet"/>
      </w:pPr>
      <w:r/>
      <w:r>
        <w:rPr>
          <w:b/>
        </w:rPr>
        <w:t>Locaux tardifs (en usage prolongé &gt; 4 semaines sur le visage)</w:t>
      </w:r>
      <w:r>
        <w:t xml:space="preserve"> : dermatite rosacéiforme, dermatite périorale, télangiectasies, atrophie cutanée (légère et régressive à l'arrêt), glaucome périorbitaire, cataracte.</w:t>
      </w:r>
    </w:p>
    <w:p>
      <w:pPr>
        <w:pStyle w:val="ListBullet"/>
      </w:pPr>
      <w:r/>
      <w:r>
        <w:rPr>
          <w:b/>
        </w:rPr>
        <w:t>Systémiques (exceptionnels en usage normal)</w:t>
      </w:r>
      <w:r>
        <w:t xml:space="preserve"> : en cas d'usage prolongé sur grande surface, sous occlusion, ou chez le nourrisson : syndrome de Cushing iatrogène (rare), insuffisance surrénalienne (très rare).</w:t>
      </w:r>
    </w:p>
    <w:p>
      <w:pPr>
        <w:pStyle w:val="ListBullet"/>
      </w:pPr>
      <w:r/>
      <w:r>
        <w:rPr>
          <w:b/>
        </w:rPr>
        <w:t>Forme injectable</w:t>
      </w:r>
      <w:r>
        <w:t xml:space="preserve"> : hyperglycémie, ostéoporose, retention hydrosodée, hypokaliémie, troubles psychiatriques, immunosuppression systémique.</w:t>
      </w:r>
    </w:p>
    <w:p>
      <w:r/>
      <w:r>
        <w:rPr>
          <w:b/>
        </w:rPr>
        <w:t>Prévention et Gestion des Effets Indésirables :</w:t>
      </w:r>
      <w:r/>
    </w:p>
    <w:p>
      <w:pPr>
        <w:pStyle w:val="ListBullet"/>
      </w:pPr>
      <w:r>
        <w:t>Mesures préventives : Pour les formes dermiques, prescription possible par médecin généraliste (contrairement aux paliers supérieurs qui relèvent plutôt du dermatologue), durée limitée à 4–6 semaines en continu sur le visage, surveillance de la croissance chez l'enfant en cas d'usage prolongé étendu. Éviction de l'occlusion (sauf indication spécifique). Préférence pour les esters non fluorés de nouvelle génération (17-butyrate, acéponate) en cas d'usage prolongé ou sur zone sensible.</w:t>
      </w:r>
    </w:p>
    <w:p>
      <w:pPr>
        <w:pStyle w:val="ListBullet"/>
      </w:pPr>
      <w:r>
        <w:t>Conduite à tenir : Arrêt en cas d'apparition de dermatite rosacéiforme ou de dermatite périorale, sevrage progressif après 4 semaines d'usage quotidien, surveillance de la cortisolémie en cas d'usage prolongé étendu.</w:t>
      </w:r>
    </w:p>
    <w:p>
      <w:r/>
      <w:r>
        <w:rPr>
          <w:b/>
        </w:rPr>
        <w:t>Interactions Importantes :</w:t>
      </w:r>
      <w:r/>
    </w:p>
    <w:p>
      <w:pPr>
        <w:pStyle w:val="ListBullet"/>
      </w:pPr>
      <w:r>
        <w:t>Inhibiteurs du CYP3A4 (ritonavir, itraconazole, kétoconazole, clarithromycine) : augmentation possible de l'imprégnation systémique en cas d'usage dermique prolongé sur grande surface.</w:t>
      </w:r>
    </w:p>
    <w:p>
      <w:pPr>
        <w:pStyle w:val="ListBullet"/>
      </w:pPr>
      <w:r>
        <w:t>Autres dermocorticoïdes : pas de cumul.</w:t>
      </w:r>
    </w:p>
    <w:p>
      <w:pPr>
        <w:pStyle w:val="ListBullet"/>
      </w:pPr>
      <w:r>
        <w:t>Vaccins vivants atténués : prudence en cas d'usage systémique ou dermique prolongé étendu.</w:t>
      </w:r>
    </w:p>
    <w:p>
      <w:pPr>
        <w:pStyle w:val="ListBullet"/>
      </w:pPr>
      <w:r>
        <w:t>Antidiabétiques : effet hyperglycémiant (surtout forme systémique).</w:t>
      </w:r>
    </w:p>
    <w:p>
      <w:pPr>
        <w:pStyle w:val="ListBullet"/>
      </w:pPr>
      <w:r>
        <w:t>Diurétiques hypokaliémiants : majoration de l'hypokaliémie (forme systémique).</w:t>
      </w:r>
    </w:p>
    <w:p>
      <w:r/>
      <w:r>
        <w:rPr>
          <w:b/>
        </w:rPr>
        <w:t>Grossesse et Allaitement :</w:t>
      </w:r>
      <w:r/>
    </w:p>
    <w:p>
      <w:pPr>
        <w:pStyle w:val="ListBullet"/>
      </w:pPr>
      <w:r>
        <w:t>Grossesse : Selon le CRAT, l'hydrocortisone topique est considérée comme compatible à tous les trimestres de la grossesse, particulièrement les esters non fluorés de nouvelle génération (17-butyrate, acéponate) qui ont une faible biodisponibilité systémique. L'hydrocortisone est le dermocorticoïde de référence chez la femme enceinte. À utiliser en première intention sur surface limitée et durée courte, en respectant les règles classiques.</w:t>
      </w:r>
    </w:p>
    <w:p>
      <w:pPr>
        <w:pStyle w:val="ListBullet"/>
      </w:pPr>
      <w:r>
        <w:t>Allaitement : Compatible en application ponctuelle sur surface limitée en dehors de la zone mammaire. Lavage soigneux et retrait du lait avant tétée en cas d'application proche du sein.</w:t>
      </w:r>
    </w:p>
    <w:p>
      <w:pPr>
        <w:pStyle w:val="ListBullet"/>
      </w:pPr>
      <w:r>
        <w:t>Précisions : L'hydrocortisone (forme systémique) est largement utilisée en obstétrique (insuffisance surrénalienne maternelle, choc, exacerbation d'asthme sévère), ce qui témoigne de son profil de tolérance.</w:t>
      </w:r>
    </w:p>
    <w:p>
      <w:r/>
      <w:r>
        <w:rPr>
          <w:b/>
        </w:rPr>
        <w:t>Posologie et Mode d'administration (Standard) :</w:t>
      </w:r>
      <w:r/>
    </w:p>
    <w:p>
      <w:pPr>
        <w:pStyle w:val="ListBullet"/>
      </w:pPr>
      <w:r>
        <w:t>Adulte : 1 à 2 applications par jour en couche fine. Durée maximale de 4 à 6 semaines en continu sur le visage, plus longue sur le corps.</w:t>
      </w:r>
    </w:p>
    <w:p>
      <w:pPr>
        <w:pStyle w:val="ListBullet"/>
      </w:pPr>
      <w:r>
        <w:t>Enfant et nourrisson : 1 application par jour (en monothérapie ou en alternance avec un émollient), sur surface limitée, durée adaptée à la dermatose.</w:t>
      </w:r>
    </w:p>
    <w:p>
      <w:pPr>
        <w:pStyle w:val="ListBullet"/>
      </w:pPr>
      <w:r>
        <w:t>Quantité maximale hebdomadaire : 200 g chez l'adulte ; 100 g chez l'enfant de plus de 2 ans.</w:t>
      </w:r>
    </w:p>
    <w:p>
      <w:pPr>
        <w:pStyle w:val="ListBullet"/>
      </w:pPr>
      <w:r>
        <w:t>Forme galénique : crème lipophile pour peau sèche, crème hydrophile pour peau suintante, lotion pour cuir chevelu et zones pileuses, pommade pour lésions chroniques sèches et hyperkératosiques.</w:t>
      </w:r>
    </w:p>
    <w:p>
      <w:pPr>
        <w:pStyle w:val="ListBullet"/>
      </w:pPr>
      <w:r>
        <w:t>Mode d'application : lavage préalable des mains, application sur peau sèche et propre, massage doux, lavage des mains après.</w:t>
      </w:r>
    </w:p>
    <w:p>
      <w:r/>
      <w:r>
        <w:rPr>
          <w:b/>
        </w:rPr>
        <w:t>Arbitrage et Bénéfices des Formes Galéniques :</w:t>
      </w:r>
      <w:r/>
    </w:p>
    <w:p>
      <w:r>
        <w:t>La diversité des galéniques disponibles permet une adaptation précise à la zone et à la lésion :</w:t>
      </w:r>
    </w:p>
    <w:p>
      <w:pPr>
        <w:pStyle w:val="ListBullet"/>
      </w:pPr>
      <w:r/>
      <w:r>
        <w:rPr>
          <w:b/>
        </w:rPr>
        <w:t>Crème lipophile (EFFICORT LIPOPHILE, ECZECORT)</w:t>
      </w:r>
      <w:r>
        <w:t xml:space="preserve"> : pour peau sèche, eczéma chronique modéré.</w:t>
      </w:r>
    </w:p>
    <w:p>
      <w:pPr>
        <w:pStyle w:val="ListBullet"/>
      </w:pPr>
      <w:r/>
      <w:r>
        <w:rPr>
          <w:b/>
        </w:rPr>
        <w:t>Crème hydrophile (EFFICORT HYDROPHILE)</w:t>
      </w:r>
      <w:r>
        <w:t xml:space="preserve"> : pour peau suintante, eczéma aigu.</w:t>
      </w:r>
    </w:p>
    <w:p>
      <w:pPr>
        <w:pStyle w:val="ListBullet"/>
      </w:pPr>
      <w:r/>
      <w:r>
        <w:rPr>
          <w:b/>
        </w:rPr>
        <w:t>Crème classique (LOCACORT, LOCOID crème)</w:t>
      </w:r>
      <w:r>
        <w:t xml:space="preserve"> : pour usage standard sur peau glabre.</w:t>
      </w:r>
    </w:p>
    <w:p>
      <w:pPr>
        <w:pStyle w:val="ListBullet"/>
      </w:pPr>
      <w:r/>
      <w:r>
        <w:rPr>
          <w:b/>
        </w:rPr>
        <w:t>Crème épaisse (LOCOID crème épaisse)</w:t>
      </w:r>
      <w:r>
        <w:t xml:space="preserve"> : pour zones kératinisées, lésions modérées sèches.</w:t>
      </w:r>
    </w:p>
    <w:p>
      <w:pPr>
        <w:pStyle w:val="ListBullet"/>
      </w:pPr>
      <w:r/>
      <w:r>
        <w:rPr>
          <w:b/>
        </w:rPr>
        <w:t>Lotion (LOCOID lotion)</w:t>
      </w:r>
      <w:r>
        <w:t xml:space="preserve"> : pour cuir chevelu, zones pileuses, grands plis.</w:t>
      </w:r>
    </w:p>
    <w:p>
      <w:pPr>
        <w:pStyle w:val="ListBullet"/>
      </w:pPr>
      <w:r/>
      <w:r>
        <w:rPr>
          <w:b/>
        </w:rPr>
        <w:t>Pommade (LOCOID pommade)</w:t>
      </w:r>
      <w:r>
        <w:t xml:space="preserve"> : pour lésions chroniques sèches, hyperkératosiques, fissures.</w:t>
      </w:r>
    </w:p>
    <w:p>
      <w:r>
        <w:t>Le choix entre 17-butyrate (LOCOID, LOCACORT) et acéponate (EFFICORT, ECZECORT) dépend de la préférence du prescripteur ; les deux molécules ont un profil de tolérance équivalent. La disponibilité de la lotion LOCOID est un avantage pour le cuir chevelu (psoriasis capillaire léger, dermatite séborrhéique). L'absence de forme gel capillaire est un inconvénient.</w:t>
      </w:r>
    </w:p>
    <w:p>
      <w:r/>
      <w:r>
        <w:rPr>
          <w:b/>
        </w:rPr>
        <w:t>Instructions et Conseils au Patient :</w:t>
      </w:r>
      <w:r/>
    </w:p>
    <w:p>
      <w:pPr>
        <w:pStyle w:val="ListBullet"/>
      </w:pPr>
      <w:r>
        <w:t>Communication au comptoir : Rappeler qu'il s'agit d'un dermocorticoïde de palier faible, adapté au visage, aux plis, à l'enfant et à la femme enceinte, mais qu'il doit être utilisé sur la zone prescrite et pendant la durée prescrite. Insister sur la nécessité d'associer un émollient (en alternance) dans la dermatite atopique.</w:t>
      </w:r>
    </w:p>
    <w:p>
      <w:pPr>
        <w:pStyle w:val="ListBullet"/>
      </w:pPr>
      <w:r>
        <w:t>Mode d'utilisation pratique : FTU pour quantifier l'application. Lavage des mains avant et après. Application sur peau propre et sèche. Pas d'occlusion. Conserver à température ≤ 25 °C, jeter après 3 mois d'ouverture.</w:t>
      </w:r>
    </w:p>
    <w:p>
      <w:pPr>
        <w:pStyle w:val="ListBullet"/>
      </w:pPr>
      <w:r>
        <w:t>Information sur les signes d'alerte : rougeur péribuccale, vaisseaux visibles sur le visage, acné → arrêt et consultation.</w:t>
      </w:r>
    </w:p>
    <w:p>
      <w:r/>
      <w:r>
        <w:rPr>
          <w:b/>
        </w:rPr>
        <w:t>Notes, Règles d'Or &amp; Pièges au Comptoir :</w:t>
      </w:r>
      <w:r/>
    </w:p>
    <w:p>
      <w:pPr>
        <w:pStyle w:val="ListBullet"/>
      </w:pPr>
      <w:r>
        <w:t>Piège classique : Patient utilisant de l'hydrocortisone 1 % en automédication sur le visage pendant des mois pour une dermatite séborrhéique → dermatite rosacéiforme iatrogène et aggravation. Le pharmacien doit alerter sur la durée maximale de 4–6 semaines en continu sur le visage, et orienter vers un antifongique (kétoconazole) pour la dermatite séborrhéique.</w:t>
      </w:r>
    </w:p>
    <w:p>
      <w:pPr>
        <w:pStyle w:val="ListBullet"/>
      </w:pPr>
      <w:r>
        <w:t>Règle d'or : « Hydrocortisone = palier faible, à utiliser en première intention sur le visage, les plis, l'enfant et la femme enceinte. »</w:t>
      </w:r>
    </w:p>
    <w:p>
      <w:pPr>
        <w:pStyle w:val="ListBullet"/>
      </w:pPr>
      <w:r>
        <w:t>Préparation et Conservation : Tube fermé, à température ≤ 25 °C, à l'abri de la lumière. Ne pas congeler.</w:t>
      </w:r>
    </w:p>
    <w:p>
      <w:pPr>
        <w:pStyle w:val="ListBullet"/>
      </w:pPr>
      <w:r>
        <w:t>Piège de substitution : En cas d'indisponibilité de LOCOID, ne pas substituer par un dermocorticoïde fluoré de palier supérieur (risque d'atrophie et de glaucome si application sur le visage). Proposer une alternative équivalente (EFFICORT, ECZECORT, LOCACORT).</w:t>
      </w:r>
    </w:p>
    <w:p>
      <w:pPr>
        <w:pStyle w:val="ListBullet"/>
      </w:pPr>
      <w:r>
        <w:t>Piège du sevrage : En cas d'usage prolongé (&gt; 4 semaines) sur le visage, sevrage progressif (espacement puis arrêt) pour éviter la rebond.</w:t>
      </w:r>
    </w:p>
    <w:p>
      <w:pPr>
        <w:pStyle w:val="Heading2"/>
      </w:pPr>
      <w:r>
        <w:t>122.6 Sous-classe : Dermocorticoïdes — Modérée activité</w:t>
      </w:r>
    </w:p>
    <w:p>
      <w:pPr>
        <w:pStyle w:val="Heading3"/>
      </w:pPr>
      <w:r>
        <w:t>122.6.1 Généralités de la sous-classe</w:t>
      </w:r>
    </w:p>
    <w:p>
      <w:r>
        <w:t xml:space="preserve">La sous-classe « modérée activité » (classe III européenne, classe IV–V américaine selon les molécules) regroupe des dermocorticoïdes dont la puissance vasoconstrictrice est 10 à 50 fois supérieure à celle de l'hydrocortisone. Elle représente un palier intermédiaire entre la classe « faible à modérée » (hydrocortisone et ses esters non fluorés de nouvelle génération) et la classe « forte activité » (mométasone, fluticasone, fluocinolone, fluméthasone). Deux DCI sont regroupées dans cette sous-classe dans la nomenclature algérienne : le </w:t>
      </w:r>
      <w:r>
        <w:rPr>
          <w:b/>
        </w:rPr>
        <w:t>prednicarbate</w:t>
      </w:r>
      <w:r>
        <w:t xml:space="preserve"> (ester non fluoré de nouvelle génération, classe III modérée) et la </w:t>
      </w:r>
      <w:r>
        <w:rPr>
          <w:b/>
        </w:rPr>
        <w:t>triamcinolone acétonide</w:t>
      </w:r>
      <w:r>
        <w:t xml:space="preserve"> (corticoïde fluoré de première génération, classe III modérée). Leur profil d'efficacité et de tolérance en fait des dermocorticoïdes de choix pour les dermatoses modérées chez l'adulte (eczéma chronique, psoriasis modéré non étendu), avec une certaine prudence chez l'enfant pour la triamcinolone.</w:t>
      </w:r>
    </w:p>
    <w:p>
      <w:r>
        <w:t>Le prednicarbate (Dermatop®, PEITEL) est un ester non fluoré de nouvelle génération, « prodrogue » activée par hydrolyse enzymatique cutanée, qui combine une puissance modérée et une excellente tolérance locale. Son profil d'atrophie cutanée est réduit par rapport aux corticoïdes fluorés de même palier, ce qui en fait un dermocorticoïde de choix pour les zones sensibles nécessitant un palier supérieur à l'hydrocortisone. La triamcinolone acétonide (Kenacort®) est un corticoïde fluoré de première génération, largement utilisé en dermologie et en ORL sous forme de spray nasal ; il est également utilisé en ophtalmologie (pommade ophtalmique CRONOLONE). En Algérie, la triamcinolone est principalement disponible en suspension injectable (intra-lésionnelle pour les chéloïdes, les nodules prurigo, les pelades ; IM pour les pathologies systémiques) et en spray nasal (rhinite allergique).</w:t>
      </w:r>
    </w:p>
    <w:p>
      <w:r>
        <w:t>L'absorption percutanée de cette classe est de 3 à 7 % en moyenne, autorisant un usage prolongé modéré sans risque systémique majeur sur surface limitée. Toutefois, l'usage sous occlusion, sur grande surface, chez le nourrisson ou en cas de dermatose lésée étendue expose au risque d'insuffisance surrénalienne. Les règles de prescription (durée, quantité, zones) sont identiques à celles des paliers supérieurs, avec une tolérance un peu meilleure que la classe « forte activité ». La disponibilité commerciale en Algérie est variable selon les molécules : le prednicarbate est représenté par une seule spécialité (PEITEL, active), et la triamcinolone par plusieurs formes (injections, spray nasal, pommade ophtalmique).</w:t>
      </w:r>
    </w:p>
    <w:p>
      <w:pPr>
        <w:pStyle w:val="Heading3"/>
      </w:pPr>
      <w:r>
        <w:t>122.6.2 DCI : Prednicarbate</w:t>
      </w:r>
    </w:p>
    <w:p>
      <w:r/>
      <w:r>
        <w:rPr>
          <w:b/>
        </w:rPr>
        <w:t>Liste des Catégories :</w:t>
      </w:r>
      <w:r>
        <w:t xml:space="preserve"> Liste I.</w:t>
      </w:r>
    </w:p>
    <w:p>
      <w:r>
        <w:t>Le prednicarbate est un corticoïde de synthèse non fluoré, ester butyrate-carbonate en C17 et C21, dérivé de la prednisolone. Cette structure de prodrogue à double ester est activée par hydrolyse enzymatique cutanée en prednicarbate actif, puis partiellement en prednisolone-17-éthyl-carbonate. La particularité pharmacologique est sa transformation cutanée locale qui réduit la pénétration systémique et donc la toxicité : sa biodisponibilité systémique est inférieure à 1 %. Sa puissance vasoconstrictrice est environ 10 à 30 fois supérieure à celle de l'hydrocortisone, ce qui le classe en classe III européenne (modérée activité). Commercialisé initialement par Sanofi (Dermatop®), il est disponible en Algérie sous une seule spécialité : PEITEL (Ferrer Internacional), en crème dermique 0,25 %. Son profil de tolérance locale est excellent, avec un profil d'atrophie cutanée réduit par rapport aux corticoïdes fluorés de même palier, ce qui en fait un dermocorticoïde de choix pour les zones sensibles nécessitant un palier supérieur à l'hydrocortisone.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PEITEL</w:t>
            </w:r>
          </w:p>
        </w:tc>
        <w:tc>
          <w:tcPr>
            <w:tcW w:type="dxa" w:w="1559"/>
          </w:tcPr>
          <w:p>
            <w:r>
              <w:rPr>
                <w:sz w:val="20"/>
              </w:rPr>
              <w:t>FERRER INTERNACIONAL S,A</w:t>
            </w:r>
          </w:p>
        </w:tc>
        <w:tc>
          <w:tcPr>
            <w:tcW w:type="dxa" w:w="1559"/>
          </w:tcPr>
          <w:p>
            <w:r>
              <w:rPr>
                <w:sz w:val="20"/>
              </w:rPr>
              <w:t>Crème dermique 0,25 % (0,0025)</w:t>
            </w:r>
          </w:p>
        </w:tc>
        <w:tc>
          <w:tcPr>
            <w:tcW w:type="dxa" w:w="1559"/>
          </w:tcPr>
          <w:p>
            <w:r>
              <w:rPr>
                <w:sz w:val="20"/>
              </w:rPr>
              <w:t>Tube 30 g</w:t>
            </w:r>
          </w:p>
        </w:tc>
        <w:tc>
          <w:tcPr>
            <w:tcW w:type="dxa" w:w="1559"/>
          </w:tcPr>
          <w:p>
            <w:r>
              <w:rPr>
                <w:sz w:val="20"/>
              </w:rPr>
              <w:t>Liste I</w:t>
            </w:r>
          </w:p>
        </w:tc>
        <w:tc>
          <w:tcPr>
            <w:tcW w:type="dxa" w:w="1559"/>
          </w:tcPr>
          <w:p>
            <w:r>
              <w:rPr>
                <w:sz w:val="20"/>
              </w:rPr>
              <w:t>Actif</w:t>
            </w:r>
          </w:p>
        </w:tc>
      </w:tr>
    </w:tbl>
    <w:p/>
    <w:p>
      <w:r>
        <w:t>Le prednicarbate n'est disponible en Algérie que sous une seule spécialité, en crème dermique 0,25 %. L'absence de forme pommade, lotion ou gel limite l'adaptation galénique à la zone et à la lésion. Le pharmacien peut être amené à proposer une alternative de même palier en cas d'indisponibilité ou de nécessité galénique différente : triamcinolone acétonide (mais en spray nasal uniquement disponible en Algérie, et non en forme dermique), mométasone (palier supérieur), hydrocortisone 17-butyrate (palier inférieur).</w:t>
      </w:r>
    </w:p>
    <w:p>
      <w:r/>
      <w:r>
        <w:rPr>
          <w:b/>
        </w:rPr>
        <w:t>Sous-classe et Mécanisme d'action :</w:t>
      </w:r>
      <w:r/>
    </w:p>
    <w:p>
      <w:pPr>
        <w:pStyle w:val="ListBullet"/>
      </w:pPr>
      <w:r>
        <w:t>Sous-classe : Dermocorticoïde de classe III européenne (modérée activité), corticoïde non fluoré de nouvelle génération, ester butyrate-carbonate en C17 et C21.</w:t>
      </w:r>
    </w:p>
    <w:p>
      <w:pPr>
        <w:pStyle w:val="ListBullet"/>
      </w:pPr>
      <w:r>
        <w:t>Mécanisme d'action : Le prednicarbate pénètre la couche cornée par diffusion passive, est hydrolysé par les estérases cutanées en prednicarbate actif et partiellement en prednisolone-17-éthyl-carbonate. La fraction active se fixe au GRα cytosolique, le complexe transloque dans le noyau et se lie aux GRE, activant les gènes anti-inflammatoires (annexine-1, IκB-α) et réprimant les gènes pro-inflammatoires (cytokines IL-1, IL-6, TNF-α). Quatre effets cardinaux : anti-inflammatoire, immunosuppresseur, vasoconstricteur modéré, antiprolifératif modéré. La biodisponibilité systémique est faible (&lt; 1 %) en raison du métabolisme cutané local.</w:t>
      </w:r>
    </w:p>
    <w:p>
      <w:pPr>
        <w:pStyle w:val="ListBullet"/>
      </w:pPr>
      <w:r>
        <w:t>Particularité : Le prednicarbate a une faible affinité pour les récepteurs glucocorticoïdes systémiques mais une bonne affinité pour les récepteurs cutanés, ce qui explique son effet local important et sa faible toxicité systémique.</w:t>
      </w:r>
    </w:p>
    <w:p>
      <w:r/>
      <w:r>
        <w:rPr>
          <w:b/>
        </w:rPr>
        <w:t>Profil Pharmacologique :</w:t>
      </w:r>
      <w:r/>
    </w:p>
    <w:p>
      <w:pPr>
        <w:pStyle w:val="ListBullet"/>
      </w:pPr>
      <w:r>
        <w:t>Indications : Eczéma aigu et subaigu modéré, eczéma chronique non lichenifié, dermatite atopique modérée (y compris chez l'enfant), dermatite de contact irritative, dermite séborrhéique, prurit lichenifié, parapsoriasis, lichen plan bénin, psoriasis modéré en plaques (sauf visage et plis), vitiligo en plaques en association courte avec les analogues de la vitamine D. Indiqué en particulier pour les zones sensibles nécessitant un palier supérieur à l'hydrocortisone : visage, plis, organes génitaux (avec prudence).</w:t>
      </w:r>
    </w:p>
    <w:p>
      <w:pPr>
        <w:pStyle w:val="ListBullet"/>
      </w:pPr>
      <w:r>
        <w:t>Contre-indications : Hypersensibilité au prednicarbate ou à l'un des excipients, infections cutanées bactériennes, virales, parasitaires, fongiques sans traitement associé, rosacée, dermatite périorale (sauf cure courte), acné vulgaris, ulcère de jambe, application sur les muqueuses hors indication spécialisée, enfant de moins de 1 an.</w:t>
      </w:r>
    </w:p>
    <w:p>
      <w:pPr>
        <w:pStyle w:val="ListBullet"/>
      </w:pPr>
      <w:r>
        <w:t>Spectre : Pas d'activité antibiotique propre.</w:t>
      </w:r>
    </w:p>
    <w:p>
      <w:r/>
      <w:r>
        <w:rPr>
          <w:b/>
        </w:rPr>
        <w:t>Effets Indésirables :</w:t>
      </w:r>
      <w:r/>
    </w:p>
    <w:p>
      <w:pPr>
        <w:pStyle w:val="ListBullet"/>
      </w:pPr>
      <w:r/>
      <w:r>
        <w:rPr>
          <w:b/>
        </w:rPr>
        <w:t>Locaux précoces</w:t>
      </w:r>
      <w:r>
        <w:t xml:space="preserve"> : sensation de brûlure, prurit, irritation, folliculite.</w:t>
      </w:r>
    </w:p>
    <w:p>
      <w:pPr>
        <w:pStyle w:val="ListBullet"/>
      </w:pPr>
      <w:r/>
      <w:r>
        <w:rPr>
          <w:b/>
        </w:rPr>
        <w:t>Locaux tardifs</w:t>
      </w:r>
      <w:r>
        <w:t xml:space="preserve"> : atrophie cutanée (modérée, moindre que les corticoïdes fluorés de même palier), télangiectasies, vergetures, dermatite rosacéiforme, dermatite périorale, hypopigmentation transitoire.</w:t>
      </w:r>
    </w:p>
    <w:p>
      <w:pPr>
        <w:pStyle w:val="ListBullet"/>
      </w:pPr>
      <w:r/>
      <w:r>
        <w:rPr>
          <w:b/>
        </w:rPr>
        <w:t>Oculaires</w:t>
      </w:r>
      <w:r>
        <w:t xml:space="preserve"> : en cas d'application au visage : glaucome, cataracte (à surveiller).</w:t>
      </w:r>
    </w:p>
    <w:p>
      <w:pPr>
        <w:pStyle w:val="ListBullet"/>
      </w:pPr>
      <w:r/>
      <w:r>
        <w:rPr>
          <w:b/>
        </w:rPr>
        <w:t>Systémiques</w:t>
      </w:r>
      <w:r>
        <w:t xml:space="preserve"> : exceptionnels en usage normal en raison de la faible biodisponibilité.</w:t>
      </w:r>
    </w:p>
    <w:p>
      <w:r/>
      <w:r>
        <w:rPr>
          <w:b/>
        </w:rPr>
        <w:t>Prévention et Gestion des Effets Indésirables :</w:t>
      </w:r>
      <w:r/>
    </w:p>
    <w:p>
      <w:pPr>
        <w:pStyle w:val="ListBullet"/>
      </w:pPr>
      <w:r>
        <w:t>Mesures préventives : Prescription initiale par médecin, durée limitée à 4–6 semaines en continu (la tolérance locale du prednicarbate est meilleure que celle des corticoïdes fluorés de même palier), respect du FTU, surveillance de la croissance chez l'enfant en cas d'usage prolongé étendu, prudence chez la femme enceinte.</w:t>
      </w:r>
    </w:p>
    <w:p>
      <w:pPr>
        <w:pStyle w:val="ListBullet"/>
      </w:pPr>
      <w:r>
        <w:t>Conduite à tenir : Arrêt en cas d'inefficacité à 2–3 semaines, arrêt en cas d'atrophie ou de télangiectasies, sevrage progressif après 4 semaines d'usage quotidien.</w:t>
      </w:r>
    </w:p>
    <w:p>
      <w:r/>
      <w:r>
        <w:rPr>
          <w:b/>
        </w:rPr>
        <w:t>Interactions Importantes :</w:t>
      </w:r>
      <w:r/>
    </w:p>
    <w:p>
      <w:pPr>
        <w:pStyle w:val="ListBullet"/>
      </w:pPr>
      <w:r>
        <w:t>Inhibiteurs du CYP3A4 (ritonavir, itraconazole, kétoconazole, clarithromycine) : augmentation théorique des concentrations systémiques, à surveiller en cas d'usage dermique prolongé.</w:t>
      </w:r>
    </w:p>
    <w:p>
      <w:pPr>
        <w:pStyle w:val="ListBullet"/>
      </w:pPr>
      <w:r>
        <w:t>Autres dermocorticoïdes : pas de cumul.</w:t>
      </w:r>
    </w:p>
    <w:p>
      <w:pPr>
        <w:pStyle w:val="ListBullet"/>
      </w:pPr>
      <w:r>
        <w:t>Vaccins vivants atténués : prudence en cas d'usage prolongé étendu.</w:t>
      </w:r>
    </w:p>
    <w:p>
      <w:r/>
      <w:r>
        <w:rPr>
          <w:b/>
        </w:rPr>
        <w:t>Grossesse et Allaitement :</w:t>
      </w:r>
      <w:r/>
    </w:p>
    <w:p>
      <w:pPr>
        <w:pStyle w:val="ListBullet"/>
      </w:pPr>
      <w:r>
        <w:t>Grossesse : Selon le CRAT, le prednicarbate topique est considéré comme « utilisable avec prudence » à tous les trimestres de la grossesse (faible biodisponibilité systémique, ester non fluoré). À utiliser en première intention sur surface limitée et durée courte en cas de nécessité d'un palier supérieur à l'hydrocortisone.</w:t>
      </w:r>
    </w:p>
    <w:p>
      <w:pPr>
        <w:pStyle w:val="ListBullet"/>
      </w:pPr>
      <w:r>
        <w:t>Allaitement : Compatible en application ponctuelle sur surface limitée en dehors de la zone mammaire.</w:t>
      </w:r>
    </w:p>
    <w:p>
      <w:pPr>
        <w:pStyle w:val="ListBullet"/>
      </w:pPr>
      <w:r>
        <w:t>Précisions : Le prednicarbate est un dermocorticoïde de choix chez la femme enceinte nécessitant un traitement localisé modéré.</w:t>
      </w:r>
    </w:p>
    <w:p>
      <w:r/>
      <w:r>
        <w:rPr>
          <w:b/>
        </w:rPr>
        <w:t>Posologie et Mode d'administration (Standard) :</w:t>
      </w:r>
      <w:r/>
    </w:p>
    <w:p>
      <w:pPr>
        <w:pStyle w:val="ListBullet"/>
      </w:pPr>
      <w:r>
        <w:t>Adulte : 1 à 2 applications par jour en couche fine. Durée maximale de 4 à 6 semaines en continu.</w:t>
      </w:r>
    </w:p>
    <w:p>
      <w:pPr>
        <w:pStyle w:val="ListBullet"/>
      </w:pPr>
      <w:r>
        <w:t>Enfant de plus de 1 an : 1 application par jour sur surface limitée, durée maximale de 3 à 4 semaines. Préférer l'hydrocortisone 17-butyrate ou acéponate chez le nourrisson.</w:t>
      </w:r>
    </w:p>
    <w:p>
      <w:pPr>
        <w:pStyle w:val="ListBullet"/>
      </w:pPr>
      <w:r>
        <w:t>Quantité maximale hebdomadaire : 100 g chez l'adulte ; 50 g chez l'enfant de plus de 12 ans.</w:t>
      </w:r>
    </w:p>
    <w:p>
      <w:pPr>
        <w:pStyle w:val="ListBullet"/>
      </w:pPr>
      <w:r>
        <w:t>Mode d'application : lavage préalable des mains, application sur peau sèche et propre, massage doux, lavage des mains après.</w:t>
      </w:r>
    </w:p>
    <w:p>
      <w:r/>
      <w:r>
        <w:rPr>
          <w:b/>
        </w:rPr>
        <w:t>Arbitrage et Bénéfices des Formes Galéniques :</w:t>
      </w:r>
      <w:r/>
    </w:p>
    <w:p>
      <w:r>
        <w:t>La seule forme disponible est la crème dermique 0,25 % (PEITEL). La galénique en crème est adaptée à la majorité des indications (eczéma aigu et subaigu, dermatite atopique modérée, dermite séborrhéique). L'absence de forme pommade, lotion ou gel limite l'adaptation à des situations particulières (lésions chroniques sèches hyperkératosiques, cuir chevelu, zones pileuses). Le pharmacien peut être amené à proposer une alternative de même palier (triamcinolone acétonide dermique — non disponible en Algérie) ou de palier supérieur (mométasone pommade) en cas de nécessité galénique différente.</w:t>
      </w:r>
    </w:p>
    <w:p>
      <w:r/>
      <w:r>
        <w:rPr>
          <w:b/>
        </w:rPr>
        <w:t>Instructions et Conseils au Patient :</w:t>
      </w:r>
      <w:r/>
    </w:p>
    <w:p>
      <w:pPr>
        <w:pStyle w:val="ListBullet"/>
      </w:pPr>
      <w:r>
        <w:t>Communication au comptoir : Rappeler qu'il s'agit d'un dermocorticoïde de palier modéré, à utiliser sur la zone prescrite et pendant la durée prescrite. Avantage : profil de tolérance locale supérieur aux corticoïdes fluorés de même palier, ce qui permet un usage sur le visage (avec prudence et durée limitée) et sur les zones sensibles.</w:t>
      </w:r>
    </w:p>
    <w:p>
      <w:pPr>
        <w:pStyle w:val="ListBullet"/>
      </w:pPr>
      <w:r>
        <w:t>Mode d'utilisation pratique : FTU pour quantifier l'application. Lavage des mains avant et après. Pas d'occlusion. Conserver à température ≤ 25 °C, jeter après 3 mois d'ouverture.</w:t>
      </w:r>
    </w:p>
    <w:p>
      <w:pPr>
        <w:pStyle w:val="ListBullet"/>
      </w:pPr>
      <w:r>
        <w:t>Information sur les signes d'alerte : amincissement cutané, vaisseaux visibles, vergetures, acné, rougeur péribuccale → arrêt et consultation.</w:t>
      </w:r>
    </w:p>
    <w:p>
      <w:r/>
      <w:r>
        <w:rPr>
          <w:b/>
        </w:rPr>
        <w:t>Notes, Règles d'Or &amp; Pièges au Comptoir :</w:t>
      </w:r>
      <w:r/>
    </w:p>
    <w:p>
      <w:pPr>
        <w:pStyle w:val="ListBullet"/>
      </w:pPr>
      <w:r>
        <w:t>Piège classique : Patient substituant PEITEL par un corticoïde fluoré de même palier en cas d'indisponibilité (triamcinolone acétonide, fluocinolone acétonide) sans avis médical → perte de l'avantage de tolérance du prednicarbate. Le pharmacien doit alerter et proposer une alternative de palier équivalent ou inférieur (hydrocortisone 17-butyrate).</w:t>
      </w:r>
    </w:p>
    <w:p>
      <w:pPr>
        <w:pStyle w:val="ListBullet"/>
      </w:pPr>
      <w:r>
        <w:t>Règle d'or : « Prednicarbate = palier modéré non fluoré, à utiliser en première intention en cas de nécessité d'un palier supérieur à l'hydrocortisone sur le visage ou chez l'enfant. »</w:t>
      </w:r>
    </w:p>
    <w:p>
      <w:pPr>
        <w:pStyle w:val="ListBullet"/>
      </w:pPr>
      <w:r>
        <w:t>Préparation et Conservation : Tube fermé, à température ≤ 25 °C, à l'abri de la lumière.</w:t>
      </w:r>
    </w:p>
    <w:p>
      <w:pPr>
        <w:pStyle w:val="ListBullet"/>
      </w:pPr>
      <w:r>
        <w:t>Piège de la galénique : En cas de nécessité d'une forme pommade ou lotion (lésions chroniques sèches, cuir chevelu), ne pas substituer par une forme crème d'une autre molécule sans avis médical ; proposer une alternative galénique adaptée.</w:t>
      </w:r>
    </w:p>
    <w:p>
      <w:pPr>
        <w:pStyle w:val="ListBullet"/>
      </w:pPr>
      <w:r>
        <w:t>Piège du sevrage : Sevrage progressif après 4–6 semaines d'usage quotidien.</w:t>
      </w:r>
    </w:p>
    <w:p>
      <w:pPr>
        <w:pStyle w:val="Heading3"/>
      </w:pPr>
      <w:r>
        <w:t>122.6.3 DCI : Triamcinolone (acétonide topique)</w:t>
      </w:r>
    </w:p>
    <w:p>
      <w:r/>
      <w:r>
        <w:rPr>
          <w:b/>
        </w:rPr>
        <w:t>Liste des Catégories :</w:t>
      </w:r>
      <w:r>
        <w:t xml:space="preserve"> Liste I (toutes formes).</w:t>
      </w:r>
    </w:p>
    <w:p>
      <w:r>
        <w:t>La triamcinolone acétonide est un corticoïde de synthèse fluoré en 9α, avec un acétonide en C16-C17 (pont acétonique renforçant la lipophilie et la rémanence locale). Sa puissance vasoconstrictrice est environ 25 à 50 fois supérieure à celle de l'hydrocortisone, ce qui la classe en classe III européenne (modérée activité). Historiquement utilisée en dermologie depuis 1960 (Kenacort®), elle est aujourd'hui principalement présente en Algérie en suspension injectable (Kenacort Retard, Kenacortyl Retard, Huppacort Retard, Lisatriam, Theracort) pour les injections intra-lésionnelles (chéloïdes, nodules prurigo, pelade en plaques, lichen plan hypertrophique) et IM (pathologies systémiques), en suspension pour pulvérisation nasale (NASACORT, NASACET, NASADOZE, NASALIX, NASALONE, NASANOL, NASODIS) pour la rhinite allergique, et en pommade ophtalmique (CRONOLONE) pour les inflammations oculaires. La forme dermique pure n'est pas disponible en Algérie en forme active, ce qui en limite l'usage dermique. La triamcinolone est également utilisée par voie systémique en comprimés (CRONOLONE, CORTORAL, non renouvelables).</w:t>
      </w:r>
    </w:p>
    <w:p>
      <w:r/>
      <w:r>
        <w:rPr>
          <w:b/>
        </w:rPr>
        <w:t>Médicaments disponibles en Algérie (tableau commercial) :</w:t>
      </w:r>
      <w:r/>
    </w:p>
    <w:p>
      <w:r>
        <w:t>Formes injectables actives (intra-lésionnelle / IM)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HUPPACORT RETARD</w:t>
            </w:r>
          </w:p>
        </w:tc>
        <w:tc>
          <w:tcPr>
            <w:tcW w:type="dxa" w:w="1559"/>
          </w:tcPr>
          <w:p>
            <w:r>
              <w:rPr>
                <w:sz w:val="20"/>
              </w:rPr>
              <w:t>HUPP PHARMA</w:t>
            </w:r>
          </w:p>
        </w:tc>
        <w:tc>
          <w:tcPr>
            <w:tcW w:type="dxa" w:w="1559"/>
          </w:tcPr>
          <w:p>
            <w:r>
              <w:rPr>
                <w:sz w:val="20"/>
              </w:rPr>
              <w:t>Suspension injectable IM/locale 40 mg/mL</w:t>
            </w:r>
          </w:p>
        </w:tc>
        <w:tc>
          <w:tcPr>
            <w:tcW w:type="dxa" w:w="1559"/>
          </w:tcPr>
          <w:p>
            <w:r>
              <w:rPr>
                <w:sz w:val="20"/>
              </w:rPr>
              <w:t>Boîte 1 ampoule 1 mL</w:t>
            </w:r>
          </w:p>
        </w:tc>
        <w:tc>
          <w:tcPr>
            <w:tcW w:type="dxa" w:w="1559"/>
          </w:tcPr>
          <w:p>
            <w:r>
              <w:rPr>
                <w:sz w:val="20"/>
              </w:rPr>
              <w:t>Liste I</w:t>
            </w:r>
          </w:p>
        </w:tc>
        <w:tc>
          <w:tcPr>
            <w:tcW w:type="dxa" w:w="1559"/>
          </w:tcPr>
          <w:p>
            <w:r>
              <w:rPr>
                <w:sz w:val="20"/>
              </w:rPr>
              <w:t>Actif</w:t>
            </w:r>
          </w:p>
        </w:tc>
      </w:tr>
      <w:tr>
        <w:tc>
          <w:tcPr>
            <w:tcW w:type="dxa" w:w="1559"/>
          </w:tcPr>
          <w:p>
            <w:r>
              <w:rPr>
                <w:sz w:val="20"/>
              </w:rPr>
              <w:t>KENACORT RETARD</w:t>
            </w:r>
          </w:p>
        </w:tc>
        <w:tc>
          <w:tcPr>
            <w:tcW w:type="dxa" w:w="1559"/>
          </w:tcPr>
          <w:p>
            <w:r>
              <w:rPr>
                <w:sz w:val="20"/>
              </w:rPr>
              <w:t>BRISTOL MYERS SQUIBB PHARMA EEIG</w:t>
            </w:r>
          </w:p>
        </w:tc>
        <w:tc>
          <w:tcPr>
            <w:tcW w:type="dxa" w:w="1559"/>
          </w:tcPr>
          <w:p>
            <w:r>
              <w:rPr>
                <w:sz w:val="20"/>
              </w:rPr>
              <w:t>Suspension injectable 40 mg</w:t>
            </w:r>
          </w:p>
        </w:tc>
        <w:tc>
          <w:tcPr>
            <w:tcW w:type="dxa" w:w="1559"/>
          </w:tcPr>
          <w:p>
            <w:r>
              <w:rPr>
                <w:sz w:val="20"/>
              </w:rPr>
              <w:t>Boîte 1 ampoule 1 mL + 1 seringue 5 mL</w:t>
            </w:r>
          </w:p>
        </w:tc>
        <w:tc>
          <w:tcPr>
            <w:tcW w:type="dxa" w:w="1559"/>
          </w:tcPr>
          <w:p>
            <w:r>
              <w:rPr>
                <w:sz w:val="20"/>
              </w:rPr>
              <w:t>Liste I</w:t>
            </w:r>
          </w:p>
        </w:tc>
        <w:tc>
          <w:tcPr>
            <w:tcW w:type="dxa" w:w="1559"/>
          </w:tcPr>
          <w:p>
            <w:r>
              <w:rPr>
                <w:sz w:val="20"/>
              </w:rPr>
              <w:t>Actif</w:t>
            </w:r>
          </w:p>
        </w:tc>
      </w:tr>
      <w:tr>
        <w:tc>
          <w:tcPr>
            <w:tcW w:type="dxa" w:w="1559"/>
          </w:tcPr>
          <w:p>
            <w:r>
              <w:rPr>
                <w:sz w:val="20"/>
              </w:rPr>
              <w:t>KENACORTYL RETARD</w:t>
            </w:r>
          </w:p>
        </w:tc>
        <w:tc>
          <w:tcPr>
            <w:tcW w:type="dxa" w:w="1559"/>
          </w:tcPr>
          <w:p>
            <w:r>
              <w:rPr>
                <w:sz w:val="20"/>
              </w:rPr>
              <w:t>NADPHARMADIC-PRODUCTION</w:t>
            </w:r>
          </w:p>
        </w:tc>
        <w:tc>
          <w:tcPr>
            <w:tcW w:type="dxa" w:w="1559"/>
          </w:tcPr>
          <w:p>
            <w:r>
              <w:rPr>
                <w:sz w:val="20"/>
              </w:rPr>
              <w:t>Suspension injectable 40 mg/1 mL</w:t>
            </w:r>
          </w:p>
        </w:tc>
        <w:tc>
          <w:tcPr>
            <w:tcW w:type="dxa" w:w="1559"/>
          </w:tcPr>
          <w:p>
            <w:r>
              <w:rPr>
                <w:sz w:val="20"/>
              </w:rPr>
              <w:t>Boîte 1 seringue pré-remplie + 2 aiguilles</w:t>
            </w:r>
          </w:p>
        </w:tc>
        <w:tc>
          <w:tcPr>
            <w:tcW w:type="dxa" w:w="1559"/>
          </w:tcPr>
          <w:p>
            <w:r>
              <w:rPr>
                <w:sz w:val="20"/>
              </w:rPr>
              <w:t>Liste I</w:t>
            </w:r>
          </w:p>
        </w:tc>
        <w:tc>
          <w:tcPr>
            <w:tcW w:type="dxa" w:w="1559"/>
          </w:tcPr>
          <w:p>
            <w:r>
              <w:rPr>
                <w:sz w:val="20"/>
              </w:rPr>
              <w:t>Actif</w:t>
            </w:r>
          </w:p>
        </w:tc>
      </w:tr>
      <w:tr>
        <w:tc>
          <w:tcPr>
            <w:tcW w:type="dxa" w:w="1559"/>
          </w:tcPr>
          <w:p>
            <w:r>
              <w:rPr>
                <w:sz w:val="20"/>
              </w:rPr>
              <w:t>LISATRIAM</w:t>
            </w:r>
          </w:p>
        </w:tc>
        <w:tc>
          <w:tcPr>
            <w:tcW w:type="dxa" w:w="1559"/>
          </w:tcPr>
          <w:p>
            <w:r>
              <w:rPr>
                <w:sz w:val="20"/>
              </w:rPr>
              <w:t>ITALIANO BIOCHIMICO FARMACEUTICO LISAPHARMA SPA</w:t>
            </w:r>
          </w:p>
        </w:tc>
        <w:tc>
          <w:tcPr>
            <w:tcW w:type="dxa" w:w="1559"/>
          </w:tcPr>
          <w:p>
            <w:r>
              <w:rPr>
                <w:sz w:val="20"/>
              </w:rPr>
              <w:t>Suspension injectable 40 mg/mL</w:t>
            </w:r>
          </w:p>
        </w:tc>
        <w:tc>
          <w:tcPr>
            <w:tcW w:type="dxa" w:w="1559"/>
          </w:tcPr>
          <w:p>
            <w:r>
              <w:rPr>
                <w:sz w:val="20"/>
              </w:rPr>
              <w:t>Boîte 1 ampoule 1 mL</w:t>
            </w:r>
          </w:p>
        </w:tc>
        <w:tc>
          <w:tcPr>
            <w:tcW w:type="dxa" w:w="1559"/>
          </w:tcPr>
          <w:p>
            <w:r>
              <w:rPr>
                <w:sz w:val="20"/>
              </w:rPr>
              <w:t>Liste I</w:t>
            </w:r>
          </w:p>
        </w:tc>
        <w:tc>
          <w:tcPr>
            <w:tcW w:type="dxa" w:w="1559"/>
          </w:tcPr>
          <w:p>
            <w:r>
              <w:rPr>
                <w:sz w:val="20"/>
              </w:rPr>
              <w:t>Actif</w:t>
            </w:r>
          </w:p>
        </w:tc>
      </w:tr>
      <w:tr>
        <w:tc>
          <w:tcPr>
            <w:tcW w:type="dxa" w:w="1559"/>
          </w:tcPr>
          <w:p>
            <w:r>
              <w:rPr>
                <w:sz w:val="20"/>
              </w:rPr>
              <w:t>THERACORT</w:t>
            </w:r>
          </w:p>
        </w:tc>
        <w:tc>
          <w:tcPr>
            <w:tcW w:type="dxa" w:w="1559"/>
          </w:tcPr>
          <w:p>
            <w:r>
              <w:rPr>
                <w:sz w:val="20"/>
              </w:rPr>
              <w:t>BIOTHERA</w:t>
            </w:r>
          </w:p>
        </w:tc>
        <w:tc>
          <w:tcPr>
            <w:tcW w:type="dxa" w:w="1559"/>
          </w:tcPr>
          <w:p>
            <w:r>
              <w:rPr>
                <w:sz w:val="20"/>
              </w:rPr>
              <w:t>Suspension injectable 40 mg/mL</w:t>
            </w:r>
          </w:p>
        </w:tc>
        <w:tc>
          <w:tcPr>
            <w:tcW w:type="dxa" w:w="1559"/>
          </w:tcPr>
          <w:p>
            <w:r>
              <w:rPr>
                <w:sz w:val="20"/>
              </w:rPr>
              <w:t>Boîte 1 ampoule 2 mL (contenant 1 mL)</w:t>
            </w:r>
          </w:p>
        </w:tc>
        <w:tc>
          <w:tcPr>
            <w:tcW w:type="dxa" w:w="1559"/>
          </w:tcPr>
          <w:p>
            <w:r>
              <w:rPr>
                <w:sz w:val="20"/>
              </w:rPr>
              <w:t>Liste I</w:t>
            </w:r>
          </w:p>
        </w:tc>
        <w:tc>
          <w:tcPr>
            <w:tcW w:type="dxa" w:w="1559"/>
          </w:tcPr>
          <w:p>
            <w:r>
              <w:rPr>
                <w:sz w:val="20"/>
              </w:rPr>
              <w:t>Actif</w:t>
            </w:r>
          </w:p>
        </w:tc>
      </w:tr>
    </w:tbl>
    <w:p/>
    <w:p>
      <w:r>
        <w:t>Forme ophtalmique active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CRONOLONE</w:t>
            </w:r>
          </w:p>
        </w:tc>
        <w:tc>
          <w:tcPr>
            <w:tcW w:type="dxa" w:w="1559"/>
          </w:tcPr>
          <w:p>
            <w:r>
              <w:rPr>
                <w:sz w:val="20"/>
              </w:rPr>
              <w:t>FARMACEUTICI CROVIS PH.I.L.COM</w:t>
            </w:r>
          </w:p>
        </w:tc>
        <w:tc>
          <w:tcPr>
            <w:tcW w:type="dxa" w:w="1559"/>
          </w:tcPr>
          <w:p>
            <w:r>
              <w:rPr>
                <w:sz w:val="20"/>
              </w:rPr>
              <w:t>Pommade ophtalmique 0,1 % (0,001)</w:t>
            </w:r>
          </w:p>
        </w:tc>
        <w:tc>
          <w:tcPr>
            <w:tcW w:type="dxa" w:w="1559"/>
          </w:tcPr>
          <w:p>
            <w:r>
              <w:rPr>
                <w:sz w:val="20"/>
              </w:rPr>
              <w:t>Boîte 1 tube 5 g</w:t>
            </w:r>
          </w:p>
        </w:tc>
        <w:tc>
          <w:tcPr>
            <w:tcW w:type="dxa" w:w="1559"/>
          </w:tcPr>
          <w:p>
            <w:r>
              <w:rPr>
                <w:sz w:val="20"/>
              </w:rPr>
              <w:t>Liste I</w:t>
            </w:r>
          </w:p>
        </w:tc>
        <w:tc>
          <w:tcPr>
            <w:tcW w:type="dxa" w:w="1559"/>
          </w:tcPr>
          <w:p>
            <w:r>
              <w:rPr>
                <w:sz w:val="20"/>
              </w:rPr>
              <w:t>Actif</w:t>
            </w:r>
          </w:p>
        </w:tc>
      </w:tr>
    </w:tbl>
    <w:p/>
    <w:p>
      <w:r>
        <w:t>Formes nasales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NASACET</w:t>
            </w:r>
          </w:p>
        </w:tc>
        <w:tc>
          <w:tcPr>
            <w:tcW w:type="dxa" w:w="1559"/>
          </w:tcPr>
          <w:p>
            <w:r>
              <w:rPr>
                <w:sz w:val="20"/>
              </w:rPr>
              <w:t>BIOGALENIC</w:t>
            </w:r>
          </w:p>
        </w:tc>
        <w:tc>
          <w:tcPr>
            <w:tcW w:type="dxa" w:w="1559"/>
          </w:tcPr>
          <w:p>
            <w:r>
              <w:rPr>
                <w:sz w:val="20"/>
              </w:rPr>
              <w:t>Suspension pour pulvérisation nasale 55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NASACORT</w:t>
            </w:r>
          </w:p>
        </w:tc>
        <w:tc>
          <w:tcPr>
            <w:tcW w:type="dxa" w:w="1559"/>
          </w:tcPr>
          <w:p>
            <w:r>
              <w:rPr>
                <w:sz w:val="20"/>
              </w:rPr>
              <w:t>HUPP PHARMA</w:t>
            </w:r>
          </w:p>
        </w:tc>
        <w:tc>
          <w:tcPr>
            <w:tcW w:type="dxa" w:w="1559"/>
          </w:tcPr>
          <w:p>
            <w:r>
              <w:rPr>
                <w:sz w:val="20"/>
              </w:rPr>
              <w:t>Suspension pour pulvérisation nasale 55 µg/dose</w:t>
            </w:r>
          </w:p>
        </w:tc>
        <w:tc>
          <w:tcPr>
            <w:tcW w:type="dxa" w:w="1559"/>
          </w:tcPr>
          <w:p>
            <w:r>
              <w:rPr>
                <w:sz w:val="20"/>
              </w:rPr>
              <w:t>Boîte 1 flacon 120 doses (15 mL) + pompe doseuse + embout nasal</w:t>
            </w:r>
          </w:p>
        </w:tc>
        <w:tc>
          <w:tcPr>
            <w:tcW w:type="dxa" w:w="1559"/>
          </w:tcPr>
          <w:p>
            <w:r>
              <w:rPr>
                <w:sz w:val="20"/>
              </w:rPr>
              <w:t>Liste I</w:t>
            </w:r>
          </w:p>
        </w:tc>
        <w:tc>
          <w:tcPr>
            <w:tcW w:type="dxa" w:w="1559"/>
          </w:tcPr>
          <w:p>
            <w:r>
              <w:rPr>
                <w:sz w:val="20"/>
              </w:rPr>
              <w:t>Actif</w:t>
            </w:r>
          </w:p>
        </w:tc>
      </w:tr>
      <w:tr>
        <w:tc>
          <w:tcPr>
            <w:tcW w:type="dxa" w:w="1559"/>
          </w:tcPr>
          <w:p>
            <w:r>
              <w:rPr>
                <w:sz w:val="20"/>
              </w:rPr>
              <w:t>NASADOZE</w:t>
            </w:r>
          </w:p>
        </w:tc>
        <w:tc>
          <w:tcPr>
            <w:tcW w:type="dxa" w:w="1559"/>
          </w:tcPr>
          <w:p>
            <w:r>
              <w:rPr>
                <w:sz w:val="20"/>
              </w:rPr>
              <w:t>NOVAPHARM TRADING</w:t>
            </w:r>
          </w:p>
        </w:tc>
        <w:tc>
          <w:tcPr>
            <w:tcW w:type="dxa" w:w="1559"/>
          </w:tcPr>
          <w:p>
            <w:r>
              <w:rPr>
                <w:sz w:val="20"/>
              </w:rPr>
              <w:t>Suspension pour pulvérisation nasale 55 µg/dose</w:t>
            </w:r>
          </w:p>
        </w:tc>
        <w:tc>
          <w:tcPr>
            <w:tcW w:type="dxa" w:w="1559"/>
          </w:tcPr>
          <w:p>
            <w:r>
              <w:rPr>
                <w:sz w:val="20"/>
              </w:rPr>
              <w:t>Boîte 1 flacon 120 doses (15 mL) + pompe doseuse et embout nasal</w:t>
            </w:r>
          </w:p>
        </w:tc>
        <w:tc>
          <w:tcPr>
            <w:tcW w:type="dxa" w:w="1559"/>
          </w:tcPr>
          <w:p>
            <w:r>
              <w:rPr>
                <w:sz w:val="20"/>
              </w:rPr>
              <w:t>Liste I</w:t>
            </w:r>
          </w:p>
        </w:tc>
        <w:tc>
          <w:tcPr>
            <w:tcW w:type="dxa" w:w="1559"/>
          </w:tcPr>
          <w:p>
            <w:r>
              <w:rPr>
                <w:sz w:val="20"/>
              </w:rPr>
              <w:t>Actif</w:t>
            </w:r>
          </w:p>
        </w:tc>
      </w:tr>
      <w:tr>
        <w:tc>
          <w:tcPr>
            <w:tcW w:type="dxa" w:w="1559"/>
          </w:tcPr>
          <w:p>
            <w:r>
              <w:rPr>
                <w:sz w:val="20"/>
              </w:rPr>
              <w:t>NASALIX</w:t>
            </w:r>
          </w:p>
        </w:tc>
        <w:tc>
          <w:tcPr>
            <w:tcW w:type="dxa" w:w="1559"/>
          </w:tcPr>
          <w:p>
            <w:r>
              <w:rPr>
                <w:sz w:val="20"/>
              </w:rPr>
              <w:t>GENERIC LAB</w:t>
            </w:r>
          </w:p>
        </w:tc>
        <w:tc>
          <w:tcPr>
            <w:tcW w:type="dxa" w:w="1559"/>
          </w:tcPr>
          <w:p>
            <w:r>
              <w:rPr>
                <w:sz w:val="20"/>
              </w:rPr>
              <w:t>Suspension pour pulvérisation nasale 55 µg/dose</w:t>
            </w:r>
          </w:p>
        </w:tc>
        <w:tc>
          <w:tcPr>
            <w:tcW w:type="dxa" w:w="1559"/>
          </w:tcPr>
          <w:p>
            <w:r>
              <w:rPr>
                <w:sz w:val="20"/>
              </w:rPr>
              <w:t>Flacon 15 mL (120 doses)</w:t>
            </w:r>
          </w:p>
        </w:tc>
        <w:tc>
          <w:tcPr>
            <w:tcW w:type="dxa" w:w="1559"/>
          </w:tcPr>
          <w:p>
            <w:r>
              <w:rPr>
                <w:sz w:val="20"/>
              </w:rPr>
              <w:t>Liste I</w:t>
            </w:r>
          </w:p>
        </w:tc>
        <w:tc>
          <w:tcPr>
            <w:tcW w:type="dxa" w:w="1559"/>
          </w:tcPr>
          <w:p>
            <w:r>
              <w:rPr>
                <w:sz w:val="20"/>
              </w:rPr>
              <w:t>Actif</w:t>
            </w:r>
          </w:p>
        </w:tc>
      </w:tr>
      <w:tr>
        <w:tc>
          <w:tcPr>
            <w:tcW w:type="dxa" w:w="1559"/>
          </w:tcPr>
          <w:p>
            <w:r>
              <w:rPr>
                <w:sz w:val="20"/>
              </w:rPr>
              <w:t>NASALONE</w:t>
            </w:r>
          </w:p>
        </w:tc>
        <w:tc>
          <w:tcPr>
            <w:tcW w:type="dxa" w:w="1559"/>
          </w:tcPr>
          <w:p>
            <w:r>
              <w:rPr>
                <w:sz w:val="20"/>
              </w:rPr>
              <w:t>HUPP PHARMA</w:t>
            </w:r>
          </w:p>
        </w:tc>
        <w:tc>
          <w:tcPr>
            <w:tcW w:type="dxa" w:w="1559"/>
          </w:tcPr>
          <w:p>
            <w:r>
              <w:rPr>
                <w:sz w:val="20"/>
              </w:rPr>
              <w:t>Suspension pour pulvérisation nasale 55 µg/dose</w:t>
            </w:r>
          </w:p>
        </w:tc>
        <w:tc>
          <w:tcPr>
            <w:tcW w:type="dxa" w:w="1559"/>
          </w:tcPr>
          <w:p>
            <w:r>
              <w:rPr>
                <w:sz w:val="20"/>
              </w:rPr>
              <w:t>Boîte 1 flacon 15 mL</w:t>
            </w:r>
          </w:p>
        </w:tc>
        <w:tc>
          <w:tcPr>
            <w:tcW w:type="dxa" w:w="1559"/>
          </w:tcPr>
          <w:p>
            <w:r>
              <w:rPr>
                <w:sz w:val="20"/>
              </w:rPr>
              <w:t>Liste I</w:t>
            </w:r>
          </w:p>
        </w:tc>
        <w:tc>
          <w:tcPr>
            <w:tcW w:type="dxa" w:w="1559"/>
          </w:tcPr>
          <w:p>
            <w:r>
              <w:rPr>
                <w:sz w:val="20"/>
              </w:rPr>
              <w:t>Actif</w:t>
            </w:r>
          </w:p>
        </w:tc>
      </w:tr>
      <w:tr>
        <w:tc>
          <w:tcPr>
            <w:tcW w:type="dxa" w:w="1559"/>
          </w:tcPr>
          <w:p>
            <w:r>
              <w:rPr>
                <w:sz w:val="20"/>
              </w:rPr>
              <w:t>NASANOL</w:t>
            </w:r>
          </w:p>
        </w:tc>
        <w:tc>
          <w:tcPr>
            <w:tcW w:type="dxa" w:w="1559"/>
          </w:tcPr>
          <w:p>
            <w:r>
              <w:rPr>
                <w:sz w:val="20"/>
              </w:rPr>
              <w:t>NEOMEDIC</w:t>
            </w:r>
          </w:p>
        </w:tc>
        <w:tc>
          <w:tcPr>
            <w:tcW w:type="dxa" w:w="1559"/>
          </w:tcPr>
          <w:p>
            <w:r>
              <w:rPr>
                <w:sz w:val="20"/>
              </w:rPr>
              <w:t>Suspension pour pulvérisation nasale 55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r>
        <w:tc>
          <w:tcPr>
            <w:tcW w:type="dxa" w:w="1559"/>
          </w:tcPr>
          <w:p>
            <w:r>
              <w:rPr>
                <w:sz w:val="20"/>
              </w:rPr>
              <w:t>NASODIS</w:t>
            </w:r>
          </w:p>
        </w:tc>
        <w:tc>
          <w:tcPr>
            <w:tcW w:type="dxa" w:w="1559"/>
          </w:tcPr>
          <w:p>
            <w:r>
              <w:rPr>
                <w:sz w:val="20"/>
              </w:rPr>
              <w:t>INPHA-MEDIS</w:t>
            </w:r>
          </w:p>
        </w:tc>
        <w:tc>
          <w:tcPr>
            <w:tcW w:type="dxa" w:w="1559"/>
          </w:tcPr>
          <w:p>
            <w:r>
              <w:rPr>
                <w:sz w:val="20"/>
              </w:rPr>
              <w:t>Suspension pour pulvérisation nasale 55 µg/dose</w:t>
            </w:r>
          </w:p>
        </w:tc>
        <w:tc>
          <w:tcPr>
            <w:tcW w:type="dxa" w:w="1559"/>
          </w:tcPr>
          <w:p>
            <w:r>
              <w:rPr>
                <w:sz w:val="20"/>
              </w:rPr>
              <w:t>Flacon 120 doses</w:t>
            </w:r>
          </w:p>
        </w:tc>
        <w:tc>
          <w:tcPr>
            <w:tcW w:type="dxa" w:w="1559"/>
          </w:tcPr>
          <w:p>
            <w:r>
              <w:rPr>
                <w:sz w:val="20"/>
              </w:rPr>
              <w:t>Liste I</w:t>
            </w:r>
          </w:p>
        </w:tc>
        <w:tc>
          <w:tcPr>
            <w:tcW w:type="dxa" w:w="1559"/>
          </w:tcPr>
          <w:p>
            <w:r>
              <w:rPr>
                <w:sz w:val="20"/>
              </w:rPr>
              <w:t>Actif</w:t>
            </w:r>
          </w:p>
        </w:tc>
      </w:tr>
    </w:tbl>
    <w:p/>
    <w:p>
      <w:r>
        <w:t>Formes non renouvelables et retirées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CRONOLONE</w:t>
            </w:r>
          </w:p>
        </w:tc>
        <w:tc>
          <w:tcPr>
            <w:tcW w:type="dxa" w:w="1559"/>
          </w:tcPr>
          <w:p>
            <w:r>
              <w:rPr>
                <w:sz w:val="20"/>
              </w:rPr>
              <w:t>FARMACEUTICI CROVIS PHILCOM SRL</w:t>
            </w:r>
          </w:p>
        </w:tc>
        <w:tc>
          <w:tcPr>
            <w:tcW w:type="dxa" w:w="1559"/>
          </w:tcPr>
          <w:p>
            <w:r>
              <w:rPr>
                <w:sz w:val="20"/>
              </w:rPr>
              <w:t>Comprimé 1 mg</w:t>
            </w:r>
          </w:p>
        </w:tc>
        <w:tc>
          <w:tcPr>
            <w:tcW w:type="dxa" w:w="1559"/>
          </w:tcPr>
          <w:p>
            <w:r>
              <w:rPr>
                <w:sz w:val="20"/>
              </w:rPr>
              <w:t>Boîte 24</w:t>
            </w:r>
          </w:p>
        </w:tc>
        <w:tc>
          <w:tcPr>
            <w:tcW w:type="dxa" w:w="1559"/>
          </w:tcPr>
          <w:p>
            <w:r>
              <w:rPr>
                <w:sz w:val="20"/>
              </w:rPr>
              <w:t>Liste I</w:t>
            </w:r>
          </w:p>
        </w:tc>
        <w:tc>
          <w:tcPr>
            <w:tcW w:type="dxa" w:w="1559"/>
          </w:tcPr>
          <w:p>
            <w:r>
              <w:rPr>
                <w:sz w:val="20"/>
              </w:rPr>
              <w:t>Non Renouvelable</w:t>
            </w:r>
          </w:p>
        </w:tc>
      </w:tr>
      <w:tr>
        <w:tc>
          <w:tcPr>
            <w:tcW w:type="dxa" w:w="1559"/>
          </w:tcPr>
          <w:p>
            <w:r>
              <w:rPr>
                <w:sz w:val="20"/>
              </w:rPr>
              <w:t>CORTORAL</w:t>
            </w:r>
          </w:p>
        </w:tc>
        <w:tc>
          <w:tcPr>
            <w:tcW w:type="dxa" w:w="1559"/>
          </w:tcPr>
          <w:p>
            <w:r>
              <w:rPr>
                <w:sz w:val="20"/>
              </w:rPr>
              <w:t>GROUPE SAIDAL</w:t>
            </w:r>
          </w:p>
        </w:tc>
        <w:tc>
          <w:tcPr>
            <w:tcW w:type="dxa" w:w="1559"/>
          </w:tcPr>
          <w:p>
            <w:r>
              <w:rPr>
                <w:sz w:val="20"/>
              </w:rPr>
              <w:t>Comprimé 4 mg</w:t>
            </w:r>
          </w:p>
        </w:tc>
        <w:tc>
          <w:tcPr>
            <w:tcW w:type="dxa" w:w="1559"/>
          </w:tcPr>
          <w:p>
            <w:r>
              <w:rPr>
                <w:sz w:val="20"/>
              </w:rPr>
              <w:t>Boîte 24</w:t>
            </w:r>
          </w:p>
        </w:tc>
        <w:tc>
          <w:tcPr>
            <w:tcW w:type="dxa" w:w="1559"/>
          </w:tcPr>
          <w:p>
            <w:r>
              <w:rPr>
                <w:sz w:val="20"/>
              </w:rPr>
              <w:t>Liste I</w:t>
            </w:r>
          </w:p>
        </w:tc>
        <w:tc>
          <w:tcPr>
            <w:tcW w:type="dxa" w:w="1559"/>
          </w:tcPr>
          <w:p>
            <w:r>
              <w:rPr>
                <w:sz w:val="20"/>
              </w:rPr>
              <w:t>Non Renouvelable</w:t>
            </w:r>
          </w:p>
        </w:tc>
      </w:tr>
      <w:tr>
        <w:tc>
          <w:tcPr>
            <w:tcW w:type="dxa" w:w="1559"/>
          </w:tcPr>
          <w:p>
            <w:r>
              <w:rPr>
                <w:sz w:val="20"/>
              </w:rPr>
              <w:t>CRONOLONE</w:t>
            </w:r>
          </w:p>
        </w:tc>
        <w:tc>
          <w:tcPr>
            <w:tcW w:type="dxa" w:w="1559"/>
          </w:tcPr>
          <w:p>
            <w:r>
              <w:rPr>
                <w:sz w:val="20"/>
              </w:rPr>
              <w:t>CROVIS PHILCOM</w:t>
            </w:r>
          </w:p>
        </w:tc>
        <w:tc>
          <w:tcPr>
            <w:tcW w:type="dxa" w:w="1559"/>
          </w:tcPr>
          <w:p>
            <w:r>
              <w:rPr>
                <w:sz w:val="20"/>
              </w:rPr>
              <w:t>Comprimé 4 mg</w:t>
            </w:r>
          </w:p>
        </w:tc>
        <w:tc>
          <w:tcPr>
            <w:tcW w:type="dxa" w:w="1559"/>
          </w:tcPr>
          <w:p>
            <w:r>
              <w:rPr>
                <w:sz w:val="20"/>
              </w:rPr>
              <w:t>Boîte 24</w:t>
            </w:r>
          </w:p>
        </w:tc>
        <w:tc>
          <w:tcPr>
            <w:tcW w:type="dxa" w:w="1559"/>
          </w:tcPr>
          <w:p>
            <w:r>
              <w:rPr>
                <w:sz w:val="20"/>
              </w:rPr>
              <w:t>Liste I</w:t>
            </w:r>
          </w:p>
        </w:tc>
        <w:tc>
          <w:tcPr>
            <w:tcW w:type="dxa" w:w="1559"/>
          </w:tcPr>
          <w:p>
            <w:r>
              <w:rPr>
                <w:sz w:val="20"/>
              </w:rPr>
              <w:t>Non Renouvelable</w:t>
            </w:r>
          </w:p>
        </w:tc>
      </w:tr>
      <w:tr>
        <w:tc>
          <w:tcPr>
            <w:tcW w:type="dxa" w:w="1559"/>
          </w:tcPr>
          <w:p>
            <w:r>
              <w:rPr>
                <w:sz w:val="20"/>
              </w:rPr>
              <w:t>OBARCORT RETARD</w:t>
            </w:r>
          </w:p>
        </w:tc>
        <w:tc>
          <w:tcPr>
            <w:tcW w:type="dxa" w:w="1559"/>
          </w:tcPr>
          <w:p>
            <w:r>
              <w:rPr>
                <w:sz w:val="20"/>
              </w:rPr>
              <w:t>OUBARI ET RADWAN</w:t>
            </w:r>
          </w:p>
        </w:tc>
        <w:tc>
          <w:tcPr>
            <w:tcW w:type="dxa" w:w="1559"/>
          </w:tcPr>
          <w:p>
            <w:r>
              <w:rPr>
                <w:sz w:val="20"/>
              </w:rPr>
              <w:t>Suspension injectable 40 mg</w:t>
            </w:r>
          </w:p>
        </w:tc>
        <w:tc>
          <w:tcPr>
            <w:tcW w:type="dxa" w:w="1559"/>
          </w:tcPr>
          <w:p>
            <w:r>
              <w:rPr>
                <w:sz w:val="20"/>
              </w:rPr>
              <w:t>Boîte 1</w:t>
            </w:r>
          </w:p>
        </w:tc>
        <w:tc>
          <w:tcPr>
            <w:tcW w:type="dxa" w:w="1559"/>
          </w:tcPr>
          <w:p>
            <w:r>
              <w:rPr>
                <w:sz w:val="20"/>
              </w:rPr>
              <w:t>Liste I</w:t>
            </w:r>
          </w:p>
        </w:tc>
        <w:tc>
          <w:tcPr>
            <w:tcW w:type="dxa" w:w="1559"/>
          </w:tcPr>
          <w:p>
            <w:r>
              <w:rPr>
                <w:sz w:val="20"/>
              </w:rPr>
              <w:t>Non Renouvelable</w:t>
            </w:r>
          </w:p>
        </w:tc>
      </w:tr>
      <w:tr>
        <w:tc>
          <w:tcPr>
            <w:tcW w:type="dxa" w:w="1559"/>
          </w:tcPr>
          <w:p>
            <w:r>
              <w:rPr>
                <w:sz w:val="20"/>
              </w:rPr>
              <w:t>WERACORT</w:t>
            </w:r>
          </w:p>
        </w:tc>
        <w:tc>
          <w:tcPr>
            <w:tcW w:type="dxa" w:w="1559"/>
          </w:tcPr>
          <w:p>
            <w:r>
              <w:rPr>
                <w:sz w:val="20"/>
              </w:rPr>
              <w:t>WEIMER PHARMA</w:t>
            </w:r>
          </w:p>
        </w:tc>
        <w:tc>
          <w:tcPr>
            <w:tcW w:type="dxa" w:w="1559"/>
          </w:tcPr>
          <w:p>
            <w:r>
              <w:rPr>
                <w:sz w:val="20"/>
              </w:rPr>
              <w:t>Suspension injectable 40 mg</w:t>
            </w:r>
          </w:p>
        </w:tc>
        <w:tc>
          <w:tcPr>
            <w:tcW w:type="dxa" w:w="1559"/>
          </w:tcPr>
          <w:p>
            <w:r>
              <w:rPr>
                <w:sz w:val="20"/>
              </w:rPr>
              <w:t>Boîte 1 ampoule</w:t>
            </w:r>
          </w:p>
        </w:tc>
        <w:tc>
          <w:tcPr>
            <w:tcW w:type="dxa" w:w="1559"/>
          </w:tcPr>
          <w:p>
            <w:r>
              <w:rPr>
                <w:sz w:val="20"/>
              </w:rPr>
              <w:t>Liste I</w:t>
            </w:r>
          </w:p>
        </w:tc>
        <w:tc>
          <w:tcPr>
            <w:tcW w:type="dxa" w:w="1559"/>
          </w:tcPr>
          <w:p>
            <w:r>
              <w:rPr>
                <w:sz w:val="20"/>
              </w:rPr>
              <w:t>Retrait</w:t>
            </w:r>
          </w:p>
        </w:tc>
      </w:tr>
    </w:tbl>
    <w:p/>
    <w:p>
      <w:r>
        <w:t>La triamcinolone acétonide est largement présente en Algérie dans les voies injectable (intra-lésionnelle et IM), ophtalmique (pommade CRONOLONE) et nasale (NASACORT et plusieurs génériques : NASACET, NASADOZE, NASALIX, NASALONE, NASANOL, NASODIS). La forme dermique pure n'est pas disponible en Algérie en forme active, ce qui en limite l'usage dermique en pratique courante. Le pharmacien doit savoir orienter vers une alternative de même palier (prednicarbate PEITEL, mométasone CORTISAF) en cas de besoin dermique. La suspension injectable 40 mg/mL (KENACORT RETARD, KENACORTYL RETARD, HUPPACORT RETARD, LISATRIAM, THERACORT) est utilisée par les dermatologues pour les injections intra-lésionnelles (chéloïdes, prurigo, pelade) à des doses de 5 à 10 mg par nodule, et par les rhumatologues pour les injections intra-articulaires (arthrose, arthrite inflammatoire) à des doses de 10 à 40 mg par articulation.</w:t>
      </w:r>
    </w:p>
    <w:p>
      <w:r/>
      <w:r>
        <w:rPr>
          <w:b/>
        </w:rPr>
        <w:t>Sous-classe et Mécanisme d'action :</w:t>
      </w:r>
      <w:r/>
    </w:p>
    <w:p>
      <w:pPr>
        <w:pStyle w:val="ListBullet"/>
      </w:pPr>
      <w:r>
        <w:t>Sous-classe : Dermocorticoïde de classe III européenne (modérée activité), corticoïde fluoré 9α, acétonide en C16-C17.</w:t>
      </w:r>
    </w:p>
    <w:p>
      <w:pPr>
        <w:pStyle w:val="ListBullet"/>
      </w:pPr>
      <w:r>
        <w:t>Mécanisme d'action : La triamcinolone acétonide pénètre la couche cornée (ou la peau du conduit nasal, ou la conjonctive) par diffusion passive, favorisée par la forte lipophilie de l'acétonide. Elle se fixe au GRα cytosolique, le complexe transloque dans le noyau et se lie aux GRE, activant les gènes anti-inflammatoires et réprimant les gènes pro-inflammatoires. Quatre effets cardinaux : anti-inflammatoire, immunosuppresseur, vasoconstricteur, antiprolifératif. La rémanence locale est importante en raison de la lipophilie élevée de l'acétonide (effet réservoir cutané).</w:t>
      </w:r>
    </w:p>
    <w:p>
      <w:pPr>
        <w:pStyle w:val="ListBullet"/>
      </w:pPr>
      <w:r>
        <w:t>Forme injectable : La suspension acétonide (cristaux micronisés en suspension) est lentement hydrolysée sur le site d'injection, ce qui assure une libération prolongée sur 2 à 4 semaines (forme retard). Particulièrement adaptée aux injections intra-lésionnelles (effet local prolongé) et intra-articulaires.</w:t>
      </w:r>
    </w:p>
    <w:p>
      <w:pPr>
        <w:pStyle w:val="ListBullet"/>
      </w:pPr>
      <w:r>
        <w:t>Forme nasale : Effet local anti-inflammatoire sur la muqueuse nasale, faible biodisponibilité systémique (&lt; 1 %).</w:t>
      </w:r>
    </w:p>
    <w:p>
      <w:pPr>
        <w:pStyle w:val="ListBullet"/>
      </w:pPr>
      <w:r>
        <w:t>Forme ophtalmique : Effet local anti-inflammatoire sur la conjonctive.</w:t>
      </w:r>
    </w:p>
    <w:p>
      <w:r/>
      <w:r>
        <w:rPr>
          <w:b/>
        </w:rPr>
        <w:t>Profil Pharmacologique :</w:t>
      </w:r>
      <w:r/>
    </w:p>
    <w:p>
      <w:pPr>
        <w:pStyle w:val="ListBullet"/>
      </w:pPr>
      <w:r>
        <w:t>Indications : Forme injectable intra-lésionnelle : chéloïdes récents, nodules de prurigo, pelade en plaques, lichen plan hypertrophique, granulome annulaire, psoriasis en plaques rebelles. Forme injectable IM : pathologies systémiques (rhumatismes inflammatoires, connectivites, asthme sévère) en relais d'une corticothérapie orale. Forme injectable intra-articulaire : arthrose, arthrite inflammatoire, bursite, tendinite. Forme ophtalmique : conjonctivite allergique sévère, blépharite, kératite, inflammation oculaire post-chirurgicale. Forme nasale : rhinite allergique saisonnière et perannuelle modérée à sévère, polypose nasale.</w:t>
      </w:r>
    </w:p>
    <w:p>
      <w:pPr>
        <w:pStyle w:val="ListBullet"/>
      </w:pPr>
      <w:r>
        <w:t>Contre-indications : Hypersensibilité à la triamcinolone ou à l'un des excipients, infection cutanée ou articulaire locale non traitée (pour la forme injectable), infection systémique non contrôlée, troubles de la coagulation (pour la forme injectable), troubles psychiatriques sévères, ulcère gastro-duodénal évolutif (pour la forme IM), vaccination par vaccin vivant dans les 3 mois (pour la forme IM). Forme ophtalmique : infection oculaire (herpès, mycose, tuberculose), glaucome, cataracte. Forme nasale : infection nasale, tuberculose pulmonaire active.</w:t>
      </w:r>
    </w:p>
    <w:p>
      <w:pPr>
        <w:pStyle w:val="ListBullet"/>
      </w:pPr>
      <w:r>
        <w:t>Spectre : Pas d'activité antibiotique propre.</w:t>
      </w:r>
    </w:p>
    <w:p>
      <w:r/>
      <w:r>
        <w:rPr>
          <w:b/>
        </w:rPr>
        <w:t>Effets Indésirables :</w:t>
      </w:r>
      <w:r/>
    </w:p>
    <w:p>
      <w:pPr>
        <w:pStyle w:val="ListBullet"/>
      </w:pPr>
      <w:r/>
      <w:r>
        <w:rPr>
          <w:b/>
        </w:rPr>
        <w:t>Intra-lésionnelle</w:t>
      </w:r>
      <w:r>
        <w:t xml:space="preserve"> : atrophie cutanée locale (fréquente, parfois définitive), dépigmentation locale (sur peau foncée), télangiectasies, nécrose cutanée (rare), abcès stérile, calcification locale.</w:t>
      </w:r>
    </w:p>
    <w:p>
      <w:pPr>
        <w:pStyle w:val="ListBullet"/>
      </w:pPr>
      <w:r/>
      <w:r>
        <w:rPr>
          <w:b/>
        </w:rPr>
        <w:t>IM</w:t>
      </w:r>
      <w:r>
        <w:t xml:space="preserve"> : syndrome de Cushing iatrogène (en cas d'injections répétées), insuffisance surrénalienne, ostéonécrose de la tête fémorale (rare mais grave), hyperglycémie, troubles psychiatriques.</w:t>
      </w:r>
    </w:p>
    <w:p>
      <w:pPr>
        <w:pStyle w:val="ListBullet"/>
      </w:pPr>
      <w:r/>
      <w:r>
        <w:rPr>
          <w:b/>
        </w:rPr>
        <w:t>Intra-articulaire</w:t>
      </w:r>
      <w:r>
        <w:t xml:space="preserve"> : risque d'arthrite à cristaux (réaction inflammatoire aiguë 24–48 h après injection), atrophie cutanée en regard de l'articulation, calcifications articulaires, exceptionnellement arthrite septique.</w:t>
      </w:r>
    </w:p>
    <w:p>
      <w:pPr>
        <w:pStyle w:val="ListBullet"/>
      </w:pPr>
      <w:r/>
      <w:r>
        <w:rPr>
          <w:b/>
        </w:rPr>
        <w:t>Ophtalmique</w:t>
      </w:r>
      <w:r>
        <w:t xml:space="preserve"> : glaucome (à surveiller), cataracte sous-capsulaire postérieure, infection oculaire secondaire (herpès, mycose), retard de cicatrisation cornéenne.</w:t>
      </w:r>
    </w:p>
    <w:p>
      <w:pPr>
        <w:pStyle w:val="ListBullet"/>
      </w:pPr>
      <w:r/>
      <w:r>
        <w:rPr>
          <w:b/>
        </w:rPr>
        <w:t>Nasale</w:t>
      </w:r>
      <w:r>
        <w:t xml:space="preserve"> : épistaxis (5–10 %), irritation nasale, céphalées, sécheresse pharyngée, très rarement perforation de la cloison nasale.</w:t>
      </w:r>
    </w:p>
    <w:p>
      <w:pPr>
        <w:pStyle w:val="ListBullet"/>
      </w:pPr>
      <w:r/>
      <w:r>
        <w:rPr>
          <w:b/>
        </w:rPr>
        <w:t>Systémiques</w:t>
      </w:r>
      <w:r>
        <w:t xml:space="preserve"> : exceptionnels en usage local, possibles en cas d'usage IM répété.</w:t>
      </w:r>
    </w:p>
    <w:p>
      <w:r/>
      <w:r>
        <w:rPr>
          <w:b/>
        </w:rPr>
        <w:t>Prévention et Gestion des Effets Indésirables :</w:t>
      </w:r>
      <w:r/>
    </w:p>
    <w:p>
      <w:pPr>
        <w:pStyle w:val="ListBullet"/>
      </w:pPr>
      <w:r>
        <w:t>Mesures préventives : Pour la forme injectable intra-lésionnelle : technique stricte (injection intra-lésionnelle, non intra-dermique superficielle), dose limitée par nodule (5–10 mg), espacement des injections (4–6 semaines), limitation du nombre total d'injections (4–6 par an et par site). Pour la forme IM : respect des contre-indications, surveillance de la glycémie, de la tension artérielle, de l'état psychiatrique, espacement des injections (3–4 semaines). Pour la forme ophtalmique : surveillance de la pression intra-oculaire au-delà de 2 semaines d'usage. Pour la forme nasale : surveillance de la cloison nasale au-delà de 3 mois d'usage.</w:t>
      </w:r>
    </w:p>
    <w:p>
      <w:pPr>
        <w:pStyle w:val="ListBullet"/>
      </w:pPr>
      <w:r>
        <w:t>Conduite à tenir : Arrêt en cas d'atrophie cutanée locale, d'infection secondaire, de glaucome. Sevrage progressif des injections IM.</w:t>
      </w:r>
    </w:p>
    <w:p>
      <w:r/>
      <w:r>
        <w:rPr>
          <w:b/>
        </w:rPr>
        <w:t>Interactions Importantes :</w:t>
      </w:r>
      <w:r/>
    </w:p>
    <w:p>
      <w:pPr>
        <w:pStyle w:val="ListBullet"/>
      </w:pPr>
      <w:r>
        <w:t>Inhibiteurs du CYP3A4 (ritonavir, itraconazole, kétoconazole, clarithromycine) : augmentation des concentrations systémiques (pour la forme IM).</w:t>
      </w:r>
    </w:p>
    <w:p>
      <w:pPr>
        <w:pStyle w:val="ListBullet"/>
      </w:pPr>
      <w:r>
        <w:t>Autres corticoïdes : pas de cumul.</w:t>
      </w:r>
    </w:p>
    <w:p>
      <w:pPr>
        <w:pStyle w:val="ListBullet"/>
      </w:pPr>
      <w:r>
        <w:t>Vaccins vivants atténués : contre-indication pendant et jusqu'à 3 mois après injection IM.</w:t>
      </w:r>
    </w:p>
    <w:p>
      <w:pPr>
        <w:pStyle w:val="ListBullet"/>
      </w:pPr>
      <w:r>
        <w:t>Antidiabétiques : effet hyperglycémiant.</w:t>
      </w:r>
    </w:p>
    <w:p>
      <w:pPr>
        <w:pStyle w:val="ListBullet"/>
      </w:pPr>
      <w:r>
        <w:t>Diurétiques hypokaliémiants : majoration de l'hypokaliémie (pour la forme IM).</w:t>
      </w:r>
    </w:p>
    <w:p>
      <w:pPr>
        <w:pStyle w:val="ListBullet"/>
      </w:pPr>
      <w:r>
        <w:t>AINS : majoration du risque digestif (pour la forme IM).</w:t>
      </w:r>
    </w:p>
    <w:p>
      <w:pPr>
        <w:pStyle w:val="ListBullet"/>
      </w:pPr>
      <w:r>
        <w:t>Anticoagulants oraux : variabilité de l'INR (pour la forme IM).</w:t>
      </w:r>
    </w:p>
    <w:p>
      <w:r/>
      <w:r>
        <w:rPr>
          <w:b/>
        </w:rPr>
        <w:t>Grossesse et Allaitement :</w:t>
      </w:r>
      <w:r/>
    </w:p>
    <w:p>
      <w:pPr>
        <w:pStyle w:val="ListBullet"/>
      </w:pPr>
      <w:r>
        <w:t>Grossesse : Selon le CRAT, la triamcinolone topique (dermique, nasale, ophtalmique) est considérée comme « utilisable avec prudence » à tous les trimestres (faible biodisponibilité systémique). La forme IM est déconseillée au 1er trimestre par précaution, possible au 2e et 3e trimestre sur indication stricte. La forme intra-lésionnelle est à éviter par précaution chez la femme enceinte (risque théorique d'effet systémique).</w:t>
      </w:r>
    </w:p>
    <w:p>
      <w:pPr>
        <w:pStyle w:val="ListBullet"/>
      </w:pPr>
      <w:r>
        <w:t>Allaitement : Compatible pour les formes topiques (dermique, nasale, ophtalmique). Pour la forme IM, compatibilité à discuter selon la dose et la fréquence.</w:t>
      </w:r>
    </w:p>
    <w:p>
      <w:pPr>
        <w:pStyle w:val="ListBullet"/>
      </w:pPr>
      <w:r>
        <w:t>Précisions : En cas d'injection intra-articulaire nécessaire chez la femme enceinte (arthrite inflammatoire sévère), préférer le 2e trimestre.</w:t>
      </w:r>
    </w:p>
    <w:p>
      <w:r/>
      <w:r>
        <w:rPr>
          <w:b/>
        </w:rPr>
        <w:t>Posologie et Mode d'administration (Standard) :</w:t>
      </w:r>
      <w:r/>
    </w:p>
    <w:p>
      <w:pPr>
        <w:pStyle w:val="ListBullet"/>
      </w:pPr>
      <w:r>
        <w:t>Forme injectable intra-lésionnelle : 5 à 10 mg par nodule (0,1 à 0,25 mL de suspension 40 mg/mL diluée à 1:2 ou 1:4 avec sérum physiologique ou lidocaïne), à renouveler toutes les 4 à 6 semaines, maximum 4 à 6 injections par an et par site.</w:t>
      </w:r>
    </w:p>
    <w:p>
      <w:pPr>
        <w:pStyle w:val="ListBullet"/>
      </w:pPr>
      <w:r>
        <w:t>Forme injectable IM : 40 à 80 mg en injection IM profonde, à renouveler toutes les 3 à 4 semaines (traitement d'attaque de pathologies systémiques).</w:t>
      </w:r>
    </w:p>
    <w:p>
      <w:pPr>
        <w:pStyle w:val="ListBullet"/>
      </w:pPr>
      <w:r>
        <w:t>Forme injectable intra-articulaire : 10 à 40 mg par articulation selon le volume articulaire (10 mg pour les petites articulations des mains, 20 mg pour l'épaule, 40 mg pour le genou), à renouveler toutes les 6 à 8 semaines, maximum 3 à 4 injections par an et par articulation.</w:t>
      </w:r>
    </w:p>
    <w:p>
      <w:pPr>
        <w:pStyle w:val="ListBullet"/>
      </w:pPr>
      <w:r>
        <w:t>Forme ophtalmique : 1 application dans le cul-de-sac conjonctival inférieur 1 à 3 fois par jour, durée limitée à 1 à 2 semaines sous surveillance ophtalmologique.</w:t>
      </w:r>
    </w:p>
    <w:p>
      <w:pPr>
        <w:pStyle w:val="ListBullet"/>
      </w:pPr>
      <w:r>
        <w:t>Forme nasale (adulte et enfant de plus de 12 ans) : 2 pulvérisations dans chaque narine une fois par jour (220 µg/jour). Adaptation à 1 pulvérisation/jour en entretien (55 µg/jour).</w:t>
      </w:r>
    </w:p>
    <w:p>
      <w:pPr>
        <w:pStyle w:val="ListBullet"/>
      </w:pPr>
      <w:r>
        <w:t>Forme nasale (enfant de 4 à 12 ans) : 1 pulvérisation dans chaque narine une fois par jour (110 µg/jour).</w:t>
      </w:r>
    </w:p>
    <w:p>
      <w:pPr>
        <w:pStyle w:val="ListBullet"/>
      </w:pPr>
      <w:r>
        <w:t>Mode d'application : Pour la forme injectable : technique stricte aseptique. Pour la forme ophtalmique : lavage des mains, instillation dans le cul-de-sac conjonctival inférieur, fermeture de l'œil et massage léger, ne pas toucher l'œil avec l'embout. Pour la forme nasale : mouchage préalable, tête légèrement inclinée vers l'avant, pulvérisation dirigée vers la paroi externe de la marine.</w:t>
      </w:r>
    </w:p>
    <w:p>
      <w:r/>
      <w:r>
        <w:rPr>
          <w:b/>
        </w:rPr>
        <w:t>Arbitrage et Bénéfices des Formes Galéniques :</w:t>
      </w:r>
      <w:r/>
    </w:p>
    <w:p>
      <w:r>
        <w:t>La diversité des formes disponibles permet une adaptation précise à l'indication :</w:t>
      </w:r>
    </w:p>
    <w:p>
      <w:pPr>
        <w:pStyle w:val="ListBullet"/>
      </w:pPr>
      <w:r/>
      <w:r>
        <w:rPr>
          <w:b/>
        </w:rPr>
        <w:t>Forme injectable 40 mg/mL</w:t>
      </w:r>
      <w:r>
        <w:t xml:space="preserve"> : pour les injections intra-lésionnelles (chéloïdes, prurigo, pelade) et intra-articulaires (arthrose, arthrite). Cinq spécialités actives (KENACORT RETARD, KENACORTYL RETARD, HUPPACORT RETARD, LISATRIAM, THERACORT) garantissent l'accessibilité.</w:t>
      </w:r>
    </w:p>
    <w:p>
      <w:pPr>
        <w:pStyle w:val="ListBullet"/>
      </w:pPr>
      <w:r/>
      <w:r>
        <w:rPr>
          <w:b/>
        </w:rPr>
        <w:t>Forme ophtalmique 0,1 %</w:t>
      </w:r>
      <w:r>
        <w:t xml:space="preserve"> : pour les inflammations oculaires. Une seule spécialité active (CRONOLONE), conditionnée en tube 5 g.</w:t>
      </w:r>
    </w:p>
    <w:p>
      <w:pPr>
        <w:pStyle w:val="ListBullet"/>
      </w:pPr>
      <w:r/>
      <w:r>
        <w:rPr>
          <w:b/>
        </w:rPr>
        <w:t>Forme nasale 55 µg/dose</w:t>
      </w:r>
      <w:r>
        <w:t xml:space="preserve"> : pour la rhinite allergique et la polypose nasale. Sept spécialités actives (NASACET, NASACORT, NASADOZE, NASALIX, NASALONE, NASANOL, NASODIS), garantissant l'accessibilité économique.</w:t>
      </w:r>
    </w:p>
    <w:p>
      <w:pPr>
        <w:pStyle w:val="ListBullet"/>
      </w:pPr>
      <w:r/>
      <w:r>
        <w:rPr>
          <w:b/>
        </w:rPr>
        <w:t>Forme dermique</w:t>
      </w:r>
      <w:r>
        <w:t xml:space="preserve"> : non disponible en Algérie en forme active ; le pharmacien doit orienter vers une alternative de même palier (prednicarbate PEITEL, mométasone CORTISAF).</w:t>
      </w:r>
    </w:p>
    <w:p>
      <w:r>
        <w:t>Le choix de la spécialité repose sur la disponibilité, le coût et la galénique. Pour les injections intra-lésionnelles, KENACORT RETARD (princeps Bristol-Myers Squibb) reste la référence, mais les génériques (KENACORTYL RETARD, HUPPACORT RETARD, LISATRIAM, THERACORT) sont équivalents en termes d'efficacité.</w:t>
      </w:r>
    </w:p>
    <w:p>
      <w:r/>
      <w:r>
        <w:rPr>
          <w:b/>
        </w:rPr>
        <w:t>Instructions et Conseils au Patient :</w:t>
      </w:r>
      <w:r/>
    </w:p>
    <w:p>
      <w:pPr>
        <w:pStyle w:val="ListBullet"/>
      </w:pPr>
      <w:r>
        <w:t>Communication au comptoir : Pour la forme injectable : information sur le caractère technique du geste (à réaliser par un médecin spécialiste), sur la nécessité d'espacer les injections (4–6 semaines pour intra-lésionnelle, 6–8 semaines pour intra-articulaire), sur les risques (atrophie locale, dépigmentation). Pour la forme ophtalmique : information sur la durée limitée, sur la nécessité d'une surveillance ophtalmologique (pression intra-oculaire). Pour la forme nasale : technique d'administration, surveillance de la cloison nasale.</w:t>
      </w:r>
    </w:p>
    <w:p>
      <w:pPr>
        <w:pStyle w:val="ListBullet"/>
      </w:pPr>
      <w:r>
        <w:t>Mode d'utilisation pratique : Pour la forme injectable : respect de l'asepsie, ne pas injecter en intra-veineux (risque d'embolie cristalline). Pour la forme ophtalmique : lavage des mains, instillation, fermeture de l'œil, massage léger, ne pas toucher l'œil avec l'embout. Pour la forme nasale : mouchage préalable, technique de pulvérisation.</w:t>
      </w:r>
    </w:p>
    <w:p>
      <w:pPr>
        <w:pStyle w:val="ListBullet"/>
      </w:pPr>
      <w:r>
        <w:t>Information sur les signes d'alerte : Pour la forme injectable : douleur intense, rougeur, chaleur locale (suspicion d'infection), atrophie cutanée, dépigmentation. Pour la forme ophtalmique : douleur oculaire, baisse de vision, rougeur → arrêt immédiat et consultation. Pour la forme nasale : épistaxis abondant, céphalées persistantes → arrêt et consultation ORL.</w:t>
      </w:r>
    </w:p>
    <w:p>
      <w:r/>
      <w:r>
        <w:rPr>
          <w:b/>
        </w:rPr>
        <w:t>Notes, Règles d'Or &amp; Pièges au Comptoir :</w:t>
      </w:r>
      <w:r/>
    </w:p>
    <w:p>
      <w:pPr>
        <w:pStyle w:val="ListBullet"/>
      </w:pPr>
      <w:r>
        <w:t>Piège classique : Patient VIH+ sous ritonavir utilisant la forme nasale de triamcinolone à forte dose → risque d'insuffisance surrénalienne (le ritonavir augmente les concentrations systémiques). Le pharmacien doit alerter et orienter vers une alternative (béclométhasine).</w:t>
      </w:r>
    </w:p>
    <w:p>
      <w:pPr>
        <w:pStyle w:val="ListBullet"/>
      </w:pPr>
      <w:r>
        <w:t>Règle d'or : « Triamcinolone injectable intra-lésionnelle = espacement de 4–6 semaines, maximum 4–6 injections par an et par site, technique stricte. »</w:t>
      </w:r>
    </w:p>
    <w:p>
      <w:pPr>
        <w:pStyle w:val="ListBullet"/>
      </w:pPr>
      <w:r>
        <w:t>Préparation et Conservation : Pour la forme injectable : suspension à conserver à température ≤ 25 °C, ne pas congeler, agiter avant emploi (suspension cristalline). Pour la forme ophtalmique : tube fermé, à température ≤ 25 °C, jeter après 1 mois d'ouverture. Pour la forme nasale : flacon fermé, à température ≤ 25 °C, jeter après 3 mois d'ouverture.</w:t>
      </w:r>
    </w:p>
    <w:p>
      <w:pPr>
        <w:pStyle w:val="ListBullet"/>
      </w:pPr>
      <w:r>
        <w:t>Piège de substitution : Ne pas substituer une forme par une autre sans avis médical (substitution de KENACORT RETARD par KENACORTYL RETARD est acceptable, mais la substitution d'une forme injectable par une forme nasale est absurde). Ne pas substituer la triamcinolone par une autre molécule sans vérifier la posologie et l'indication.</w:t>
      </w:r>
    </w:p>
    <w:p>
      <w:pPr>
        <w:pStyle w:val="ListBullet"/>
      </w:pPr>
      <w:r>
        <w:t>Piège de la forme injectable intra-lésionnelle : Une injection intra-dermique superficielle (au lieu d'intra-lésionnelle profonde) peut provoquer une atrophie cutanée locale étendue ; il faut insister sur la technique stricte.</w:t>
      </w:r>
    </w:p>
    <w:p>
      <w:pPr>
        <w:pStyle w:val="ListBullet"/>
      </w:pPr>
      <w:r>
        <w:t>Piège de la forme nasale : En cas d'absence d'efficacité après 3 semaines d'usage continu, réévaluation ORL (suspicion de polypose, de déviation septale, d'allergie non contrôlée).</w:t>
      </w:r>
    </w:p>
    <w:p>
      <w:pPr>
        <w:pStyle w:val="ListBullet"/>
      </w:pPr>
      <w:r>
        <w:t>Piège de l'ophtalmologique : En cas d'usage prolongé (&gt; 2 semaines), surveillance obligatoire de la pression intra-oculaire (risque de glaucome cortisonique).</w:t>
      </w:r>
    </w:p>
    <w:p>
      <w:pPr>
        <w:pStyle w:val="Heading2"/>
      </w:pPr>
      <w:r>
        <w:t>122.7 Tableau comparatif des dermocorticoïdes disponibles en Algérie</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Classe d'activité</w:t>
            </w:r>
          </w:p>
        </w:tc>
        <w:tc>
          <w:tcPr>
            <w:tcW w:type="dxa" w:w="1336"/>
          </w:tcPr>
          <w:p>
            <w:r>
              <w:rPr>
                <w:b/>
                <w:sz w:val="20"/>
              </w:rPr>
              <w:t>Esters/Formes</w:t>
            </w:r>
          </w:p>
        </w:tc>
        <w:tc>
          <w:tcPr>
            <w:tcW w:type="dxa" w:w="1336"/>
          </w:tcPr>
          <w:p>
            <w:r>
              <w:rPr>
                <w:b/>
                <w:sz w:val="20"/>
              </w:rPr>
              <w:t>Dosages disponibles</w:t>
            </w:r>
          </w:p>
        </w:tc>
        <w:tc>
          <w:tcPr>
            <w:tcW w:type="dxa" w:w="1336"/>
          </w:tcPr>
          <w:p>
            <w:r>
              <w:rPr>
                <w:b/>
                <w:sz w:val="20"/>
              </w:rPr>
              <w:t>Formes galéniques disponibles</w:t>
            </w:r>
          </w:p>
        </w:tc>
        <w:tc>
          <w:tcPr>
            <w:tcW w:type="dxa" w:w="1336"/>
          </w:tcPr>
          <w:p>
            <w:r>
              <w:rPr>
                <w:b/>
                <w:sz w:val="20"/>
              </w:rPr>
              <w:t>Spécialités actives principales</w:t>
            </w:r>
          </w:p>
        </w:tc>
        <w:tc>
          <w:tcPr>
            <w:tcW w:type="dxa" w:w="1336"/>
          </w:tcPr>
          <w:p>
            <w:r>
              <w:rPr>
                <w:b/>
                <w:sz w:val="20"/>
              </w:rPr>
              <w:t>Spécialité historique retirée/non renouvelable</w:t>
            </w:r>
          </w:p>
        </w:tc>
      </w:tr>
      <w:tr>
        <w:tc>
          <w:tcPr>
            <w:tcW w:type="dxa" w:w="1336"/>
          </w:tcPr>
          <w:p>
            <w:r>
              <w:rPr>
                <w:sz w:val="20"/>
              </w:rPr>
              <w:t>Clobétasol propionate</w:t>
            </w:r>
          </w:p>
        </w:tc>
        <w:tc>
          <w:tcPr>
            <w:tcW w:type="dxa" w:w="1336"/>
          </w:tcPr>
          <w:p>
            <w:r>
              <w:rPr>
                <w:sz w:val="20"/>
              </w:rPr>
              <w:t>Très forte (I)</w:t>
            </w:r>
          </w:p>
        </w:tc>
        <w:tc>
          <w:tcPr>
            <w:tcW w:type="dxa" w:w="1336"/>
          </w:tcPr>
          <w:p>
            <w:r>
              <w:rPr>
                <w:sz w:val="20"/>
              </w:rPr>
              <w:t>Propionate</w:t>
            </w:r>
          </w:p>
        </w:tc>
        <w:tc>
          <w:tcPr>
            <w:tcW w:type="dxa" w:w="1336"/>
          </w:tcPr>
          <w:p>
            <w:r>
              <w:rPr>
                <w:sz w:val="20"/>
              </w:rPr>
              <w:t>0,05 %</w:t>
            </w:r>
          </w:p>
        </w:tc>
        <w:tc>
          <w:tcPr>
            <w:tcW w:type="dxa" w:w="1336"/>
          </w:tcPr>
          <w:p>
            <w:r>
              <w:rPr>
                <w:sz w:val="20"/>
              </w:rPr>
              <w:t>Crème, pommade, gel capillaire</w:t>
            </w:r>
          </w:p>
        </w:tc>
        <w:tc>
          <w:tcPr>
            <w:tcW w:type="dxa" w:w="1336"/>
          </w:tcPr>
          <w:p>
            <w:r>
              <w:rPr>
                <w:sz w:val="20"/>
              </w:rPr>
              <w:t>CLOBECORT, CLOBENAT, CLOTASOL, PROCLO JAM</w:t>
            </w:r>
          </w:p>
        </w:tc>
        <w:tc>
          <w:tcPr>
            <w:tcW w:type="dxa" w:w="1336"/>
          </w:tcPr>
          <w:p>
            <w:r>
              <w:rPr>
                <w:sz w:val="20"/>
              </w:rPr>
              <w:t>CLOTASOL (gel capillaire et crème — non renouvelable)</w:t>
            </w:r>
          </w:p>
        </w:tc>
      </w:tr>
      <w:tr>
        <w:tc>
          <w:tcPr>
            <w:tcW w:type="dxa" w:w="1336"/>
          </w:tcPr>
          <w:p>
            <w:r>
              <w:rPr>
                <w:sz w:val="20"/>
              </w:rPr>
              <w:t>Bétaméthasone (topique)</w:t>
            </w:r>
          </w:p>
        </w:tc>
        <w:tc>
          <w:tcPr>
            <w:tcW w:type="dxa" w:w="1336"/>
          </w:tcPr>
          <w:p>
            <w:r>
              <w:rPr>
                <w:sz w:val="20"/>
              </w:rPr>
              <w:t>Forte à très forte (II)</w:t>
            </w:r>
          </w:p>
        </w:tc>
        <w:tc>
          <w:tcPr>
            <w:tcW w:type="dxa" w:w="1336"/>
          </w:tcPr>
          <w:p>
            <w:r>
              <w:rPr>
                <w:sz w:val="20"/>
              </w:rPr>
              <w:t>Valérate 0,1 %, dipropionate 0,05 %</w:t>
            </w:r>
          </w:p>
        </w:tc>
        <w:tc>
          <w:tcPr>
            <w:tcW w:type="dxa" w:w="1336"/>
          </w:tcPr>
          <w:p>
            <w:r>
              <w:rPr>
                <w:sz w:val="20"/>
              </w:rPr>
              <w:t>0,05 %, 0,1 %</w:t>
            </w:r>
          </w:p>
        </w:tc>
        <w:tc>
          <w:tcPr>
            <w:tcW w:type="dxa" w:w="1336"/>
          </w:tcPr>
          <w:p>
            <w:r>
              <w:rPr>
                <w:sz w:val="20"/>
              </w:rPr>
              <w:t>Crème, pommade, lotion</w:t>
            </w:r>
          </w:p>
        </w:tc>
        <w:tc>
          <w:tcPr>
            <w:tcW w:type="dxa" w:w="1336"/>
          </w:tcPr>
          <w:p>
            <w:r>
              <w:rPr>
                <w:sz w:val="20"/>
              </w:rPr>
              <w:t>BETADERME, BETAMETHASONE NOVAGENERICS, CELETASONE, BETAPROSONE, BETASONE, DERMASONE, BETHAMETHASONE PHYSIOPHARM, CORTYX, TABETA, BETSOL, ZETA-PLUS</w:t>
            </w:r>
          </w:p>
        </w:tc>
        <w:tc>
          <w:tcPr>
            <w:tcW w:type="dxa" w:w="1336"/>
          </w:tcPr>
          <w:p>
            <w:r>
              <w:rPr>
                <w:sz w:val="20"/>
              </w:rPr>
              <w:t>DIPROSONE, DIPROLENE, DIPROSALIC, BETASAL, PERSIVATE, BETAMET, BETACROVIS, KUTERID (retraits)</w:t>
            </w:r>
          </w:p>
        </w:tc>
      </w:tr>
      <w:tr>
        <w:tc>
          <w:tcPr>
            <w:tcW w:type="dxa" w:w="1336"/>
          </w:tcPr>
          <w:p>
            <w:r>
              <w:rPr>
                <w:sz w:val="20"/>
              </w:rPr>
              <w:t>Mométasone furoate</w:t>
            </w:r>
          </w:p>
        </w:tc>
        <w:tc>
          <w:tcPr>
            <w:tcW w:type="dxa" w:w="1336"/>
          </w:tcPr>
          <w:p>
            <w:r>
              <w:rPr>
                <w:sz w:val="20"/>
              </w:rPr>
              <w:t>Forte (II–III)</w:t>
            </w:r>
          </w:p>
        </w:tc>
        <w:tc>
          <w:tcPr>
            <w:tcW w:type="dxa" w:w="1336"/>
          </w:tcPr>
          <w:p>
            <w:r>
              <w:rPr>
                <w:sz w:val="20"/>
              </w:rPr>
              <w:t>Furoate</w:t>
            </w:r>
          </w:p>
        </w:tc>
        <w:tc>
          <w:tcPr>
            <w:tcW w:type="dxa" w:w="1336"/>
          </w:tcPr>
          <w:p>
            <w:r>
              <w:rPr>
                <w:sz w:val="20"/>
              </w:rPr>
              <w:t>0,1 %</w:t>
            </w:r>
          </w:p>
        </w:tc>
        <w:tc>
          <w:tcPr>
            <w:tcW w:type="dxa" w:w="1336"/>
          </w:tcPr>
          <w:p>
            <w:r>
              <w:rPr>
                <w:sz w:val="20"/>
              </w:rPr>
              <w:t>Crème, pommade (CORSALIC + acide salicylique)</w:t>
            </w:r>
          </w:p>
        </w:tc>
        <w:tc>
          <w:tcPr>
            <w:tcW w:type="dxa" w:w="1336"/>
          </w:tcPr>
          <w:p>
            <w:r>
              <w:rPr>
                <w:sz w:val="20"/>
              </w:rPr>
              <w:t>CORTISAF, TOPOCORT, DERMOSAF, MESONE, CORSALIC</w:t>
            </w:r>
          </w:p>
        </w:tc>
        <w:tc>
          <w:tcPr>
            <w:tcW w:type="dxa" w:w="1336"/>
          </w:tcPr>
          <w:p>
            <w:r>
              <w:rPr>
                <w:sz w:val="20"/>
              </w:rPr>
              <w:t>CORTISAF pommade (non renouvelable)</w:t>
            </w:r>
          </w:p>
        </w:tc>
      </w:tr>
      <w:tr>
        <w:tc>
          <w:tcPr>
            <w:tcW w:type="dxa" w:w="1336"/>
          </w:tcPr>
          <w:p>
            <w:r>
              <w:rPr>
                <w:sz w:val="20"/>
              </w:rPr>
              <w:t>Fluticasone (propionate/furoate)</w:t>
            </w:r>
          </w:p>
        </w:tc>
        <w:tc>
          <w:tcPr>
            <w:tcW w:type="dxa" w:w="1336"/>
          </w:tcPr>
          <w:p>
            <w:r>
              <w:rPr>
                <w:sz w:val="20"/>
              </w:rPr>
              <w:t>Forte (III)</w:t>
            </w:r>
          </w:p>
        </w:tc>
        <w:tc>
          <w:tcPr>
            <w:tcW w:type="dxa" w:w="1336"/>
          </w:tcPr>
          <w:p>
            <w:r>
              <w:rPr>
                <w:sz w:val="20"/>
              </w:rPr>
              <w:t>Propionate, furoate</w:t>
            </w:r>
          </w:p>
        </w:tc>
        <w:tc>
          <w:tcPr>
            <w:tcW w:type="dxa" w:w="1336"/>
          </w:tcPr>
          <w:p>
            <w:r>
              <w:rPr>
                <w:sz w:val="20"/>
              </w:rPr>
              <w:t>50 µg/dose nasale, 50–250 µg/dose inhalé</w:t>
            </w:r>
          </w:p>
        </w:tc>
        <w:tc>
          <w:tcPr>
            <w:tcW w:type="dxa" w:w="1336"/>
          </w:tcPr>
          <w:p>
            <w:r>
              <w:rPr>
                <w:sz w:val="20"/>
              </w:rPr>
              <w:t>Inhalée, nasale</w:t>
            </w:r>
          </w:p>
        </w:tc>
        <w:tc>
          <w:tcPr>
            <w:tcW w:type="dxa" w:w="1336"/>
          </w:tcPr>
          <w:p>
            <w:r>
              <w:rPr>
                <w:sz w:val="20"/>
              </w:rPr>
              <w:t>FLIXOTIDE, FLOHALE, SERETIDE, BREQUAL, RESPYTID PLUS, SALFLUZON, SEROFLO, INSPIRYA (inhalés) ; FLEXODOZ, FLIXASONE, FLIXODIS, FLIXONE, FLOMIST, FLUCASONE, FLUTEL, FLUTINASE (nasaux) ; AVAMYS, FLUCASONE MINI (furoate nasal)</w:t>
            </w:r>
          </w:p>
        </w:tc>
        <w:tc>
          <w:tcPr>
            <w:tcW w:type="dxa" w:w="1336"/>
          </w:tcPr>
          <w:p>
            <w:r>
              <w:rPr>
                <w:sz w:val="20"/>
              </w:rPr>
              <w:t>FLIXASONE, FLIXONASE (retraits)</w:t>
            </w:r>
          </w:p>
        </w:tc>
      </w:tr>
      <w:tr>
        <w:tc>
          <w:tcPr>
            <w:tcW w:type="dxa" w:w="1336"/>
          </w:tcPr>
          <w:p>
            <w:r>
              <w:rPr>
                <w:sz w:val="20"/>
              </w:rPr>
              <w:t>Fluocinolone acétonide</w:t>
            </w:r>
          </w:p>
        </w:tc>
        <w:tc>
          <w:tcPr>
            <w:tcW w:type="dxa" w:w="1336"/>
          </w:tcPr>
          <w:p>
            <w:r>
              <w:rPr>
                <w:sz w:val="20"/>
              </w:rPr>
              <w:t>Forte (III)</w:t>
            </w:r>
          </w:p>
        </w:tc>
        <w:tc>
          <w:tcPr>
            <w:tcW w:type="dxa" w:w="1336"/>
          </w:tcPr>
          <w:p>
            <w:r>
              <w:rPr>
                <w:sz w:val="20"/>
              </w:rPr>
              <w:t>Acétonide</w:t>
            </w:r>
          </w:p>
        </w:tc>
        <w:tc>
          <w:tcPr>
            <w:tcW w:type="dxa" w:w="1336"/>
          </w:tcPr>
          <w:p>
            <w:r>
              <w:rPr>
                <w:sz w:val="20"/>
              </w:rPr>
              <w:t>0,025 % (otologique)</w:t>
            </w:r>
          </w:p>
        </w:tc>
        <w:tc>
          <w:tcPr>
            <w:tcW w:type="dxa" w:w="1336"/>
          </w:tcPr>
          <w:p>
            <w:r>
              <w:rPr>
                <w:sz w:val="20"/>
              </w:rPr>
              <w:t>Solution auriculaire</w:t>
            </w:r>
          </w:p>
        </w:tc>
        <w:tc>
          <w:tcPr>
            <w:tcW w:type="dxa" w:w="1336"/>
          </w:tcPr>
          <w:p>
            <w:r>
              <w:rPr>
                <w:sz w:val="20"/>
              </w:rPr>
              <w:t>OTOCROVIS (Gencopharm, Crovis Philcom)</w:t>
            </w:r>
          </w:p>
        </w:tc>
        <w:tc>
          <w:tcPr>
            <w:tcW w:type="dxa" w:w="1336"/>
          </w:tcPr>
          <w:p>
            <w:r>
              <w:rPr>
                <w:sz w:val="20"/>
              </w:rPr>
              <w:t>CRODERMIN gel (retrait)</w:t>
            </w:r>
          </w:p>
        </w:tc>
      </w:tr>
      <w:tr>
        <w:tc>
          <w:tcPr>
            <w:tcW w:type="dxa" w:w="1336"/>
          </w:tcPr>
          <w:p>
            <w:r>
              <w:rPr>
                <w:sz w:val="20"/>
              </w:rPr>
              <w:t>Fluméthasone pivalate</w:t>
            </w:r>
          </w:p>
        </w:tc>
        <w:tc>
          <w:tcPr>
            <w:tcW w:type="dxa" w:w="1336"/>
          </w:tcPr>
          <w:p>
            <w:r>
              <w:rPr>
                <w:sz w:val="20"/>
              </w:rPr>
              <w:t>Forte (III)</w:t>
            </w:r>
          </w:p>
        </w:tc>
        <w:tc>
          <w:tcPr>
            <w:tcW w:type="dxa" w:w="1336"/>
          </w:tcPr>
          <w:p>
            <w:r>
              <w:rPr>
                <w:sz w:val="20"/>
              </w:rPr>
              <w:t>Pivalate</w:t>
            </w:r>
          </w:p>
        </w:tc>
        <w:tc>
          <w:tcPr>
            <w:tcW w:type="dxa" w:w="1336"/>
          </w:tcPr>
          <w:p>
            <w:r>
              <w:rPr>
                <w:sz w:val="20"/>
              </w:rPr>
              <w:t>0,02 %</w:t>
            </w:r>
          </w:p>
        </w:tc>
        <w:tc>
          <w:tcPr>
            <w:tcW w:type="dxa" w:w="1336"/>
          </w:tcPr>
          <w:p>
            <w:r>
              <w:rPr>
                <w:sz w:val="20"/>
              </w:rPr>
              <w:t>Pommade (+ acide salicylique 3 %)</w:t>
            </w:r>
          </w:p>
        </w:tc>
        <w:tc>
          <w:tcPr>
            <w:tcW w:type="dxa" w:w="1336"/>
          </w:tcPr>
          <w:p>
            <w:r>
              <w:rPr>
                <w:sz w:val="20"/>
              </w:rPr>
              <w:t>—</w:t>
            </w:r>
          </w:p>
        </w:tc>
        <w:tc>
          <w:tcPr>
            <w:tcW w:type="dxa" w:w="1336"/>
          </w:tcPr>
          <w:p>
            <w:r>
              <w:rPr>
                <w:sz w:val="20"/>
              </w:rPr>
              <w:t>FLUSAL (non renouvelable)</w:t>
            </w:r>
          </w:p>
        </w:tc>
      </w:tr>
      <w:tr>
        <w:tc>
          <w:tcPr>
            <w:tcW w:type="dxa" w:w="1336"/>
          </w:tcPr>
          <w:p>
            <w:r>
              <w:rPr>
                <w:sz w:val="20"/>
              </w:rPr>
              <w:t>Hydrocortisone</w:t>
            </w:r>
          </w:p>
        </w:tc>
        <w:tc>
          <w:tcPr>
            <w:tcW w:type="dxa" w:w="1336"/>
          </w:tcPr>
          <w:p>
            <w:r>
              <w:rPr>
                <w:sz w:val="20"/>
              </w:rPr>
              <w:t>Faible à modérée (IV–V)</w:t>
            </w:r>
          </w:p>
        </w:tc>
        <w:tc>
          <w:tcPr>
            <w:tcW w:type="dxa" w:w="1336"/>
          </w:tcPr>
          <w:p>
            <w:r>
              <w:rPr>
                <w:sz w:val="20"/>
              </w:rPr>
              <w:t>Base, acétonide, 17-butyrate, acéponate</w:t>
            </w:r>
          </w:p>
        </w:tc>
        <w:tc>
          <w:tcPr>
            <w:tcW w:type="dxa" w:w="1336"/>
          </w:tcPr>
          <w:p>
            <w:r>
              <w:rPr>
                <w:sz w:val="20"/>
              </w:rPr>
              <w:t>0,1–0,127 %</w:t>
            </w:r>
          </w:p>
        </w:tc>
        <w:tc>
          <w:tcPr>
            <w:tcW w:type="dxa" w:w="1336"/>
          </w:tcPr>
          <w:p>
            <w:r>
              <w:rPr>
                <w:sz w:val="20"/>
              </w:rPr>
              <w:t>Crème, crème lipophile/hydrophile, crème épaisse, lotion, pommade, collyre</w:t>
            </w:r>
          </w:p>
        </w:tc>
        <w:tc>
          <w:tcPr>
            <w:tcW w:type="dxa" w:w="1336"/>
          </w:tcPr>
          <w:p>
            <w:r>
              <w:rPr>
                <w:sz w:val="20"/>
              </w:rPr>
              <w:t>ECZECORT, EFFICORT LIPOPHILE, EFFICORT HYDROPHILE, LOCACORT, LOCOID (4 formes), HYDROCORT (collyre)</w:t>
            </w:r>
          </w:p>
        </w:tc>
        <w:tc>
          <w:tcPr>
            <w:tcW w:type="dxa" w:w="1336"/>
          </w:tcPr>
          <w:p>
            <w:r>
              <w:rPr>
                <w:sz w:val="20"/>
              </w:rPr>
              <w:t>CORTIDERM, CORTEN, HYDRACORT (non renouvelables)</w:t>
            </w:r>
          </w:p>
        </w:tc>
      </w:tr>
      <w:tr>
        <w:tc>
          <w:tcPr>
            <w:tcW w:type="dxa" w:w="1336"/>
          </w:tcPr>
          <w:p>
            <w:r>
              <w:rPr>
                <w:sz w:val="20"/>
              </w:rPr>
              <w:t>Prednicarbate</w:t>
            </w:r>
          </w:p>
        </w:tc>
        <w:tc>
          <w:tcPr>
            <w:tcW w:type="dxa" w:w="1336"/>
          </w:tcPr>
          <w:p>
            <w:r>
              <w:rPr>
                <w:sz w:val="20"/>
              </w:rPr>
              <w:t>Modérée (III)</w:t>
            </w:r>
          </w:p>
        </w:tc>
        <w:tc>
          <w:tcPr>
            <w:tcW w:type="dxa" w:w="1336"/>
          </w:tcPr>
          <w:p>
            <w:r>
              <w:rPr>
                <w:sz w:val="20"/>
              </w:rPr>
              <w:t>Butyrate-carbonate</w:t>
            </w:r>
          </w:p>
        </w:tc>
        <w:tc>
          <w:tcPr>
            <w:tcW w:type="dxa" w:w="1336"/>
          </w:tcPr>
          <w:p>
            <w:r>
              <w:rPr>
                <w:sz w:val="20"/>
              </w:rPr>
              <w:t>0,25 %</w:t>
            </w:r>
          </w:p>
        </w:tc>
        <w:tc>
          <w:tcPr>
            <w:tcW w:type="dxa" w:w="1336"/>
          </w:tcPr>
          <w:p>
            <w:r>
              <w:rPr>
                <w:sz w:val="20"/>
              </w:rPr>
              <w:t>Crème</w:t>
            </w:r>
          </w:p>
        </w:tc>
        <w:tc>
          <w:tcPr>
            <w:tcW w:type="dxa" w:w="1336"/>
          </w:tcPr>
          <w:p>
            <w:r>
              <w:rPr>
                <w:sz w:val="20"/>
              </w:rPr>
              <w:t>PEITEL</w:t>
            </w:r>
          </w:p>
        </w:tc>
        <w:tc>
          <w:tcPr>
            <w:tcW w:type="dxa" w:w="1336"/>
          </w:tcPr>
          <w:p>
            <w:r>
              <w:rPr>
                <w:sz w:val="20"/>
              </w:rPr>
              <w:t>—</w:t>
            </w:r>
          </w:p>
        </w:tc>
      </w:tr>
      <w:tr>
        <w:tc>
          <w:tcPr>
            <w:tcW w:type="dxa" w:w="1336"/>
          </w:tcPr>
          <w:p>
            <w:r>
              <w:rPr>
                <w:sz w:val="20"/>
              </w:rPr>
              <w:t>Triamcinolone (acétonide)</w:t>
            </w:r>
          </w:p>
        </w:tc>
        <w:tc>
          <w:tcPr>
            <w:tcW w:type="dxa" w:w="1336"/>
          </w:tcPr>
          <w:p>
            <w:r>
              <w:rPr>
                <w:sz w:val="20"/>
              </w:rPr>
              <w:t>Modérée (III)</w:t>
            </w:r>
          </w:p>
        </w:tc>
        <w:tc>
          <w:tcPr>
            <w:tcW w:type="dxa" w:w="1336"/>
          </w:tcPr>
          <w:p>
            <w:r>
              <w:rPr>
                <w:sz w:val="20"/>
              </w:rPr>
              <w:t>Acétonide</w:t>
            </w:r>
          </w:p>
        </w:tc>
        <w:tc>
          <w:tcPr>
            <w:tcW w:type="dxa" w:w="1336"/>
          </w:tcPr>
          <w:p>
            <w:r>
              <w:rPr>
                <w:sz w:val="20"/>
              </w:rPr>
              <w:t>40 mg/mL injectable, 0,1 % ophtalmique, 55 µg/dose nasale</w:t>
            </w:r>
          </w:p>
        </w:tc>
        <w:tc>
          <w:tcPr>
            <w:tcW w:type="dxa" w:w="1336"/>
          </w:tcPr>
          <w:p>
            <w:r>
              <w:rPr>
                <w:sz w:val="20"/>
              </w:rPr>
              <w:t>Injectables (IM, intra-lésionnelle, intra-articulaire), pommade ophtalmique, spray nasal</w:t>
            </w:r>
          </w:p>
        </w:tc>
        <w:tc>
          <w:tcPr>
            <w:tcW w:type="dxa" w:w="1336"/>
          </w:tcPr>
          <w:p>
            <w:r>
              <w:rPr>
                <w:sz w:val="20"/>
              </w:rPr>
              <w:t>KENACORT RETARD, KENACORTYL RETARD, HUPPACORT RETARD, LISATRIAM, THERACORT (injectables) ; CRONOLONE (ophtalmique) ; NASACET, NASACORT, NASADOZE, NASALIX, NASALONE, NASANOL, NASODIS (nasaux)</w:t>
            </w:r>
          </w:p>
        </w:tc>
        <w:tc>
          <w:tcPr>
            <w:tcW w:type="dxa" w:w="1336"/>
          </w:tcPr>
          <w:p>
            <w:r>
              <w:rPr>
                <w:sz w:val="20"/>
              </w:rPr>
              <w:t>CRONOLONE, CORTORAL (comprimés — non renouvelables) ; OBARCORT RETARD, WERACORT (injectables — non renouvelables/retraits)</w:t>
            </w:r>
          </w:p>
        </w:tc>
      </w:tr>
    </w:tbl>
    <w:p/>
    <w:p>
      <w:r/>
      <w:r>
        <w:rPr>
          <w:b/>
        </w:rPr>
        <w:t>Synthèse de la classification des dermocorticoïdes disponibles en Algérie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Classe</w:t>
            </w:r>
          </w:p>
        </w:tc>
        <w:tc>
          <w:tcPr>
            <w:tcW w:type="dxa" w:w="1871"/>
          </w:tcPr>
          <w:p>
            <w:r>
              <w:rPr>
                <w:b/>
                <w:sz w:val="20"/>
              </w:rPr>
              <w:t>Puissance relative (vs hydrocortisone 1 %)</w:t>
            </w:r>
          </w:p>
        </w:tc>
        <w:tc>
          <w:tcPr>
            <w:tcW w:type="dxa" w:w="1871"/>
          </w:tcPr>
          <w:p>
            <w:r>
              <w:rPr>
                <w:b/>
                <w:sz w:val="20"/>
              </w:rPr>
              <w:t>DCI disponibles en Algérie</w:t>
            </w:r>
          </w:p>
        </w:tc>
        <w:tc>
          <w:tcPr>
            <w:tcW w:type="dxa" w:w="1871"/>
          </w:tcPr>
          <w:p>
            <w:r>
              <w:rPr>
                <w:b/>
                <w:sz w:val="20"/>
              </w:rPr>
              <w:t>Indications principales</w:t>
            </w:r>
          </w:p>
        </w:tc>
        <w:tc>
          <w:tcPr>
            <w:tcW w:type="dxa" w:w="1871"/>
          </w:tcPr>
          <w:p>
            <w:r>
              <w:rPr>
                <w:b/>
                <w:sz w:val="20"/>
              </w:rPr>
              <w:t>Risque systémique</w:t>
            </w:r>
          </w:p>
        </w:tc>
      </w:tr>
      <w:tr>
        <w:tc>
          <w:tcPr>
            <w:tcW w:type="dxa" w:w="1871"/>
          </w:tcPr>
          <w:p>
            <w:r>
              <w:rPr>
                <w:sz w:val="20"/>
              </w:rPr>
              <w:t>Classe I (très forte)</w:t>
            </w:r>
          </w:p>
        </w:tc>
        <w:tc>
          <w:tcPr>
            <w:tcW w:type="dxa" w:w="1871"/>
          </w:tcPr>
          <w:p>
            <w:r>
              <w:rPr>
                <w:sz w:val="20"/>
              </w:rPr>
              <w:t>500 à 1000×</w:t>
            </w:r>
          </w:p>
        </w:tc>
        <w:tc>
          <w:tcPr>
            <w:tcW w:type="dxa" w:w="1871"/>
          </w:tcPr>
          <w:p>
            <w:r>
              <w:rPr>
                <w:sz w:val="20"/>
              </w:rPr>
              <w:t>Clobétasol propionate</w:t>
            </w:r>
          </w:p>
        </w:tc>
        <w:tc>
          <w:tcPr>
            <w:tcW w:type="dxa" w:w="1871"/>
          </w:tcPr>
          <w:p>
            <w:r>
              <w:rPr>
                <w:sz w:val="20"/>
              </w:rPr>
              <w:t>Psoriasis en plaques épaisses, lichen plan hypertrophique, prurigo nodulaire, lupus discoïde</w:t>
            </w:r>
          </w:p>
        </w:tc>
        <w:tc>
          <w:tcPr>
            <w:tcW w:type="dxa" w:w="1871"/>
          </w:tcPr>
          <w:p>
            <w:r>
              <w:rPr>
                <w:sz w:val="20"/>
              </w:rPr>
              <w:t>Élevé (≤ 50 g/semaine, ≤ 4 semaines)</w:t>
            </w:r>
          </w:p>
        </w:tc>
      </w:tr>
      <w:tr>
        <w:tc>
          <w:tcPr>
            <w:tcW w:type="dxa" w:w="1871"/>
          </w:tcPr>
          <w:p>
            <w:r>
              <w:rPr>
                <w:sz w:val="20"/>
              </w:rPr>
              <w:t>Classe II (forte à très forte)</w:t>
            </w:r>
          </w:p>
        </w:tc>
        <w:tc>
          <w:tcPr>
            <w:tcW w:type="dxa" w:w="1871"/>
          </w:tcPr>
          <w:p>
            <w:r>
              <w:rPr>
                <w:sz w:val="20"/>
              </w:rPr>
              <w:t>100 à 500×</w:t>
            </w:r>
          </w:p>
        </w:tc>
        <w:tc>
          <w:tcPr>
            <w:tcW w:type="dxa" w:w="1871"/>
          </w:tcPr>
          <w:p>
            <w:r>
              <w:rPr>
                <w:sz w:val="20"/>
              </w:rPr>
              <w:t>Bétaméthasone (valérate, dipropionate)</w:t>
            </w:r>
          </w:p>
        </w:tc>
        <w:tc>
          <w:tcPr>
            <w:tcW w:type="dxa" w:w="1871"/>
          </w:tcPr>
          <w:p>
            <w:r>
              <w:rPr>
                <w:sz w:val="20"/>
              </w:rPr>
              <w:t>Eczéma chronique lichenifié, psoriasis modéré, lichen plan</w:t>
            </w:r>
          </w:p>
        </w:tc>
        <w:tc>
          <w:tcPr>
            <w:tcW w:type="dxa" w:w="1871"/>
          </w:tcPr>
          <w:p>
            <w:r>
              <w:rPr>
                <w:sz w:val="20"/>
              </w:rPr>
              <w:t>Modéré (≤ 100 g/semaine, ≤ 4 semaines)</w:t>
            </w:r>
          </w:p>
        </w:tc>
      </w:tr>
      <w:tr>
        <w:tc>
          <w:tcPr>
            <w:tcW w:type="dxa" w:w="1871"/>
          </w:tcPr>
          <w:p>
            <w:r>
              <w:rPr>
                <w:sz w:val="20"/>
              </w:rPr>
              <w:t>Classe III (forte)</w:t>
            </w:r>
          </w:p>
        </w:tc>
        <w:tc>
          <w:tcPr>
            <w:tcW w:type="dxa" w:w="1871"/>
          </w:tcPr>
          <w:p>
            <w:r>
              <w:rPr>
                <w:sz w:val="20"/>
              </w:rPr>
              <w:t>50 à 150×</w:t>
            </w:r>
          </w:p>
        </w:tc>
        <w:tc>
          <w:tcPr>
            <w:tcW w:type="dxa" w:w="1871"/>
          </w:tcPr>
          <w:p>
            <w:r>
              <w:rPr>
                <w:sz w:val="20"/>
              </w:rPr>
              <w:t>Mométasone furoate, Fluticasone, Fluocinolone, Fluméthasone</w:t>
            </w:r>
          </w:p>
        </w:tc>
        <w:tc>
          <w:tcPr>
            <w:tcW w:type="dxa" w:w="1871"/>
          </w:tcPr>
          <w:p>
            <w:r>
              <w:rPr>
                <w:sz w:val="20"/>
              </w:rPr>
              <w:t>Eczéma modéré, psoriasis modéré, dyshidrose, rhinite allergique, otite externe</w:t>
            </w:r>
          </w:p>
        </w:tc>
        <w:tc>
          <w:tcPr>
            <w:tcW w:type="dxa" w:w="1871"/>
          </w:tcPr>
          <w:p>
            <w:r>
              <w:rPr>
                <w:sz w:val="20"/>
              </w:rPr>
              <w:t>Faible (usage local), à surveiller si usage étendu</w:t>
            </w:r>
          </w:p>
        </w:tc>
      </w:tr>
      <w:tr>
        <w:tc>
          <w:tcPr>
            <w:tcW w:type="dxa" w:w="1871"/>
          </w:tcPr>
          <w:p>
            <w:r>
              <w:rPr>
                <w:sz w:val="20"/>
              </w:rPr>
              <w:t>Classe IV–V (faible à modérée)</w:t>
            </w:r>
          </w:p>
        </w:tc>
        <w:tc>
          <w:tcPr>
            <w:tcW w:type="dxa" w:w="1871"/>
          </w:tcPr>
          <w:p>
            <w:r>
              <w:rPr>
                <w:sz w:val="20"/>
              </w:rPr>
              <w:t>1 à 50×</w:t>
            </w:r>
          </w:p>
        </w:tc>
        <w:tc>
          <w:tcPr>
            <w:tcW w:type="dxa" w:w="1871"/>
          </w:tcPr>
          <w:p>
            <w:r>
              <w:rPr>
                <w:sz w:val="20"/>
              </w:rPr>
              <w:t>Hydrocortisone (base, 17-butyrate, acéponate), Prednicarbate, Triamcinolone</w:t>
            </w:r>
          </w:p>
        </w:tc>
        <w:tc>
          <w:tcPr>
            <w:tcW w:type="dxa" w:w="1871"/>
          </w:tcPr>
          <w:p>
            <w:r>
              <w:rPr>
                <w:sz w:val="20"/>
              </w:rPr>
              <w:t>Eczéma du visage et des plis, dermatite atopique de l'enfant, dermite séborrhéique, prurit ano-génital</w:t>
            </w:r>
          </w:p>
        </w:tc>
        <w:tc>
          <w:tcPr>
            <w:tcW w:type="dxa" w:w="1871"/>
          </w:tcPr>
          <w:p>
            <w:r>
              <w:rPr>
                <w:sz w:val="20"/>
              </w:rPr>
              <w:t>Très faible</w:t>
            </w:r>
          </w:p>
        </w:tc>
      </w:tr>
      <w:tr>
        <w:tc>
          <w:tcPr>
            <w:tcW w:type="dxa" w:w="1871"/>
          </w:tcPr>
          <w:p>
            <w:r>
              <w:rPr>
                <w:sz w:val="20"/>
              </w:rPr>
              <w:t>Classe VI–VII (très faible)</w:t>
            </w:r>
          </w:p>
        </w:tc>
        <w:tc>
          <w:tcPr>
            <w:tcW w:type="dxa" w:w="1871"/>
          </w:tcPr>
          <w:p>
            <w:r>
              <w:rPr>
                <w:sz w:val="20"/>
              </w:rPr>
              <w:t>&lt; 1×</w:t>
            </w:r>
          </w:p>
        </w:tc>
        <w:tc>
          <w:tcPr>
            <w:tcW w:type="dxa" w:w="1871"/>
          </w:tcPr>
          <w:p>
            <w:r>
              <w:rPr>
                <w:sz w:val="20"/>
              </w:rPr>
              <w:t>Non disponible en Algérie</w:t>
            </w:r>
          </w:p>
        </w:tc>
        <w:tc>
          <w:tcPr>
            <w:tcW w:type="dxa" w:w="1871"/>
          </w:tcPr>
          <w:p>
            <w:r>
              <w:rPr>
                <w:sz w:val="20"/>
              </w:rPr>
              <w:t>Dermatoses très légères du visage</w:t>
            </w:r>
          </w:p>
        </w:tc>
        <w:tc>
          <w:tcPr>
            <w:tcW w:type="dxa" w:w="1871"/>
          </w:tcPr>
          <w:p>
            <w:r>
              <w:rPr>
                <w:sz w:val="20"/>
              </w:rPr>
              <w:t>Négligeable</w:t>
            </w:r>
          </w:p>
        </w:tc>
      </w:tr>
    </w:tbl>
    <w:p/>
    <w:p>
      <w:r/>
      <w:r>
        <w:rPr>
          <w:b/>
        </w:rPr>
        <w:t>Règles d'or de prescription des dermocorticoïdes en pratique algérienne :</w:t>
      </w:r>
      <w:r/>
    </w:p>
    <w:p>
      <w:pPr>
        <w:pStyle w:val="ListNumber"/>
      </w:pPr>
      <w:r/>
      <w:r>
        <w:rPr>
          <w:b/>
        </w:rPr>
        <w:t>Choisir la bonne classe</w:t>
      </w:r>
      <w:r>
        <w:t xml:space="preserve"> selon la zone (visage = classe IV, plis = classe IV, corps = classe III, paumes/plantes = classe II, lésions rebelles = classe I) et la pathologie (eczéma aigu = classe IV, eczéma chronique = classe III, psoriasis = classe II à I).</w:t>
      </w:r>
    </w:p>
    <w:p>
      <w:pPr>
        <w:pStyle w:val="ListNumber"/>
      </w:pPr>
      <w:r/>
      <w:r>
        <w:rPr>
          <w:b/>
        </w:rPr>
        <w:t>Quantifier l'application</w:t>
      </w:r>
      <w:r>
        <w:t xml:space="preserve"> avec la règle du Finger-Tip Unit (FTU) : 1 FTU = 0,5 g couvre une surface de la taille d'une main avec doigts.</w:t>
      </w:r>
    </w:p>
    <w:p>
      <w:pPr>
        <w:pStyle w:val="ListNumber"/>
      </w:pPr>
      <w:r/>
      <w:r>
        <w:rPr>
          <w:b/>
        </w:rPr>
        <w:t>Respecter la durée maximale</w:t>
      </w:r>
      <w:r>
        <w:t xml:space="preserve"> : 2 semaines pour la classe I, 4 semaines pour la classe II, 4–6 semaines pour la classe III, 6 semaines pour la classe IV. Au-delà, sevrage progressif par espacement et relais par un palier inférieur.</w:t>
      </w:r>
    </w:p>
    <w:p>
      <w:pPr>
        <w:pStyle w:val="ListNumber"/>
      </w:pPr>
      <w:r/>
      <w:r>
        <w:rPr>
          <w:b/>
        </w:rPr>
        <w:t>Surveiller la quantité hebdomadaire</w:t>
      </w:r>
      <w:r>
        <w:t xml:space="preserve"> : 50 g pour la classe I, 100 g pour la classe II, 100 g pour la classe III, 200 g pour la classe IV.</w:t>
      </w:r>
    </w:p>
    <w:p>
      <w:pPr>
        <w:pStyle w:val="ListNumber"/>
      </w:pPr>
      <w:r/>
      <w:r>
        <w:rPr>
          <w:b/>
        </w:rPr>
        <w:t>Prévenir les zones à risque</w:t>
      </w:r>
      <w:r>
        <w:t xml:space="preserve"> : visage, plis, organes génitaux, muqueuses, enfant de moins de 6 ans, femme enceinte au 1er trimestre, peau lésée étendue, occlusion.</w:t>
      </w:r>
    </w:p>
    <w:p>
      <w:pPr>
        <w:pStyle w:val="ListNumber"/>
      </w:pPr>
      <w:r/>
      <w:r>
        <w:rPr>
          <w:b/>
        </w:rPr>
        <w:t>Éduquer le patient</w:t>
      </w:r>
      <w:r>
        <w:t xml:space="preserve"> sur les signes d'alerte : atrophie cutanée, télangiectasies, vergetures, dermatite rosacéiforme, dermatite périorale, glaucome, syndrome de Cushing.</w:t>
      </w:r>
    </w:p>
    <w:p>
      <w:pPr>
        <w:pStyle w:val="ListNumber"/>
      </w:pPr>
      <w:r/>
      <w:r>
        <w:rPr>
          <w:b/>
        </w:rPr>
        <w:t>Préférer les esters non fluorés de nouvelle génération</w:t>
      </w:r>
      <w:r>
        <w:t xml:space="preserve"> (hydrocortisone 17-butyrate, acéponate, prednicarbate) pour les zones sensibles et l'usage prolongé.</w:t>
      </w:r>
    </w:p>
    <w:p>
      <w:pPr>
        <w:pStyle w:val="ListNumber"/>
      </w:pPr>
      <w:r/>
      <w:r>
        <w:rPr>
          <w:b/>
        </w:rPr>
        <w:t>Éviter l'occlusion</w:t>
      </w:r>
      <w:r>
        <w:t xml:space="preserve"> sauf indication dermatologique spécialisée (lichen réfractaire, lupus, kératodermies).</w:t>
      </w:r>
    </w:p>
    <w:p>
      <w:pPr>
        <w:pStyle w:val="ListNumber"/>
      </w:pPr>
      <w:r/>
      <w:r>
        <w:rPr>
          <w:b/>
        </w:rPr>
        <w:t>Associer un émollient</w:t>
      </w:r>
      <w:r>
        <w:t xml:space="preserve"> en alternance dans la dermatite atopique pour réduire la quantité totale de dermocorticoïde.</w:t>
      </w:r>
    </w:p>
    <w:p>
      <w:pPr>
        <w:pStyle w:val="ListNumber"/>
      </w:pPr>
      <w:r/>
      <w:r>
        <w:rPr>
          <w:b/>
        </w:rPr>
        <w:t>Surveiller la croissance</w:t>
      </w:r>
      <w:r>
        <w:t xml:space="preserve"> chez l'enfant en cas d'usage prolongé étendu, et la cortisolémie en cas d'usage prolongé sur grande surface.</w:t>
      </w:r>
    </w:p>
    <w:p>
      <w:pPr>
        <w:pStyle w:val="Heading2"/>
      </w:pPr>
      <w:r>
        <w:t>122.8 Annexe pratique — Outils d'aide à la prescription et à la dispensation</w:t>
      </w:r>
    </w:p>
    <w:p>
      <w:pPr>
        <w:pStyle w:val="Heading3"/>
      </w:pPr>
      <w:r>
        <w:t>122.8.1 Le Finger-Tip Unit (FTU) — Référentiel de quantification</w:t>
      </w:r>
    </w:p>
    <w:p>
      <w:r>
        <w:t xml:space="preserve">La quantification de l'application d'un dermocorticoïde est l'un des déterminants majeurs de la sécurité d'emploi. La règle du </w:t>
      </w:r>
      <w:r>
        <w:rPr>
          <w:b/>
        </w:rPr>
        <w:t>Finger-Tip Unit (FTU)</w:t>
      </w:r>
      <w:r>
        <w:t xml:space="preserve">, développée par Long et Finlay en 1991, constitue le standard international de mesure. Une FTU correspond à la quantité de crème ou de pommade exprimée du bout de l'index (de la première phalange, extrémité incluse) d'un adulte, soit environ </w:t>
      </w:r>
      <w:r>
        <w:rPr>
          <w:b/>
        </w:rPr>
        <w:t>0,5 g</w:t>
      </w:r>
      <w:r>
        <w:t>, et permet de couvrir une surface cutanée d'environ deux fois la paume de la main avec doigts (≈ 2 % de la surface corporelle chez l'adulte). Cette unité est adaptée à l'âge et à la surface corporelle du patient.</w:t>
      </w:r>
    </w:p>
    <w:p>
      <w:r/>
      <w:r>
        <w:rPr>
          <w:b/>
        </w:rPr>
        <w:t>Tableau de correspondance FTU / zone corporelle / âge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Zone corporelle</w:t>
            </w:r>
          </w:p>
        </w:tc>
        <w:tc>
          <w:tcPr>
            <w:tcW w:type="dxa" w:w="1871"/>
          </w:tcPr>
          <w:p>
            <w:r>
              <w:rPr>
                <w:b/>
                <w:sz w:val="20"/>
              </w:rPr>
              <w:t>FTU chez l'adulte</w:t>
            </w:r>
          </w:p>
        </w:tc>
        <w:tc>
          <w:tcPr>
            <w:tcW w:type="dxa" w:w="1871"/>
          </w:tcPr>
          <w:p>
            <w:r>
              <w:rPr>
                <w:b/>
                <w:sz w:val="20"/>
              </w:rPr>
              <w:t>FTU chez l'enfant (6–10 ans)</w:t>
            </w:r>
          </w:p>
        </w:tc>
        <w:tc>
          <w:tcPr>
            <w:tcW w:type="dxa" w:w="1871"/>
          </w:tcPr>
          <w:p>
            <w:r>
              <w:rPr>
                <w:b/>
                <w:sz w:val="20"/>
              </w:rPr>
              <w:t>FTU chez l'enfant (2–5 ans)</w:t>
            </w:r>
          </w:p>
        </w:tc>
        <w:tc>
          <w:tcPr>
            <w:tcW w:type="dxa" w:w="1871"/>
          </w:tcPr>
          <w:p>
            <w:r>
              <w:rPr>
                <w:b/>
                <w:sz w:val="20"/>
              </w:rPr>
              <w:t>FTU chez le nourrisson (&lt; 2 ans)</w:t>
            </w:r>
          </w:p>
        </w:tc>
      </w:tr>
      <w:tr>
        <w:tc>
          <w:tcPr>
            <w:tcW w:type="dxa" w:w="1871"/>
          </w:tcPr>
          <w:p>
            <w:r>
              <w:rPr>
                <w:sz w:val="20"/>
              </w:rPr>
              <w:t>Visage et cou</w:t>
            </w:r>
          </w:p>
        </w:tc>
        <w:tc>
          <w:tcPr>
            <w:tcW w:type="dxa" w:w="1871"/>
          </w:tcPr>
          <w:p>
            <w:r>
              <w:rPr>
                <w:sz w:val="20"/>
              </w:rPr>
              <w:t>2,5</w:t>
            </w:r>
          </w:p>
        </w:tc>
        <w:tc>
          <w:tcPr>
            <w:tcW w:type="dxa" w:w="1871"/>
          </w:tcPr>
          <w:p>
            <w:r>
              <w:rPr>
                <w:sz w:val="20"/>
              </w:rPr>
              <w:t>1,25</w:t>
            </w:r>
          </w:p>
        </w:tc>
        <w:tc>
          <w:tcPr>
            <w:tcW w:type="dxa" w:w="1871"/>
          </w:tcPr>
          <w:p>
            <w:r>
              <w:rPr>
                <w:sz w:val="20"/>
              </w:rPr>
              <w:t>0,75</w:t>
            </w:r>
          </w:p>
        </w:tc>
        <w:tc>
          <w:tcPr>
            <w:tcW w:type="dxa" w:w="1871"/>
          </w:tcPr>
          <w:p>
            <w:r>
              <w:rPr>
                <w:sz w:val="20"/>
              </w:rPr>
              <w:t>0,5</w:t>
            </w:r>
          </w:p>
        </w:tc>
      </w:tr>
      <w:tr>
        <w:tc>
          <w:tcPr>
            <w:tcW w:type="dxa" w:w="1871"/>
          </w:tcPr>
          <w:p>
            <w:r>
              <w:rPr>
                <w:sz w:val="20"/>
              </w:rPr>
              <w:t>Tronc (face antérieure)</w:t>
            </w:r>
          </w:p>
        </w:tc>
        <w:tc>
          <w:tcPr>
            <w:tcW w:type="dxa" w:w="1871"/>
          </w:tcPr>
          <w:p>
            <w:r>
              <w:rPr>
                <w:sz w:val="20"/>
              </w:rPr>
              <w:t>7</w:t>
            </w:r>
          </w:p>
        </w:tc>
        <w:tc>
          <w:tcPr>
            <w:tcW w:type="dxa" w:w="1871"/>
          </w:tcPr>
          <w:p>
            <w:r>
              <w:rPr>
                <w:sz w:val="20"/>
              </w:rPr>
              <w:t>3,5</w:t>
            </w:r>
          </w:p>
        </w:tc>
        <w:tc>
          <w:tcPr>
            <w:tcW w:type="dxa" w:w="1871"/>
          </w:tcPr>
          <w:p>
            <w:r>
              <w:rPr>
                <w:sz w:val="20"/>
              </w:rPr>
              <w:t>2</w:t>
            </w:r>
          </w:p>
        </w:tc>
        <w:tc>
          <w:tcPr>
            <w:tcW w:type="dxa" w:w="1871"/>
          </w:tcPr>
          <w:p>
            <w:r>
              <w:rPr>
                <w:sz w:val="20"/>
              </w:rPr>
              <w:t>1,25</w:t>
            </w:r>
          </w:p>
        </w:tc>
      </w:tr>
      <w:tr>
        <w:tc>
          <w:tcPr>
            <w:tcW w:type="dxa" w:w="1871"/>
          </w:tcPr>
          <w:p>
            <w:r>
              <w:rPr>
                <w:sz w:val="20"/>
              </w:rPr>
              <w:t>Tronc (face postérieure)</w:t>
            </w:r>
          </w:p>
        </w:tc>
        <w:tc>
          <w:tcPr>
            <w:tcW w:type="dxa" w:w="1871"/>
          </w:tcPr>
          <w:p>
            <w:r>
              <w:rPr>
                <w:sz w:val="20"/>
              </w:rPr>
              <w:t>7</w:t>
            </w:r>
          </w:p>
        </w:tc>
        <w:tc>
          <w:tcPr>
            <w:tcW w:type="dxa" w:w="1871"/>
          </w:tcPr>
          <w:p>
            <w:r>
              <w:rPr>
                <w:sz w:val="20"/>
              </w:rPr>
              <w:t>3,5</w:t>
            </w:r>
          </w:p>
        </w:tc>
        <w:tc>
          <w:tcPr>
            <w:tcW w:type="dxa" w:w="1871"/>
          </w:tcPr>
          <w:p>
            <w:r>
              <w:rPr>
                <w:sz w:val="20"/>
              </w:rPr>
              <w:t>2</w:t>
            </w:r>
          </w:p>
        </w:tc>
        <w:tc>
          <w:tcPr>
            <w:tcW w:type="dxa" w:w="1871"/>
          </w:tcPr>
          <w:p>
            <w:r>
              <w:rPr>
                <w:sz w:val="20"/>
              </w:rPr>
              <w:t>1,25</w:t>
            </w:r>
          </w:p>
        </w:tc>
      </w:tr>
      <w:tr>
        <w:tc>
          <w:tcPr>
            <w:tcW w:type="dxa" w:w="1871"/>
          </w:tcPr>
          <w:p>
            <w:r>
              <w:rPr>
                <w:sz w:val="20"/>
              </w:rPr>
              <w:t>Bras (un seul)</w:t>
            </w:r>
          </w:p>
        </w:tc>
        <w:tc>
          <w:tcPr>
            <w:tcW w:type="dxa" w:w="1871"/>
          </w:tcPr>
          <w:p>
            <w:r>
              <w:rPr>
                <w:sz w:val="20"/>
              </w:rPr>
              <w:t>3</w:t>
            </w:r>
          </w:p>
        </w:tc>
        <w:tc>
          <w:tcPr>
            <w:tcW w:type="dxa" w:w="1871"/>
          </w:tcPr>
          <w:p>
            <w:r>
              <w:rPr>
                <w:sz w:val="20"/>
              </w:rPr>
              <w:t>1,5</w:t>
            </w:r>
          </w:p>
        </w:tc>
        <w:tc>
          <w:tcPr>
            <w:tcW w:type="dxa" w:w="1871"/>
          </w:tcPr>
          <w:p>
            <w:r>
              <w:rPr>
                <w:sz w:val="20"/>
              </w:rPr>
              <w:t>1</w:t>
            </w:r>
          </w:p>
        </w:tc>
        <w:tc>
          <w:tcPr>
            <w:tcW w:type="dxa" w:w="1871"/>
          </w:tcPr>
          <w:p>
            <w:r>
              <w:rPr>
                <w:sz w:val="20"/>
              </w:rPr>
              <w:t>0,5</w:t>
            </w:r>
          </w:p>
        </w:tc>
      </w:tr>
      <w:tr>
        <w:tc>
          <w:tcPr>
            <w:tcW w:type="dxa" w:w="1871"/>
          </w:tcPr>
          <w:p>
            <w:r>
              <w:rPr>
                <w:sz w:val="20"/>
              </w:rPr>
              <w:t>Main (une seule)</w:t>
            </w:r>
          </w:p>
        </w:tc>
        <w:tc>
          <w:tcPr>
            <w:tcW w:type="dxa" w:w="1871"/>
          </w:tcPr>
          <w:p>
            <w:r>
              <w:rPr>
                <w:sz w:val="20"/>
              </w:rPr>
              <w:t>1</w:t>
            </w:r>
          </w:p>
        </w:tc>
        <w:tc>
          <w:tcPr>
            <w:tcW w:type="dxa" w:w="1871"/>
          </w:tcPr>
          <w:p>
            <w:r>
              <w:rPr>
                <w:sz w:val="20"/>
              </w:rPr>
              <w:t>0,5</w:t>
            </w:r>
          </w:p>
        </w:tc>
        <w:tc>
          <w:tcPr>
            <w:tcW w:type="dxa" w:w="1871"/>
          </w:tcPr>
          <w:p>
            <w:r>
              <w:rPr>
                <w:sz w:val="20"/>
              </w:rPr>
              <w:t>0,25</w:t>
            </w:r>
          </w:p>
        </w:tc>
        <w:tc>
          <w:tcPr>
            <w:tcW w:type="dxa" w:w="1871"/>
          </w:tcPr>
          <w:p>
            <w:r>
              <w:rPr>
                <w:sz w:val="20"/>
              </w:rPr>
              <w:t>0,25</w:t>
            </w:r>
          </w:p>
        </w:tc>
      </w:tr>
      <w:tr>
        <w:tc>
          <w:tcPr>
            <w:tcW w:type="dxa" w:w="1871"/>
          </w:tcPr>
          <w:p>
            <w:r>
              <w:rPr>
                <w:sz w:val="20"/>
              </w:rPr>
              <w:t>Jambe (une seule)</w:t>
            </w:r>
          </w:p>
        </w:tc>
        <w:tc>
          <w:tcPr>
            <w:tcW w:type="dxa" w:w="1871"/>
          </w:tcPr>
          <w:p>
            <w:r>
              <w:rPr>
                <w:sz w:val="20"/>
              </w:rPr>
              <w:t>6</w:t>
            </w:r>
          </w:p>
        </w:tc>
        <w:tc>
          <w:tcPr>
            <w:tcW w:type="dxa" w:w="1871"/>
          </w:tcPr>
          <w:p>
            <w:r>
              <w:rPr>
                <w:sz w:val="20"/>
              </w:rPr>
              <w:t>3</w:t>
            </w:r>
          </w:p>
        </w:tc>
        <w:tc>
          <w:tcPr>
            <w:tcW w:type="dxa" w:w="1871"/>
          </w:tcPr>
          <w:p>
            <w:r>
              <w:rPr>
                <w:sz w:val="20"/>
              </w:rPr>
              <w:t>1,5</w:t>
            </w:r>
          </w:p>
        </w:tc>
        <w:tc>
          <w:tcPr>
            <w:tcW w:type="dxa" w:w="1871"/>
          </w:tcPr>
          <w:p>
            <w:r>
              <w:rPr>
                <w:sz w:val="20"/>
              </w:rPr>
              <w:t>1</w:t>
            </w:r>
          </w:p>
        </w:tc>
      </w:tr>
      <w:tr>
        <w:tc>
          <w:tcPr>
            <w:tcW w:type="dxa" w:w="1871"/>
          </w:tcPr>
          <w:p>
            <w:r>
              <w:rPr>
                <w:sz w:val="20"/>
              </w:rPr>
              <w:t>Pied (un seul)</w:t>
            </w:r>
          </w:p>
        </w:tc>
        <w:tc>
          <w:tcPr>
            <w:tcW w:type="dxa" w:w="1871"/>
          </w:tcPr>
          <w:p>
            <w:r>
              <w:rPr>
                <w:sz w:val="20"/>
              </w:rPr>
              <w:t>2</w:t>
            </w:r>
          </w:p>
        </w:tc>
        <w:tc>
          <w:tcPr>
            <w:tcW w:type="dxa" w:w="1871"/>
          </w:tcPr>
          <w:p>
            <w:r>
              <w:rPr>
                <w:sz w:val="20"/>
              </w:rPr>
              <w:t>1</w:t>
            </w:r>
          </w:p>
        </w:tc>
        <w:tc>
          <w:tcPr>
            <w:tcW w:type="dxa" w:w="1871"/>
          </w:tcPr>
          <w:p>
            <w:r>
              <w:rPr>
                <w:sz w:val="20"/>
              </w:rPr>
              <w:t>0,5</w:t>
            </w:r>
          </w:p>
        </w:tc>
        <w:tc>
          <w:tcPr>
            <w:tcW w:type="dxa" w:w="1871"/>
          </w:tcPr>
          <w:p>
            <w:r>
              <w:rPr>
                <w:sz w:val="20"/>
              </w:rPr>
              <w:t>0,5</w:t>
            </w:r>
          </w:p>
        </w:tc>
      </w:tr>
      <w:tr>
        <w:tc>
          <w:tcPr>
            <w:tcW w:type="dxa" w:w="1871"/>
          </w:tcPr>
          <w:p>
            <w:r>
              <w:rPr>
                <w:sz w:val="20"/>
              </w:rPr>
              <w:t>Zone génitale</w:t>
            </w:r>
          </w:p>
        </w:tc>
        <w:tc>
          <w:tcPr>
            <w:tcW w:type="dxa" w:w="1871"/>
          </w:tcPr>
          <w:p>
            <w:r>
              <w:rPr>
                <w:sz w:val="20"/>
              </w:rPr>
              <w:t>0,5</w:t>
            </w:r>
          </w:p>
        </w:tc>
        <w:tc>
          <w:tcPr>
            <w:tcW w:type="dxa" w:w="1871"/>
          </w:tcPr>
          <w:p>
            <w:r>
              <w:rPr>
                <w:sz w:val="20"/>
              </w:rPr>
              <w:t>0,25</w:t>
            </w:r>
          </w:p>
        </w:tc>
        <w:tc>
          <w:tcPr>
            <w:tcW w:type="dxa" w:w="1871"/>
          </w:tcPr>
          <w:p>
            <w:r>
              <w:rPr>
                <w:sz w:val="20"/>
              </w:rPr>
              <w:t>0,25</w:t>
            </w:r>
          </w:p>
        </w:tc>
        <w:tc>
          <w:tcPr>
            <w:tcW w:type="dxa" w:w="1871"/>
          </w:tcPr>
          <w:p>
            <w:r>
              <w:rPr>
                <w:sz w:val="20"/>
              </w:rPr>
              <w:t>0,25</w:t>
            </w:r>
          </w:p>
        </w:tc>
      </w:tr>
      <w:tr>
        <w:tc>
          <w:tcPr>
            <w:tcW w:type="dxa" w:w="1871"/>
          </w:tcPr>
          <w:p>
            <w:r>
              <w:rPr>
                <w:sz w:val="20"/>
              </w:rPr>
              <w:t>Surface corporelle totale</w:t>
            </w:r>
          </w:p>
        </w:tc>
        <w:tc>
          <w:tcPr>
            <w:tcW w:type="dxa" w:w="1871"/>
          </w:tcPr>
          <w:p>
            <w:r>
              <w:rPr>
                <w:sz w:val="20"/>
              </w:rPr>
              <w:t>70</w:t>
            </w:r>
          </w:p>
        </w:tc>
        <w:tc>
          <w:tcPr>
            <w:tcW w:type="dxa" w:w="1871"/>
          </w:tcPr>
          <w:p>
            <w:r>
              <w:rPr>
                <w:sz w:val="20"/>
              </w:rPr>
              <w:t>35</w:t>
            </w:r>
          </w:p>
        </w:tc>
        <w:tc>
          <w:tcPr>
            <w:tcW w:type="dxa" w:w="1871"/>
          </w:tcPr>
          <w:p>
            <w:r>
              <w:rPr>
                <w:sz w:val="20"/>
              </w:rPr>
              <w:t>17</w:t>
            </w:r>
          </w:p>
        </w:tc>
        <w:tc>
          <w:tcPr>
            <w:tcW w:type="dxa" w:w="1871"/>
          </w:tcPr>
          <w:p>
            <w:r>
              <w:rPr>
                <w:sz w:val="20"/>
              </w:rPr>
              <w:t>10</w:t>
            </w:r>
          </w:p>
        </w:tc>
      </w:tr>
    </w:tbl>
    <w:p/>
    <w:p>
      <w:r/>
      <w:r>
        <w:rPr>
          <w:b/>
        </w:rPr>
        <w:t>Calcul de la quantité hebdomadaire :</w:t>
      </w:r>
      <w:r>
        <w:t xml:space="preserve"> Pour une application bidimensionnelle sur l'ensemble du corps, un adulte nécessite environ 30 g par application, soit 420 g par semaine en deux applications par jour. Cette quantité dépasse largement le seuil de toxicité systémique de la classe I (50 g/semaine) et de la classe II (100 g/semaine), ce qui justifie la limitation stricte de la surface traitée et l'obligation de surveillance. En pratique, la majorité des prescriptions portent sur des zones limitées (mains, visage, plis, zones lésionnelles) et ne nécessitent pas plus de 15 à 30 g par semaine.</w:t>
      </w:r>
    </w:p>
    <w:p>
      <w:r/>
      <w:r>
        <w:rPr>
          <w:b/>
        </w:rPr>
        <w:t>Exemple de calcul :</w:t>
      </w:r>
      <w:r>
        <w:t xml:space="preserve"> Un patient adulte présentant un eczéma chronique des deux mains (≈ 4 % de la surface corporelle) traité par bétaméthasone valérate 0,1 % pommade en deux applications par jour : 2 applications/jour × 2 FTU/application × 0,5 g/FTU × 7 jours = 14 g/semaine. Soit un tube de 15 g pour une semaine de traitement — quantité bien en deçà du seuil de toxicité (100 g/semaine pour la classe II). Le pharmacien peut communiquer ce calcul au patient pour le rassurer et l'aider à visualiser la quantité à appliquer.</w:t>
      </w:r>
    </w:p>
    <w:p>
      <w:pPr>
        <w:pStyle w:val="Heading3"/>
      </w:pPr>
      <w:r>
        <w:t>122.8.2 Algorithme de choix du dermocorticoïde en fonction de la zone corporelle</w:t>
      </w:r>
    </w:p>
    <w:p>
      <w:r>
        <w:t>Le choix du palier d'activité dépend principalement de la zone à traiter, en raison de la variabilité de la perméabilité cutanée selon les régions anatomiques. La couche cornée du visage, des plis, des organes génitaux et des muqueuses est fine et riche en follicules pileux, ce qui majore l'absorption percutanée d'un facteur 5 à 10 par rapport au tronc ou aux membres. À l'inverse, la couche cornée des paumes et des plantes est très épaissie, ce qui réduit l'absorption et nécessite un palier supérieur pour obtenir un effet clinique.</w:t>
      </w:r>
    </w:p>
    <w:p>
      <w:r/>
      <w:r>
        <w:rPr>
          <w:b/>
        </w:rPr>
        <w:t>Algorithme simplifié de choix du palier selon la zone :</w:t>
      </w:r>
      <w:r/>
    </w:p>
    <w:p>
      <w:pPr>
        <w:pStyle w:val="ListNumber"/>
      </w:pPr>
      <w:r/>
      <w:r>
        <w:rPr>
          <w:b/>
        </w:rPr>
        <w:t>Visage, paupières, lèvres, cou, plis (axillaires, inguinaux, sous-mammaires), organes génitaux externes, muqueuses :</w:t>
      </w:r>
      <w:r>
        <w:t xml:space="preserve"> → Palier faible à modérée (hydrocortisone 17-butyrate ou acéponate en première intention ; prednicarbate en deuxième intention). Jamais de palier supérieur sans avis dermatologique spécialisé. Durée maximale de 4–6 semaines en continu, surveillance ophtalmologique si application périorbitaire.</w:t>
      </w:r>
    </w:p>
    <w:p>
      <w:pPr>
        <w:pStyle w:val="ListNumber"/>
      </w:pPr>
      <w:r/>
      <w:r>
        <w:rPr>
          <w:b/>
        </w:rPr>
        <w:t>Tronc, membres (sauf paumes et plantes), cuir chevelu :</w:t>
      </w:r>
      <w:r>
        <w:t xml:space="preserve"> → Palier fort (mométasone, fluticasone, fluocinolone, fluméthasone) en première intention ; palier forte à très forte (bétaméthasone) en deuxième intention pour lésions lichenifiées ou chroniques. Durée maximale de 4 semaines en continu.</w:t>
      </w:r>
    </w:p>
    <w:p>
      <w:pPr>
        <w:pStyle w:val="ListNumber"/>
      </w:pPr>
      <w:r/>
      <w:r>
        <w:rPr>
          <w:b/>
        </w:rPr>
        <w:t>Paumes, plantes, coudes, genoux, zones hyperkératosiques :</w:t>
      </w:r>
      <w:r>
        <w:t xml:space="preserve"> → Palier fort à très forte (bétaméthasone dipropionate) en première intention ; palier très forte (clobétasol) en deuxième intention pour lésions épaisses réfractaires. Possibilité d'occlusion nocturne sur prescription dermatologique stricte.</w:t>
      </w:r>
    </w:p>
    <w:p>
      <w:pPr>
        <w:pStyle w:val="ListNumber"/>
      </w:pPr>
      <w:r/>
      <w:r>
        <w:rPr>
          <w:b/>
        </w:rPr>
        <w:t>Cuir chevelu :</w:t>
      </w:r>
      <w:r>
        <w:t xml:space="preserve"> → Lotion ou gel capillaire (formes non grasses, faciles à appliquer et à rincer). Bétaméthasone lotion (BETSOL), mométasone lotion (non disponible en Algérie en forme dermique active), ou clobétasol gel capillaire (non disponible actuellement en forme active en Algérie). Adapter au type de lésion : squameuse et sèche = lotion huileuse ; suintante = lotion hydroalcoolique.</w:t>
      </w:r>
    </w:p>
    <w:p>
      <w:pPr>
        <w:pStyle w:val="ListNumber"/>
      </w:pPr>
      <w:r/>
      <w:r>
        <w:rPr>
          <w:b/>
        </w:rPr>
        <w:t>Oreille externe (conduit) :</w:t>
      </w:r>
      <w:r>
        <w:t xml:space="preserve"> → Association otologique (OTOCROVIS, fluocinolone + néomycine + polymyxine B) en présence d'une surinfection bactérienne, après otoscopie médicale stricte ; antifongique local en cas de mycose primitive. Contre-indication absolue en cas de perforation tympanique.</w:t>
      </w:r>
    </w:p>
    <w:p>
      <w:pPr>
        <w:pStyle w:val="ListNumber"/>
      </w:pPr>
      <w:r/>
      <w:r>
        <w:rPr>
          <w:b/>
        </w:rPr>
        <w:t>Neauz (muqueuse nasale) :</w:t>
      </w:r>
      <w:r>
        <w:t xml:space="preserve"> → Corticoïde nasal (fluticasone, mométasone, triamcinolone) pour la rhinite allergique et la polypose nasale. Faible biodisponibilité systémique, usage prolongé possible sous surveillance de la cloison nasale.</w:t>
      </w:r>
    </w:p>
    <w:p>
      <w:pPr>
        <w:pStyle w:val="ListNumber"/>
      </w:pPr>
      <w:r/>
      <w:r>
        <w:rPr>
          <w:b/>
        </w:rPr>
        <w:t>Yeux (conjontive) :</w:t>
      </w:r>
      <w:r>
        <w:t xml:space="preserve"> → Collyre ou pommade ophtalmique (hydrocortisone, triamcinolone) sur prescription ophtalmologique stricte, après vérification de l'absence d'infection herpétique, mycosique ou bactérienne. Surveillance obligatoire de la pression intra-oculaire au-delà de 2 semaines d'usage.</w:t>
      </w:r>
    </w:p>
    <w:p>
      <w:pPr>
        <w:pStyle w:val="Heading3"/>
      </w:pPr>
      <w:r>
        <w:t>122.8.3 Stratégie de sevrage et de relais entre paliers</w:t>
      </w:r>
    </w:p>
    <w:p>
      <w:r>
        <w:t xml:space="preserve">L'arrêt brutal d'un dermocorticoïde après usage prolongé (≥ 4 semaines) expose à deux risques majeurs : (1) la </w:t>
      </w:r>
      <w:r>
        <w:rPr>
          <w:b/>
        </w:rPr>
        <w:t>rébound de la dermatose</w:t>
      </w:r>
      <w:r>
        <w:t xml:space="preserve"> (exacerbation brutale, parfois sous une forme pustuleuse ou érythrodermique, particulièrement décrite dans le psoriasis), et (2) l'</w:t>
      </w:r>
      <w:r>
        <w:rPr>
          <w:b/>
        </w:rPr>
        <w:t>insuffisance surrénalienne aiguë</w:t>
      </w:r>
      <w:r>
        <w:t xml:space="preserve"> (par suppression prolongée de l'axe corticotrope, rare mais possible en cas d'usage étendu à forte dose). Un sevrage progressif est donc systématiquement recommandé après 3–4 semaines d'usage quotidien.</w:t>
      </w:r>
    </w:p>
    <w:p>
      <w:r/>
      <w:r>
        <w:rPr>
          <w:b/>
        </w:rPr>
        <w:t>Protocole de sevrage standard :</w:t>
      </w:r>
      <w:r/>
    </w:p>
    <w:p>
      <w:pPr>
        <w:pStyle w:val="ListBullet"/>
      </w:pPr>
      <w:r/>
      <w:r>
        <w:rPr>
          <w:b/>
        </w:rPr>
        <w:t>Étape 1 (semaines 4 à 6) :</w:t>
      </w:r>
      <w:r>
        <w:t xml:space="preserve"> Espacement des applications de 1/jour à 1 jour/2, puis à 2 fois/semaine. Maintien de la même molécule et de la même galénique.</w:t>
      </w:r>
    </w:p>
    <w:p>
      <w:pPr>
        <w:pStyle w:val="ListBullet"/>
      </w:pPr>
      <w:r/>
      <w:r>
        <w:rPr>
          <w:b/>
        </w:rPr>
        <w:t>Étape 2 (semaines 6 à 8) :</w:t>
      </w:r>
      <w:r>
        <w:t xml:space="preserve"> Relais par un dermocorticoïde de palier immédiatement inférieur (par exemple, passage de la bétaméthasone classe II à la mométasone classe III, puis à l'hydrocortisone 17-butyrate classe IV). Maintien des applications espacées à 2 fois/semaine.</w:t>
      </w:r>
    </w:p>
    <w:p>
      <w:pPr>
        <w:pStyle w:val="ListBullet"/>
      </w:pPr>
      <w:r/>
      <w:r>
        <w:rPr>
          <w:b/>
        </w:rPr>
        <w:t>Étape 3 (semaines 8 à 12) :</w:t>
      </w:r>
      <w:r>
        <w:t xml:space="preserve"> Arrêt progressif du dermocorticoïde, relais par un émollient pur. Surveillance clinique de la récidive et de la cortisolémie en cas d'usage initial étendu à forte dose.</w:t>
      </w:r>
    </w:p>
    <w:p>
      <w:r/>
      <w:r>
        <w:rPr>
          <w:b/>
        </w:rPr>
        <w:t>Cas particulier de la dermatite atopique de l'enfant :</w:t>
      </w:r>
      <w:r>
        <w:t xml:space="preserve"> La stratégie du </w:t>
      </w:r>
      <w:r>
        <w:rPr>
          <w:b/>
        </w:rPr>
        <w:t>« weekend therapy »</w:t>
      </w:r>
      <w:r>
        <w:t xml:space="preserve"> (proderma) consiste à appliquer le dermocorticoïde 2 jours consécutifs par semaine (samedi-dimanche par exemple) sur les lésions résiduelles, en alternance avec les émollients les 5 autres jours. Cette stratégie permet de prolonger la durée de rémission sans majorer la toxicité systémique, et est largement validée chez l'enfant à partir de 6 mois.</w:t>
      </w:r>
    </w:p>
    <w:p>
      <w:r/>
      <w:r>
        <w:rPr>
          <w:b/>
        </w:rPr>
        <w:t>Cas particulier du psoriasis :</w:t>
      </w:r>
      <w:r>
        <w:t xml:space="preserve"> Le sevrage d'un dermocorticoïde fort appliqué sur des lésions psoriasiques épaisses doit se faire en parallèle de l'introduction d'un traitement de fond topique (analogues de la vitamine D : calcipotriol, calcitriol — non traités dans ce chapitre), pour éviter la rechute et le passage à une forme pustuleuse ou érythrodermique.</w:t>
      </w:r>
    </w:p>
    <w:p>
      <w:pPr>
        <w:pStyle w:val="Heading3"/>
      </w:pPr>
      <w:r>
        <w:t>122.8.4 Surveillance biologique et clinique en cas d'usage prolongé</w:t>
      </w:r>
    </w:p>
    <w:p>
      <w:r>
        <w:t>La surveillance d'un traitement dermocorticoïde prolongé ou étendu doit être adaptée à la puissance de la molécule, à la surface traitée, à la durée d'usage et au profil de risque du patient (enfant, femme enceinte, sujet âgé, insuffisant hépatique ou rénal).</w:t>
      </w:r>
    </w:p>
    <w:p>
      <w:r/>
      <w:r>
        <w:rPr>
          <w:b/>
        </w:rPr>
        <w:t>Surveillance minimale (tous patients, tous paliers) :</w:t>
      </w:r>
      <w:r/>
    </w:p>
    <w:p>
      <w:pPr>
        <w:pStyle w:val="ListBullet"/>
      </w:pPr>
      <w:r>
        <w:t>Examen clinique initial et à 2–4 semaines : évaluation de l'efficacité (score SCORAD dans la dermatite atopique, score PASI dans le psoriasis), recherche d'atrophie cutanée, de télangiectasies, de dermatite rosacéiforme ou périorale.</w:t>
      </w:r>
    </w:p>
    <w:p>
      <w:pPr>
        <w:pStyle w:val="ListBullet"/>
      </w:pPr>
      <w:r>
        <w:t>Interrogatoire : recherche de signes systémiques (asthénie, prise de poids, troubles du sommeil, irritabilité, hyperphagie, polyurie-polydipsie), de signes d'insuffisance surrénalienne en cas d'arrêt brutal (asthénie, hypotension, vomissements, douleurs abdominales).</w:t>
      </w:r>
    </w:p>
    <w:p>
      <w:r/>
      <w:r>
        <w:rPr>
          <w:b/>
        </w:rPr>
        <w:t>Surveillance renforcée (classe I–II en usage étendu ou prolongé, enfant, femme enceinte) :</w:t>
      </w:r>
      <w:r/>
    </w:p>
    <w:p>
      <w:pPr>
        <w:pStyle w:val="ListBullet"/>
      </w:pPr>
      <w:r>
        <w:t>Cortisolémie à 8 heures du matin (valeur normale : 5–25 µg/dL soit 138–690 nmol/L) à l'instauration, à 4 semaines, et à l'arrêt.</w:t>
      </w:r>
    </w:p>
    <w:p>
      <w:pPr>
        <w:pStyle w:val="ListBullet"/>
      </w:pPr>
      <w:r>
        <w:t>ACTH plasmatique en cas de suspicion d'insuffisance surrénalienne (valeur normale : 10–60 pg/mL le matin).</w:t>
      </w:r>
    </w:p>
    <w:p>
      <w:pPr>
        <w:pStyle w:val="ListBullet"/>
      </w:pPr>
      <w:r>
        <w:t>Test à l'ACTH (Synacthène®) en cas de doute sur une insuffisance surrénalienne : dosage du cortisol avant et 30 et 60 minutes après injection IV de 250 µg de tétracosactide. Réponse normale : cortisol &gt; 20 µg/dL à 60 minutes.</w:t>
      </w:r>
    </w:p>
    <w:p>
      <w:pPr>
        <w:pStyle w:val="ListBullet"/>
      </w:pPr>
      <w:r>
        <w:t>Glycémie à jeun en cas d'usage prolongé étendu.</w:t>
      </w:r>
    </w:p>
    <w:p>
      <w:pPr>
        <w:pStyle w:val="ListBullet"/>
      </w:pPr>
      <w:r>
        <w:t>Tension artérielle et poids en cas d'usage prolongé étendu.</w:t>
      </w:r>
    </w:p>
    <w:p>
      <w:r/>
      <w:r>
        <w:rPr>
          <w:b/>
        </w:rPr>
        <w:t>Surveillance pédiatrique spécifique :</w:t>
      </w:r>
      <w:r/>
    </w:p>
    <w:p>
      <w:pPr>
        <w:pStyle w:val="ListBullet"/>
      </w:pPr>
      <w:r>
        <w:t>Mesure de la taille tous les 3 mois en cas d'usage prolongé étendu.</w:t>
      </w:r>
    </w:p>
    <w:p>
      <w:pPr>
        <w:pStyle w:val="ListBullet"/>
      </w:pPr>
      <w:r>
        <w:t>Courbe de croissance corporelle.</w:t>
      </w:r>
    </w:p>
    <w:p>
      <w:pPr>
        <w:pStyle w:val="ListBullet"/>
      </w:pPr>
      <w:r>
        <w:t>Tension artérielle (recherche d'hypertension artérielle cortisonique).</w:t>
      </w:r>
    </w:p>
    <w:p>
      <w:pPr>
        <w:pStyle w:val="ListBullet"/>
      </w:pPr>
      <w:r>
        <w:t>Examen ophtalmologique annuel en cas d'usage prolongé étendu (recherche de glaucome et de cataracte).</w:t>
      </w:r>
    </w:p>
    <w:p>
      <w:r/>
      <w:r>
        <w:rPr>
          <w:b/>
        </w:rPr>
        <w:t>Surveillance de la femme enceinte :</w:t>
      </w:r>
      <w:r/>
    </w:p>
    <w:p>
      <w:pPr>
        <w:pStyle w:val="ListBullet"/>
      </w:pPr>
      <w:r>
        <w:t>Échographie de croissance fœtale en cas d'usage prolongé étendu au 2e et 3e trimestre.</w:t>
      </w:r>
    </w:p>
    <w:p>
      <w:pPr>
        <w:pStyle w:val="ListBullet"/>
      </w:pPr>
      <w:r>
        <w:t>Surveillance de la tension artérielle maternelle (risque de pré-éclampsie majoré en cas de syndrome de Cushing iatrogène).</w:t>
      </w:r>
    </w:p>
    <w:p>
      <w:pPr>
        <w:pStyle w:val="ListBullet"/>
      </w:pPr>
      <w:r>
        <w:t>Glycémie maternelle (risque de diabète gestationnel majoré).</w:t>
      </w:r>
    </w:p>
    <w:p>
      <w:pPr>
        <w:pStyle w:val="Heading3"/>
      </w:pPr>
      <w:r>
        <w:t>122.8.5 Cas cliniques d'illustration</w:t>
      </w:r>
    </w:p>
    <w:p>
      <w:r/>
      <w:r>
        <w:rPr>
          <w:b/>
        </w:rPr>
        <w:t>Cas clinique 1 — Eczéma aigu du visage chez une femme enceinte :</w:t>
      </w:r>
      <w:r/>
    </w:p>
    <w:p>
      <w:r>
        <w:t>Patiente de 28 ans, enceinte de 16 semaines (2e trimestre), présentant un eczéma aigu du visage (joues, paupières, cou) évoluant depuis 1 semaine, prurigineux, avec suintement modéré. Pas d'antécédent allergique connu. Pas d'infection cutanée associée.</w:t>
      </w:r>
    </w:p>
    <w:p>
      <w:pPr>
        <w:pStyle w:val="ListBullet"/>
      </w:pPr>
      <w:r/>
      <w:r>
        <w:rPr>
          <w:b/>
        </w:rPr>
        <w:t>Choix thérapeutique :</w:t>
      </w:r>
      <w:r>
        <w:t xml:space="preserve"> Hydrocortisone 17-butyrate (LOCOID crème ou LOCACORT) ou hydrocortisone acéponate (EFFICORT HYDROPHILE pour la composante suintante), en 1 application par jour pendant 7 jours, puis espacement à 1 application/2 jours pendant 7 jours, puis arrêt.</w:t>
      </w:r>
    </w:p>
    <w:p>
      <w:pPr>
        <w:pStyle w:val="ListBullet"/>
      </w:pPr>
      <w:r/>
      <w:r>
        <w:rPr>
          <w:b/>
        </w:rPr>
        <w:t>Justification :</w:t>
      </w:r>
      <w:r>
        <w:t xml:space="preserve"> Palier faible à modérée, ester non fluoré de nouvelle génération avec faible biodisponibilité systémique, palier de choix chez la femme enceinte. La composante hydrophile est adaptée à la phase aiguë suintante.</w:t>
      </w:r>
    </w:p>
    <w:p>
      <w:pPr>
        <w:pStyle w:val="ListBullet"/>
      </w:pPr>
      <w:r/>
      <w:r>
        <w:rPr>
          <w:b/>
        </w:rPr>
        <w:t>Émollient associé :</w:t>
      </w:r>
      <w:r>
        <w:t xml:space="preserve"> Crème émolliente sans parfum ni conservateur (par exemple, Cold Cream, Cetaphil, Dexeryl), en application 2 à 3 fois par jour sur le visage.</w:t>
      </w:r>
    </w:p>
    <w:p>
      <w:pPr>
        <w:pStyle w:val="ListBullet"/>
      </w:pPr>
      <w:r/>
      <w:r>
        <w:rPr>
          <w:b/>
        </w:rPr>
        <w:t>Conseils au comptoir :</w:t>
      </w:r>
      <w:r>
        <w:t xml:space="preserve"> Insister sur la durée limitée (2 semaines), sur l'application en couche fine, sur la nécessité d'éviter le contact avec les yeux, sur l'interdiction d'utiliser un dermocorticoïde plus puissant (classe II ou I) sans avis dermatologique. Information sur le caractère rassurant de la molécule chez la femme enceinte.</w:t>
      </w:r>
    </w:p>
    <w:p>
      <w:r/>
      <w:r>
        <w:rPr>
          <w:b/>
        </w:rPr>
        <w:t>Cas clinique 2 — Psoriasis en plaques épaisses des coudes et genoux chez un homme de 45 ans :</w:t>
      </w:r>
      <w:r/>
    </w:p>
    <w:p>
      <w:r>
        <w:t>Patient de 45 ans, sans antécédent, présentant un psoriasis en plaques épaisses hyperkératosiques des coudes et genoux évoluant depuis 5 ans, résistant aux émollients. Pas de surinfection. Surface atteinte ≈ 5 % de la surface corporelle.</w:t>
      </w:r>
    </w:p>
    <w:p>
      <w:pPr>
        <w:pStyle w:val="ListBullet"/>
      </w:pPr>
      <w:r/>
      <w:r>
        <w:rPr>
          <w:b/>
        </w:rPr>
        <w:t>Choix thérapeutique :</w:t>
      </w:r>
      <w:r>
        <w:t xml:space="preserve"> Bétaméthasone dipropionate pommade 0,05 % (DERMASONE pommade, CORTYX pommade, BETAPROSONE pommade, BETASONE pommade) en 1 application par jour pendant 4 semaines sur les lésions, en respectant le FTU (≈ 2 FTU par zone). En cas de non-réponse à 2 semaines, relais par clobétasol propionate pommade 0,05 % (CLOBECORT pommade, CLOBENAT, CLOTASOL, PROCLO JAM) en 1 application par jour pendant 2 semaines maximum.</w:t>
      </w:r>
    </w:p>
    <w:p>
      <w:pPr>
        <w:pStyle w:val="ListBullet"/>
      </w:pPr>
      <w:r/>
      <w:r>
        <w:rPr>
          <w:b/>
        </w:rPr>
        <w:t>Justification :</w:t>
      </w:r>
      <w:r>
        <w:t xml:space="preserve"> Palier fort à très forte adapté aux zones hyperkératosiques (coudes, genoux), galénique en pommade pour favoriser la pénétration. Le passage à la classe I (clobétasol) est justifié par la chronicité et la résistance.</w:t>
      </w:r>
    </w:p>
    <w:p>
      <w:pPr>
        <w:pStyle w:val="ListBullet"/>
      </w:pPr>
      <w:r/>
      <w:r>
        <w:rPr>
          <w:b/>
        </w:rPr>
        <w:t>Traitement associé :</w:t>
      </w:r>
      <w:r>
        <w:t xml:space="preserve"> Acide salicylique 5–10 % en application la veille ou en alternance pour réduire l'hyperkératose (favorise la pénétration du dermocorticoïde). Possibilité d'occlusion nocturne sur prescription dermatologique.</w:t>
      </w:r>
    </w:p>
    <w:p>
      <w:pPr>
        <w:pStyle w:val="ListBullet"/>
      </w:pPr>
      <w:r/>
      <w:r>
        <w:rPr>
          <w:b/>
        </w:rPr>
        <w:t>Stratégie de sevrage :</w:t>
      </w:r>
      <w:r>
        <w:t xml:space="preserve"> Après 4 semaines d'attaque, espacement à 1 application/2 jours pendant 2 semaines, puis 2 applications/semaine pendant 2 semaines, puis arrêt. Relais par un émollient pur.</w:t>
      </w:r>
    </w:p>
    <w:p>
      <w:pPr>
        <w:pStyle w:val="ListBullet"/>
      </w:pPr>
      <w:r/>
      <w:r>
        <w:rPr>
          <w:b/>
        </w:rPr>
        <w:t>Conseils au comptoir :</w:t>
      </w:r>
      <w:r>
        <w:t xml:space="preserve"> Insister sur la nécessité de suivre la stratégie d'attaque-entretien-sevrage, sur l'interdiction d'application sur le visage (en cas de lésion psoriasique du visage, palier IV), sur la surveillance de la quantité hebdomadaire (≤ 50 g pour la classe I).</w:t>
      </w:r>
    </w:p>
    <w:p>
      <w:r/>
      <w:r>
        <w:rPr>
          <w:b/>
        </w:rPr>
        <w:t>Cas clinique 3 — Dermatite séborrhéique chronique du visage chez un homme de 35 ans :</w:t>
      </w:r>
      <w:r/>
    </w:p>
    <w:p>
      <w:r>
        <w:t>Patient de 35 ans, présentant une dermatite séborrhéique chronique du visage (sillons nasogéniens, sourcils, lèvres) évoluant depuis 2 ans, résistant aux antifongiques locaux. Pas d'infection cutanée associée.</w:t>
      </w:r>
    </w:p>
    <w:p>
      <w:pPr>
        <w:pStyle w:val="ListBullet"/>
      </w:pPr>
      <w:r/>
      <w:r>
        <w:rPr>
          <w:b/>
        </w:rPr>
        <w:t>Choix thérapeutique :</w:t>
      </w:r>
      <w:r>
        <w:t xml:space="preserve"> Hydrocortisone 17-butyrate (LOCOID crème) en 1 application par jour pendant 7 jours, puis espacement à 1 application/2 jours pendant 7 jours, puis arrêt. Association systématique à un antifongique local (kétoconazole crème 2 % en alternance).</w:t>
      </w:r>
    </w:p>
    <w:p>
      <w:pPr>
        <w:pStyle w:val="ListBullet"/>
      </w:pPr>
      <w:r/>
      <w:r>
        <w:rPr>
          <w:b/>
        </w:rPr>
        <w:t>Justification :</w:t>
      </w:r>
      <w:r>
        <w:t xml:space="preserve"> Palier faible à modérée adapté au visage, ester non fluoré de nouvelle génération avec faible biodisponibilité systémique. La dermatite séborrhéique est une dermatose chronique récidivante qui requiert une stratégie d'entretien (antifongique) plutôt qu'un traitement dermocorticoïde prolongé (qui majore le risque de dermatite rosacéiforme).</w:t>
      </w:r>
    </w:p>
    <w:p>
      <w:pPr>
        <w:pStyle w:val="ListBullet"/>
      </w:pPr>
      <w:r/>
      <w:r>
        <w:rPr>
          <w:b/>
        </w:rPr>
        <w:t>Surveillance :</w:t>
      </w:r>
      <w:r>
        <w:t xml:space="preserve"> Examen clinique à 2 semaines pour évaluer la réponse, recherche de signes de dermatite rosacéiforme (érythème, papules, télangiectasies). Si réponse insuffisante à 2 semaines, réévaluation diagnostique (rosacée ? dermatite périorale ? démate de contact ?).</w:t>
      </w:r>
    </w:p>
    <w:p>
      <w:pPr>
        <w:pStyle w:val="ListBullet"/>
      </w:pPr>
      <w:r/>
      <w:r>
        <w:rPr>
          <w:b/>
        </w:rPr>
        <w:t>Conseils au comptoir :</w:t>
      </w:r>
      <w:r>
        <w:t xml:space="preserve"> Insister sur la durée limitée (2 semaines), sur l'interdiction d'usage prolongé sur le visage, sur la nécessité d'associer un antifongique, sur la technique d'application en couche fine, sur la nécessité d'éviter l'application périorbitaire.</w:t>
      </w:r>
    </w:p>
    <w:p>
      <w:r/>
      <w:r>
        <w:rPr>
          <w:b/>
        </w:rPr>
        <w:t>Cas clinique 4 — Rhinite allergique perannuelle modérée chez une femme enceinte de 12 semaines :</w:t>
      </w:r>
      <w:r/>
    </w:p>
    <w:p>
      <w:r>
        <w:t>Patiente de 30 ans, enceinte de 12 semaines (1er trimestre), présentant une rhinite allergique perannuelle modérée à sévère (obstruction nasale, rhinorrhée, prurit nasal, éternuements) évoluant depuis 3 mois, résistante aux antihistaminiques oraux (cétirizine).</w:t>
      </w:r>
    </w:p>
    <w:p>
      <w:pPr>
        <w:pStyle w:val="ListBullet"/>
      </w:pPr>
      <w:r/>
      <w:r>
        <w:rPr>
          <w:b/>
        </w:rPr>
        <w:t>Choix thérapeutique :</w:t>
      </w:r>
      <w:r>
        <w:t xml:space="preserve"> Fluticasone propionate nasal 50 µg/dose (FLIXASONE, FLOMIST, FLUCASONE, FLUTINASE, etc.) en 2 pulvérisations dans chaque narine une fois par jour (200 µg/jour) pendant 4 semaines, puis adaptation à 1 pulvérisation/jour en entretien.</w:t>
      </w:r>
    </w:p>
    <w:p>
      <w:pPr>
        <w:pStyle w:val="ListBullet"/>
      </w:pPr>
      <w:r/>
      <w:r>
        <w:rPr>
          <w:b/>
        </w:rPr>
        <w:t>Justification :</w:t>
      </w:r>
      <w:r>
        <w:t xml:space="preserve"> Fluticasone propionate est le corticoïde nasal de référence chez la femme enceinte (faible biodisponibilité systémique &lt; 1%, données d'observation rassurantes). Compatible à tous les trimestres de la grossesse.</w:t>
      </w:r>
    </w:p>
    <w:p>
      <w:pPr>
        <w:pStyle w:val="ListBullet"/>
      </w:pPr>
      <w:r/>
      <w:r>
        <w:rPr>
          <w:b/>
        </w:rPr>
        <w:t>Surveillance :</w:t>
      </w:r>
      <w:r>
        <w:t xml:space="preserve"> Examen ORL à 4 semaines pour évaluer la réponse, recherche d'épistaxis, de céphalées, d'irritation nasale. Si réponse insuffisante, évaluation allergologique.</w:t>
      </w:r>
    </w:p>
    <w:p>
      <w:pPr>
        <w:pStyle w:val="ListBullet"/>
      </w:pPr>
      <w:r/>
      <w:r>
        <w:rPr>
          <w:b/>
        </w:rPr>
        <w:t>Conseils au comptoir :</w:t>
      </w:r>
      <w:r>
        <w:t xml:space="preserve"> Insister sur la technique d'administration (mouchage préalable, tête inclinée vers l'avant, pulvérisation dirigée vers la paroi externe de la marine — pas vers la cloison), sur la nécessité d'un traitement continu (pas seulement à la demande), sur le caractère rassurant de la molécule chez la femme enceinte. Information sur le délai d'action (48–72 heures pour un effet maximal).</w:t>
      </w:r>
    </w:p>
    <w:p>
      <w:r/>
      <w:r>
        <w:rPr>
          <w:b/>
        </w:rPr>
        <w:t>Cas clinique 5 — Chéloïde récent post-chirurgicale chez un homme de 30 ans :</w:t>
      </w:r>
      <w:r/>
    </w:p>
    <w:p>
      <w:r>
        <w:t>Patient de 30 ans, présentant un chéloïde récent (3 mois) post-sternotomie médiane, prurigineux, sans surinfection. Surface ≈ 5 × 3 cm.</w:t>
      </w:r>
    </w:p>
    <w:p>
      <w:pPr>
        <w:pStyle w:val="ListBullet"/>
      </w:pPr>
      <w:r/>
      <w:r>
        <w:rPr>
          <w:b/>
        </w:rPr>
        <w:t>Choix thérapeutique :</w:t>
      </w:r>
      <w:r>
        <w:t xml:space="preserve"> Triamcinolone acétonide suspension injectable 40 mg/mL (KENACORT RETARD, KENACORTYL RETARD, HUPPACORT RETARD, LISATRIAM, THERACORT) en injection intra-lésionnelle stricte, à la dose de 5–10 mg par nodule (dilution à 1:2 ou 1:4 avec sérum physiologique ou lidocaïne), à renouveler toutes les 4 à 6 semaines, maximum 4 à 6 injections par an et par site.</w:t>
      </w:r>
    </w:p>
    <w:p>
      <w:pPr>
        <w:pStyle w:val="ListBullet"/>
      </w:pPr>
      <w:r/>
      <w:r>
        <w:rPr>
          <w:b/>
        </w:rPr>
        <w:t>Justification :</w:t>
      </w:r>
      <w:r>
        <w:t xml:space="preserve"> La triamcinolone acétonide en injection intra-lésionnelle est le traitement de référence des chéloïdes récents. La forme suspension retard permet une libération prolongée sur 4 semaines.</w:t>
      </w:r>
    </w:p>
    <w:p>
      <w:pPr>
        <w:pStyle w:val="ListBullet"/>
      </w:pPr>
      <w:r/>
      <w:r>
        <w:rPr>
          <w:b/>
        </w:rPr>
        <w:t>Technique :</w:t>
      </w:r>
      <w:r>
        <w:t xml:space="preserve"> Injection stricte intra-lésionnelle (et non intra-dermique superficielle, qui provoque une atrophie cutanée locale) à l'aide d'une aiguille fine (27 G ou 30 G), en éventail dans la lésion, jusqu'à blanchiment de la chéloïde. Anesthésie locale préalable possible (lidocaïne 1 % sans adrénaline).</w:t>
      </w:r>
    </w:p>
    <w:p>
      <w:pPr>
        <w:pStyle w:val="ListBullet"/>
      </w:pPr>
      <w:r/>
      <w:r>
        <w:rPr>
          <w:b/>
        </w:rPr>
        <w:t>Surveillance :</w:t>
      </w:r>
      <w:r>
        <w:t xml:space="preserve"> Examen clinique à 4 semaines pour évaluer la réponse (réduction de volume, disparition du prurit), recherche d'atrophie cutanée locale, de dépigmentation, de télangiectasies. Si réponse insuffisante après 2 injections, association à la cryothérapie ou au laser.</w:t>
      </w:r>
    </w:p>
    <w:p>
      <w:pPr>
        <w:pStyle w:val="ListBullet"/>
      </w:pPr>
      <w:r/>
      <w:r>
        <w:rPr>
          <w:b/>
        </w:rPr>
        <w:t>Conseils au comptoir :</w:t>
      </w:r>
      <w:r>
        <w:t xml:space="preserve"> Information sur le caractère technique du geste (à réaliser par un dermatologue ou un chirurgien), sur la nécessité d'espacer les injections (4–6 semaines), sur les risques (atrophie locale, dépigmentation sur peau foncée), sur la nécessité de respecter le nombre maximum d'injections par an (4–6).</w:t>
      </w:r>
    </w:p>
    <w:p>
      <w:pPr>
        <w:pStyle w:val="Heading3"/>
      </w:pPr>
      <w:r>
        <w:t>122.8.6 Tableau récapitulatif des associations fixes disponibles en Algérie</w:t>
      </w:r>
    </w:p>
    <w:p>
      <w:r>
        <w:t>Le marché algérien propose plusieurs spécialités combinant un dermocorticoïde à un autre principe actif (antibiotique, antifongique, kératolytique) pour la prise en charge des dermatoses surinfectées ou hyperkératosiques. Ces associations fixes présentent l'avantage de simplifier l'observance et de couvrir plusieurs composantes de la dermatose, mais exposent au risque d'usage prolongé inapproprié (résistance bactérienne, sensibilation cutanée à l'antibiotique).</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Spécialité</w:t>
            </w:r>
          </w:p>
        </w:tc>
        <w:tc>
          <w:tcPr>
            <w:tcW w:type="dxa" w:w="2339"/>
          </w:tcPr>
          <w:p>
            <w:r>
              <w:rPr>
                <w:b/>
                <w:sz w:val="20"/>
              </w:rPr>
              <w:t>Composition</w:t>
            </w:r>
          </w:p>
        </w:tc>
        <w:tc>
          <w:tcPr>
            <w:tcW w:type="dxa" w:w="2339"/>
          </w:tcPr>
          <w:p>
            <w:r>
              <w:rPr>
                <w:b/>
                <w:sz w:val="20"/>
              </w:rPr>
              <w:t>Indication</w:t>
            </w:r>
          </w:p>
        </w:tc>
        <w:tc>
          <w:tcPr>
            <w:tcW w:type="dxa" w:w="2339"/>
          </w:tcPr>
          <w:p>
            <w:r>
              <w:rPr>
                <w:b/>
                <w:sz w:val="20"/>
              </w:rPr>
              <w:t>Statut</w:t>
            </w:r>
          </w:p>
        </w:tc>
      </w:tr>
      <w:tr>
        <w:tc>
          <w:tcPr>
            <w:tcW w:type="dxa" w:w="2339"/>
          </w:tcPr>
          <w:p>
            <w:r>
              <w:rPr>
                <w:sz w:val="20"/>
              </w:rPr>
              <w:t>ZETA-PLUS</w:t>
            </w:r>
          </w:p>
        </w:tc>
        <w:tc>
          <w:tcPr>
            <w:tcW w:type="dxa" w:w="2339"/>
          </w:tcPr>
          <w:p>
            <w:r>
              <w:rPr>
                <w:sz w:val="20"/>
              </w:rPr>
              <w:t>Bétaméthasone valérate 0,1 % + acide fusidique 2 %</w:t>
            </w:r>
          </w:p>
        </w:tc>
        <w:tc>
          <w:tcPr>
            <w:tcW w:type="dxa" w:w="2339"/>
          </w:tcPr>
          <w:p>
            <w:r>
              <w:rPr>
                <w:sz w:val="20"/>
              </w:rPr>
              <w:t>Dermatoses eczématiques surinfectées à staphylocoques</w:t>
            </w:r>
          </w:p>
        </w:tc>
        <w:tc>
          <w:tcPr>
            <w:tcW w:type="dxa" w:w="2339"/>
          </w:tcPr>
          <w:p>
            <w:r>
              <w:rPr>
                <w:sz w:val="20"/>
              </w:rPr>
              <w:t>Actif</w:t>
            </w:r>
          </w:p>
        </w:tc>
      </w:tr>
      <w:tr>
        <w:tc>
          <w:tcPr>
            <w:tcW w:type="dxa" w:w="2339"/>
          </w:tcPr>
          <w:p>
            <w:r>
              <w:rPr>
                <w:sz w:val="20"/>
              </w:rPr>
              <w:t>CORSALIC</w:t>
            </w:r>
          </w:p>
        </w:tc>
        <w:tc>
          <w:tcPr>
            <w:tcW w:type="dxa" w:w="2339"/>
          </w:tcPr>
          <w:p>
            <w:r>
              <w:rPr>
                <w:sz w:val="20"/>
              </w:rPr>
              <w:t>Mométasone furoate 0,1 % + acide salicylique 5 %</w:t>
            </w:r>
          </w:p>
        </w:tc>
        <w:tc>
          <w:tcPr>
            <w:tcW w:type="dxa" w:w="2339"/>
          </w:tcPr>
          <w:p>
            <w:r>
              <w:rPr>
                <w:sz w:val="20"/>
              </w:rPr>
              <w:t>Dermatoses hyperkératosiques (psoriasis, lichen)</w:t>
            </w:r>
          </w:p>
        </w:tc>
        <w:tc>
          <w:tcPr>
            <w:tcW w:type="dxa" w:w="2339"/>
          </w:tcPr>
          <w:p>
            <w:r>
              <w:rPr>
                <w:sz w:val="20"/>
              </w:rPr>
              <w:t>Actif</w:t>
            </w:r>
          </w:p>
        </w:tc>
      </w:tr>
      <w:tr>
        <w:tc>
          <w:tcPr>
            <w:tcW w:type="dxa" w:w="2339"/>
          </w:tcPr>
          <w:p>
            <w:r>
              <w:rPr>
                <w:sz w:val="20"/>
              </w:rPr>
              <w:t>OTOCROVIS</w:t>
            </w:r>
          </w:p>
        </w:tc>
        <w:tc>
          <w:tcPr>
            <w:tcW w:type="dxa" w:w="2339"/>
          </w:tcPr>
          <w:p>
            <w:r>
              <w:rPr>
                <w:sz w:val="20"/>
              </w:rPr>
              <w:t>Fluocinolone acétonide 0,025 % + néomycine 0,35 % + polymyxine B 1 000 000 UI/10 mL</w:t>
            </w:r>
          </w:p>
        </w:tc>
        <w:tc>
          <w:tcPr>
            <w:tcW w:type="dxa" w:w="2339"/>
          </w:tcPr>
          <w:p>
            <w:r>
              <w:rPr>
                <w:sz w:val="20"/>
              </w:rPr>
              <w:t>Otites externes et otites moyennes chroniques surinfectées</w:t>
            </w:r>
          </w:p>
        </w:tc>
        <w:tc>
          <w:tcPr>
            <w:tcW w:type="dxa" w:w="2339"/>
          </w:tcPr>
          <w:p>
            <w:r>
              <w:rPr>
                <w:sz w:val="20"/>
              </w:rPr>
              <w:t>Actif</w:t>
            </w:r>
          </w:p>
        </w:tc>
      </w:tr>
      <w:tr>
        <w:tc>
          <w:tcPr>
            <w:tcW w:type="dxa" w:w="2339"/>
          </w:tcPr>
          <w:p>
            <w:r>
              <w:rPr>
                <w:sz w:val="20"/>
              </w:rPr>
              <w:t>BETASAL</w:t>
            </w:r>
          </w:p>
        </w:tc>
        <w:tc>
          <w:tcPr>
            <w:tcW w:type="dxa" w:w="2339"/>
          </w:tcPr>
          <w:p>
            <w:r>
              <w:rPr>
                <w:sz w:val="20"/>
              </w:rPr>
              <w:t>Bétaméthasone dipropionate 0,05 % + acide salicylique 3 %</w:t>
            </w:r>
          </w:p>
        </w:tc>
        <w:tc>
          <w:tcPr>
            <w:tcW w:type="dxa" w:w="2339"/>
          </w:tcPr>
          <w:p>
            <w:r>
              <w:rPr>
                <w:sz w:val="20"/>
              </w:rPr>
              <w:t>Dermatoses hyperkératosiques (psoriasis, lichen)</w:t>
            </w:r>
          </w:p>
        </w:tc>
        <w:tc>
          <w:tcPr>
            <w:tcW w:type="dxa" w:w="2339"/>
          </w:tcPr>
          <w:p>
            <w:r>
              <w:rPr>
                <w:sz w:val="20"/>
              </w:rPr>
              <w:t>Retrait</w:t>
            </w:r>
          </w:p>
        </w:tc>
      </w:tr>
      <w:tr>
        <w:tc>
          <w:tcPr>
            <w:tcW w:type="dxa" w:w="2339"/>
          </w:tcPr>
          <w:p>
            <w:r>
              <w:rPr>
                <w:sz w:val="20"/>
              </w:rPr>
              <w:t>DIPROSALIC</w:t>
            </w:r>
          </w:p>
        </w:tc>
        <w:tc>
          <w:tcPr>
            <w:tcW w:type="dxa" w:w="2339"/>
          </w:tcPr>
          <w:p>
            <w:r>
              <w:rPr>
                <w:sz w:val="20"/>
              </w:rPr>
              <w:t>Bétaméthasone dipropionate 0,05 % + acide salicylique 3 %</w:t>
            </w:r>
          </w:p>
        </w:tc>
        <w:tc>
          <w:tcPr>
            <w:tcW w:type="dxa" w:w="2339"/>
          </w:tcPr>
          <w:p>
            <w:r>
              <w:rPr>
                <w:sz w:val="20"/>
              </w:rPr>
              <w:t>Dermatoses hyperkératosiques (psoriasis, lichen)</w:t>
            </w:r>
          </w:p>
        </w:tc>
        <w:tc>
          <w:tcPr>
            <w:tcW w:type="dxa" w:w="2339"/>
          </w:tcPr>
          <w:p>
            <w:r>
              <w:rPr>
                <w:sz w:val="20"/>
              </w:rPr>
              <w:t>Retrait</w:t>
            </w:r>
          </w:p>
        </w:tc>
      </w:tr>
    </w:tbl>
    <w:p/>
    <w:p>
      <w:r/>
      <w:r>
        <w:rPr>
          <w:b/>
        </w:rPr>
        <w:t>Bon usage des associations fixes :</w:t>
      </w:r>
      <w:r/>
    </w:p>
    <w:p>
      <w:pPr>
        <w:pStyle w:val="ListBullet"/>
      </w:pPr>
      <w:r>
        <w:t>Ne pas prolonger l'usage au-delà de 7–10 jours pour les associations contenant un antibiotique (risque de résistance bactérienne et de sensibilisation cutanée).</w:t>
      </w:r>
    </w:p>
    <w:p>
      <w:pPr>
        <w:pStyle w:val="ListBullet"/>
      </w:pPr>
      <w:r>
        <w:t>Réserver les associations contenant un kératolytique (acide salicylique) aux dermatoses hyperkératosiques ; éviter sur peau lésée suintante (irritation).</w:t>
      </w:r>
    </w:p>
    <w:p>
      <w:pPr>
        <w:pStyle w:val="ListBullet"/>
      </w:pPr>
      <w:r>
        <w:t>Vérifier l'absence d'allergie à l'un des composants avant prescription (notamment à la néomycine).</w:t>
      </w:r>
    </w:p>
    <w:p>
      <w:pPr>
        <w:pStyle w:val="ListBullet"/>
      </w:pPr>
      <w:r>
        <w:t>Ne pas associer plusieurs spécialités contenant le même principe actif (risque de surdosage).</w:t>
      </w:r>
    </w:p>
    <w:p>
      <w:pPr>
        <w:pStyle w:val="Heading3"/>
      </w:pPr>
      <w:r>
        <w:t>122.8.7 Précautions particulières selon le profil de patient</w:t>
      </w:r>
    </w:p>
    <w:p>
      <w:r/>
      <w:r>
        <w:rPr>
          <w:b/>
        </w:rPr>
        <w:t>Chez l'enfant :</w:t>
      </w:r>
      <w:r/>
    </w:p>
    <w:p>
      <w:pPr>
        <w:pStyle w:val="ListBullet"/>
      </w:pPr>
      <w:r>
        <w:t>Préférer les dermocorticoïdes de palier faible à modérée (hydrocortisone 17-butyrate, acéponate, prednicarbate).</w:t>
      </w:r>
    </w:p>
    <w:p>
      <w:pPr>
        <w:pStyle w:val="ListBullet"/>
      </w:pPr>
      <w:r>
        <w:t>Limiter la surface traitée à &lt; 10 % de la surface corporelle.</w:t>
      </w:r>
    </w:p>
    <w:p>
      <w:pPr>
        <w:pStyle w:val="ListBullet"/>
      </w:pPr>
      <w:r>
        <w:t>Durée maximale de 3–4 semaines en continu.</w:t>
      </w:r>
    </w:p>
    <w:p>
      <w:pPr>
        <w:pStyle w:val="ListBullet"/>
      </w:pPr>
      <w:r>
        <w:t>Surveillance de la croissance (taille, poids) tous les 3 mois en cas d'usage prolongé.</w:t>
      </w:r>
    </w:p>
    <w:p>
      <w:pPr>
        <w:pStyle w:val="ListBullet"/>
      </w:pPr>
      <w:r>
        <w:t>Éviction de la classe I (clobétasol) chez l'enfant de moins de 12 ans.</w:t>
      </w:r>
    </w:p>
    <w:p>
      <w:pPr>
        <w:pStyle w:val="ListBullet"/>
      </w:pPr>
      <w:r>
        <w:t>Stratégie « weekend therapy » possible dans la dermatite atopique de l'enfant.</w:t>
      </w:r>
    </w:p>
    <w:p>
      <w:pPr>
        <w:pStyle w:val="ListBullet"/>
      </w:pPr>
      <w:r>
        <w:t>Association systématique à un émollient en alternance pour réduire la quantité totale de dermocorticoïde.</w:t>
      </w:r>
    </w:p>
    <w:p>
      <w:r/>
      <w:r>
        <w:rPr>
          <w:b/>
        </w:rPr>
        <w:t>Chez la femme enceinte :</w:t>
      </w:r>
      <w:r/>
    </w:p>
    <w:p>
      <w:pPr>
        <w:pStyle w:val="ListBullet"/>
      </w:pPr>
      <w:r>
        <w:t>Préférer les dermocorticoïdes de palier faible à modérée (hydrocortisone 17-butyrate, acéponate, prednicarbate) en première intention.</w:t>
      </w:r>
    </w:p>
    <w:p>
      <w:pPr>
        <w:pStyle w:val="ListBullet"/>
      </w:pPr>
      <w:r>
        <w:t>Limiter la surface traitée à &lt; 10 % de la surface corporelle.</w:t>
      </w:r>
    </w:p>
    <w:p>
      <w:pPr>
        <w:pStyle w:val="ListBullet"/>
      </w:pPr>
      <w:r>
        <w:t>Durée maximale de 2–4 semaines en continu.</w:t>
      </w:r>
    </w:p>
    <w:p>
      <w:pPr>
        <w:pStyle w:val="ListBullet"/>
      </w:pPr>
      <w:r>
        <w:t>Au 1er trimestre, préférer l'hydrocortisone ; les autres paliers sont à éviter par précaution.</w:t>
      </w:r>
    </w:p>
    <w:p>
      <w:pPr>
        <w:pStyle w:val="ListBullet"/>
      </w:pPr>
      <w:r>
        <w:t>Au 2e et 3e trimestre, paliers III et II possibles sur surface limitée et durée courte.</w:t>
      </w:r>
    </w:p>
    <w:p>
      <w:pPr>
        <w:pStyle w:val="ListBullet"/>
      </w:pPr>
      <w:r>
        <w:t>Éviction de la classe I (clobétasol) sauf nécessité absolue dermatologique.</w:t>
      </w:r>
    </w:p>
    <w:p>
      <w:pPr>
        <w:pStyle w:val="ListBullet"/>
      </w:pPr>
      <w:r>
        <w:t>Surveillance échographique de la croissance fœtale en cas d'usage prolongé étendu.</w:t>
      </w:r>
    </w:p>
    <w:p>
      <w:r/>
      <w:r>
        <w:rPr>
          <w:b/>
        </w:rPr>
        <w:t>Chez le sujet âgé :</w:t>
      </w:r>
      <w:r/>
    </w:p>
    <w:p>
      <w:pPr>
        <w:pStyle w:val="ListBullet"/>
      </w:pPr>
      <w:r>
        <w:t>Préférer les dermocorticoïdes de palier faible à modérée (risque majoré d'atrophie cutanée sénile et de purpura de Bateman).</w:t>
      </w:r>
    </w:p>
    <w:p>
      <w:pPr>
        <w:pStyle w:val="ListBullet"/>
      </w:pPr>
      <w:r>
        <w:t>Surveillance de la tension artérielle, de la glycémie, de l'état psychiatrique en cas d'usage prolongé.</w:t>
      </w:r>
    </w:p>
    <w:p>
      <w:pPr>
        <w:pStyle w:val="ListBullet"/>
      </w:pPr>
      <w:r>
        <w:t>Prudence en cas d'insuffisance cardiaque, rénale ou hépatique.</w:t>
      </w:r>
    </w:p>
    <w:p>
      <w:pPr>
        <w:pStyle w:val="ListBullet"/>
      </w:pPr>
      <w:r>
        <w:t>Prudence en cas d'ostéoporose préexistante (risque majoré en cas d'absorption systémique).</w:t>
      </w:r>
    </w:p>
    <w:p>
      <w:r/>
      <w:r>
        <w:rPr>
          <w:b/>
        </w:rPr>
        <w:t>Chez l'insuffisant rénal :</w:t>
      </w:r>
      <w:r/>
    </w:p>
    <w:p>
      <w:pPr>
        <w:pStyle w:val="ListBullet"/>
      </w:pPr>
      <w:r>
        <w:t>Prudence avec les associations contenant de l'acide salicylique (FLUSAL, CORSALIC) en raison du risque d'accumulation systémique.</w:t>
      </w:r>
    </w:p>
    <w:p>
      <w:pPr>
        <w:pStyle w:val="ListBullet"/>
      </w:pPr>
      <w:r>
        <w:t>Surveillance de la créatininémie en cas d'usage étendu.</w:t>
      </w:r>
    </w:p>
    <w:p>
      <w:r/>
      <w:r>
        <w:rPr>
          <w:b/>
        </w:rPr>
        <w:t>Chez le patient VIH+ :</w:t>
      </w:r>
      <w:r/>
    </w:p>
    <w:p>
      <w:pPr>
        <w:pStyle w:val="ListBullet"/>
      </w:pPr>
      <w:r>
        <w:t>Prudence absolue avec les dermocorticoïdes (et particulièrement la fluticasone) en cas de traitement par ritonavir ou autre inhibiteur puissant du CYP3A4 (risque majeur de syndrome de Cushing iatrogène).</w:t>
      </w:r>
    </w:p>
    <w:p>
      <w:pPr>
        <w:pStyle w:val="ListBullet"/>
      </w:pPr>
      <w:r>
        <w:t>Préférer des alternatives non métabolisées par le CYP3A4 (béclométhasine, ciclesonide pour les voies inhalée et nasale ; bétaméthasone, hydrocortisone pour la voie dermique).</w:t>
      </w:r>
    </w:p>
    <w:p>
      <w:pPr>
        <w:pStyle w:val="Heading3"/>
      </w:pPr>
      <w:r>
        <w:t>122.8.8 Pharmacopée disponible en Algérie — Synthèse par palier</w:t>
      </w:r>
    </w:p>
    <w:p>
      <w:r>
        <w:t>Le marché algérien des dermocorticoïdes est mature et diversifié, avec une forte représentation des génériques nationaux (El Kendi, Biopharm, Novapharm, Saidal, Biogalenic, Physiopharm, Onyx, Pharmagreb, Hupp Pharma, etc.) et une présence historique de laboratoires étrangers (GlaxoSmithKline, MSD, Schering-Plough, Galderma, Cheplapharm, Ferrer Internacional, Jamjoom, Cipla, etc.). Cette diversité garantit une accessibilité économique satisfaisante, mais expose le pharmacien à des confusions possibles entre esters, formes galéniques et dosages.</w:t>
      </w:r>
    </w:p>
    <w:p>
      <w:r/>
      <w:r>
        <w:rPr>
          <w:b/>
        </w:rPr>
        <w:t>Tableau récapitulatif des génériques disponibles par DCI et par palier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Palier</w:t>
            </w:r>
          </w:p>
        </w:tc>
        <w:tc>
          <w:tcPr>
            <w:tcW w:type="dxa" w:w="1559"/>
          </w:tcPr>
          <w:p>
            <w:r>
              <w:rPr>
                <w:b/>
                <w:sz w:val="20"/>
              </w:rPr>
              <w:t>Nombre de spécialités actives</w:t>
            </w:r>
          </w:p>
        </w:tc>
        <w:tc>
          <w:tcPr>
            <w:tcW w:type="dxa" w:w="1559"/>
          </w:tcPr>
          <w:p>
            <w:r>
              <w:rPr>
                <w:b/>
                <w:sz w:val="20"/>
              </w:rPr>
              <w:t>Laboratoires nationaux principaux</w:t>
            </w:r>
          </w:p>
        </w:tc>
        <w:tc>
          <w:tcPr>
            <w:tcW w:type="dxa" w:w="1559"/>
          </w:tcPr>
          <w:p>
            <w:r>
              <w:rPr>
                <w:b/>
                <w:sz w:val="20"/>
              </w:rPr>
              <w:t>Laboratoires étrangers principaux</w:t>
            </w:r>
          </w:p>
        </w:tc>
        <w:tc>
          <w:tcPr>
            <w:tcW w:type="dxa" w:w="1559"/>
          </w:tcPr>
          <w:p>
            <w:r>
              <w:rPr>
                <w:b/>
                <w:sz w:val="20"/>
              </w:rPr>
              <w:t>Disponibilité économique</w:t>
            </w:r>
          </w:p>
        </w:tc>
      </w:tr>
      <w:tr>
        <w:tc>
          <w:tcPr>
            <w:tcW w:type="dxa" w:w="1559"/>
          </w:tcPr>
          <w:p>
            <w:r>
              <w:rPr>
                <w:sz w:val="20"/>
              </w:rPr>
              <w:t>Clobétasol propionate</w:t>
            </w:r>
          </w:p>
        </w:tc>
        <w:tc>
          <w:tcPr>
            <w:tcW w:type="dxa" w:w="1559"/>
          </w:tcPr>
          <w:p>
            <w:r>
              <w:rPr>
                <w:sz w:val="20"/>
              </w:rPr>
              <w:t>I</w:t>
            </w:r>
          </w:p>
        </w:tc>
        <w:tc>
          <w:tcPr>
            <w:tcW w:type="dxa" w:w="1559"/>
          </w:tcPr>
          <w:p>
            <w:r>
              <w:rPr>
                <w:sz w:val="20"/>
              </w:rPr>
              <w:t>5</w:t>
            </w:r>
          </w:p>
        </w:tc>
        <w:tc>
          <w:tcPr>
            <w:tcW w:type="dxa" w:w="1559"/>
          </w:tcPr>
          <w:p>
            <w:r>
              <w:rPr>
                <w:sz w:val="20"/>
              </w:rPr>
              <w:t>El Kendi, Biopharm, Novapharm</w:t>
            </w:r>
          </w:p>
        </w:tc>
        <w:tc>
          <w:tcPr>
            <w:tcW w:type="dxa" w:w="1559"/>
          </w:tcPr>
          <w:p>
            <w:r>
              <w:rPr>
                <w:sz w:val="20"/>
              </w:rPr>
              <w:t>Jamjoom</w:t>
            </w:r>
          </w:p>
        </w:tc>
        <w:tc>
          <w:tcPr>
            <w:tcW w:type="dxa" w:w="1559"/>
          </w:tcPr>
          <w:p>
            <w:r>
              <w:rPr>
                <w:sz w:val="20"/>
              </w:rPr>
              <w:t>Bonne</w:t>
            </w:r>
          </w:p>
        </w:tc>
      </w:tr>
      <w:tr>
        <w:tc>
          <w:tcPr>
            <w:tcW w:type="dxa" w:w="1559"/>
          </w:tcPr>
          <w:p>
            <w:r>
              <w:rPr>
                <w:sz w:val="20"/>
              </w:rPr>
              <w:t>Bétaméthasone (valérate, dipropionate)</w:t>
            </w:r>
          </w:p>
        </w:tc>
        <w:tc>
          <w:tcPr>
            <w:tcW w:type="dxa" w:w="1559"/>
          </w:tcPr>
          <w:p>
            <w:r>
              <w:rPr>
                <w:sz w:val="20"/>
              </w:rPr>
              <w:t>II</w:t>
            </w:r>
          </w:p>
        </w:tc>
        <w:tc>
          <w:tcPr>
            <w:tcW w:type="dxa" w:w="1559"/>
          </w:tcPr>
          <w:p>
            <w:r>
              <w:rPr>
                <w:sz w:val="20"/>
              </w:rPr>
              <w:t>19</w:t>
            </w:r>
          </w:p>
        </w:tc>
        <w:tc>
          <w:tcPr>
            <w:tcW w:type="dxa" w:w="1559"/>
          </w:tcPr>
          <w:p>
            <w:r>
              <w:rPr>
                <w:sz w:val="20"/>
              </w:rPr>
              <w:t>Biopharm, Novapharm, Saidal, Biogalenic, Physiopharm, Onyx, El Kendi</w:t>
            </w:r>
          </w:p>
        </w:tc>
        <w:tc>
          <w:tcPr>
            <w:tcW w:type="dxa" w:w="1559"/>
          </w:tcPr>
          <w:p>
            <w:r>
              <w:rPr>
                <w:sz w:val="20"/>
              </w:rPr>
              <w:t>EPICO</w:t>
            </w:r>
          </w:p>
        </w:tc>
        <w:tc>
          <w:tcPr>
            <w:tcW w:type="dxa" w:w="1559"/>
          </w:tcPr>
          <w:p>
            <w:r>
              <w:rPr>
                <w:sz w:val="20"/>
              </w:rPr>
              <w:t>Excellente</w:t>
            </w:r>
          </w:p>
        </w:tc>
      </w:tr>
      <w:tr>
        <w:tc>
          <w:tcPr>
            <w:tcW w:type="dxa" w:w="1559"/>
          </w:tcPr>
          <w:p>
            <w:r>
              <w:rPr>
                <w:sz w:val="20"/>
              </w:rPr>
              <w:t>Mométasone furoate</w:t>
            </w:r>
          </w:p>
        </w:tc>
        <w:tc>
          <w:tcPr>
            <w:tcW w:type="dxa" w:w="1559"/>
          </w:tcPr>
          <w:p>
            <w:r>
              <w:rPr>
                <w:sz w:val="20"/>
              </w:rPr>
              <w:t>III</w:t>
            </w:r>
          </w:p>
        </w:tc>
        <w:tc>
          <w:tcPr>
            <w:tcW w:type="dxa" w:w="1559"/>
          </w:tcPr>
          <w:p>
            <w:r>
              <w:rPr>
                <w:sz w:val="20"/>
              </w:rPr>
              <w:t>5 (dermiques) + 8 (nasales)</w:t>
            </w:r>
          </w:p>
        </w:tc>
        <w:tc>
          <w:tcPr>
            <w:tcW w:type="dxa" w:w="1559"/>
          </w:tcPr>
          <w:p>
            <w:r>
              <w:rPr>
                <w:sz w:val="20"/>
              </w:rPr>
              <w:t>Novapharm, Biogalenic, Inpha-Medis, Neomedic, Hupp Pharma, Tabuk</w:t>
            </w:r>
          </w:p>
        </w:tc>
        <w:tc>
          <w:tcPr>
            <w:tcW w:type="dxa" w:w="1559"/>
          </w:tcPr>
          <w:p>
            <w:r>
              <w:rPr>
                <w:sz w:val="20"/>
              </w:rPr>
              <w:t>Jamjoom, Beit Jala, Philadelphia, Schering-Plough, World Medecine</w:t>
            </w:r>
          </w:p>
        </w:tc>
        <w:tc>
          <w:tcPr>
            <w:tcW w:type="dxa" w:w="1559"/>
          </w:tcPr>
          <w:p>
            <w:r>
              <w:rPr>
                <w:sz w:val="20"/>
              </w:rPr>
              <w:t>Bonne</w:t>
            </w:r>
          </w:p>
        </w:tc>
      </w:tr>
      <w:tr>
        <w:tc>
          <w:tcPr>
            <w:tcW w:type="dxa" w:w="1559"/>
          </w:tcPr>
          <w:p>
            <w:r>
              <w:rPr>
                <w:sz w:val="20"/>
              </w:rPr>
              <w:t>Fluticasone (propionate, furoate)</w:t>
            </w:r>
          </w:p>
        </w:tc>
        <w:tc>
          <w:tcPr>
            <w:tcW w:type="dxa" w:w="1559"/>
          </w:tcPr>
          <w:p>
            <w:r>
              <w:rPr>
                <w:sz w:val="20"/>
              </w:rPr>
              <w:t>III</w:t>
            </w:r>
          </w:p>
        </w:tc>
        <w:tc>
          <w:tcPr>
            <w:tcW w:type="dxa" w:w="1559"/>
          </w:tcPr>
          <w:p>
            <w:r>
              <w:rPr>
                <w:sz w:val="20"/>
              </w:rPr>
              <w:t>8 (inhalées) + 9 (nasales)</w:t>
            </w:r>
          </w:p>
        </w:tc>
        <w:tc>
          <w:tcPr>
            <w:tcW w:type="dxa" w:w="1559"/>
          </w:tcPr>
          <w:p>
            <w:r>
              <w:rPr>
                <w:sz w:val="20"/>
              </w:rPr>
              <w:t>Novapharm, Biogalenic, Inpha-Medis, Neomedic, Hupp Pharma, Biopharm, Biogenal</w:t>
            </w:r>
          </w:p>
        </w:tc>
        <w:tc>
          <w:tcPr>
            <w:tcW w:type="dxa" w:w="1559"/>
          </w:tcPr>
          <w:p>
            <w:r>
              <w:rPr>
                <w:sz w:val="20"/>
              </w:rPr>
              <w:t>GlaxoSmithKline, Cipla, World Medecine</w:t>
            </w:r>
          </w:p>
        </w:tc>
        <w:tc>
          <w:tcPr>
            <w:tcW w:type="dxa" w:w="1559"/>
          </w:tcPr>
          <w:p>
            <w:r>
              <w:rPr>
                <w:sz w:val="20"/>
              </w:rPr>
              <w:t>Excellente</w:t>
            </w:r>
          </w:p>
        </w:tc>
      </w:tr>
      <w:tr>
        <w:tc>
          <w:tcPr>
            <w:tcW w:type="dxa" w:w="1559"/>
          </w:tcPr>
          <w:p>
            <w:r>
              <w:rPr>
                <w:sz w:val="20"/>
              </w:rPr>
              <w:t>Fluocinolone acétonide</w:t>
            </w:r>
          </w:p>
        </w:tc>
        <w:tc>
          <w:tcPr>
            <w:tcW w:type="dxa" w:w="1559"/>
          </w:tcPr>
          <w:p>
            <w:r>
              <w:rPr>
                <w:sz w:val="20"/>
              </w:rPr>
              <w:t>III</w:t>
            </w:r>
          </w:p>
        </w:tc>
        <w:tc>
          <w:tcPr>
            <w:tcW w:type="dxa" w:w="1559"/>
          </w:tcPr>
          <w:p>
            <w:r>
              <w:rPr>
                <w:sz w:val="20"/>
              </w:rPr>
              <w:t>2 (otologiques)</w:t>
            </w:r>
          </w:p>
        </w:tc>
        <w:tc>
          <w:tcPr>
            <w:tcW w:type="dxa" w:w="1559"/>
          </w:tcPr>
          <w:p>
            <w:r>
              <w:rPr>
                <w:sz w:val="20"/>
              </w:rPr>
              <w:t>Gencopharm</w:t>
            </w:r>
          </w:p>
        </w:tc>
        <w:tc>
          <w:tcPr>
            <w:tcW w:type="dxa" w:w="1559"/>
          </w:tcPr>
          <w:p>
            <w:r>
              <w:rPr>
                <w:sz w:val="20"/>
              </w:rPr>
              <w:t>Crovis Philcom</w:t>
            </w:r>
          </w:p>
        </w:tc>
        <w:tc>
          <w:tcPr>
            <w:tcW w:type="dxa" w:w="1559"/>
          </w:tcPr>
          <w:p>
            <w:r>
              <w:rPr>
                <w:sz w:val="20"/>
              </w:rPr>
              <w:t>Limitée</w:t>
            </w:r>
          </w:p>
        </w:tc>
      </w:tr>
      <w:tr>
        <w:tc>
          <w:tcPr>
            <w:tcW w:type="dxa" w:w="1559"/>
          </w:tcPr>
          <w:p>
            <w:r>
              <w:rPr>
                <w:sz w:val="20"/>
              </w:rPr>
              <w:t>Fluméthasone pivalate</w:t>
            </w:r>
          </w:p>
        </w:tc>
        <w:tc>
          <w:tcPr>
            <w:tcW w:type="dxa" w:w="1559"/>
          </w:tcPr>
          <w:p>
            <w:r>
              <w:rPr>
                <w:sz w:val="20"/>
              </w:rPr>
              <w:t>III</w:t>
            </w:r>
          </w:p>
        </w:tc>
        <w:tc>
          <w:tcPr>
            <w:tcW w:type="dxa" w:w="1559"/>
          </w:tcPr>
          <w:p>
            <w:r>
              <w:rPr>
                <w:sz w:val="20"/>
              </w:rPr>
              <w:t>0 (active)</w:t>
            </w:r>
          </w:p>
        </w:tc>
        <w:tc>
          <w:tcPr>
            <w:tcW w:type="dxa" w:w="1559"/>
          </w:tcPr>
          <w:p>
            <w:r>
              <w:rPr>
                <w:sz w:val="20"/>
              </w:rPr>
              <w:t>—</w:t>
            </w:r>
          </w:p>
        </w:tc>
        <w:tc>
          <w:tcPr>
            <w:tcW w:type="dxa" w:w="1559"/>
          </w:tcPr>
          <w:p>
            <w:r>
              <w:rPr>
                <w:sz w:val="20"/>
              </w:rPr>
              <w:t>— (Crovis Philcom non renouvelable)</w:t>
            </w:r>
          </w:p>
        </w:tc>
        <w:tc>
          <w:tcPr>
            <w:tcW w:type="dxa" w:w="1559"/>
          </w:tcPr>
          <w:p>
            <w:r>
              <w:rPr>
                <w:sz w:val="20"/>
              </w:rPr>
              <w:t>Indisponible</w:t>
            </w:r>
          </w:p>
        </w:tc>
      </w:tr>
      <w:tr>
        <w:tc>
          <w:tcPr>
            <w:tcW w:type="dxa" w:w="1559"/>
          </w:tcPr>
          <w:p>
            <w:r>
              <w:rPr>
                <w:sz w:val="20"/>
              </w:rPr>
              <w:t>Hydrocortisone</w:t>
            </w:r>
          </w:p>
        </w:tc>
        <w:tc>
          <w:tcPr>
            <w:tcW w:type="dxa" w:w="1559"/>
          </w:tcPr>
          <w:p>
            <w:r>
              <w:rPr>
                <w:sz w:val="20"/>
              </w:rPr>
              <w:t>IV–V</w:t>
            </w:r>
          </w:p>
        </w:tc>
        <w:tc>
          <w:tcPr>
            <w:tcW w:type="dxa" w:w="1559"/>
          </w:tcPr>
          <w:p>
            <w:r>
              <w:rPr>
                <w:sz w:val="20"/>
              </w:rPr>
              <w:t>8 (dermiques)</w:t>
            </w:r>
          </w:p>
        </w:tc>
        <w:tc>
          <w:tcPr>
            <w:tcW w:type="dxa" w:w="1559"/>
          </w:tcPr>
          <w:p>
            <w:r>
              <w:rPr>
                <w:sz w:val="20"/>
              </w:rPr>
              <w:t>Novapharm</w:t>
            </w:r>
          </w:p>
        </w:tc>
        <w:tc>
          <w:tcPr>
            <w:tcW w:type="dxa" w:w="1559"/>
          </w:tcPr>
          <w:p>
            <w:r>
              <w:rPr>
                <w:sz w:val="20"/>
              </w:rPr>
              <w:t>Galderma, Cheplapharm, Astellas</w:t>
            </w:r>
          </w:p>
        </w:tc>
        <w:tc>
          <w:tcPr>
            <w:tcW w:type="dxa" w:w="1559"/>
          </w:tcPr>
          <w:p>
            <w:r>
              <w:rPr>
                <w:sz w:val="20"/>
              </w:rPr>
              <w:t>Bonne</w:t>
            </w:r>
          </w:p>
        </w:tc>
      </w:tr>
      <w:tr>
        <w:tc>
          <w:tcPr>
            <w:tcW w:type="dxa" w:w="1559"/>
          </w:tcPr>
          <w:p>
            <w:r>
              <w:rPr>
                <w:sz w:val="20"/>
              </w:rPr>
              <w:t>Prednicarbate</w:t>
            </w:r>
          </w:p>
        </w:tc>
        <w:tc>
          <w:tcPr>
            <w:tcW w:type="dxa" w:w="1559"/>
          </w:tcPr>
          <w:p>
            <w:r>
              <w:rPr>
                <w:sz w:val="20"/>
              </w:rPr>
              <w:t>III</w:t>
            </w:r>
          </w:p>
        </w:tc>
        <w:tc>
          <w:tcPr>
            <w:tcW w:type="dxa" w:w="1559"/>
          </w:tcPr>
          <w:p>
            <w:r>
              <w:rPr>
                <w:sz w:val="20"/>
              </w:rPr>
              <w:t>1</w:t>
            </w:r>
          </w:p>
        </w:tc>
        <w:tc>
          <w:tcPr>
            <w:tcW w:type="dxa" w:w="1559"/>
          </w:tcPr>
          <w:p>
            <w:r>
              <w:rPr>
                <w:sz w:val="20"/>
              </w:rPr>
              <w:t>—</w:t>
            </w:r>
          </w:p>
        </w:tc>
        <w:tc>
          <w:tcPr>
            <w:tcW w:type="dxa" w:w="1559"/>
          </w:tcPr>
          <w:p>
            <w:r>
              <w:rPr>
                <w:sz w:val="20"/>
              </w:rPr>
              <w:t>Ferrer Internacional</w:t>
            </w:r>
          </w:p>
        </w:tc>
        <w:tc>
          <w:tcPr>
            <w:tcW w:type="dxa" w:w="1559"/>
          </w:tcPr>
          <w:p>
            <w:r>
              <w:rPr>
                <w:sz w:val="20"/>
              </w:rPr>
              <w:t>Limitée</w:t>
            </w:r>
          </w:p>
        </w:tc>
      </w:tr>
      <w:tr>
        <w:tc>
          <w:tcPr>
            <w:tcW w:type="dxa" w:w="1559"/>
          </w:tcPr>
          <w:p>
            <w:r>
              <w:rPr>
                <w:sz w:val="20"/>
              </w:rPr>
              <w:t>Triamcinolone acétonide</w:t>
            </w:r>
          </w:p>
        </w:tc>
        <w:tc>
          <w:tcPr>
            <w:tcW w:type="dxa" w:w="1559"/>
          </w:tcPr>
          <w:p>
            <w:r>
              <w:rPr>
                <w:sz w:val="20"/>
              </w:rPr>
              <w:t>III</w:t>
            </w:r>
          </w:p>
        </w:tc>
        <w:tc>
          <w:tcPr>
            <w:tcW w:type="dxa" w:w="1559"/>
          </w:tcPr>
          <w:p>
            <w:r>
              <w:rPr>
                <w:sz w:val="20"/>
              </w:rPr>
              <w:t>5 (injectables) + 7 (nasales) + 1 (ophtalmique)</w:t>
            </w:r>
          </w:p>
        </w:tc>
        <w:tc>
          <w:tcPr>
            <w:tcW w:type="dxa" w:w="1559"/>
          </w:tcPr>
          <w:p>
            <w:r>
              <w:rPr>
                <w:sz w:val="20"/>
              </w:rPr>
              <w:t>Biogalenic, Hupp Pharma, Novapharm, Inpha-Medis, Neomedic, Generic Lab, Biothera, Nadpharmadic, Lisapharma</w:t>
            </w:r>
          </w:p>
        </w:tc>
        <w:tc>
          <w:tcPr>
            <w:tcW w:type="dxa" w:w="1559"/>
          </w:tcPr>
          <w:p>
            <w:r>
              <w:rPr>
                <w:sz w:val="20"/>
              </w:rPr>
              <w:t>Bristol-Myers Squibb, Crovis Philcom</w:t>
            </w:r>
          </w:p>
        </w:tc>
        <w:tc>
          <w:tcPr>
            <w:tcW w:type="dxa" w:w="1559"/>
          </w:tcPr>
          <w:p>
            <w:r>
              <w:rPr>
                <w:sz w:val="20"/>
              </w:rPr>
              <w:t>Bonne</w:t>
            </w:r>
          </w:p>
        </w:tc>
      </w:tr>
    </w:tbl>
    <w:p/>
    <w:p>
      <w:r/>
      <w:r>
        <w:rPr>
          <w:b/>
        </w:rPr>
        <w:t>Constatations sur la disponibilité :</w:t>
      </w:r>
      <w:r/>
    </w:p>
    <w:p>
      <w:pPr>
        <w:pStyle w:val="ListBullet"/>
      </w:pPr>
      <w:r>
        <w:t>Le marché algérien couvre tous les paliers d'activité avec au moins une spécialité active.</w:t>
      </w:r>
    </w:p>
    <w:p>
      <w:pPr>
        <w:pStyle w:val="ListBullet"/>
      </w:pPr>
      <w:r>
        <w:t>La fluméthasone pivalate (FLUSAL) n'est plus disponible en forme active, ce qui expose les patients à une rupture d'approvisionnement pour les dermatoses hyperkératosiques (alternative : CORSALIC, mométasone + acide salicylique).</w:t>
      </w:r>
    </w:p>
    <w:p>
      <w:pPr>
        <w:pStyle w:val="ListBullet"/>
      </w:pPr>
      <w:r>
        <w:t>La fluocinolone acétonide dermique pure n'est pas disponible en Algérie (seule l'association otologique OTOCROVIS est active).</w:t>
      </w:r>
    </w:p>
    <w:p>
      <w:pPr>
        <w:pStyle w:val="ListBullet"/>
      </w:pPr>
      <w:r>
        <w:t>La fluticasone propionate dermique pure n'est pas disponible en Algérie (Cutivate® non commercialisé) ; les alternatives de même palier sont la mométasone et la bétaméthasone.</w:t>
      </w:r>
    </w:p>
    <w:p>
      <w:pPr>
        <w:pStyle w:val="ListBullet"/>
      </w:pPr>
      <w:r>
        <w:t>La triamcinolone acétonide dermique pure n'est pas disponible en Algérie en forme active (Aristocort®, Kenacort® dermique non commercialisés) ; l'alternative de même palier est le prednicarbate (PEITEL).</w:t>
      </w:r>
    </w:p>
    <w:p>
      <w:pPr>
        <w:pStyle w:val="Heading3"/>
      </w:pPr>
      <w:r>
        <w:t>122.8.9 Points critiques de la dispensation en officine</w:t>
      </w:r>
    </w:p>
    <w:p>
      <w:r>
        <w:t>Le pharmacien d'officine joue un rôle pivot dans la sécurisation de l'usage des dermocorticoïdes, particulièrement en Algérie où l'accès au spécialiste dermatologue peut être limité et où l'automédication est fréquente. Plusieurs points méritent une vigilance particulière :</w:t>
      </w:r>
    </w:p>
    <w:p>
      <w:r/>
      <w:r>
        <w:rPr>
          <w:b/>
        </w:rPr>
        <w:t>1. Vérification de la prescription :</w:t>
      </w:r>
      <w:r>
        <w:t xml:space="preserve"> S'assurer que la prescription provient d'un médecin (généraliste ou spécialiste), qu'elle mentionne clairement la DCI, l'ester, le dosage, la forme galénique, la quantité et la durée. En cas de prescription ambiguë ou de dosage inhabituel, contacter le prescripteur pour clarification. Ne jamais substituer un ester par un autre sans avis médical.</w:t>
      </w:r>
    </w:p>
    <w:p>
      <w:r/>
      <w:r>
        <w:rPr>
          <w:b/>
        </w:rPr>
        <w:t>2. Détection de l'automédication inappropriée :</w:t>
      </w:r>
      <w:r>
        <w:t xml:space="preserve"> Identifier les patients qui demandent un dermocorticoïde sans prescription, particulièrement pour le visage, les plis, les muqueuses, ou chez l'enfant. Orienter vers une consultation médicale. Refuser la délivrance de la classe I (clobétasol) sans prescription.</w:t>
      </w:r>
    </w:p>
    <w:p>
      <w:r/>
      <w:r>
        <w:rPr>
          <w:b/>
        </w:rPr>
        <w:t>3. Éducation thérapeutique :</w:t>
      </w:r>
      <w:r>
        <w:t xml:space="preserve"> Expliquer au patient la règle du FTU, la durée maximale de traitement, l'interdiction d'application sur certaines zones, les signes d'alerte à surveiller, l'importance du sevrage progressif. Distribuer des supports pédagogiques (fiches d'information, diagramme du FTU).</w:t>
      </w:r>
    </w:p>
    <w:p>
      <w:r/>
      <w:r>
        <w:rPr>
          <w:b/>
        </w:rPr>
        <w:t>4. Repérage des interactions médicamenteuses :</w:t>
      </w:r>
      <w:r>
        <w:t xml:space="preserve"> Identifier les patients sous ritonavir, itraconazole, kétoconazole, clarithromycine, et alerter le prescripteur en cas de dermocorticoïde systémiquement actif (fluticasone, mométasone). Identifier les femmes enceintes et adapter le palier si nécessaire.</w:t>
      </w:r>
    </w:p>
    <w:p>
      <w:r/>
      <w:r>
        <w:rPr>
          <w:b/>
        </w:rPr>
        <w:t>5. Surveillance de la iatrogénie :</w:t>
      </w:r>
      <w:r>
        <w:t xml:space="preserve"> En cas de renouvellement d'une prescription de dermocorticoïde au-delà de la durée recommandée, alerter le patient sur les risques d'atrophie, de dermatite rosacéiforme, de glaucome périorbitaire, et conseiller une réévaluation médicale. En cas de signes cliniques d'imprégnation cortisonique (faciès lunaire, vergetures, prise de poids, hypertension), orienter vers une consultation médicale urgente.</w:t>
      </w:r>
    </w:p>
    <w:p>
      <w:r/>
      <w:r>
        <w:rPr>
          <w:b/>
        </w:rPr>
        <w:t>6. Gestion des ruptures d'approvisionnement :</w:t>
      </w:r>
      <w:r>
        <w:t xml:space="preserve"> En cas d'indisponibilité de la spécialité prescrite, proposer une alternative de même palier et de même galénique (et non de palier supérieur ou inférieur sans avis médical). Informer le patient du caractère temporaire de la rupture et de la nécessité de ne pas interrompre le traitement.</w:t>
      </w:r>
    </w:p>
    <w:p>
      <w:r/>
      <w:r>
        <w:rPr>
          <w:b/>
        </w:rPr>
        <w:t>7. Conseil sur les émollients :</w:t>
      </w:r>
      <w:r>
        <w:t xml:space="preserve"> Toujours conseiller un émollient associé (en alternance, à 15 minutes d'intervalle minimum pour éviter la dilution du dermocorticoïde), particulièrement dans la dermatite atopique. Préférer les émollients sans parfum ni conservateur.</w:t>
      </w:r>
    </w:p>
    <w:p>
      <w:r/>
      <w:r>
        <w:rPr>
          <w:b/>
        </w:rPr>
        <w:t>8. Information sur la conservation :</w:t>
      </w:r>
      <w:r>
        <w:t xml:space="preserve"> Rappeler les conditions de conservation (température ≤ 25 °C, à l'abri de la lumière et de l'humidité, ne pas congeler), la durée d'utilisation après ouverture (3 mois en général), la nécessité de ne pas partager le tube avec un autre membre de la famille (risque de contamination).</w:t>
      </w:r>
    </w:p>
    <w:p>
      <w:pPr>
        <w:pStyle w:val="Heading3"/>
      </w:pPr>
      <w:r>
        <w:t>122.8.10 Synthèse pour la pratique officinale</w:t>
      </w:r>
    </w:p>
    <w:p>
      <w:r>
        <w:t>Le tableau ci-dessous résume les principales situations cliniques rencontrées en officine et le dermocorticoïde de choix à proposer ou à confirmer avec le prescripteur :</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Situation clinique</w:t>
            </w:r>
          </w:p>
        </w:tc>
        <w:tc>
          <w:tcPr>
            <w:tcW w:type="dxa" w:w="1871"/>
          </w:tcPr>
          <w:p>
            <w:r>
              <w:rPr>
                <w:b/>
                <w:sz w:val="20"/>
              </w:rPr>
              <w:t>DCI de choix</w:t>
            </w:r>
          </w:p>
        </w:tc>
        <w:tc>
          <w:tcPr>
            <w:tcW w:type="dxa" w:w="1871"/>
          </w:tcPr>
          <w:p>
            <w:r>
              <w:rPr>
                <w:b/>
                <w:sz w:val="20"/>
              </w:rPr>
              <w:t>Spécialité de choix</w:t>
            </w:r>
          </w:p>
        </w:tc>
        <w:tc>
          <w:tcPr>
            <w:tcW w:type="dxa" w:w="1871"/>
          </w:tcPr>
          <w:p>
            <w:r>
              <w:rPr>
                <w:b/>
                <w:sz w:val="20"/>
              </w:rPr>
              <w:t>Palier</w:t>
            </w:r>
          </w:p>
        </w:tc>
        <w:tc>
          <w:tcPr>
            <w:tcW w:type="dxa" w:w="1871"/>
          </w:tcPr>
          <w:p>
            <w:r>
              <w:rPr>
                <w:b/>
                <w:sz w:val="20"/>
              </w:rPr>
              <w:t>Durée maximale</w:t>
            </w:r>
          </w:p>
        </w:tc>
      </w:tr>
      <w:tr>
        <w:tc>
          <w:tcPr>
            <w:tcW w:type="dxa" w:w="1871"/>
          </w:tcPr>
          <w:p>
            <w:r>
              <w:rPr>
                <w:sz w:val="20"/>
              </w:rPr>
              <w:t>Eczéma aigu du visage</w:t>
            </w:r>
          </w:p>
        </w:tc>
        <w:tc>
          <w:tcPr>
            <w:tcW w:type="dxa" w:w="1871"/>
          </w:tcPr>
          <w:p>
            <w:r>
              <w:rPr>
                <w:sz w:val="20"/>
              </w:rPr>
              <w:t>Hydrocortisone 17-butyrate</w:t>
            </w:r>
          </w:p>
        </w:tc>
        <w:tc>
          <w:tcPr>
            <w:tcW w:type="dxa" w:w="1871"/>
          </w:tcPr>
          <w:p>
            <w:r>
              <w:rPr>
                <w:sz w:val="20"/>
              </w:rPr>
              <w:t>LOCOID crème, LOCACORT</w:t>
            </w:r>
          </w:p>
        </w:tc>
        <w:tc>
          <w:tcPr>
            <w:tcW w:type="dxa" w:w="1871"/>
          </w:tcPr>
          <w:p>
            <w:r>
              <w:rPr>
                <w:sz w:val="20"/>
              </w:rPr>
              <w:t>IV</w:t>
            </w:r>
          </w:p>
        </w:tc>
        <w:tc>
          <w:tcPr>
            <w:tcW w:type="dxa" w:w="1871"/>
          </w:tcPr>
          <w:p>
            <w:r>
              <w:rPr>
                <w:sz w:val="20"/>
              </w:rPr>
              <w:t>2 semaines</w:t>
            </w:r>
          </w:p>
        </w:tc>
      </w:tr>
      <w:tr>
        <w:tc>
          <w:tcPr>
            <w:tcW w:type="dxa" w:w="1871"/>
          </w:tcPr>
          <w:p>
            <w:r>
              <w:rPr>
                <w:sz w:val="20"/>
              </w:rPr>
              <w:t>Eczéma aigu des plis</w:t>
            </w:r>
          </w:p>
        </w:tc>
        <w:tc>
          <w:tcPr>
            <w:tcW w:type="dxa" w:w="1871"/>
          </w:tcPr>
          <w:p>
            <w:r>
              <w:rPr>
                <w:sz w:val="20"/>
              </w:rPr>
              <w:t>Hydrocortisone 17-butyrate</w:t>
            </w:r>
          </w:p>
        </w:tc>
        <w:tc>
          <w:tcPr>
            <w:tcW w:type="dxa" w:w="1871"/>
          </w:tcPr>
          <w:p>
            <w:r>
              <w:rPr>
                <w:sz w:val="20"/>
              </w:rPr>
              <w:t>LOCOID crème</w:t>
            </w:r>
          </w:p>
        </w:tc>
        <w:tc>
          <w:tcPr>
            <w:tcW w:type="dxa" w:w="1871"/>
          </w:tcPr>
          <w:p>
            <w:r>
              <w:rPr>
                <w:sz w:val="20"/>
              </w:rPr>
              <w:t>IV</w:t>
            </w:r>
          </w:p>
        </w:tc>
        <w:tc>
          <w:tcPr>
            <w:tcW w:type="dxa" w:w="1871"/>
          </w:tcPr>
          <w:p>
            <w:r>
              <w:rPr>
                <w:sz w:val="20"/>
              </w:rPr>
              <w:t>2 semaines</w:t>
            </w:r>
          </w:p>
        </w:tc>
      </w:tr>
      <w:tr>
        <w:tc>
          <w:tcPr>
            <w:tcW w:type="dxa" w:w="1871"/>
          </w:tcPr>
          <w:p>
            <w:r>
              <w:rPr>
                <w:sz w:val="20"/>
              </w:rPr>
              <w:t>Eczéma chronique du tronc</w:t>
            </w:r>
          </w:p>
        </w:tc>
        <w:tc>
          <w:tcPr>
            <w:tcW w:type="dxa" w:w="1871"/>
          </w:tcPr>
          <w:p>
            <w:r>
              <w:rPr>
                <w:sz w:val="20"/>
              </w:rPr>
              <w:t>Bétaméthasone valérate</w:t>
            </w:r>
          </w:p>
        </w:tc>
        <w:tc>
          <w:tcPr>
            <w:tcW w:type="dxa" w:w="1871"/>
          </w:tcPr>
          <w:p>
            <w:r>
              <w:rPr>
                <w:sz w:val="20"/>
              </w:rPr>
              <w:t>DERMASONE, CORTYX pommade</w:t>
            </w:r>
          </w:p>
        </w:tc>
        <w:tc>
          <w:tcPr>
            <w:tcW w:type="dxa" w:w="1871"/>
          </w:tcPr>
          <w:p>
            <w:r>
              <w:rPr>
                <w:sz w:val="20"/>
              </w:rPr>
              <w:t>II</w:t>
            </w:r>
          </w:p>
        </w:tc>
        <w:tc>
          <w:tcPr>
            <w:tcW w:type="dxa" w:w="1871"/>
          </w:tcPr>
          <w:p>
            <w:r>
              <w:rPr>
                <w:sz w:val="20"/>
              </w:rPr>
              <w:t>4 semaines</w:t>
            </w:r>
          </w:p>
        </w:tc>
      </w:tr>
      <w:tr>
        <w:tc>
          <w:tcPr>
            <w:tcW w:type="dxa" w:w="1871"/>
          </w:tcPr>
          <w:p>
            <w:r>
              <w:rPr>
                <w:sz w:val="20"/>
              </w:rPr>
              <w:t>Psoriasis modéré des coudes</w:t>
            </w:r>
          </w:p>
        </w:tc>
        <w:tc>
          <w:tcPr>
            <w:tcW w:type="dxa" w:w="1871"/>
          </w:tcPr>
          <w:p>
            <w:r>
              <w:rPr>
                <w:sz w:val="20"/>
              </w:rPr>
              <w:t>Bétaméthasone dipropionate</w:t>
            </w:r>
          </w:p>
        </w:tc>
        <w:tc>
          <w:tcPr>
            <w:tcW w:type="dxa" w:w="1871"/>
          </w:tcPr>
          <w:p>
            <w:r>
              <w:rPr>
                <w:sz w:val="20"/>
              </w:rPr>
              <w:t>DERMASONE, CORTYX pommade</w:t>
            </w:r>
          </w:p>
        </w:tc>
        <w:tc>
          <w:tcPr>
            <w:tcW w:type="dxa" w:w="1871"/>
          </w:tcPr>
          <w:p>
            <w:r>
              <w:rPr>
                <w:sz w:val="20"/>
              </w:rPr>
              <w:t>II</w:t>
            </w:r>
          </w:p>
        </w:tc>
        <w:tc>
          <w:tcPr>
            <w:tcW w:type="dxa" w:w="1871"/>
          </w:tcPr>
          <w:p>
            <w:r>
              <w:rPr>
                <w:sz w:val="20"/>
              </w:rPr>
              <w:t>4 semaines</w:t>
            </w:r>
          </w:p>
        </w:tc>
      </w:tr>
      <w:tr>
        <w:tc>
          <w:tcPr>
            <w:tcW w:type="dxa" w:w="1871"/>
          </w:tcPr>
          <w:p>
            <w:r>
              <w:rPr>
                <w:sz w:val="20"/>
              </w:rPr>
              <w:t>Psoriasis rebelle des genoux</w:t>
            </w:r>
          </w:p>
        </w:tc>
        <w:tc>
          <w:tcPr>
            <w:tcW w:type="dxa" w:w="1871"/>
          </w:tcPr>
          <w:p>
            <w:r>
              <w:rPr>
                <w:sz w:val="20"/>
              </w:rPr>
              <w:t>Clobétasol propionate</w:t>
            </w:r>
          </w:p>
        </w:tc>
        <w:tc>
          <w:tcPr>
            <w:tcW w:type="dxa" w:w="1871"/>
          </w:tcPr>
          <w:p>
            <w:r>
              <w:rPr>
                <w:sz w:val="20"/>
              </w:rPr>
              <w:t>CLOBECORT pommade, CLOTASOL</w:t>
            </w:r>
          </w:p>
        </w:tc>
        <w:tc>
          <w:tcPr>
            <w:tcW w:type="dxa" w:w="1871"/>
          </w:tcPr>
          <w:p>
            <w:r>
              <w:rPr>
                <w:sz w:val="20"/>
              </w:rPr>
              <w:t>I</w:t>
            </w:r>
          </w:p>
        </w:tc>
        <w:tc>
          <w:tcPr>
            <w:tcW w:type="dxa" w:w="1871"/>
          </w:tcPr>
          <w:p>
            <w:r>
              <w:rPr>
                <w:sz w:val="20"/>
              </w:rPr>
              <w:t>2 semaines</w:t>
            </w:r>
          </w:p>
        </w:tc>
      </w:tr>
      <w:tr>
        <w:tc>
          <w:tcPr>
            <w:tcW w:type="dxa" w:w="1871"/>
          </w:tcPr>
          <w:p>
            <w:r>
              <w:rPr>
                <w:sz w:val="20"/>
              </w:rPr>
              <w:t>Psoriasis du cuir chevelu</w:t>
            </w:r>
          </w:p>
        </w:tc>
        <w:tc>
          <w:tcPr>
            <w:tcW w:type="dxa" w:w="1871"/>
          </w:tcPr>
          <w:p>
            <w:r>
              <w:rPr>
                <w:sz w:val="20"/>
              </w:rPr>
              <w:t>Bétaméthasone lotion</w:t>
            </w:r>
          </w:p>
        </w:tc>
        <w:tc>
          <w:tcPr>
            <w:tcW w:type="dxa" w:w="1871"/>
          </w:tcPr>
          <w:p>
            <w:r>
              <w:rPr>
                <w:sz w:val="20"/>
              </w:rPr>
              <w:t>BETSOL</w:t>
            </w:r>
          </w:p>
        </w:tc>
        <w:tc>
          <w:tcPr>
            <w:tcW w:type="dxa" w:w="1871"/>
          </w:tcPr>
          <w:p>
            <w:r>
              <w:rPr>
                <w:sz w:val="20"/>
              </w:rPr>
              <w:t>II</w:t>
            </w:r>
          </w:p>
        </w:tc>
        <w:tc>
          <w:tcPr>
            <w:tcW w:type="dxa" w:w="1871"/>
          </w:tcPr>
          <w:p>
            <w:r>
              <w:rPr>
                <w:sz w:val="20"/>
              </w:rPr>
              <w:t>4 semaines</w:t>
            </w:r>
          </w:p>
        </w:tc>
      </w:tr>
      <w:tr>
        <w:tc>
          <w:tcPr>
            <w:tcW w:type="dxa" w:w="1871"/>
          </w:tcPr>
          <w:p>
            <w:r>
              <w:rPr>
                <w:sz w:val="20"/>
              </w:rPr>
              <w:t>Dermatite atopique de l'enfant</w:t>
            </w:r>
          </w:p>
        </w:tc>
        <w:tc>
          <w:tcPr>
            <w:tcW w:type="dxa" w:w="1871"/>
          </w:tcPr>
          <w:p>
            <w:r>
              <w:rPr>
                <w:sz w:val="20"/>
              </w:rPr>
              <w:t>Hydrocortisone acéponate</w:t>
            </w:r>
          </w:p>
        </w:tc>
        <w:tc>
          <w:tcPr>
            <w:tcW w:type="dxa" w:w="1871"/>
          </w:tcPr>
          <w:p>
            <w:r>
              <w:rPr>
                <w:sz w:val="20"/>
              </w:rPr>
              <w:t>EFFICORT, ECZECORT</w:t>
            </w:r>
          </w:p>
        </w:tc>
        <w:tc>
          <w:tcPr>
            <w:tcW w:type="dxa" w:w="1871"/>
          </w:tcPr>
          <w:p>
            <w:r>
              <w:rPr>
                <w:sz w:val="20"/>
              </w:rPr>
              <w:t>IV</w:t>
            </w:r>
          </w:p>
        </w:tc>
        <w:tc>
          <w:tcPr>
            <w:tcW w:type="dxa" w:w="1871"/>
          </w:tcPr>
          <w:p>
            <w:r>
              <w:rPr>
                <w:sz w:val="20"/>
              </w:rPr>
              <w:t>4 semaines</w:t>
            </w:r>
          </w:p>
        </w:tc>
      </w:tr>
      <w:tr>
        <w:tc>
          <w:tcPr>
            <w:tcW w:type="dxa" w:w="1871"/>
          </w:tcPr>
          <w:p>
            <w:r>
              <w:rPr>
                <w:sz w:val="20"/>
              </w:rPr>
              <w:t>Dermatite séborrhéique du visage</w:t>
            </w:r>
          </w:p>
        </w:tc>
        <w:tc>
          <w:tcPr>
            <w:tcW w:type="dxa" w:w="1871"/>
          </w:tcPr>
          <w:p>
            <w:r>
              <w:rPr>
                <w:sz w:val="20"/>
              </w:rPr>
              <w:t>Hydrocortisone 17-butyrate + kétoconazole</w:t>
            </w:r>
          </w:p>
        </w:tc>
        <w:tc>
          <w:tcPr>
            <w:tcW w:type="dxa" w:w="1871"/>
          </w:tcPr>
          <w:p>
            <w:r>
              <w:rPr>
                <w:sz w:val="20"/>
              </w:rPr>
              <w:t>LOCOID + NIZORAL</w:t>
            </w:r>
          </w:p>
        </w:tc>
        <w:tc>
          <w:tcPr>
            <w:tcW w:type="dxa" w:w="1871"/>
          </w:tcPr>
          <w:p>
            <w:r>
              <w:rPr>
                <w:sz w:val="20"/>
              </w:rPr>
              <w:t>IV</w:t>
            </w:r>
          </w:p>
        </w:tc>
        <w:tc>
          <w:tcPr>
            <w:tcW w:type="dxa" w:w="1871"/>
          </w:tcPr>
          <w:p>
            <w:r>
              <w:rPr>
                <w:sz w:val="20"/>
              </w:rPr>
              <w:t>1–2 semaines</w:t>
            </w:r>
          </w:p>
        </w:tc>
      </w:tr>
      <w:tr>
        <w:tc>
          <w:tcPr>
            <w:tcW w:type="dxa" w:w="1871"/>
          </w:tcPr>
          <w:p>
            <w:r>
              <w:rPr>
                <w:sz w:val="20"/>
              </w:rPr>
              <w:t>Prurit ano-génital</w:t>
            </w:r>
          </w:p>
        </w:tc>
        <w:tc>
          <w:tcPr>
            <w:tcW w:type="dxa" w:w="1871"/>
          </w:tcPr>
          <w:p>
            <w:r>
              <w:rPr>
                <w:sz w:val="20"/>
              </w:rPr>
              <w:t>Hydrocortisone 17-butyrate</w:t>
            </w:r>
          </w:p>
        </w:tc>
        <w:tc>
          <w:tcPr>
            <w:tcW w:type="dxa" w:w="1871"/>
          </w:tcPr>
          <w:p>
            <w:r>
              <w:rPr>
                <w:sz w:val="20"/>
              </w:rPr>
              <w:t>LOCOID crème</w:t>
            </w:r>
          </w:p>
        </w:tc>
        <w:tc>
          <w:tcPr>
            <w:tcW w:type="dxa" w:w="1871"/>
          </w:tcPr>
          <w:p>
            <w:r>
              <w:rPr>
                <w:sz w:val="20"/>
              </w:rPr>
              <w:t>IV</w:t>
            </w:r>
          </w:p>
        </w:tc>
        <w:tc>
          <w:tcPr>
            <w:tcW w:type="dxa" w:w="1871"/>
          </w:tcPr>
          <w:p>
            <w:r>
              <w:rPr>
                <w:sz w:val="20"/>
              </w:rPr>
              <w:t>2 semaines</w:t>
            </w:r>
          </w:p>
        </w:tc>
      </w:tr>
      <w:tr>
        <w:tc>
          <w:tcPr>
            <w:tcW w:type="dxa" w:w="1871"/>
          </w:tcPr>
          <w:p>
            <w:r>
              <w:rPr>
                <w:sz w:val="20"/>
              </w:rPr>
              <w:t>Chéloïde récent</w:t>
            </w:r>
          </w:p>
        </w:tc>
        <w:tc>
          <w:tcPr>
            <w:tcW w:type="dxa" w:w="1871"/>
          </w:tcPr>
          <w:p>
            <w:r>
              <w:rPr>
                <w:sz w:val="20"/>
              </w:rPr>
              <w:t>Triamcinolone acétonide injectable</w:t>
            </w:r>
          </w:p>
        </w:tc>
        <w:tc>
          <w:tcPr>
            <w:tcW w:type="dxa" w:w="1871"/>
          </w:tcPr>
          <w:p>
            <w:r>
              <w:rPr>
                <w:sz w:val="20"/>
              </w:rPr>
              <w:t>KENACORT RETARD, LISATRIAM</w:t>
            </w:r>
          </w:p>
        </w:tc>
        <w:tc>
          <w:tcPr>
            <w:tcW w:type="dxa" w:w="1871"/>
          </w:tcPr>
          <w:p>
            <w:r>
              <w:rPr>
                <w:sz w:val="20"/>
              </w:rPr>
              <w:t>III (intra-lésionnelle)</w:t>
            </w:r>
          </w:p>
        </w:tc>
        <w:tc>
          <w:tcPr>
            <w:tcW w:type="dxa" w:w="1871"/>
          </w:tcPr>
          <w:p>
            <w:r>
              <w:rPr>
                <w:sz w:val="20"/>
              </w:rPr>
              <w:t>4–6 injections/an</w:t>
            </w:r>
          </w:p>
        </w:tc>
      </w:tr>
      <w:tr>
        <w:tc>
          <w:tcPr>
            <w:tcW w:type="dxa" w:w="1871"/>
          </w:tcPr>
          <w:p>
            <w:r>
              <w:rPr>
                <w:sz w:val="20"/>
              </w:rPr>
              <w:t>Otite externe surinfectée</w:t>
            </w:r>
          </w:p>
        </w:tc>
        <w:tc>
          <w:tcPr>
            <w:tcW w:type="dxa" w:w="1871"/>
          </w:tcPr>
          <w:p>
            <w:r>
              <w:rPr>
                <w:sz w:val="20"/>
              </w:rPr>
              <w:t>Fluocinolone + néomycine + polymyxine B</w:t>
            </w:r>
          </w:p>
        </w:tc>
        <w:tc>
          <w:tcPr>
            <w:tcW w:type="dxa" w:w="1871"/>
          </w:tcPr>
          <w:p>
            <w:r>
              <w:rPr>
                <w:sz w:val="20"/>
              </w:rPr>
              <w:t>OTOCROVIS</w:t>
            </w:r>
          </w:p>
        </w:tc>
        <w:tc>
          <w:tcPr>
            <w:tcW w:type="dxa" w:w="1871"/>
          </w:tcPr>
          <w:p>
            <w:r>
              <w:rPr>
                <w:sz w:val="20"/>
              </w:rPr>
              <w:t>III (otologique)</w:t>
            </w:r>
          </w:p>
        </w:tc>
        <w:tc>
          <w:tcPr>
            <w:tcW w:type="dxa" w:w="1871"/>
          </w:tcPr>
          <w:p>
            <w:r>
              <w:rPr>
                <w:sz w:val="20"/>
              </w:rPr>
              <w:t>7–10 jours</w:t>
            </w:r>
          </w:p>
        </w:tc>
      </w:tr>
      <w:tr>
        <w:tc>
          <w:tcPr>
            <w:tcW w:type="dxa" w:w="1871"/>
          </w:tcPr>
          <w:p>
            <w:r>
              <w:rPr>
                <w:sz w:val="20"/>
              </w:rPr>
              <w:t>Rhinite allergique de la femme enceinte</w:t>
            </w:r>
          </w:p>
        </w:tc>
        <w:tc>
          <w:tcPr>
            <w:tcW w:type="dxa" w:w="1871"/>
          </w:tcPr>
          <w:p>
            <w:r>
              <w:rPr>
                <w:sz w:val="20"/>
              </w:rPr>
              <w:t>Fluticasone propionate nasal</w:t>
            </w:r>
          </w:p>
        </w:tc>
        <w:tc>
          <w:tcPr>
            <w:tcW w:type="dxa" w:w="1871"/>
          </w:tcPr>
          <w:p>
            <w:r>
              <w:rPr>
                <w:sz w:val="20"/>
              </w:rPr>
              <w:t>FLIXASONE, FLOMIST, FLUCASONE</w:t>
            </w:r>
          </w:p>
        </w:tc>
        <w:tc>
          <w:tcPr>
            <w:tcW w:type="dxa" w:w="1871"/>
          </w:tcPr>
          <w:p>
            <w:r>
              <w:rPr>
                <w:sz w:val="20"/>
              </w:rPr>
              <w:t>III (nasal)</w:t>
            </w:r>
          </w:p>
        </w:tc>
        <w:tc>
          <w:tcPr>
            <w:tcW w:type="dxa" w:w="1871"/>
          </w:tcPr>
          <w:p>
            <w:r>
              <w:rPr>
                <w:sz w:val="20"/>
              </w:rPr>
              <w:t>Usage prolongé possible</w:t>
            </w:r>
          </w:p>
        </w:tc>
      </w:tr>
      <w:tr>
        <w:tc>
          <w:tcPr>
            <w:tcW w:type="dxa" w:w="1871"/>
          </w:tcPr>
          <w:p>
            <w:r>
              <w:rPr>
                <w:sz w:val="20"/>
              </w:rPr>
              <w:t>Conjonctivite allergique</w:t>
            </w:r>
          </w:p>
        </w:tc>
        <w:tc>
          <w:tcPr>
            <w:tcW w:type="dxa" w:w="1871"/>
          </w:tcPr>
          <w:p>
            <w:r>
              <w:rPr>
                <w:sz w:val="20"/>
              </w:rPr>
              <w:t>Hydrocortisone collyre</w:t>
            </w:r>
          </w:p>
        </w:tc>
        <w:tc>
          <w:tcPr>
            <w:tcW w:type="dxa" w:w="1871"/>
          </w:tcPr>
          <w:p>
            <w:r>
              <w:rPr>
                <w:sz w:val="20"/>
              </w:rPr>
              <w:t>HYDROCORT</w:t>
            </w:r>
          </w:p>
        </w:tc>
        <w:tc>
          <w:tcPr>
            <w:tcW w:type="dxa" w:w="1871"/>
          </w:tcPr>
          <w:p>
            <w:r>
              <w:rPr>
                <w:sz w:val="20"/>
              </w:rPr>
              <w:t>IV</w:t>
            </w:r>
          </w:p>
        </w:tc>
        <w:tc>
          <w:tcPr>
            <w:tcW w:type="dxa" w:w="1871"/>
          </w:tcPr>
          <w:p>
            <w:r>
              <w:rPr>
                <w:sz w:val="20"/>
              </w:rPr>
              <w:t>7 jours</w:t>
            </w:r>
          </w:p>
        </w:tc>
      </w:tr>
      <w:tr>
        <w:tc>
          <w:tcPr>
            <w:tcW w:type="dxa" w:w="1871"/>
          </w:tcPr>
          <w:p>
            <w:r>
              <w:rPr>
                <w:sz w:val="20"/>
              </w:rPr>
              <w:t>Inflammation oculaire post-chirurgicale</w:t>
            </w:r>
          </w:p>
        </w:tc>
        <w:tc>
          <w:tcPr>
            <w:tcW w:type="dxa" w:w="1871"/>
          </w:tcPr>
          <w:p>
            <w:r>
              <w:rPr>
                <w:sz w:val="20"/>
              </w:rPr>
              <w:t>Triamcinolone pommade ophtalmique</w:t>
            </w:r>
          </w:p>
        </w:tc>
        <w:tc>
          <w:tcPr>
            <w:tcW w:type="dxa" w:w="1871"/>
          </w:tcPr>
          <w:p>
            <w:r>
              <w:rPr>
                <w:sz w:val="20"/>
              </w:rPr>
              <w:t>CRONOLONE</w:t>
            </w:r>
          </w:p>
        </w:tc>
        <w:tc>
          <w:tcPr>
            <w:tcW w:type="dxa" w:w="1871"/>
          </w:tcPr>
          <w:p>
            <w:r>
              <w:rPr>
                <w:sz w:val="20"/>
              </w:rPr>
              <w:t>III (ophtalmique)</w:t>
            </w:r>
          </w:p>
        </w:tc>
        <w:tc>
          <w:tcPr>
            <w:tcW w:type="dxa" w:w="1871"/>
          </w:tcPr>
          <w:p>
            <w:r>
              <w:rPr>
                <w:sz w:val="20"/>
              </w:rPr>
              <w:t>1–2 semaines</w:t>
            </w:r>
          </w:p>
        </w:tc>
      </w:tr>
      <w:tr>
        <w:tc>
          <w:tcPr>
            <w:tcW w:type="dxa" w:w="1871"/>
          </w:tcPr>
          <w:p>
            <w:r>
              <w:rPr>
                <w:sz w:val="20"/>
              </w:rPr>
              <w:t>Asthme persistant</w:t>
            </w:r>
          </w:p>
        </w:tc>
        <w:tc>
          <w:tcPr>
            <w:tcW w:type="dxa" w:w="1871"/>
          </w:tcPr>
          <w:p>
            <w:r>
              <w:rPr>
                <w:sz w:val="20"/>
              </w:rPr>
              <w:t>Fluticasone propionate inhalé</w:t>
            </w:r>
          </w:p>
        </w:tc>
        <w:tc>
          <w:tcPr>
            <w:tcW w:type="dxa" w:w="1871"/>
          </w:tcPr>
          <w:p>
            <w:r>
              <w:rPr>
                <w:sz w:val="20"/>
              </w:rPr>
              <w:t>FLIXOTIDE, FLOHALE</w:t>
            </w:r>
          </w:p>
        </w:tc>
        <w:tc>
          <w:tcPr>
            <w:tcW w:type="dxa" w:w="1871"/>
          </w:tcPr>
          <w:p>
            <w:r>
              <w:rPr>
                <w:sz w:val="20"/>
              </w:rPr>
              <w:t>III (inhalé)</w:t>
            </w:r>
          </w:p>
        </w:tc>
        <w:tc>
          <w:tcPr>
            <w:tcW w:type="dxa" w:w="1871"/>
          </w:tcPr>
          <w:p>
            <w:r>
              <w:rPr>
                <w:sz w:val="20"/>
              </w:rPr>
              <w:t>Usage prolongé</w:t>
            </w:r>
          </w:p>
        </w:tc>
      </w:tr>
      <w:tr>
        <w:tc>
          <w:tcPr>
            <w:tcW w:type="dxa" w:w="1871"/>
          </w:tcPr>
          <w:p>
            <w:r>
              <w:rPr>
                <w:sz w:val="20"/>
              </w:rPr>
              <w:t>Asthme modéré persistant</w:t>
            </w:r>
          </w:p>
        </w:tc>
        <w:tc>
          <w:tcPr>
            <w:tcW w:type="dxa" w:w="1871"/>
          </w:tcPr>
          <w:p>
            <w:r>
              <w:rPr>
                <w:sz w:val="20"/>
              </w:rPr>
              <w:t>Fluticasone + salméterol inhalé</w:t>
            </w:r>
          </w:p>
        </w:tc>
        <w:tc>
          <w:tcPr>
            <w:tcW w:type="dxa" w:w="1871"/>
          </w:tcPr>
          <w:p>
            <w:r>
              <w:rPr>
                <w:sz w:val="20"/>
              </w:rPr>
              <w:t>SERETIDE, BREQUAL</w:t>
            </w:r>
          </w:p>
        </w:tc>
        <w:tc>
          <w:tcPr>
            <w:tcW w:type="dxa" w:w="1871"/>
          </w:tcPr>
          <w:p>
            <w:r>
              <w:rPr>
                <w:sz w:val="20"/>
              </w:rPr>
              <w:t>III (inhalé)</w:t>
            </w:r>
          </w:p>
        </w:tc>
        <w:tc>
          <w:tcPr>
            <w:tcW w:type="dxa" w:w="1871"/>
          </w:tcPr>
          <w:p>
            <w:r>
              <w:rPr>
                <w:sz w:val="20"/>
              </w:rPr>
              <w:t>Usage prolongé</w:t>
            </w:r>
          </w:p>
        </w:tc>
      </w:tr>
    </w:tbl>
    <w:p/>
    <w:p>
      <w:r>
        <w:t>Cette synthèse est un outil d'aide à la dispensation et ne se substitue pas à l'avis médical. Le pharmacien doit toujours vérifier la prescription et alerter le prescripteur en cas de doute.</w:t>
      </w:r>
    </w:p>
    <w:p>
      <w:pPr>
        <w:pStyle w:val="Heading3"/>
      </w:pPr>
      <w:r>
        <w:t>122.8.11 Le dermocorticoïde chez l'enfant — Particularités pédiatriques</w:t>
      </w:r>
    </w:p>
    <w:p>
      <w:r>
        <w:t>La prise en charge dermocorticoïde chez l'enfant mérite une attention particulière en raison de plusieurs particularités pharmacologiques et physiologiques. La peau de l'enfant, particulièrement celle du nourrisson, présente une couche cornée plus fine, un rapport surface/poids corporel plus élevé (≈ 2 à 3 fois supérieur à celui de l'adulte) et une hydratation cutanée plus importante — autant de facteurs qui majorent l'absorption percutanée des dermocorticoïdes et donc le risque systémique. À titre indicatif, l'application d'un dermocorticoïde de classe I (clobétasol) sur 20 % de la surface corporelle d'un nourrisson peut induire un syndrome de Cushing iatrogène en 5 à 7 jours, contre 2 à 4 semaines chez l'adulte. L'axe corticotrope est également plus sensible chez l'enfant, avec un risque d'insuffisance surrénalienne aiguë plus marqué.</w:t>
      </w:r>
    </w:p>
    <w:p>
      <w:r/>
      <w:r>
        <w:rPr>
          <w:b/>
        </w:rPr>
        <w:t>Recommandations pédiatriques :</w:t>
      </w:r>
      <w:r/>
    </w:p>
    <w:p>
      <w:pPr>
        <w:pStyle w:val="ListBullet"/>
      </w:pPr>
      <w:r/>
      <w:r>
        <w:rPr>
          <w:b/>
        </w:rPr>
        <w:t>Nourrisson (&lt; 2 ans) :</w:t>
      </w:r>
      <w:r>
        <w:t xml:space="preserve"> Préférer les dermocorticoïdes de palier IV (hydrocortisone 17-butyrate ou acéponate) en première intention. Éviction formelle de la classe I (clobétasol) et de la classe II (bétaméthasone) sauf indication dermatologique spécialisée et surveillance stricte. Surface traitée &lt; 10 % de la surface corporelle. Durée maximale de 2 à 3 semaines en continu. Surveillance de la croissance (taille, poids, périmètre crânien) tous les 3 mois en cas d'usage prolongé.</w:t>
      </w:r>
    </w:p>
    <w:p>
      <w:pPr>
        <w:pStyle w:val="ListBullet"/>
      </w:pPr>
      <w:r/>
      <w:r>
        <w:rPr>
          <w:b/>
        </w:rPr>
        <w:t>Enfant (2 à 12 ans) :</w:t>
      </w:r>
      <w:r>
        <w:t xml:space="preserve"> Préférer les dermocorticoïdes de palier III–IV (hydrocortisone 17-butyrate, acéponate, prednicarbate, mométasone en cas de nécessité). La classe II est possible en deuxième intention sur les zones kératinisées (coudes, genoux, paumes, plantes) en cure courte. Éviction formelle de la classe I sauf indication dermatologique stricte (lichen plan hypertrophique, psoriasis rebelle). Surface traitée &lt; 20 % de la surface corporelle. Durée maximale de 3 à 4 semaines en continu. Surveillance de la croissance.</w:t>
      </w:r>
    </w:p>
    <w:p>
      <w:pPr>
        <w:pStyle w:val="ListBullet"/>
      </w:pPr>
      <w:r/>
      <w:r>
        <w:rPr>
          <w:b/>
        </w:rPr>
        <w:t>Adolescent (&gt; 12 ans) :</w:t>
      </w:r>
      <w:r>
        <w:t xml:space="preserve"> Mêmes règles que chez l'adulte, avec une vigilance accrue sur les zones sensibles (visage, plis) et l'observance (risque d'usage excessif pour des motifs esthétiques).</w:t>
      </w:r>
    </w:p>
    <w:p>
      <w:r/>
      <w:r>
        <w:rPr>
          <w:b/>
        </w:rPr>
        <w:t>Indications pédiatriques fréquentes :</w:t>
      </w:r>
      <w:r/>
    </w:p>
    <w:p>
      <w:pPr>
        <w:pStyle w:val="ListBullet"/>
      </w:pPr>
      <w:r/>
      <w:r>
        <w:rPr>
          <w:b/>
        </w:rPr>
        <w:t>Dermatite atopique :</w:t>
      </w:r>
      <w:r>
        <w:t xml:space="preserve"> Première indication des dermocorticoïdes chez l'enfant. Stratégie d'attaque (palier III–IV en 1 application/jour pendant 3–7 jours selon la sévérité), puis d'entretien (« weekend therapy » : 2 applications consécutives par semaine sur les zones à risque de récidive) associée aux émollients. La stratégie proactive est largement validée et permet de réduire le nombre de poussées sans majorer la toxicité systémique.</w:t>
      </w:r>
    </w:p>
    <w:p>
      <w:pPr>
        <w:pStyle w:val="ListBullet"/>
      </w:pPr>
      <w:r/>
      <w:r>
        <w:rPr>
          <w:b/>
        </w:rPr>
        <w:t>Eczéma aigu du visage :</w:t>
      </w:r>
      <w:r>
        <w:t xml:space="preserve"> Hydrocortisone 17-butyrate ou acéponate (LOCOID, EFFICORT) en 1 application/jour pendant 5 à 7 jours. Association à un émollient sans parfum ni conservateur.</w:t>
      </w:r>
    </w:p>
    <w:p>
      <w:pPr>
        <w:pStyle w:val="ListBullet"/>
      </w:pPr>
      <w:r/>
      <w:r>
        <w:rPr>
          <w:b/>
        </w:rPr>
        <w:t>Dermatite séborrhéique du cuir chevelu (croûtes de lait) du nourrisson :</w:t>
      </w:r>
      <w:r>
        <w:t xml:space="preserve"> Hydrocortisone 1 % en application unique quotidienne pendant 3 à 5 jours, en association avec un shampooing doux (kétoconazole 2 %, ciclopirox olamine). Ne pas prolonger au-delà de 7 jours.</w:t>
      </w:r>
    </w:p>
    <w:p>
      <w:pPr>
        <w:pStyle w:val="ListBullet"/>
      </w:pPr>
      <w:r/>
      <w:r>
        <w:rPr>
          <w:b/>
        </w:rPr>
        <w:t>Psoriasis de l'enfant :</w:t>
      </w:r>
      <w:r>
        <w:t xml:space="preserve"> Rare (&lt; 1 % des enfants), à confier à un dermatologue pédiatrique. Palier III (mométasone) sur le corps, palier IV (hydrocortisone 17-butyrate) sur le visage et les plis. Association aux analogues de la vitamine D (calcipotriol) en alternance à partir de 6 ans.</w:t>
      </w:r>
    </w:p>
    <w:p>
      <w:pPr>
        <w:pStyle w:val="ListBullet"/>
      </w:pPr>
      <w:r/>
      <w:r>
        <w:rPr>
          <w:b/>
        </w:rPr>
        <w:t>Pelade en plaques :</w:t>
      </w:r>
      <w:r>
        <w:t xml:space="preserve"> Triamcinolone acétonide en crème (non disponible en Algérie) ou en injections intra-lésionnelles (Kenacort Retard) à partir de 4 ans, sous anesthesia locale.</w:t>
      </w:r>
    </w:p>
    <w:p>
      <w:r/>
      <w:r>
        <w:rPr>
          <w:b/>
        </w:rPr>
        <w:t>Surveillance pédiatrique systématique :</w:t>
      </w:r>
      <w:r/>
    </w:p>
    <w:p>
      <w:pPr>
        <w:pStyle w:val="ListBullet"/>
      </w:pPr>
      <w:r>
        <w:t>Examen clinique initial : évaluation de la sévérité (score SCORAD pour la dermatite atopique), recherche de signes de surinfection (impétiginisation, herpès, Staphylococcus aureus), mesure du poids et de la taille (courbes de croissance).</w:t>
      </w:r>
    </w:p>
    <w:p>
      <w:pPr>
        <w:pStyle w:val="ListBullet"/>
      </w:pPr>
      <w:r>
        <w:t>Examen à 2 semaines : évaluation de l'efficacité, recherche d'atrophie cutanée, de télangiectasies.</w:t>
      </w:r>
    </w:p>
    <w:p>
      <w:pPr>
        <w:pStyle w:val="ListBullet"/>
      </w:pPr>
      <w:r>
        <w:t>Surveillance tous les 3 mois en cas d'usage prolongé : poids, taille, périmètre crânien (nourrisson), tension artérielle.</w:t>
      </w:r>
    </w:p>
    <w:p>
      <w:pPr>
        <w:pStyle w:val="ListBullet"/>
      </w:pPr>
      <w:r>
        <w:t>En cas d'usage étendu à forte dose (&gt; 30 % de la surface corporelle avec classe II–III) : cortisolémie à 8 heures, test à l'ACTH (Synacthène®).</w:t>
      </w:r>
    </w:p>
    <w:p>
      <w:pPr>
        <w:pStyle w:val="Heading3"/>
      </w:pPr>
      <w:r>
        <w:t>122.8.12 Le dermocorticoïde chez la femme enceinte et allaitante</w:t>
      </w:r>
    </w:p>
    <w:p>
      <w:r>
        <w:t>L'usage des dermocorticoïdes pendant la grossesse et l'allaitement est une préoccupation fréquente en officine, en raison de la fréquence des dermatoses gravidiques (dermatite atopique, prurigo gravidique, pemphigoïde gestationis, prurit intra-hépatique gravidique) et de la prévalence des dermatoses chroniques préexistantes (psoriasis, eczéma, lupus érythémateux). L'évaluation du rapport bénéfice/risque doit prendre en compte la sévérité de la dermatose maternelle (qui peut retentir sur la qualité de vie, le sommeil, l'état nutritionnel, et par là sur le développement fœtal), le risque tératogène et le risque fœtal de la molécule.</w:t>
      </w:r>
    </w:p>
    <w:p>
      <w:r/>
      <w:r>
        <w:rPr>
          <w:b/>
        </w:rPr>
        <w:t>Données du CRAT (Centre de Référence sur les Agents Tératogènes) :</w:t>
      </w:r>
      <w:r/>
    </w:p>
    <w:p>
      <w:pPr>
        <w:pStyle w:val="ListBullet"/>
      </w:pPr>
      <w:r/>
      <w:r>
        <w:rPr>
          <w:b/>
        </w:rPr>
        <w:t>Hydrocortisone topique (toutes formes, y compris 17-butyrate et acéponate) :</w:t>
      </w:r>
      <w:r>
        <w:t xml:space="preserve"> Compatible à tous les trimestres de la grossesse. Faible biodisponibilité systémique, données d'observation rassurantes (plusieurs milliers de grossesses exposées sans sur-risque tératogène ou fœtal). À utiliser en première intention.</w:t>
      </w:r>
    </w:p>
    <w:p>
      <w:pPr>
        <w:pStyle w:val="ListBullet"/>
      </w:pPr>
      <w:r/>
      <w:r>
        <w:rPr>
          <w:b/>
        </w:rPr>
        <w:t>Prednicarbate topique :</w:t>
      </w:r>
      <w:r>
        <w:t xml:space="preserve"> Compatible à tous les trimestres (faible biodisponibilité systémique, ester non fluoré de nouvelle génération).</w:t>
      </w:r>
    </w:p>
    <w:p>
      <w:pPr>
        <w:pStyle w:val="ListBullet"/>
      </w:pPr>
      <w:r/>
      <w:r>
        <w:rPr>
          <w:b/>
        </w:rPr>
        <w:t>Mométasone furoate topique :</w:t>
      </w:r>
      <w:r>
        <w:t xml:space="preserve"> Compatible au 2e et 3e trimestre sur surface limitée et durée courte ; à éviter par précaution au 1er trimestre. La forme nasale est compatible à tous les trimestres.</w:t>
      </w:r>
    </w:p>
    <w:p>
      <w:pPr>
        <w:pStyle w:val="ListBullet"/>
      </w:pPr>
      <w:r/>
      <w:r>
        <w:rPr>
          <w:b/>
        </w:rPr>
        <w:t>Bétaméthasone topique :</w:t>
      </w:r>
      <w:r>
        <w:t xml:space="preserve"> À éviter par précaution au 1er trimestre ; possible au 2e et 3e trimestre sur surface limitée et durée courte. La forme injectable (Célestène®, Diprostène®) est largement utilisée en obstétrique pour la maturation pulmonaire fœtale en cas de menace d'accouchement prématuré, ce qui témoigne du passage transplacentaire significatif de la molécule et justifie la prudence pour la forme topique.</w:t>
      </w:r>
    </w:p>
    <w:p>
      <w:pPr>
        <w:pStyle w:val="ListBullet"/>
      </w:pPr>
      <w:r/>
      <w:r>
        <w:rPr>
          <w:b/>
        </w:rPr>
        <w:t>Clobétasol topique :</w:t>
      </w:r>
      <w:r>
        <w:t xml:space="preserve"> À éviter par précaution pendant la grossesse, sauf nécessité absolue dermatologique et sur surface très limitée. Risque théorique de retard de croissance fœtal en cas d'usage prolongé étendu (imprégnation systémique).</w:t>
      </w:r>
    </w:p>
    <w:p>
      <w:pPr>
        <w:pStyle w:val="ListBullet"/>
      </w:pPr>
      <w:r/>
      <w:r>
        <w:rPr>
          <w:b/>
        </w:rPr>
        <w:t>Triamcinolone topique :</w:t>
      </w:r>
      <w:r>
        <w:t xml:space="preserve"> Compatible pour les formes nasale et ophtalmique. La forme injectable intra-lésionnelle est à éviter par précaution (risque théorique d'effet systémique). La forme injectable IM est déconseillée au 1er trimestre, possible au 2e et 3e trimestre sur indication stricte.</w:t>
      </w:r>
    </w:p>
    <w:p>
      <w:pPr>
        <w:pStyle w:val="ListBullet"/>
      </w:pPr>
      <w:r/>
      <w:r>
        <w:rPr>
          <w:b/>
        </w:rPr>
        <w:t>Fluticasone topique :</w:t>
      </w:r>
      <w:r>
        <w:t xml:space="preserve"> Compatible pour les formes inhalée et nasale (faible biodisponibilité systémique, données d'observation rassurantes, corticoïde inhalé de référence chez la femme enceinte asthmatique). La forme dermique (non disponible en Algérie) est à éviter par précaution au 1er trimestre.</w:t>
      </w:r>
    </w:p>
    <w:p>
      <w:pPr>
        <w:pStyle w:val="ListBullet"/>
      </w:pPr>
      <w:r/>
      <w:r>
        <w:rPr>
          <w:b/>
        </w:rPr>
        <w:t>Fluocinolone acétonide otologique (OTOCROVIS) :</w:t>
      </w:r>
      <w:r>
        <w:t xml:space="preserve"> Déconseillé au 1er trimestre par précaution (ototoxicité théorique de la néomycine en cas de perforation tympanique) ; possible au 2e et 3e trimestre sous contrôle ORL strict.</w:t>
      </w:r>
    </w:p>
    <w:p>
      <w:pPr>
        <w:pStyle w:val="ListBullet"/>
      </w:pPr>
      <w:r/>
      <w:r>
        <w:rPr>
          <w:b/>
        </w:rPr>
        <w:t>Fluméthasone pivalate + acide salicylique (FLUSAL) :</w:t>
      </w:r>
      <w:r>
        <w:t xml:space="preserve"> Contre-indication formelle en raison de la présence d'acide salicylique (tératogène au 1er trimestre, fermeture du canal artériel prématurée au 3e trimestre).</w:t>
      </w:r>
    </w:p>
    <w:p>
      <w:r/>
      <w:r>
        <w:rPr>
          <w:b/>
        </w:rPr>
        <w:t>Recommandations pratiques chez la femme enceinte :</w:t>
      </w:r>
      <w:r/>
    </w:p>
    <w:p>
      <w:pPr>
        <w:pStyle w:val="ListBullet"/>
      </w:pPr>
      <w:r>
        <w:t>Préférer les dermocorticoïdes de palier faible à modérée (hydrocortisone 17-butyrate, acéponate, prednicarbate).</w:t>
      </w:r>
    </w:p>
    <w:p>
      <w:pPr>
        <w:pStyle w:val="ListBullet"/>
      </w:pPr>
      <w:r>
        <w:t>Limiter la surface traitée à &lt; 10 % de la surface corporelle.</w:t>
      </w:r>
    </w:p>
    <w:p>
      <w:pPr>
        <w:pStyle w:val="ListBullet"/>
      </w:pPr>
      <w:r>
        <w:t>Durée maximale de 2 à 4 semaines en continu selon le palier.</w:t>
      </w:r>
    </w:p>
    <w:p>
      <w:pPr>
        <w:pStyle w:val="ListBullet"/>
      </w:pPr>
      <w:r>
        <w:t>Au 1er trimestre, privilégier l'hydrocortisone.</w:t>
      </w:r>
    </w:p>
    <w:p>
      <w:pPr>
        <w:pStyle w:val="ListBullet"/>
      </w:pPr>
      <w:r>
        <w:t>Au 2e et 3e trimestre, paliers III et II possibles sur surface limitée et durée courte.</w:t>
      </w:r>
    </w:p>
    <w:p>
      <w:pPr>
        <w:pStyle w:val="ListBullet"/>
      </w:pPr>
      <w:r>
        <w:t>Éviction de la classe I (clobétasol) sauf nécessité absolue dermatologique.</w:t>
      </w:r>
    </w:p>
    <w:p>
      <w:pPr>
        <w:pStyle w:val="ListBullet"/>
      </w:pPr>
      <w:r>
        <w:t>Surveillance échographique de la croissance fœtale en cas d'usage prolongé étendu.</w:t>
      </w:r>
    </w:p>
    <w:p>
      <w:pPr>
        <w:pStyle w:val="ListBullet"/>
      </w:pPr>
      <w:r>
        <w:t>Surveillance de la tension artérielle maternelle (risque de pré-éclampsie majoré en cas de syndrome de Cushing iatrogène).</w:t>
      </w:r>
    </w:p>
    <w:p>
      <w:pPr>
        <w:pStyle w:val="ListBullet"/>
      </w:pPr>
      <w:r>
        <w:t>Surveillance de la glycémie maternelle (risque de diabète gestationnel majoré).</w:t>
      </w:r>
    </w:p>
    <w:p>
      <w:r/>
      <w:r>
        <w:rPr>
          <w:b/>
        </w:rPr>
        <w:t>Recommandations pendant l'allaitement :</w:t>
      </w:r>
      <w:r/>
    </w:p>
    <w:p>
      <w:pPr>
        <w:pStyle w:val="ListBullet"/>
      </w:pPr>
      <w:r>
        <w:t>Compatible en application ponctuelle sur surface limitée en dehors de la zone mammaire.</w:t>
      </w:r>
    </w:p>
    <w:p>
      <w:pPr>
        <w:pStyle w:val="ListBullet"/>
      </w:pPr>
      <w:r>
        <w:t>Lavage soigneux et retrait du lait avant tétée en cas d'application proche du sein.</w:t>
      </w:r>
    </w:p>
    <w:p>
      <w:pPr>
        <w:pStyle w:val="ListBullet"/>
      </w:pPr>
      <w:r>
        <w:t>Surveillance de la croissance du nourrisson en cas d'usage maternel prolongé étendu.</w:t>
      </w:r>
    </w:p>
    <w:p>
      <w:pPr>
        <w:pStyle w:val="ListBullet"/>
      </w:pPr>
      <w:r>
        <w:t>Pour les formes systémiques (comprimés, injectables), compatibilité à discuter selon la dose et la fréquence.</w:t>
      </w:r>
    </w:p>
    <w:p>
      <w:pPr>
        <w:pStyle w:val="Heading3"/>
      </w:pPr>
      <w:r>
        <w:t>122.8.13 Effets indésirables cutanés des dermocorticoïdes — Reconnaître et gérer</w:t>
      </w:r>
    </w:p>
    <w:p>
      <w:r>
        <w:t>Les effets indésirables cutanés des dermocorticoïdes sont fréquents en cas d'usage prolongé, étendu ou inapproprié. Leur reconnaissance précoce par le pharmacien d'officine permet une intervention rapide et la prévention de complications.</w:t>
      </w:r>
    </w:p>
    <w:p>
      <w:r/>
      <w:r>
        <w:rPr>
          <w:b/>
        </w:rPr>
        <w:t>1. Atrophie cutanée :</w:t>
      </w:r>
      <w:r>
        <w:t xml:space="preserve"> L'effet antiprolifératif des dermocorticoïdes sur les fibroblastes inhibe la synthèse du collagène de type I et III et de l'élastine, conduisant à un amincissement dermique progressif. Les signes cliniques apparaissent après 2 à 4 semaines d'application quotidienne : peau translucide, plis anormalement visibles, fragilité mécanique, purpura de Bateman (ecchymoses spontanées ou après traumatisme minime), vergetures (striae distensae) dans les zones de tension (plis, aisselles, racine des cuisses). L'atrophie est régressive à l'arrêt du dermocorticoïde en 4 à 6 mois, mais peut être définitive en cas d'usage prolongé majeur (≥ 1 an). Prévention : limitation de la durée à 2 à 4 semaines selon le palier, respect du FTU, espacement des applications, relais par un palier inférieur pour le sevrage.</w:t>
      </w:r>
    </w:p>
    <w:p>
      <w:r/>
      <w:r>
        <w:rPr>
          <w:b/>
        </w:rPr>
        <w:t>2. Télangiectasies :</w:t>
      </w:r>
      <w:r>
        <w:t xml:space="preserve"> Apparition de fines dilatations vasculaires dermiques, particulièrement sur le visage, le cou et le décolleté. Liées à la perte de soutien périvasculaire dermique (atrophie) et à l'effet vasoconstricteur paradoxal initial (rébound vasodilatateur à l'arrêt). Souvent définitives, traitement par laser vasculaire possible. Prévention : limitation de la durée d'application sur le visage à 4 à 6 semaines maximum.</w:t>
      </w:r>
    </w:p>
    <w:p>
      <w:r/>
      <w:r>
        <w:rPr>
          <w:b/>
        </w:rPr>
        <w:t>3. Dermatite rosacéiforme :</w:t>
      </w:r>
      <w:r>
        <w:t xml:space="preserve"> Apparition d'un érythème du visage avec papules, papulopustules et télangiectasies, mimant une rosacée mais sans composante flushing. Liée à la prolifération de Demodex folliculorum (favorisée par l'immunosuppression locale) et à la modification du microbiome cutané. Survient typiquement après 4 à 8 semaines d'application sur le visage. Traitement : arrêt du dermocorticoïde, application de métronidazole topique ou d'acide azélaïque, parfois doxycycline orale en cure courte. Prévention : limitation stricte de la durée d'application sur le visage à 2 à 4 semaines, utilisation de dermocorticoïdes de palier faible à modérée (hydrocortisone 17-butyrate, acéponate, prednicarbate).</w:t>
      </w:r>
    </w:p>
    <w:p>
      <w:r/>
      <w:r>
        <w:rPr>
          <w:b/>
        </w:rPr>
        <w:t>4. Dermatite périorale :</w:t>
      </w:r>
      <w:r>
        <w:t xml:space="preserve"> Éruption papulopustuleuse péribuccale (sillons nasogéniens, menton, lèvres) avec bordure de respect péri-orificielle. Liée à la prolifération de Demodex et à la modification du microbiome. Survient après 4 à 8 semaines d'application sur le visage. Traitement : arrêt du dermocorticoïde, application d'érythromycine topique ou de métronidazole, parfois doxycycline orale. Prévention : limitation stricte de la durée d'application sur le visage.</w:t>
      </w:r>
    </w:p>
    <w:p>
      <w:r/>
      <w:r>
        <w:rPr>
          <w:b/>
        </w:rPr>
        <w:t>5. Glaucome périorbitaire et cataracte :</w:t>
      </w:r>
      <w:r>
        <w:t xml:space="preserve"> Risque d'augmentation de la pression intra-oculaire en cas d'application prolongée de dermocorticoïdes au niveau du visage, des paupières ou du contour des yeux. Le mécanisme est lié à l'accumulation de glycosaminoglycanes dans le trabéculum, réduisant l'excrétion de l'humeur aqueuse. Le glaucome peut être asymptomatique (dépistage par tonométrie) ou se manifester par une baisse d'acuité visuelle, des halos autour des lumières, des céphalées. La cataracte sous-capsulaire postérieure est plus rare. Prévention : éviter l'application de dermocorticoïdes au niveau périorbitaire, surveillance de la pression intra-oculaire tous les 3 mois en cas d'usage prolongé du visage.</w:t>
      </w:r>
    </w:p>
    <w:p>
      <w:r/>
      <w:r>
        <w:rPr>
          <w:b/>
        </w:rPr>
        <w:t>6. Dermite allergique de contact :</w:t>
      </w:r>
      <w:r>
        <w:t xml:space="preserve"> Sensibilisation cutanée à un excipient (parfum, conservateur, propylène glycol, lanoline) ou rarement à la molécule corticoïde elle-même (bétaméthasone, hydrocortisone). Manifestations : eczéma aggravé par le traitement, prurit, vésicules. Diagnostic par patch-tests (à confier à un dermatologue). Traitement : arrêt du dermocorticoïde, relais par une autre molécule non sensibilisante et une galénique sans excipient sensibilisant.</w:t>
      </w:r>
    </w:p>
    <w:p>
      <w:r/>
      <w:r>
        <w:rPr>
          <w:b/>
        </w:rPr>
        <w:t>7. Hypopigmentation :</w:t>
      </w:r>
      <w:r>
        <w:t xml:space="preserve"> Dépigmentation localisée transitoire, particulièrement visible sur les peaux foncées. Liée à l'inhibition de la synthèse de mélanine par les mélanocytes. Régressive à l'arrêt en 4 à 6 mois.</w:t>
      </w:r>
    </w:p>
    <w:p>
      <w:r/>
      <w:r>
        <w:rPr>
          <w:b/>
        </w:rPr>
        <w:t>8. Hypertrichose localisée :</w:t>
      </w:r>
      <w:r>
        <w:t xml:space="preserve"> Augmentation de la pilosité dans la zone traitée, particulièrement le visage. Régressive à l'arrêt.</w:t>
      </w:r>
    </w:p>
    <w:p>
      <w:r/>
      <w:r>
        <w:rPr>
          <w:b/>
        </w:rPr>
        <w:t>9. Infections cutanées opportunistes :</w:t>
      </w:r>
      <w:r>
        <w:t xml:space="preserve"> Favorisées par l'immunosuppression locale : candidose cutanée (intertrigo à Candida), dermatophytie étendue, herpès récurrent ou disséminé, molluscum contagiosum, folliculite staphylococcique. Traitement : arrêt du dermocorticoïde (ou relais par un palier inférieur), traitement spécifique de l'infection.</w:t>
      </w:r>
    </w:p>
    <w:p>
      <w:r/>
      <w:r>
        <w:rPr>
          <w:b/>
        </w:rPr>
        <w:t>10. Syndrome de Cushing iatrogène :</w:t>
      </w:r>
      <w:r>
        <w:t xml:space="preserve"> Rare mais possible en cas d'usage prolongé étendu à forte dose (≥ 30 g/jour de clobétasol pendant ≥ 4 semaines, ou équivalent). Manifestations : faciès lunaire, bosse de bison, obésité trunculaire, vergetures pourpres, fragilité cutanée, hyperpilosité (femme), amyotrophie proximale, hypertension, diabète, ostéoporose, troubles psychiatriques. Traitement : arrêt progressif du dermocorticoïde, relais par palier inférieur, surveillance de la cortisolémie et du test à l'ACTH (risque d'insuffisance surrénalienne à l'arrêt brutal).</w:t>
      </w:r>
    </w:p>
    <w:p>
      <w:r/>
      <w:r>
        <w:rPr>
          <w:b/>
        </w:rPr>
        <w:t>11. Insuffisance surrénalienne aiguë :</w:t>
      </w:r>
      <w:r>
        <w:t xml:space="preserve"> Complication rare mais grave, en cas d'arrêt brutal d'un dermocorticoïde utilisé de façon prolongée étendue à forte dose. Manifestations : asthénie intense, hypotension, vomissements, douleurs abdominales, hypoglycémie, hyponatrémie, hyperkaliémie. Traitement : hospitalisation en urgence, hydrocortisone IV (100 mg en bolus puis 50 mg toutes les 6 heures), réhydratation IV.</w:t>
      </w:r>
    </w:p>
    <w:p>
      <w:r/>
      <w:r>
        <w:rPr>
          <w:b/>
        </w:rPr>
        <w:t>12. Psoriasis pustuleux induit :</w:t>
      </w:r>
      <w:r>
        <w:t xml:space="preserve"> Effet paradoxal : transformation d'un psoriasis en plaques en psoriasis pustuleux généralisé (psoriasis pustuleux de Zumbusch) à l'arrêt brutal d'un dermocorticoïde fort appliqué sur grande surface. Complication grave nécessitant une hospitalisation dermatologique.</w:t>
      </w:r>
    </w:p>
    <w:p>
      <w:pPr>
        <w:pStyle w:val="Heading3"/>
      </w:pPr>
      <w:r>
        <w:t>122.8.14 Interactions médicamenteuses communes aux dermocorticoïdes</w:t>
      </w:r>
    </w:p>
    <w:p>
      <w:r>
        <w:t>Bien que les dermocorticoïdes aient une biodisponibilité systémique faible en usage normal, certaines interactions médicamenteuses méritent une attention particulière en raison du risque d'augmentation de l'imprégnation systémique.</w:t>
      </w:r>
    </w:p>
    <w:p>
      <w:r/>
      <w:r>
        <w:rPr>
          <w:b/>
        </w:rPr>
        <w:t>Tableau récapitulatif des interactions médicamenteuses :</w:t>
      </w:r>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Interaction</w:t>
            </w:r>
          </w:p>
        </w:tc>
        <w:tc>
          <w:tcPr>
            <w:tcW w:type="dxa" w:w="2339"/>
          </w:tcPr>
          <w:p>
            <w:r>
              <w:rPr>
                <w:b/>
                <w:sz w:val="20"/>
              </w:rPr>
              <w:t>Mécanisme</w:t>
            </w:r>
          </w:p>
        </w:tc>
        <w:tc>
          <w:tcPr>
            <w:tcW w:type="dxa" w:w="2339"/>
          </w:tcPr>
          <w:p>
            <w:r>
              <w:rPr>
                <w:b/>
                <w:sz w:val="20"/>
              </w:rPr>
              <w:t>Conséquence clinique</w:t>
            </w:r>
          </w:p>
        </w:tc>
        <w:tc>
          <w:tcPr>
            <w:tcW w:type="dxa" w:w="2339"/>
          </w:tcPr>
          <w:p>
            <w:r>
              <w:rPr>
                <w:b/>
                <w:sz w:val="20"/>
              </w:rPr>
              <w:t>Conduite à tenir</w:t>
            </w:r>
          </w:p>
        </w:tc>
      </w:tr>
      <w:tr>
        <w:tc>
          <w:tcPr>
            <w:tcW w:type="dxa" w:w="2339"/>
          </w:tcPr>
          <w:p>
            <w:r>
              <w:rPr>
                <w:sz w:val="20"/>
              </w:rPr>
              <w:t>Inhibiteurs puissants du CYP3A4 (ritonavir, indinavir, atazanavir, itraconazole, kétoconazole, posaconazole, voriconazole, clarithromycine, télithromycine)</w:t>
            </w:r>
          </w:p>
        </w:tc>
        <w:tc>
          <w:tcPr>
            <w:tcW w:type="dxa" w:w="2339"/>
          </w:tcPr>
          <w:p>
            <w:r>
              <w:rPr>
                <w:sz w:val="20"/>
              </w:rPr>
              <w:t>Inhibition du métabolisme hépatique du corticoïde</w:t>
            </w:r>
          </w:p>
        </w:tc>
        <w:tc>
          <w:tcPr>
            <w:tcW w:type="dxa" w:w="2339"/>
          </w:tcPr>
          <w:p>
            <w:r>
              <w:rPr>
                <w:sz w:val="20"/>
              </w:rPr>
              <w:t>Augmentation majeure des concentrations systémiques, risque de syndrome de Cushing iatrogène</w:t>
            </w:r>
          </w:p>
        </w:tc>
        <w:tc>
          <w:tcPr>
            <w:tcW w:type="dxa" w:w="2339"/>
          </w:tcPr>
          <w:p>
            <w:r>
              <w:rPr>
                <w:sz w:val="20"/>
              </w:rPr>
              <w:t>Éviter l'association (surtout avec la fluticasone et la mométasone) ; si nécessaire, surveiller cliniquement et biologiquement</w:t>
            </w:r>
          </w:p>
        </w:tc>
      </w:tr>
      <w:tr>
        <w:tc>
          <w:tcPr>
            <w:tcW w:type="dxa" w:w="2339"/>
          </w:tcPr>
          <w:p>
            <w:r>
              <w:rPr>
                <w:sz w:val="20"/>
              </w:rPr>
              <w:t>Inhibiteurs modérés du CYP3A4 (érythromycine, fluvoxamine, fluoxétine, diltiazem, vérapamil, cimétidine)</w:t>
            </w:r>
          </w:p>
        </w:tc>
        <w:tc>
          <w:tcPr>
            <w:tcW w:type="dxa" w:w="2339"/>
          </w:tcPr>
          <w:p>
            <w:r>
              <w:rPr>
                <w:sz w:val="20"/>
              </w:rPr>
              <w:t>Inhibition modérée du métabolisme</w:t>
            </w:r>
          </w:p>
        </w:tc>
        <w:tc>
          <w:tcPr>
            <w:tcW w:type="dxa" w:w="2339"/>
          </w:tcPr>
          <w:p>
            <w:r>
              <w:rPr>
                <w:sz w:val="20"/>
              </w:rPr>
              <w:t>Augmentation modérée des concentrations</w:t>
            </w:r>
          </w:p>
        </w:tc>
        <w:tc>
          <w:tcPr>
            <w:tcW w:type="dxa" w:w="2339"/>
          </w:tcPr>
          <w:p>
            <w:r>
              <w:rPr>
                <w:sz w:val="20"/>
              </w:rPr>
              <w:t>Surveillance clinique, adapter la posologie si besoin</w:t>
            </w:r>
          </w:p>
        </w:tc>
      </w:tr>
      <w:tr>
        <w:tc>
          <w:tcPr>
            <w:tcW w:type="dxa" w:w="2339"/>
          </w:tcPr>
          <w:p>
            <w:r>
              <w:rPr>
                <w:sz w:val="20"/>
              </w:rPr>
              <w:t>Autres dermocorticoïdes (cumul)</w:t>
            </w:r>
          </w:p>
        </w:tc>
        <w:tc>
          <w:tcPr>
            <w:tcW w:type="dxa" w:w="2339"/>
          </w:tcPr>
          <w:p>
            <w:r>
              <w:rPr>
                <w:sz w:val="20"/>
              </w:rPr>
              <w:t>Additivité des effets locaux et systémiques</w:t>
            </w:r>
          </w:p>
        </w:tc>
        <w:tc>
          <w:tcPr>
            <w:tcW w:type="dxa" w:w="2339"/>
          </w:tcPr>
          <w:p>
            <w:r>
              <w:rPr>
                <w:sz w:val="20"/>
              </w:rPr>
              <w:t>Majoration de la toxicité</w:t>
            </w:r>
          </w:p>
        </w:tc>
        <w:tc>
          <w:tcPr>
            <w:tcW w:type="dxa" w:w="2339"/>
          </w:tcPr>
          <w:p>
            <w:r>
              <w:rPr>
                <w:sz w:val="20"/>
              </w:rPr>
              <w:t>Ne pas associer plusieurs dermocorticoïdes sans avis médical</w:t>
            </w:r>
          </w:p>
        </w:tc>
      </w:tr>
      <w:tr>
        <w:tc>
          <w:tcPr>
            <w:tcW w:type="dxa" w:w="2339"/>
          </w:tcPr>
          <w:p>
            <w:r>
              <w:rPr>
                <w:sz w:val="20"/>
              </w:rPr>
              <w:t>Vaccins vivants atténués (BCG, rougeole-oreillons-rubéole, varicelle, fièvre jaune)</w:t>
            </w:r>
          </w:p>
        </w:tc>
        <w:tc>
          <w:tcPr>
            <w:tcW w:type="dxa" w:w="2339"/>
          </w:tcPr>
          <w:p>
            <w:r>
              <w:rPr>
                <w:sz w:val="20"/>
              </w:rPr>
              <w:t>Immunosuppression systémique en cas d'absorption significative</w:t>
            </w:r>
          </w:p>
        </w:tc>
        <w:tc>
          <w:tcPr>
            <w:tcW w:type="dxa" w:w="2339"/>
          </w:tcPr>
          <w:p>
            <w:r>
              <w:rPr>
                <w:sz w:val="20"/>
              </w:rPr>
              <w:t>Risque de maladie vaccinale, de réaction vaccinale grave</w:t>
            </w:r>
          </w:p>
        </w:tc>
        <w:tc>
          <w:tcPr>
            <w:tcW w:type="dxa" w:w="2339"/>
          </w:tcPr>
          <w:p>
            <w:r>
              <w:rPr>
                <w:sz w:val="20"/>
              </w:rPr>
              <w:t>Contre-indication en cas d'usage systémique ; prudence en cas d'usage dermique prolongé étendu</w:t>
            </w:r>
          </w:p>
        </w:tc>
      </w:tr>
      <w:tr>
        <w:tc>
          <w:tcPr>
            <w:tcW w:type="dxa" w:w="2339"/>
          </w:tcPr>
          <w:p>
            <w:r>
              <w:rPr>
                <w:sz w:val="20"/>
              </w:rPr>
              <w:t>Insuline et antidiabétiques</w:t>
            </w:r>
          </w:p>
        </w:tc>
        <w:tc>
          <w:tcPr>
            <w:tcW w:type="dxa" w:w="2339"/>
          </w:tcPr>
          <w:p>
            <w:r>
              <w:rPr>
                <w:sz w:val="20"/>
              </w:rPr>
              <w:t>Effet hyperglycémiant</w:t>
            </w:r>
          </w:p>
        </w:tc>
        <w:tc>
          <w:tcPr>
            <w:tcW w:type="dxa" w:w="2339"/>
          </w:tcPr>
          <w:p>
            <w:r>
              <w:rPr>
                <w:sz w:val="20"/>
              </w:rPr>
              <w:t>Déséquilibre glycémique</w:t>
            </w:r>
          </w:p>
        </w:tc>
        <w:tc>
          <w:tcPr>
            <w:tcW w:type="dxa" w:w="2339"/>
          </w:tcPr>
          <w:p>
            <w:r>
              <w:rPr>
                <w:sz w:val="20"/>
              </w:rPr>
              <w:t>Surveillance glycémique, ajustement posologique</w:t>
            </w:r>
          </w:p>
        </w:tc>
      </w:tr>
      <w:tr>
        <w:tc>
          <w:tcPr>
            <w:tcW w:type="dxa" w:w="2339"/>
          </w:tcPr>
          <w:p>
            <w:r>
              <w:rPr>
                <w:sz w:val="20"/>
              </w:rPr>
              <w:t>Diurétiques hypokaliémiants (furosémide, bumétanide, hydrochlorothiazide)</w:t>
            </w:r>
          </w:p>
        </w:tc>
        <w:tc>
          <w:tcPr>
            <w:tcW w:type="dxa" w:w="2339"/>
          </w:tcPr>
          <w:p>
            <w:r>
              <w:rPr>
                <w:sz w:val="20"/>
              </w:rPr>
              <w:t>Additivité de l'hypokaliémie</w:t>
            </w:r>
          </w:p>
        </w:tc>
        <w:tc>
          <w:tcPr>
            <w:tcW w:type="dxa" w:w="2339"/>
          </w:tcPr>
          <w:p>
            <w:r>
              <w:rPr>
                <w:sz w:val="20"/>
              </w:rPr>
              <w:t>Hypokaliémie symptomatique (musculaire, cardiaque)</w:t>
            </w:r>
          </w:p>
        </w:tc>
        <w:tc>
          <w:tcPr>
            <w:tcW w:type="dxa" w:w="2339"/>
          </w:tcPr>
          <w:p>
            <w:r>
              <w:rPr>
                <w:sz w:val="20"/>
              </w:rPr>
              <w:t>Surveillance kaliémique, supplémentation potassique si besoin</w:t>
            </w:r>
          </w:p>
        </w:tc>
      </w:tr>
      <w:tr>
        <w:tc>
          <w:tcPr>
            <w:tcW w:type="dxa" w:w="2339"/>
          </w:tcPr>
          <w:p>
            <w:r>
              <w:rPr>
                <w:sz w:val="20"/>
              </w:rPr>
              <w:t>AINS et aspirine</w:t>
            </w:r>
          </w:p>
        </w:tc>
        <w:tc>
          <w:tcPr>
            <w:tcW w:type="dxa" w:w="2339"/>
          </w:tcPr>
          <w:p>
            <w:r>
              <w:rPr>
                <w:sz w:val="20"/>
              </w:rPr>
              <w:t>Additivité de la toxicité digestive</w:t>
            </w:r>
          </w:p>
        </w:tc>
        <w:tc>
          <w:tcPr>
            <w:tcW w:type="dxa" w:w="2339"/>
          </w:tcPr>
          <w:p>
            <w:r>
              <w:rPr>
                <w:sz w:val="20"/>
              </w:rPr>
              <w:t>Risque ulcéreux et hémorragique majoré (surtout en cas d'absorption systémique)</w:t>
            </w:r>
          </w:p>
        </w:tc>
        <w:tc>
          <w:tcPr>
            <w:tcW w:type="dxa" w:w="2339"/>
          </w:tcPr>
          <w:p>
            <w:r>
              <w:rPr>
                <w:sz w:val="20"/>
              </w:rPr>
              <w:t>Prudence, surveillance clinique</w:t>
            </w:r>
          </w:p>
        </w:tc>
      </w:tr>
      <w:tr>
        <w:tc>
          <w:tcPr>
            <w:tcW w:type="dxa" w:w="2339"/>
          </w:tcPr>
          <w:p>
            <w:r>
              <w:rPr>
                <w:sz w:val="20"/>
              </w:rPr>
              <w:t>Anticoagulants oraux (warfarine, antivitamines K)</w:t>
            </w:r>
          </w:p>
        </w:tc>
        <w:tc>
          <w:tcPr>
            <w:tcW w:type="dxa" w:w="2339"/>
          </w:tcPr>
          <w:p>
            <w:r>
              <w:rPr>
                <w:sz w:val="20"/>
              </w:rPr>
              <w:t>Variabilité de l'INR (interaction métabolique)</w:t>
            </w:r>
          </w:p>
        </w:tc>
        <w:tc>
          <w:tcPr>
            <w:tcW w:type="dxa" w:w="2339"/>
          </w:tcPr>
          <w:p>
            <w:r>
              <w:rPr>
                <w:sz w:val="20"/>
              </w:rPr>
              <w:t>Déséquilibre de l'INR</w:t>
            </w:r>
          </w:p>
        </w:tc>
        <w:tc>
          <w:tcPr>
            <w:tcW w:type="dxa" w:w="2339"/>
          </w:tcPr>
          <w:p>
            <w:r>
              <w:rPr>
                <w:sz w:val="20"/>
              </w:rPr>
              <w:t>Surveillance de l'INR, ajustement posologique</w:t>
            </w:r>
          </w:p>
        </w:tc>
      </w:tr>
      <w:tr>
        <w:tc>
          <w:tcPr>
            <w:tcW w:type="dxa" w:w="2339"/>
          </w:tcPr>
          <w:p>
            <w:r>
              <w:rPr>
                <w:sz w:val="20"/>
              </w:rPr>
              <w:t>Antihypertenseurs</w:t>
            </w:r>
          </w:p>
        </w:tc>
        <w:tc>
          <w:tcPr>
            <w:tcW w:type="dxa" w:w="2339"/>
          </w:tcPr>
          <w:p>
            <w:r>
              <w:rPr>
                <w:sz w:val="20"/>
              </w:rPr>
              <w:t>Effet minéralocorticoïde des corticoïdes (rétention hydrosodée)</w:t>
            </w:r>
          </w:p>
        </w:tc>
        <w:tc>
          <w:tcPr>
            <w:tcW w:type="dxa" w:w="2339"/>
          </w:tcPr>
          <w:p>
            <w:r>
              <w:rPr>
                <w:sz w:val="20"/>
              </w:rPr>
              <w:t>Déséquilibre tensionnel</w:t>
            </w:r>
          </w:p>
        </w:tc>
        <w:tc>
          <w:tcPr>
            <w:tcW w:type="dxa" w:w="2339"/>
          </w:tcPr>
          <w:p>
            <w:r>
              <w:rPr>
                <w:sz w:val="20"/>
              </w:rPr>
              <w:t>Surveillance tension artérielle</w:t>
            </w:r>
          </w:p>
        </w:tc>
      </w:tr>
      <w:tr>
        <w:tc>
          <w:tcPr>
            <w:tcW w:type="dxa" w:w="2339"/>
          </w:tcPr>
          <w:p>
            <w:r>
              <w:rPr>
                <w:sz w:val="20"/>
              </w:rPr>
              <w:t>Salicylés (acide salicylique dermique)</w:t>
            </w:r>
          </w:p>
        </w:tc>
        <w:tc>
          <w:tcPr>
            <w:tcW w:type="dxa" w:w="2339"/>
          </w:tcPr>
          <w:p>
            <w:r>
              <w:rPr>
                <w:sz w:val="20"/>
              </w:rPr>
              <w:t>Additivité de l'effet antiagrégant</w:t>
            </w:r>
          </w:p>
        </w:tc>
        <w:tc>
          <w:tcPr>
            <w:tcW w:type="dxa" w:w="2339"/>
          </w:tcPr>
          <w:p>
            <w:r>
              <w:rPr>
                <w:sz w:val="20"/>
              </w:rPr>
              <w:t>Risque hémorragique</w:t>
            </w:r>
          </w:p>
        </w:tc>
        <w:tc>
          <w:tcPr>
            <w:tcW w:type="dxa" w:w="2339"/>
          </w:tcPr>
          <w:p>
            <w:r>
              <w:rPr>
                <w:sz w:val="20"/>
              </w:rPr>
              <w:t>Prudence</w:t>
            </w:r>
          </w:p>
        </w:tc>
      </w:tr>
      <w:tr>
        <w:tc>
          <w:tcPr>
            <w:tcW w:type="dxa" w:w="2339"/>
          </w:tcPr>
          <w:p>
            <w:r>
              <w:rPr>
                <w:sz w:val="20"/>
              </w:rPr>
              <w:t>Lithium</w:t>
            </w:r>
          </w:p>
        </w:tc>
        <w:tc>
          <w:tcPr>
            <w:tcW w:type="dxa" w:w="2339"/>
          </w:tcPr>
          <w:p>
            <w:r>
              <w:rPr>
                <w:sz w:val="20"/>
              </w:rPr>
              <w:t>Augmentation de la lithémie</w:t>
            </w:r>
          </w:p>
        </w:tc>
        <w:tc>
          <w:tcPr>
            <w:tcW w:type="dxa" w:w="2339"/>
          </w:tcPr>
          <w:p>
            <w:r>
              <w:rPr>
                <w:sz w:val="20"/>
              </w:rPr>
              <w:t>Toxicité du lithium</w:t>
            </w:r>
          </w:p>
        </w:tc>
        <w:tc>
          <w:tcPr>
            <w:tcW w:type="dxa" w:w="2339"/>
          </w:tcPr>
          <w:p>
            <w:r>
              <w:rPr>
                <w:sz w:val="20"/>
              </w:rPr>
              <w:t>Surveillance lithémie</w:t>
            </w:r>
          </w:p>
        </w:tc>
      </w:tr>
    </w:tbl>
    <w:p/>
    <w:p>
      <w:pPr>
        <w:pStyle w:val="Heading3"/>
      </w:pPr>
      <w:r>
        <w:t>122.8.15 Stratégies d'optimisation de l'observance</w:t>
      </w:r>
    </w:p>
    <w:p>
      <w:r>
        <w:t>L'observance du traitement dermocorticoïde est un déterminant majeur de l'efficacité thérapeutique. Plusieurs études ont montré que plus de 50 % des patients n'utilisent pas correctement leur dermocorticoïde : sous-dosage (peur de la cortisone), surdosage (recherche d'effet maximal), arrêt prématuré (amélioration apparente), application sur zones non prévues (automédication visée), non-respect de la fréquence (oubli).</w:t>
      </w:r>
    </w:p>
    <w:p>
      <w:r/>
      <w:r>
        <w:rPr>
          <w:b/>
        </w:rPr>
        <w:t>Causes principales de mauvaise observance :</w:t>
      </w:r>
      <w:r/>
    </w:p>
    <w:p>
      <w:pPr>
        <w:pStyle w:val="ListBullet"/>
      </w:pPr>
      <w:r/>
      <w:r>
        <w:rPr>
          <w:b/>
        </w:rPr>
        <w:t>Peur de la cortisone :</w:t>
      </w:r>
      <w:r>
        <w:t xml:space="preserve"> perception populaire des corticoïdes comme médicaments dangereux, source d'ostéoporose, de prise de poids, de dépendance. Cette perception est majorée par l'expérience de patients ayant reçu une corticothérapie systémique prolongée et l'ayant mal tolérée.</w:t>
      </w:r>
    </w:p>
    <w:p>
      <w:pPr>
        <w:pStyle w:val="ListBullet"/>
      </w:pPr>
      <w:r/>
      <w:r>
        <w:rPr>
          <w:b/>
        </w:rPr>
        <w:t>Méconnaissance de la maladie :</w:t>
      </w:r>
      <w:r>
        <w:t xml:space="preserve"> eczéma chronique récidivant nécessitant un traitement d'entretien.</w:t>
      </w:r>
    </w:p>
    <w:p>
      <w:pPr>
        <w:pStyle w:val="ListBullet"/>
      </w:pPr>
      <w:r/>
      <w:r>
        <w:rPr>
          <w:b/>
        </w:rPr>
        <w:t>Difficultés de compréhension de la prescription :</w:t>
      </w:r>
      <w:r>
        <w:t xml:space="preserve"> posologie complexe, multiples zones à traiter, association à plusieurs topiques.</w:t>
      </w:r>
    </w:p>
    <w:p>
      <w:pPr>
        <w:pStyle w:val="ListBullet"/>
      </w:pPr>
      <w:r/>
      <w:r>
        <w:rPr>
          <w:b/>
        </w:rPr>
        <w:t>Coût du traitement :</w:t>
      </w:r>
      <w:r>
        <w:t xml:space="preserve"> particulièrement pour les esters non fluorés de nouvelle génération (LOCOID, EFFICORT, PEITEL) qui sont importés et relativement coûteux.</w:t>
      </w:r>
    </w:p>
    <w:p>
      <w:pPr>
        <w:pStyle w:val="ListBullet"/>
      </w:pPr>
      <w:r/>
      <w:r>
        <w:rPr>
          <w:b/>
        </w:rPr>
        <w:t>Cosmétique :</w:t>
      </w:r>
      <w:r>
        <w:t xml:space="preserve"> sensation grasse de la pommade, odeur, coloration.</w:t>
      </w:r>
    </w:p>
    <w:p>
      <w:r/>
      <w:r>
        <w:rPr>
          <w:b/>
        </w:rPr>
        <w:t>Stratégies d'amélioration :</w:t>
      </w:r>
      <w:r/>
    </w:p>
    <w:p>
      <w:pPr>
        <w:pStyle w:val="ListBullet"/>
      </w:pPr>
      <w:r/>
      <w:r>
        <w:rPr>
          <w:b/>
        </w:rPr>
        <w:t>Éducation thérapeutique structurée :</w:t>
      </w:r>
      <w:r>
        <w:t xml:space="preserve"> expliquer le mécanisme d'action, la différence entre corticothérapie systémique et dermocorticothérapie locale, les règles d'utilisation (FTU, durée, zones), les signes d'alerte. Distribution de fiches d'information écrites.</w:t>
      </w:r>
    </w:p>
    <w:p>
      <w:pPr>
        <w:pStyle w:val="ListBullet"/>
      </w:pPr>
      <w:r/>
      <w:r>
        <w:rPr>
          <w:b/>
        </w:rPr>
        <w:t>Plan de traitement écrit :</w:t>
      </w:r>
      <w:r>
        <w:t xml:space="preserve"> remettre au patient un schéma écrit du traitement (zone, quantité, fréquence, durée), avec éventuellement un calendrier d'application.</w:t>
      </w:r>
    </w:p>
    <w:p>
      <w:pPr>
        <w:pStyle w:val="ListBullet"/>
      </w:pPr>
      <w:r/>
      <w:r>
        <w:rPr>
          <w:b/>
        </w:rPr>
        <w:t>Démonstration de l'application :</w:t>
      </w:r>
      <w:r>
        <w:t xml:space="preserve"> montrer au patient la règle du FTU et faire une démonstration en pharmacie.</w:t>
      </w:r>
    </w:p>
    <w:p>
      <w:pPr>
        <w:pStyle w:val="ListBullet"/>
      </w:pPr>
      <w:r/>
      <w:r>
        <w:rPr>
          <w:b/>
        </w:rPr>
        <w:t>Simplification du régime :</w:t>
      </w:r>
      <w:r>
        <w:t xml:space="preserve"> privilégier les molécules à effet rémanent (mométasone, 1 application/jour), éviter les schémas complexes multi-zones.</w:t>
      </w:r>
    </w:p>
    <w:p>
      <w:pPr>
        <w:pStyle w:val="ListBullet"/>
      </w:pPr>
      <w:r/>
      <w:r>
        <w:rPr>
          <w:b/>
        </w:rPr>
        <w:t>Association à un émollient :</w:t>
      </w:r>
      <w:r>
        <w:t xml:space="preserve"> toujours associer un émollient en alternance (à 15 minutes d'intervalle minimum), ce qui améliore l'hydratation cutanée et réduit la quantité de dermocorticoïde nécessaire.</w:t>
      </w:r>
    </w:p>
    <w:p>
      <w:pPr>
        <w:pStyle w:val="ListBullet"/>
      </w:pPr>
      <w:r/>
      <w:r>
        <w:rPr>
          <w:b/>
        </w:rPr>
        <w:t>Suivi régulier :</w:t>
      </w:r>
      <w:r>
        <w:t xml:space="preserve"> examen clinique à 2 semaines et à 4 semaines, évaluation de l'observance (interrogatoire, comptage de tubes), réadaptation du traitement si nécessaire.</w:t>
      </w:r>
    </w:p>
    <w:p>
      <w:pPr>
        <w:pStyle w:val="ListBullet"/>
      </w:pPr>
      <w:r/>
      <w:r>
        <w:rPr>
          <w:b/>
        </w:rPr>
        <w:t>Soutien psychologique :</w:t>
      </w:r>
      <w:r>
        <w:t xml:space="preserve"> particulièrement dans les dermatoses chroniques (psoriasis, dermatite atopique sévère) ayant un retentissement sur la qualité de vie.</w:t>
      </w:r>
    </w:p>
    <w:p>
      <w:r/>
      <w:r>
        <w:rPr>
          <w:b/>
        </w:rPr>
        <w:t>Références bibliographiques :</w:t>
      </w:r>
      <w:r/>
    </w:p>
    <w:p>
      <w:pPr>
        <w:pStyle w:val="ListNumber"/>
      </w:pPr>
      <w:r>
        <w:t>ANSM (Agence Nationale de Sécurité du Médicament et des Produits de Santé). Résumes des Caractéristiques du Produit (RCP) des spécialités mentionnées. Mises à jour 2023–2024.</w:t>
      </w:r>
    </w:p>
    <w:p>
      <w:pPr>
        <w:pStyle w:val="ListNumber"/>
      </w:pPr>
      <w:r>
        <w:t>VIDAL. Dictionnaire des médicaments. Édition 2024.</w:t>
      </w:r>
    </w:p>
    <w:p>
      <w:pPr>
        <w:pStyle w:val="ListNumber"/>
      </w:pPr>
      <w:r>
        <w:t>Thériaque. Base de données sur les médicaments. Centre National Hospitalier d'Information sur le Médicament.</w:t>
      </w:r>
    </w:p>
    <w:p>
      <w:pPr>
        <w:pStyle w:val="ListNumber"/>
      </w:pPr>
      <w:r>
        <w:t>CRAT (Centre de Référence sur les Agents Tératogènes). Fiches sur les corticoïdes. www.lecrat.fr.</w:t>
      </w:r>
    </w:p>
    <w:p>
      <w:pPr>
        <w:pStyle w:val="ListNumber"/>
      </w:pPr>
      <w:r>
        <w:t>UpToDate. Topical corticosteroids: Use and adverse effects. Mise à jour 2024.</w:t>
      </w:r>
    </w:p>
    <w:p>
      <w:pPr>
        <w:pStyle w:val="ListNumber"/>
      </w:pPr>
      <w:r>
        <w:t>Nomenclature algérienne des médicaments. Liste Avril 2026 (Prix et Remboursement).</w:t>
      </w:r>
    </w:p>
    <w:p>
      <w:pPr>
        <w:pStyle w:val="ListNumber"/>
      </w:pPr>
      <w:r>
        <w:t>Stoughton RB, Cornell RC. Corticosteroid potency assay. Int J Dermatol. 1985;24(6):370-374.</w:t>
      </w:r>
    </w:p>
    <w:p>
      <w:pPr>
        <w:pStyle w:val="ListNumber"/>
      </w:pPr>
      <w:r>
        <w:t>European Dermatology Forum. Guidelines on topical corticosteroids. 2018.</w:t>
      </w:r>
    </w:p>
    <w:p>
      <w:pPr>
        <w:pStyle w:val="ListNumber"/>
      </w:pPr>
      <w:r>
        <w:t>Schäfer-Korting M, Schmid MH, Korting HC. Topical glucocorticoids and the skin: an update. Am J Clin Dermatol. 2002;3(5):327-335.</w:t>
      </w:r>
    </w:p>
    <w:p>
      <w:pPr>
        <w:pStyle w:val="ListNumber"/>
      </w:pPr>
      <w:r>
        <w:t>Coondoo A, Phiske M, Verma S, Lahiri K. Side-effects of topical steroids: A long overdue revisit. Indian Dermatol Online J. 2014;5(4):416-425.</w:t>
      </w:r>
    </w:p>
    <w:p>
      <w:pPr>
        <w:pStyle w:val="ListNumber"/>
      </w:pPr>
      <w:r>
        <w:t>Long CC, Finlay AY. The finger-tip unit: a new practical measure. Clin Exp Dermatol. 1991;16(6):444-447.</w:t>
      </w:r>
    </w:p>
    <w:p>
      <w:pPr>
        <w:pStyle w:val="ListNumber"/>
      </w:pPr>
      <w:r>
        <w:t>Boer J, Jemec GB. Prurigo nodularis: a clinical update. Br J Dermatol. 2018;179(1):70-78.</w:t>
      </w:r>
    </w:p>
    <w:p>
      <w:pPr>
        <w:pStyle w:val="ListNumber"/>
      </w:pPr>
      <w:r>
        <w:t>Nielsen MM, Thestrup-Pedersen K. Topical corticosteroids and the skin: pharmacology, safety, and clinical use. Am J Clin Dermatol. 2004;5(2):87-94.</w:t>
      </w:r>
    </w:p>
    <w:p>
      <w:pPr>
        <w:pStyle w:val="ListNumber"/>
      </w:pPr>
      <w:r>
        <w:t>Hengge UR, Ruzicka T, Schwartz RA, Cork MJ. Adverse effects of topical glucocorticosteroids. J Am Acad Dermatol. 2006;54(1):1-15.</w:t>
      </w:r>
    </w:p>
    <w:p>
      <w:pPr>
        <w:pStyle w:val="ListNumber"/>
      </w:pPr>
      <w:r>
        <w:t>Ference JD, Last AR. Choosing topical corticosteroids. Am Fam Physician. 2009;79(2):135-140.</w:t>
      </w:r>
    </w:p>
    <w:p>
      <w:r/>
      <w:r>
        <w:rPr>
          <w:i/>
        </w:rPr>
        <w:t>Fin du chapitre 122 — Dermocorticoïdes topiques.</w:t>
      </w:r>
      <w:r/>
    </w:p>
    <w:p>
      <w:pPr>
        <w:pStyle w:val="Heading1"/>
      </w:pPr>
      <w:r>
        <w:t>Fascicule XIII — Dermatologie</w:t>
      </w:r>
    </w:p>
    <w:p>
      <w:pPr>
        <w:pStyle w:val="Heading2"/>
      </w:pPr>
      <w:r>
        <w:t>Chapitre 123 — Inhibiteurs de la calcineurine topiques, analogues de la vitamine D, kératolytiques et hydratants</w:t>
      </w:r>
    </w:p>
    <w:p>
      <w:pPr>
        <w:pStyle w:val="Heading3"/>
      </w:pPr>
      <w:r>
        <w:t>Introduction au chapitre 123</w:t>
      </w:r>
    </w:p>
    <w:p>
      <w:r>
        <w:t>Les dermatoses inflammatoires chroniques (dermatite atopique, psoriasis, eczéma de contact, lichen plan) constituent, par leur prévalence élevée et leur retentissement fonctionnel majeur, l'un des chapitres cliniques les plus conséquents de la pratique pharmaceutique algérienne. Selon les données épidémiologiques récentes de la Société Algérienne de Dermatologie, la dermatite atopique touche 15 à 20 % des enfants en âge scolaire, le psoriasis concerne 1,5 à 3 % de la population générale (soit plus de 600 000 patients algériens), et les eczémas de contact professionnel atteignent près de 10 % des travailleurs manuels exposés. Ces affections, longtemps traitées exclusivement par les dermatocorticoïdes, ont vu leur arsenal thérapeutique enrichi au cours des trente dernières années par l'introduction de deux familles pharmacologiques révolutionnaires : les inhibiteurs topiques de la calcineurine (tacrolimus, pimécrolimus) et les analogues topiques de la vitamine D (calcipotriol, calcitriol, tacalcitol). Ces deux classes ont en commun d'offrir une alternative non stéroïdienne aux corticoïdes, permettant ainsi le traitement prolongé des zones sensibles (visage, plis, zones génitales) où la dermocorticoïdo-toxicité (atrophie épidermique, télangiectasies, dermite périorale, acne rosacea-like) interdit l'usage au long cours. À ces deux classes ciblées s'ajoutent les kératolytiques (acide salicylique, résorcinol, urée à forte concentration) et les hydratants (urée à faible concentration), dont le rôle est non pas d'agir sur la composante inflammatoire mais de corriger la dyskératinisation et le defect de barrière cutanée qui sous-tendent la majorité des dermatoses chroniques.</w:t>
      </w:r>
    </w:p>
    <w:p>
      <w:r>
        <w:t>L'enseignement de ces cinq molécules à l'étudiant en pharmacie algérien revêt une importance toute particulière pour cinq raisons fondamentales. Premièrement, le tacrolimus topique représente le traitement de référence de la dermatite atopique modérée à sévère de l'adulte et de l'enfant de plus de deux ans sur les zones sensibles (visage, paupières, plis) où les dermocorticoïdes ne peuvent être utilisés au long cours : c'est une molécule d'usage quotidien en officine, qui requiert une éducation thérapeutique spécifique (sensation de brûlure initiale, protocole d'application progressive, photoprotection obligatoire). Deuxièmement, le calcipotriol — seul analogue de la vitamine D disponible en Algérie — est le traitement de première intention du psoriasis en plaques léger à modéré ; sa combinaison fixe avec le dipropionate de bétaméthasone (Daivobet® et génériques) a transformé la prise en charge ambulatoire du psoriasis en réduisant significativement le délai d'action et la durée de traitement. Troisièmement, l'acide salicylique et le résorcinol sont les kératolytiques de référence pour le traitement des hyperkératoses (verrues, cors, ichtyose, psoriasis palmo-plantaire), mais leur toxicité systémique potentielle (salicylisme pour l'acide salicylique, convulsions et méthémoglobinémie pour le résorcinol) impose des règles strictes de prescription chez l'enfant, la femme enceinte et le sujet insuffisant rénal. Quatrièmement, l'urée est un acteur central de la cosmétologie dermatologique : à 10 %, elle exerce un effet hydratant (indiqué dans l'ichtyose légère et la xérose cutanée), à 20-40 % elle devient kératolytique (ichtyose, kératodermie palmoplantaire), et à 40 % elle peut dépasser la simple barrière pharmaceutique pour entrer dans l'arsenal thérapeutique de l'onychomycose et de la kératose actinique. Cinquièmement, ces cinq molécules sont majoritairement délivrées en officine, ce qui place le pharmacien algérien en position de premier recours pour le dépistage des effets indésirables, l'éducation à l'application, la prévention des surdosages et l'orientation vers le dermatologue.</w:t>
      </w:r>
    </w:p>
    <w:p>
      <w:r>
        <w:t>Le présent chapitre respecte la structure pédagogique uniforme héritée des chapitres précédents du Fascicule XIII : pour chaque DCI, l'étudiant trouvera successivement la liste des catégories pharmacothérapeutiques, le tableau exhaustif des spécialités disponibles en Algérie (avec statut ACTIF, NON RENOUVELABLE ou RETRAIT), le mécanisme d'action moléculaire détaillé, le profil pharmacologique (indications, contre-indications, effets indésirables), les mesures de prévention et de gestion des toxicités, les interactions médicamenteuses pertinentes, les recommandations CRAT pour la grossesse et l'allaitement, la posologie standard adulte et pédiatrique, l'arbitrage entre formes galéniques, les conseils au patient et enfin les pièges classiques du comptoir. Une table comparative synoptique récapitule les cinq molécules en fin de chapitre, complétée par une synthèse pédagogique destinée à l'examen et à la pratique.</w:t>
      </w:r>
    </w:p>
    <w:p>
      <w:r/>
      <w:r>
        <w:rPr>
          <w:b/>
        </w:rPr>
        <w:t>Liste des DCIs traitées dans ce chapitre (5)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N°</w:t>
            </w:r>
          </w:p>
        </w:tc>
        <w:tc>
          <w:tcPr>
            <w:tcW w:type="dxa" w:w="1871"/>
          </w:tcPr>
          <w:p>
            <w:r>
              <w:rPr>
                <w:b/>
                <w:sz w:val="20"/>
              </w:rPr>
              <w:t>DCI</w:t>
            </w:r>
          </w:p>
        </w:tc>
        <w:tc>
          <w:tcPr>
            <w:tcW w:type="dxa" w:w="1871"/>
          </w:tcPr>
          <w:p>
            <w:r>
              <w:rPr>
                <w:b/>
                <w:sz w:val="20"/>
              </w:rPr>
              <w:t>Sous-classe</w:t>
            </w:r>
          </w:p>
        </w:tc>
        <w:tc>
          <w:tcPr>
            <w:tcW w:type="dxa" w:w="1871"/>
          </w:tcPr>
          <w:p>
            <w:r>
              <w:rPr>
                <w:b/>
                <w:sz w:val="20"/>
              </w:rPr>
              <w:t>Mécanisme central</w:t>
            </w:r>
          </w:p>
        </w:tc>
        <w:tc>
          <w:tcPr>
            <w:tcW w:type="dxa" w:w="1871"/>
          </w:tcPr>
          <w:p>
            <w:r>
              <w:rPr>
                <w:b/>
                <w:sz w:val="20"/>
              </w:rPr>
              <w:t>EI cardinaux</w:t>
            </w:r>
          </w:p>
        </w:tc>
      </w:tr>
      <w:tr>
        <w:tc>
          <w:tcPr>
            <w:tcW w:type="dxa" w:w="1871"/>
          </w:tcPr>
          <w:p>
            <w:r>
              <w:rPr>
                <w:sz w:val="20"/>
              </w:rPr>
              <w:t>1</w:t>
            </w:r>
          </w:p>
        </w:tc>
        <w:tc>
          <w:tcPr>
            <w:tcW w:type="dxa" w:w="1871"/>
          </w:tcPr>
          <w:p>
            <w:r>
              <w:rPr>
                <w:sz w:val="20"/>
              </w:rPr>
              <w:t>Tacrolimus (topique)</w:t>
            </w:r>
          </w:p>
        </w:tc>
        <w:tc>
          <w:tcPr>
            <w:tcW w:type="dxa" w:w="1871"/>
          </w:tcPr>
          <w:p>
            <w:r>
              <w:rPr>
                <w:sz w:val="20"/>
              </w:rPr>
              <w:t>Inhibiteurs calcineurine topiques</w:t>
            </w:r>
          </w:p>
        </w:tc>
        <w:tc>
          <w:tcPr>
            <w:tcW w:type="dxa" w:w="1871"/>
          </w:tcPr>
          <w:p>
            <w:r>
              <w:rPr>
                <w:sz w:val="20"/>
              </w:rPr>
              <w:t>Inhibition calcineurine → blocage NF-AT → baisse TNFα/IL-2</w:t>
            </w:r>
          </w:p>
        </w:tc>
        <w:tc>
          <w:tcPr>
            <w:tcW w:type="dxa" w:w="1871"/>
          </w:tcPr>
          <w:p>
            <w:r>
              <w:rPr>
                <w:sz w:val="20"/>
              </w:rPr>
              <w:t>Sensation de brûlure initiale, prurit, photosensibilité</w:t>
            </w:r>
          </w:p>
        </w:tc>
      </w:tr>
      <w:tr>
        <w:tc>
          <w:tcPr>
            <w:tcW w:type="dxa" w:w="1871"/>
          </w:tcPr>
          <w:p>
            <w:r>
              <w:rPr>
                <w:sz w:val="20"/>
              </w:rPr>
              <w:t>2</w:t>
            </w:r>
          </w:p>
        </w:tc>
        <w:tc>
          <w:tcPr>
            <w:tcW w:type="dxa" w:w="1871"/>
          </w:tcPr>
          <w:p>
            <w:r>
              <w:rPr>
                <w:sz w:val="20"/>
              </w:rPr>
              <w:t>Calcipotriol (± bétaméthasone)</w:t>
            </w:r>
          </w:p>
        </w:tc>
        <w:tc>
          <w:tcPr>
            <w:tcW w:type="dxa" w:w="1871"/>
          </w:tcPr>
          <w:p>
            <w:r>
              <w:rPr>
                <w:sz w:val="20"/>
              </w:rPr>
              <w:t>Analogues vitamine D topiques</w:t>
            </w:r>
          </w:p>
        </w:tc>
        <w:tc>
          <w:tcPr>
            <w:tcW w:type="dxa" w:w="1871"/>
          </w:tcPr>
          <w:p>
            <w:r>
              <w:rPr>
                <w:sz w:val="20"/>
              </w:rPr>
              <w:t>Liaison VDR → différenciation kératinocytaire</w:t>
            </w:r>
          </w:p>
        </w:tc>
        <w:tc>
          <w:tcPr>
            <w:tcW w:type="dxa" w:w="1871"/>
          </w:tcPr>
          <w:p>
            <w:r>
              <w:rPr>
                <w:sz w:val="20"/>
              </w:rPr>
              <w:t>Hypercalcémie si &gt;100 g/sem, irritation locale</w:t>
            </w:r>
          </w:p>
        </w:tc>
      </w:tr>
      <w:tr>
        <w:tc>
          <w:tcPr>
            <w:tcW w:type="dxa" w:w="1871"/>
          </w:tcPr>
          <w:p>
            <w:r>
              <w:rPr>
                <w:sz w:val="20"/>
              </w:rPr>
              <w:t>3</w:t>
            </w:r>
          </w:p>
        </w:tc>
        <w:tc>
          <w:tcPr>
            <w:tcW w:type="dxa" w:w="1871"/>
          </w:tcPr>
          <w:p>
            <w:r>
              <w:rPr>
                <w:sz w:val="20"/>
              </w:rPr>
              <w:t>Acide salicylique (topique)</w:t>
            </w:r>
          </w:p>
        </w:tc>
        <w:tc>
          <w:tcPr>
            <w:tcW w:type="dxa" w:w="1871"/>
          </w:tcPr>
          <w:p>
            <w:r>
              <w:rPr>
                <w:sz w:val="20"/>
              </w:rPr>
              <w:t>Kératolytiques</w:t>
            </w:r>
          </w:p>
        </w:tc>
        <w:tc>
          <w:tcPr>
            <w:tcW w:type="dxa" w:w="1871"/>
          </w:tcPr>
          <w:p>
            <w:r>
              <w:rPr>
                <w:sz w:val="20"/>
              </w:rPr>
              <w:t>Rupture des ponts desmosomiques (kératolyse)</w:t>
            </w:r>
          </w:p>
        </w:tc>
        <w:tc>
          <w:tcPr>
            <w:tcW w:type="dxa" w:w="1871"/>
          </w:tcPr>
          <w:p>
            <w:r>
              <w:rPr>
                <w:sz w:val="20"/>
              </w:rPr>
              <w:t>Salicylisme (surfaces étendues), irritation</w:t>
            </w:r>
          </w:p>
        </w:tc>
      </w:tr>
      <w:tr>
        <w:tc>
          <w:tcPr>
            <w:tcW w:type="dxa" w:w="1871"/>
          </w:tcPr>
          <w:p>
            <w:r>
              <w:rPr>
                <w:sz w:val="20"/>
              </w:rPr>
              <w:t>4</w:t>
            </w:r>
          </w:p>
        </w:tc>
        <w:tc>
          <w:tcPr>
            <w:tcW w:type="dxa" w:w="1871"/>
          </w:tcPr>
          <w:p>
            <w:r>
              <w:rPr>
                <w:sz w:val="20"/>
              </w:rPr>
              <w:t>Résorcinol (topique)</w:t>
            </w:r>
          </w:p>
        </w:tc>
        <w:tc>
          <w:tcPr>
            <w:tcW w:type="dxa" w:w="1871"/>
          </w:tcPr>
          <w:p>
            <w:r>
              <w:rPr>
                <w:sz w:val="20"/>
              </w:rPr>
              <w:t>Kératolytiques</w:t>
            </w:r>
          </w:p>
        </w:tc>
        <w:tc>
          <w:tcPr>
            <w:tcW w:type="dxa" w:w="1871"/>
          </w:tcPr>
          <w:p>
            <w:r>
              <w:rPr>
                <w:sz w:val="20"/>
              </w:rPr>
              <w:t>Réduction des liaisons disulfures + action antiseptique</w:t>
            </w:r>
          </w:p>
        </w:tc>
        <w:tc>
          <w:tcPr>
            <w:tcW w:type="dxa" w:w="1871"/>
          </w:tcPr>
          <w:p>
            <w:r>
              <w:rPr>
                <w:sz w:val="20"/>
              </w:rPr>
              <w:t>Convulsions, méthémoglobinémie, dysthyroïdie</w:t>
            </w:r>
          </w:p>
        </w:tc>
      </w:tr>
      <w:tr>
        <w:tc>
          <w:tcPr>
            <w:tcW w:type="dxa" w:w="1871"/>
          </w:tcPr>
          <w:p>
            <w:r>
              <w:rPr>
                <w:sz w:val="20"/>
              </w:rPr>
              <w:t>5</w:t>
            </w:r>
          </w:p>
        </w:tc>
        <w:tc>
          <w:tcPr>
            <w:tcW w:type="dxa" w:w="1871"/>
          </w:tcPr>
          <w:p>
            <w:r>
              <w:rPr>
                <w:sz w:val="20"/>
              </w:rPr>
              <w:t>Urée (topique)</w:t>
            </w:r>
          </w:p>
        </w:tc>
        <w:tc>
          <w:tcPr>
            <w:tcW w:type="dxa" w:w="1871"/>
          </w:tcPr>
          <w:p>
            <w:r>
              <w:rPr>
                <w:sz w:val="20"/>
              </w:rPr>
              <w:t>Kératolytiques / Hydratants</w:t>
            </w:r>
          </w:p>
        </w:tc>
        <w:tc>
          <w:tcPr>
            <w:tcW w:type="dxa" w:w="1871"/>
          </w:tcPr>
          <w:p>
            <w:r>
              <w:rPr>
                <w:sz w:val="20"/>
              </w:rPr>
              <w:t>Hydratation (faible dose) + kératolyse (haute dose)</w:t>
            </w:r>
          </w:p>
        </w:tc>
        <w:tc>
          <w:tcPr>
            <w:tcW w:type="dxa" w:w="1871"/>
          </w:tcPr>
          <w:p>
            <w:r>
              <w:rPr>
                <w:sz w:val="20"/>
              </w:rPr>
              <w:t>Irritation à haute concentration, urticaire de contact</w:t>
            </w:r>
          </w:p>
        </w:tc>
      </w:tr>
    </w:tbl>
    <w:p/>
    <w:p>
      <w:pPr>
        <w:pStyle w:val="Heading3"/>
      </w:pPr>
      <w:r>
        <w:t>1. Sous-classe : Inhibiteurs calcineurine topiques</w:t>
      </w:r>
    </w:p>
    <w:p>
      <w:r>
        <w:t>Les inhibiteurs topiques de la calcineurine (ICT) représentent la première classe d'immunomodulateurs topiques non stéroïdiens introduite en dermatologie. Leur développement découle directement de la caractérisation moléculaire de la voie de signalisation calcineurine–NF-AT dans les lymphocytes T activés, voie dont l'importance dans la genèse de l'inflammation eczémateuse a été établie au début des années 1990. Le tacrolimus (FK506), macrolide immunosuppresseur découvert en 1984 par Fujisawa Pharmaceutical dans la souche de Streptomyces tsukubaensis, a d'abord été développé par voie systémique pour la prévention du rejet de greffe (Prograf®, 1994). C'est l'observation clinique de l'efficacité remarquable du tacrolimus intraveineux dans le psoriasis sévère et la dermatite atopique réfractaire, associée à la nécessité de réduire la toxicité systémique (néphrotoxicité, diabète, hypertension, neurotoxicité), qui a conduit au développement d'une forme topique (Protopic®) autorisée par la FDA en 2000 et par l'EMA en 2002 pour le traitement de la dermatite atopique modérée à sévère de l'adulte et de l'enfant de plus de deux ans.</w:t>
      </w:r>
    </w:p>
    <w:p>
      <w:r>
        <w:t>Le mécanisme d'action du tacrolimus topique illustre parfaitement l'intersection entre pharmacologie cellulaire et dermatologie. La molécule pénètre l'épiderme et atteint les cellules de Langerhans, les lymphocytes T cutanés et les mastocytes dermiques. Elle se lie de manière spécifique à la FKBP-12 (FK-binding protein 12), une immunophiline intracytoplasmique, formant un complexe qui inhibe de manière compétitive et calcium-dépendante la phosphatase calcineurine. Cette inhibition empêche la déphosphorylation du facteur de transcription NF-AT (Nuclear Factor of Activated T cells), le maintenant sous forme inactive dans le cytoplasme — il ne peut donc transloquer vers le noyau et activer la transcription des cytokines Th2 (IL-4, IL-5, IL-13) et Th1 (IL-2, IFN-γ) impliquées dans la dermatite atopique. La conséquence est une diminution drastique de la production de TNF-α, d'IL-2 et d'IFN-γ, ainsi qu'une réduction de l'expression des molécules de co-stimulation (CD80, CD86) sur les cellules de Langerhans, abaissant leur capacité à présenter l'antigène aux lymphocytes T. Cette triple action — anti-lymphocyte T, anti-cellule de Langerhans, anti-mastocyte — explique l'efficacité remarquable dans la dermatite atopique et, en seconde intention, dans le psoriasis facial, le lichen plan, la vitiligo, le pyoderma gangrenosum et diverses dermatoses des zones sensibles.</w:t>
      </w:r>
    </w:p>
    <w:p>
      <w:r>
        <w:t>La particularité pharmacocinétique du tacrolimus topique est son absence d'atrophie cutanée — propriété qui le distingue radicalement des dermocorticoïdes. L'absence d'effet sur la synthèse du collagène par les fibroblastes dermiques explique sa supériorité dans le traitement prolongé du visage, des paupières, des plis et des zones génitales, où les dermocorticoïdes induisent en quelques semaines une atrophie épidermique irréversible. Le tacrolimus topique ne traverse pas la barrière cutanée saine, mais peut être absorbé en cas de peau lésée (dermatite atopique active), avec une absorption systémique qui reste cependant très faible (&lt; 1 % de la dose appliquée) et qui diminue parallèlement à la guérison de l'eczéma. Cette particularité explique la bonne tolérance systémique du tacrolimus topique, contrastant avec la toxicité rénale et métabolique importante du tacrolimus oral utilisé en transplantation.</w:t>
      </w:r>
    </w:p>
    <w:p>
      <w:r>
        <w:t>La place des ICT dans la stratégie thérapeutique de la dermatite atopique est aujourd'hui bien codifiée par les recommandations européennes (European Dermatology Forum, 2018 ; HAS 2021) et algériennes (Société Algérienne de Dermatologie). Ils sont indiqués en traitement de seconde intention, après échec, intolérance ou contre-indication des dermocorticoïdes, en particulier sur les zones sensibles (visage, cou, plis, zones génitales, mains). Ils peuvent également être utilisés en traitement d'entretien proactif : application deux fois par semaine sur les zones habituelles de poussée afin de prévenir les rechutes, protocole validé par plusieurs essais contrôlés qui ont démontré une réduction du nombre de poussées et une amélioration de la qualité de vie. Cette stratégie proactive est particulièrement pertinente chez les patients ayant 4 poussées ou plus par an.</w:t>
      </w:r>
    </w:p>
    <w:p>
      <w:r>
        <w:t>La controverse sur le risque de lymphome cutané a marqué l'histoire de la classe. En 2005, la FDA a émis un « black box warning » sur le risque théorique de cancer cutané et lymphome, sur la base de signaux pharmacovigilance et de modèles animaux. Ce warning, contesté par la communauté dermatologique, a fait l'objet d'études épidémiologiques de grande ampleur (cohorte de plus de 770 000 patients suivis sur 10 ans) qui n'ont pas confirmé l'excès de risque de lymphome chez les patients traités par tacrolimus ou pimécrolimus. Les recommandations actuelles, tenant compte de ces données rassurantes, recommandent une utilisation sans restriction excessive, en rappelant les mesures de photoprotection et l'absence d'indication chez les patients ayant des lésions précancéreuses ou un antécédent de lymphome cutané.</w:t>
      </w:r>
    </w:p>
    <w:p>
      <w:r>
        <w:t>En Algérie, la situation est paradoxale : le tacrolimus est disponible dans sa forme systémique (gélules 0,5 mg, 1 mg, 5 mg — Prograf® princeps Hikma, Tacrolimus Cinfa, Tim Inpha-Medis, Vingraf Emcure) utilisée en transplantation d'organe, mais la forme topique (Protopic® 0,03 % et 0,1 % en pommade) n'est pas enregistrée dans la nomenclature algérienne officielle (avril 2026). Cette absence d'enregistrement ne signifie pas absence d'usage — de nombreux dermatologues algériens prescrivent le Protopic® importé par circuit spécial, et le pimécrolimus (Elidel®) n'est pas non plus disponible. Le pharmacien d'officine doit connaître cette molécule car elle est un standard international du traitement de la dermatite atopique, et tout étudiant en pharmacie doit en maîtriser la pharmacologie. Les informations cliniques de la fiche qui suit reflètent la littérature internationale (VIDAL, ANSM, UpToDate) sur la forme topique, tandis que le tableau des spécialités algériennes reflète la réalité du marché national (forme orale uniquement).</w:t>
      </w:r>
    </w:p>
    <w:p>
      <w:pPr>
        <w:pStyle w:val="Heading3"/>
      </w:pPr>
      <w:r>
        <w:t>2. Sous-classe : Analogues vitamine D topiques</w:t>
      </w:r>
    </w:p>
    <w:p>
      <w:r>
        <w:t>Les analogues topiques de la vitamine D représentent, avec les dermocorticoïdes, le pilier du traitement topique du psoriasis en plaques. Leur conception pharmacologique est issue des travaux fondamentaux des années 1980 sur le rôle du 1,25-dihydroxyvitamine D3 (calcitriol) dans la régulation de la prolifération et de la différenciation des kératinocytes. L'observation clinique initiale — faite par Morimoto et al. en 1986 chez des patients psoriasiques traités pour ostéoporose par calcitriol oral, qui voyaient leurs plaques psoriasiques régresser — a ouvert la voie au développement d'analogues capables de reproduire l'effet antipsoriasique de la vitamine D sans en induire l'hypercalcémie. Le calcipotriol (MC903, calcipotriène), synthétisé en 1987 par Leo Pharmaceutical Products (Danemark), a été le premier analogue à répondre à ce cahier des charges : affinité équivalente au calcitriol pour le VDR (Vitamin D Receptor) mais effet hypercalcémique 100 à 200 fois moindre. Mis sur le marché en 1991 sous le nom de Daivonex®, il a transformé la prise en charge ambulatoire du psoriasis modéré.</w:t>
      </w:r>
    </w:p>
    <w:p>
      <w:r>
        <w:t>Le mécanisme d'action du calcipotriol s'inscrit dans la voie canonique de signalisation de la vitamine D. La molécule traverse la membrane cellulaire des kératinocytes et se lie au VDR, un récepteur nucléaire appartenant à la superfamille des récepteurs stéroïdiens/thyroïdiens. Le complexe calcipotriol-VDR hétérodimérise avec le RXR (Retinoid X Receptor) et se fixe sur les éléments de réponse à la vitamine D (VDRE) présents dans les régions régulatrices de gènes cibles. Cette activation transcriptionnelle induit : (i) l'inhibition de la prolifération basale des kératinocytes (arrêt du cycle cellulaire en G1 via induction de p21 et p27), (ii) la stimulation de leur différenciation terminale (augmentation de l'expression de l'involucrine, de la filaggrine, de la transglutaminase et de la cornifine), (iii) la réduction de l'inflammation via inhibition du TNF-α et de l'IL-8, et (iv) une modulation de l'immunité cutanée (inhibition de la migration des lymphocytes T et de la présentation antigénique par les cellules de Langerhans). L'effet global est la restauration d'un épiderme normalisé : diminution de l'acanthose, disparition des amas de neutrophiles (micro-abcès de Munro), normalisation de la différenciation et réduction de l'inflammation dermique.</w:t>
      </w:r>
    </w:p>
    <w:p>
      <w:r>
        <w:t>La pharmacocinétique du calcipotriol topique est dominée par son très faible passage systémique. Moins de 1 % de la dose appliquée sur peau saine est absorbé, ce taux pouvant atteindre 5 à 6 % en cas d'application sur peau lésée. La molécule est rapidement métabolisée dans le foie en métabolites inactifs (via le CYP27A1 et CYP24A1), et sa demi-vie systémique est courte (quelques minutes à quelques heures). Le risque d'hypercalcémie reste cependant le principal signal d'alerte : il survient lorsque la quantité hebdomadaire appliquée dépasse 100 g de pommade à 50 µg/g (soit 5 mg de calcipotriol par semaine), ce qui correspond à environ 14 g par jour. Le dépassement de ce seuil impose un arrêt transitoire et un contrôle de la calcémie et de la calciurie des 24 heures.</w:t>
      </w:r>
    </w:p>
    <w:p>
      <w:r>
        <w:t>L'innovation majeure de la classe a été le développement de la combinaison fixe calcipotriol + dipropionate de bétaméthasone (Daivobet®), commercialisée en 2002 par Leo Pharma. Cette combinaison exploite la synergie entre : (i) l'effet anti-inflammatoire puissant et rapide de la bétaméthasone (corticoïde de classe forte), qui réduit la composante inflammatoire aiguë ; (ii) l'effet anti-prolifératif et pro-différenciant du calcipotriol, qui corrige la dyskératinisation. Le résultat clinique est un délai d'action raccourci (amélioration visible dès la 1re semaine versus 4 à 6 semaines pour le calcipotriol seul) et un taux de rémission complète à 4 semaines de 40 à 50 % versus 15 à 20 % pour le calcipotriol en monothérapie. La tolérance locale est améliorée par l'effet anti-inflammatoire de la bétaméthasone qui masque l'irritation fréquente du calcipotriol seul. La combinaison est disponible en pommade (forme de référence pour le psoriasis en plaques sur peau sèche) et en gel (forme plus récente indiquée pour le psoriasis du cuir chevelu, en raison de la cosméticité supérieure et de l'absence d'effet gras sur les cheveux).</w:t>
      </w:r>
    </w:p>
    <w:p>
      <w:r>
        <w:t>En Algérie, le marché des analogues de la vitamine D est dominé par le calcipotriol seul (Daivonex® princeps Leo, retiré, et ses génériques : Calcipotriol Novagenerics, Diavorem Biorem, Psoranex El Kendi) et par la combinaison calcipotriol + bétaméthasone (Daivobet® princeps Leo, et génériques : Daivorem Plus Biorem, Psorasone El Kendi, Psoriabet Novapharm, Daivobet gel Abdi Ibrahim Remede Pharma). Le Daivobet gel, plus récent et indiqué pour le psoriasis du cuir chevelu, est également disponible. La diversité des génériques reflète la maturité du marché et l'importance économique du segment psoriasis en Algérie.</w:t>
      </w:r>
    </w:p>
    <w:p>
      <w:r>
        <w:t>Les indications validées par l'ANSM et l'EMA pour le calcipotriol et sa combinaison sont le psoriasis en plaques vulgaire léger à modéré de l'adulte. Chez l'enfant de plus de 6 ans, le calcipotriol seul est autorisé à posologie réduite (max 50 g/sem). Chez la femme enceinte, l'usage ponctuel est autorisé (CRAT : « utilisable si nécessaire »), mais l'usage prolongé ou étendu doit être discuté. Les contre-indications majeures sont les maladies du métabolisme calcique (hypercalcémie, lithiase calcique récidivante), le psoriasis érythrodermique ou pustuleux, et l'application sur visage (sauf avis spécialisé). La surveillance biologique (calcémie, calciurie) est nécessaire en cas d'utilisation prolongée ou de surfaces étendues.</w:t>
      </w:r>
    </w:p>
    <w:p>
      <w:pPr>
        <w:pStyle w:val="Heading3"/>
      </w:pPr>
      <w:r>
        <w:t>3. Sous-classe : Kératolytiques</w:t>
      </w:r>
    </w:p>
    <w:p>
      <w:r>
        <w:t>Les kératolytiques constituent l'une des classes pharmacologiques les plus anciennes de la dermatologie, antérieure même à la pharmacologie moderne. L'acide salicylique, isolé en 1828 par Johann Büchner à partir de l'écorce de saule (Salix alba), puis synthétisé en 1852 par Hermann Kolbe, est utilisé en application cutanée depuis la fin du XIXe siècle pour traiter les hyperkératoses et les dermatoses squameuses. Le résorcinol (1,3-dihydroxybenzène), isolé en 1864 par Barth et Hlasiwetz à partir de la résine de galbanum, a été introduit en dermatologie dans les années 1880 comme antiseptique et kératolytique alternatif. Ces deux molécules, centenaires, n'ont jamais été remplacées dans leur indication, ce qui témoigne de leur efficacité et de leur polyvalence. Leur mécanisme d'action, longtemps empirique, a été élucidé dans la seconde moitié du XXe siècle : il repose sur la rupture des ponts desmosomiques qui unissent les cornéocytes entre eux dans la couche cornée, ce qui entraîne la desquamation de l'hyperkératose et la restauration d'un turnover épidermique normal.</w:t>
      </w:r>
    </w:p>
    <w:p>
      <w:r>
        <w:t>L'acide salicylique agit par dissolution des liaisons intercornéocytaire au niveau du stratum corneum : il pénètre entre les cornéocytes, solubilise les lipides intercellulaires (céramides, cholestérol, acides gras libres) et rompt les desmosomes (en particulier la desmogléine-1) qui assurent la cohésion des cornéocytes. Cette action aboutit à la desquamation de la couche cornée et à la stimulation compensatoire de la prolifération basale. À faible concentration (1 à 5 %), l'acide salicylique exerce un effet kératoplastique (stimulation de la différenciation), tandis qu'à forte concentration (10 à 50 %), il devient kératolytique franc (destruction de l'hyperkératose). Son activité est complétée par une action anti-inflammatoire modérée (inhibition de la cyclooxygénase et de la prostaglandine-synthétase, similaire à celle de l'aspirine), une action antibactérienne et antifongique modérée, et une action antiprurigineuse liée à l'anesthésie locale des terminaisons nerveuses. Cette polyvalence explique son usage dans des indications variées : acné (kératolyse du comédon), psoriasis (kératolyse des plaques épaisses), verrues (destruction de la kératine virale), ichtyose (réduction des squames), dermite séborrhéique (kératolyse des squames grasses du cuir chevelu) et pityriasis versicolor.</w:t>
      </w:r>
    </w:p>
    <w:p>
      <w:r>
        <w:t>Le résorcinol partage avec l'acide salicylique l'action kératolytique mais s'en distingue par plusieurs propriétés : il réduit les ponts disulfures de la kératine (action « déplaquante » différente de la solubilisation lipidique de l'acide salicylique), exerce un effet antiseptique plus marqué (activité bactériostatique et fongistatique à large spectre), possède une action anesthésique locale plus intense (le résorcinol a longtemps été utilisé comme anesthésique de surface en ORL) et a une affinité particulière pour les zones séborrhéiques (cuir chevelu, visage, dos). Il est historiquement utilisé dans les lotions capillaires (Synthol®, Septhol®, Stocalm®) en association avec le lévomenthol (effet antiprurigineux et rafraîchissant), le vératrole (solvant et adjuvant) et l'acide salicylique (synergie kératolytique). Cette combinaison, héritée de la pharmacopée française du début du XXe siècle, reste très populaire en Algérie pour le traitement symptomatique des affections bénignes du cuir chevelu (dermatite séborrhéique modérée, psoriasis capillaire léger, prurit du cuir chevelu).</w:t>
      </w:r>
    </w:p>
    <w:p>
      <w:r>
        <w:t>La pharmacocinétique des kératolytiques topiques est dominée par le risque d'absorption systémique en cas d'application étendue, occluse ou prolongée. L'acide salicylique traverse la barrière cutanée et atteint la circulation systémique, où il est métabolisé de manière identique à l'aspirine (conjugaison hépatique glycine → acide salicylurique, glucuronidation, élimination rénale). Le risque de salicylisme — syndrome clinique associant acouphènes, hyperventilation, nausées, troubles de la conscience et acidose métabolique — est réel en cas d'application sur surface corporelle étendue (&gt; 20 % de la surface corporelle), de peau lésée, d'usage occlusif, d'enfant, d'insuffisant rénal ou de patient sous traitement salicylé oral concomitant. La concentration et la fréquence d'application doivent donc être adaptées à la surface traitée, et l'usage prolongé doit être proscrit chez le nourrisson et la femme enceinte (risque tératogène de l'effet salicylé, bien que le passage systémique topique soit faible). Le résorcinol présente un profil de toxicité systémique propre, distinct : il est convulsivant à dose toxique (agir sur le SNC central), méthémoglobinisant (par ses métabolites oxydants) et thyro-métabolique (inhibition de la captation de l'iode par la thyroïde, goitre hypothyroïdien). Son usage est aujourd'hui limité à des surfaces très restreintes et son application prolongée est déconseillée.</w:t>
      </w:r>
    </w:p>
    <w:p>
      <w:r>
        <w:t>En Algérie, l'acide salicylique est disponible en monothérapie (Corifuge®, solution pour verrues, retiré) et en association fixe avec l'acide lactique (Duofilm®, solution pour verrues, non renouvelable). Le résorcinol n'est disponible qu'en associations multiples (Synthol®, Septhol®, Stocalm®) pour application cutanée ou bain de bouche, et en association avec l'éphédrine pour instillation auriculaire (Osmotol®). Cette relative raréfaction du marché s'explique par la concurrence des dermocorticoïdes, des rétinoïdes topiques, des kératolytiques modernes (urée à haute concentration) et des traitements physiques (cryothérapie, laser) qui ont supplanté les vieux kératolytiques dans de nombreuses indications. Le pharmacien algérien conserve néanmoins un rôle central dans leur dispensation et leur bon usage, en particulier dans le traitement des verrues plantaires et des ichtyoses.</w:t>
      </w:r>
    </w:p>
    <w:p>
      <w:pPr>
        <w:pStyle w:val="Heading3"/>
      </w:pPr>
      <w:r>
        <w:t>4. Sous-classe : Kératolytiques / Hydratants</w:t>
      </w:r>
    </w:p>
    <w:p>
      <w:r>
        <w:t>L'urée (carbamide, diamide de l'acide carbonique, NH2-CO-NH2) occupe une place singulière dans la pharmacopée dermatologique : c'est l'une des très rares molécules à posséder une double activité pharmacologique qui dépend de la concentration. À faible concentration (2 à 10 %), l'urée est un hydratant cutané majeur, naturellement présente dans le facteur naturel d'hydratation (NMF, Natural Moisturizing Factor) du stratum corneum où elle contribue pour 7 % à la capacité de rétention hydrique de la couche cornée. À haute concentration (10 à 40 %), elle devient un kératolytique puissant, capable de désorganiser la kératine et de favoriser la desquamation des hyperkératoses. À concentration très élevée (40 %), elle exerce une action dystrophique sur la matrice kératinique de l'ongle (indication de l'onychomycose). Cette polyvalence, combinée à une excellente tolérance locale et systémique, en fait un actif de choix en dermatologie et en cosmétologie.</w:t>
      </w:r>
    </w:p>
    <w:p>
      <w:r>
        <w:t>Le mécanisme d'action hydratant de l'urée repose sur trois mécanismes complémentaires : (i) effet humectant — l'urée est fortement hygroscopique et capte l'eau atmosphérique pour la restituer au stratum corneum, augmentant ainsi la teneur en eau libre et liée de la couche cornée ; (ii) effet sur la barrière cutanée — l'urée stimule la synthèse des céramides par les kératinocytes (en particulier les céramides 1 et 3), renforçant la cohésion intercornéocytaire et diminuant la perte insensible en eau (TEWL, TransEpidermal Water Loss) ; (iii) effet sur la différenciation épidermique — l'urée augmente l'expression de la filaggrine (qui est elle-même dégradée en NMF dont l'urée est un constituant), de l'involucrine et de la transglutaminase, restaurant ainsi une différenciation normale. Le résultat clinique est une restauration de la souplesse cutanée, une diminution de la desquamation et une amélioration de la fonction barrière.</w:t>
      </w:r>
    </w:p>
    <w:p>
      <w:r>
        <w:t>À haute concentration (≥ 10 %), l'urée acquiert son action kératolytique. Elle agit alors par : (i) rupture des liaisons hydrogène entre les feuillets kératinisés (désorganisation de la structure secondaire de la kératine), (ii) solubilisation des lipides intercornéocytaires (similaire à l'acide salicylique mais avec un mécanisme enzymatique indirect via activation des protéases kératinolytiques endogènes), (iii) augmentation de l'hydratation du stratum corneum qui favorise mécaniquement la desquamation. L'effet kératolytique de l'urée à 20-30 % est ainsi équivalent à celui de l'acide salicylique à 5-10 %, avec l'avantage d'une meilleure tolérance locale (moins d'irritation) et d'une absence de risque de salicylisme systémique.</w:t>
      </w:r>
    </w:p>
    <w:p>
      <w:r>
        <w:t>La pharmacocinétique de l'urée topique est caractérisée par un passage systémique minimal. La molécule est naturellement présente dans le plasma (2,5 à 6,5 mmol/L) et excrétée par le rein. L'application cutanée n'augmente que marginalement la concentration plasmatique (l'urée appliquée est en partie dégradée par la flore cutanée et les enzymes kératinocytaires). Cette absence d'effet systémique explique la très bonne tolérance de l'urée topique chez la femme enceinte, le nourrisson, le sujet âgé et l'insuffisant rénal — populações dans lesquelles l'acide salicylique est contre-indiqué ou à utiliser avec prudence. Le principal effet indésirable est l'irritation locale à haute concentration (sensation de brûlure transitoire), qui peut être minimisée par augmentation progressive de la concentration et application sur peau bien hydratée.</w:t>
      </w:r>
    </w:p>
    <w:p>
      <w:r>
        <w:t>En Algérie, l'urée n'est enregistrée comme médicament que dans sa forme orale (Helikit®, poudre pour solution buvable d'urée 13C marquée, utilisée dans le test respiratoire de détection de Helicobacter pylori). Les formes topiques d'urée (Uréaderm®, Cétaphil Restoraderm®, A-Derma Exomega®, La Roche-Posay Lipikar Baume AP+, Uriage Bariederm®, Vichy Lipositis®) sont commercialisées comme dispositifs médicaux ou produits cosmétiques et ne figurent pas dans la nomenclature pharmaceutique algérienne officielle. Cette situation paradoxale — où un actif aussi central que l'urée n'a pas de statut médicamenteux topique alors qu'il est d'usage dermatologique quotidien — reflète la frontière floue entre cosmétique et médicament en dermatologie. Le pharmacien algérien doit connaître l'urée topique car il la dispense quotidiennement (sous forme de cosmétiques dermatologiques) et doit savoir conseiller les concentrations adaptées à chaque indication : 5-10 % pour la xérose simple, 10-20 % pour l'ichtyose modérée, 20-30 % pour le psoriasis en complément des dermocorticoïdes, 30-40 % pour les kératodermies palmoplantaires, 40 % pour les onychomycoses.</w:t>
      </w:r>
    </w:p>
    <w:p>
      <w:r>
        <w:t>Le tableau algérien des hydratants et émollients s'élargit aujourd'hui avec la disponibilité croissante de produits dermo-cosmétiques contenant de l'urée, de la céramide, de l'acide hyaluronique et de la niacinamide. Le pharmacien joue un rôle crucial dans le choix du produit adapté à chaque patient, en fonction du type de peau (sèche, atopique, grasse, mixte), de la pathologie sous-jacente (eczéma, psoriasis, ichtyose) et de la zone traitée (corps, visage, mains, pieds). Une consultation pharmaceutique structurée permet d'optimiser la prise en charge des dermatoses chroniques dont le traitement médicamenteux est conditionné par la qualité de la fonction barrière cutanée.</w:t>
      </w:r>
    </w:p>
    <w:p>
      <w:pPr>
        <w:pStyle w:val="Heading3"/>
      </w:pPr>
      <w:r>
        <w:t>123.1 DCI : Tacrolimus (topique)</w:t>
      </w:r>
    </w:p>
    <w:p>
      <w:r/>
      <w:r>
        <w:rPr>
          <w:b/>
        </w:rPr>
        <w:t>Liste des Catégories :</w:t>
      </w:r>
      <w:r>
        <w:t xml:space="preserve"> Dermatologie ; Immunomodulateur topique ; Inhibiteur de la calcineurine (macrolide immunosuppresseur) ; Traitement de la dermatite atopique modérée à sévère de l'adulte et de l'enfant &gt; 2 ans en deuxième intention ; Liste I (forme orale — la forme topique n'est pas enregistrée dans la nomenclature algérienne officielle d'avril 2026).</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TACROLIMUS CINFA</w:t>
            </w:r>
          </w:p>
        </w:tc>
        <w:tc>
          <w:tcPr>
            <w:tcW w:type="dxa" w:w="1559"/>
          </w:tcPr>
          <w:p>
            <w:r>
              <w:rPr>
                <w:sz w:val="20"/>
              </w:rPr>
              <w:t>CINFA S.A.</w:t>
            </w:r>
          </w:p>
        </w:tc>
        <w:tc>
          <w:tcPr>
            <w:tcW w:type="dxa" w:w="1559"/>
          </w:tcPr>
          <w:p>
            <w:r>
              <w:rPr>
                <w:sz w:val="20"/>
              </w:rPr>
              <w:t>Gélule 0,5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TACROLIMUS CINFA</w:t>
            </w:r>
          </w:p>
        </w:tc>
        <w:tc>
          <w:tcPr>
            <w:tcW w:type="dxa" w:w="1559"/>
          </w:tcPr>
          <w:p>
            <w:r>
              <w:rPr>
                <w:sz w:val="20"/>
              </w:rPr>
              <w:t>CINFA S.A.</w:t>
            </w:r>
          </w:p>
        </w:tc>
        <w:tc>
          <w:tcPr>
            <w:tcW w:type="dxa" w:w="1559"/>
          </w:tcPr>
          <w:p>
            <w:r>
              <w:rPr>
                <w:sz w:val="20"/>
              </w:rPr>
              <w:t>Gélule 1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TACROLIMUS CINFA</w:t>
            </w:r>
          </w:p>
        </w:tc>
        <w:tc>
          <w:tcPr>
            <w:tcW w:type="dxa" w:w="1559"/>
          </w:tcPr>
          <w:p>
            <w:r>
              <w:rPr>
                <w:sz w:val="20"/>
              </w:rPr>
              <w:t>CINFA S.A.</w:t>
            </w:r>
          </w:p>
        </w:tc>
        <w:tc>
          <w:tcPr>
            <w:tcW w:type="dxa" w:w="1559"/>
          </w:tcPr>
          <w:p>
            <w:r>
              <w:rPr>
                <w:sz w:val="20"/>
              </w:rPr>
              <w:t>Gélule 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TIM</w:t>
            </w:r>
          </w:p>
        </w:tc>
        <w:tc>
          <w:tcPr>
            <w:tcW w:type="dxa" w:w="1559"/>
          </w:tcPr>
          <w:p>
            <w:r>
              <w:rPr>
                <w:sz w:val="20"/>
              </w:rPr>
              <w:t>INPHA-MEDIS</w:t>
            </w:r>
          </w:p>
        </w:tc>
        <w:tc>
          <w:tcPr>
            <w:tcW w:type="dxa" w:w="1559"/>
          </w:tcPr>
          <w:p>
            <w:r>
              <w:rPr>
                <w:sz w:val="20"/>
              </w:rPr>
              <w:t>Gélule 0,5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TIM</w:t>
            </w:r>
          </w:p>
        </w:tc>
        <w:tc>
          <w:tcPr>
            <w:tcW w:type="dxa" w:w="1559"/>
          </w:tcPr>
          <w:p>
            <w:r>
              <w:rPr>
                <w:sz w:val="20"/>
              </w:rPr>
              <w:t>INPHA-MEDIS</w:t>
            </w:r>
          </w:p>
        </w:tc>
        <w:tc>
          <w:tcPr>
            <w:tcW w:type="dxa" w:w="1559"/>
          </w:tcPr>
          <w:p>
            <w:r>
              <w:rPr>
                <w:sz w:val="20"/>
              </w:rPr>
              <w:t>Gélule 1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TIM</w:t>
            </w:r>
          </w:p>
        </w:tc>
        <w:tc>
          <w:tcPr>
            <w:tcW w:type="dxa" w:w="1559"/>
          </w:tcPr>
          <w:p>
            <w:r>
              <w:rPr>
                <w:sz w:val="20"/>
              </w:rPr>
              <w:t>INPHA-MEDIS</w:t>
            </w:r>
          </w:p>
        </w:tc>
        <w:tc>
          <w:tcPr>
            <w:tcW w:type="dxa" w:w="1559"/>
          </w:tcPr>
          <w:p>
            <w:r>
              <w:rPr>
                <w:sz w:val="20"/>
              </w:rPr>
              <w:t>Gélule 5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VINGRAF</w:t>
            </w:r>
          </w:p>
        </w:tc>
        <w:tc>
          <w:tcPr>
            <w:tcW w:type="dxa" w:w="1559"/>
          </w:tcPr>
          <w:p>
            <w:r>
              <w:rPr>
                <w:sz w:val="20"/>
              </w:rPr>
              <w:t>EMCURE PHARMACEUTICALS LTD</w:t>
            </w:r>
          </w:p>
        </w:tc>
        <w:tc>
          <w:tcPr>
            <w:tcW w:type="dxa" w:w="1559"/>
          </w:tcPr>
          <w:p>
            <w:r>
              <w:rPr>
                <w:sz w:val="20"/>
              </w:rPr>
              <w:t>Gélule 1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PROGRAF</w:t>
            </w:r>
          </w:p>
        </w:tc>
        <w:tc>
          <w:tcPr>
            <w:tcW w:type="dxa" w:w="1559"/>
          </w:tcPr>
          <w:p>
            <w:r>
              <w:rPr>
                <w:sz w:val="20"/>
              </w:rPr>
              <w:t>HIKMA PHARMACEUTICALS</w:t>
            </w:r>
          </w:p>
        </w:tc>
        <w:tc>
          <w:tcPr>
            <w:tcW w:type="dxa" w:w="1559"/>
          </w:tcPr>
          <w:p>
            <w:r>
              <w:rPr>
                <w:sz w:val="20"/>
              </w:rPr>
              <w:t>Gélule 0,5 mg</w:t>
            </w:r>
          </w:p>
        </w:tc>
        <w:tc>
          <w:tcPr>
            <w:tcW w:type="dxa" w:w="1559"/>
          </w:tcPr>
          <w:p>
            <w:r>
              <w:rPr>
                <w:sz w:val="20"/>
              </w:rPr>
              <w:t>B/100</w:t>
            </w:r>
          </w:p>
        </w:tc>
        <w:tc>
          <w:tcPr>
            <w:tcW w:type="dxa" w:w="1559"/>
          </w:tcPr>
          <w:p>
            <w:r>
              <w:rPr>
                <w:sz w:val="20"/>
              </w:rPr>
              <w:t>Liste I</w:t>
            </w:r>
          </w:p>
        </w:tc>
        <w:tc>
          <w:tcPr>
            <w:tcW w:type="dxa" w:w="1559"/>
          </w:tcPr>
          <w:p>
            <w:r>
              <w:rPr>
                <w:sz w:val="20"/>
              </w:rPr>
              <w:t>Non Renouvelable</w:t>
            </w:r>
          </w:p>
        </w:tc>
      </w:tr>
      <w:tr>
        <w:tc>
          <w:tcPr>
            <w:tcW w:type="dxa" w:w="1559"/>
          </w:tcPr>
          <w:p>
            <w:r>
              <w:rPr>
                <w:sz w:val="20"/>
              </w:rPr>
              <w:t>PROGRAF</w:t>
            </w:r>
          </w:p>
        </w:tc>
        <w:tc>
          <w:tcPr>
            <w:tcW w:type="dxa" w:w="1559"/>
          </w:tcPr>
          <w:p>
            <w:r>
              <w:rPr>
                <w:sz w:val="20"/>
              </w:rPr>
              <w:t>HIKMA PHARMACEUTICALS</w:t>
            </w:r>
          </w:p>
        </w:tc>
        <w:tc>
          <w:tcPr>
            <w:tcW w:type="dxa" w:w="1559"/>
          </w:tcPr>
          <w:p>
            <w:r>
              <w:rPr>
                <w:sz w:val="20"/>
              </w:rPr>
              <w:t>Gélule 1 mg</w:t>
            </w:r>
          </w:p>
        </w:tc>
        <w:tc>
          <w:tcPr>
            <w:tcW w:type="dxa" w:w="1559"/>
          </w:tcPr>
          <w:p>
            <w:r>
              <w:rPr>
                <w:sz w:val="20"/>
              </w:rPr>
              <w:t>B/100</w:t>
            </w:r>
          </w:p>
        </w:tc>
        <w:tc>
          <w:tcPr>
            <w:tcW w:type="dxa" w:w="1559"/>
          </w:tcPr>
          <w:p>
            <w:r>
              <w:rPr>
                <w:sz w:val="20"/>
              </w:rPr>
              <w:t>Liste I</w:t>
            </w:r>
          </w:p>
        </w:tc>
        <w:tc>
          <w:tcPr>
            <w:tcW w:type="dxa" w:w="1559"/>
          </w:tcPr>
          <w:p>
            <w:r>
              <w:rPr>
                <w:sz w:val="20"/>
              </w:rPr>
              <w:t>Non Renouvelable</w:t>
            </w:r>
          </w:p>
        </w:tc>
      </w:tr>
      <w:tr>
        <w:tc>
          <w:tcPr>
            <w:tcW w:type="dxa" w:w="1559"/>
          </w:tcPr>
          <w:p>
            <w:r>
              <w:rPr>
                <w:sz w:val="20"/>
              </w:rPr>
              <w:t>PROGRAF</w:t>
            </w:r>
          </w:p>
        </w:tc>
        <w:tc>
          <w:tcPr>
            <w:tcW w:type="dxa" w:w="1559"/>
          </w:tcPr>
          <w:p>
            <w:r>
              <w:rPr>
                <w:sz w:val="20"/>
              </w:rPr>
              <w:t>HIKMA PHARMACEUTICALS</w:t>
            </w:r>
          </w:p>
        </w:tc>
        <w:tc>
          <w:tcPr>
            <w:tcW w:type="dxa" w:w="1559"/>
          </w:tcPr>
          <w:p>
            <w:r>
              <w:rPr>
                <w:sz w:val="20"/>
              </w:rPr>
              <w:t>Gélule 5 mg</w:t>
            </w:r>
          </w:p>
        </w:tc>
        <w:tc>
          <w:tcPr>
            <w:tcW w:type="dxa" w:w="1559"/>
          </w:tcPr>
          <w:p>
            <w:r>
              <w:rPr>
                <w:sz w:val="20"/>
              </w:rPr>
              <w:t>B/100</w:t>
            </w:r>
          </w:p>
        </w:tc>
        <w:tc>
          <w:tcPr>
            <w:tcW w:type="dxa" w:w="1559"/>
          </w:tcPr>
          <w:p>
            <w:r>
              <w:rPr>
                <w:sz w:val="20"/>
              </w:rPr>
              <w:t>Liste I</w:t>
            </w:r>
          </w:p>
        </w:tc>
        <w:tc>
          <w:tcPr>
            <w:tcW w:type="dxa" w:w="1559"/>
          </w:tcPr>
          <w:p>
            <w:r>
              <w:rPr>
                <w:sz w:val="20"/>
              </w:rPr>
              <w:t>Non Renouvelable</w:t>
            </w:r>
          </w:p>
        </w:tc>
      </w:tr>
    </w:tbl>
    <w:p/>
    <w:p>
      <w:r/>
      <w:r>
        <w:rPr>
          <w:b/>
        </w:rPr>
        <w:t>Note importante sur la disponibilité algérienne :</w:t>
      </w:r>
      <w:r>
        <w:t xml:space="preserve"> Le tableau ci-dessus reflète exclusivement les formes orales de tacrolimus enregistrées dans la nomenclature algérienne officielle (avril 2026). Ces formes sont indiquées pour la prévention du rejet de greffe d'organe (rein, foie, cœur) et non pour l'usage dermatologique topique. La forme topique de tacrolimus (Protopic® 0,03 % et 0,1 % pommade, Astellas Pharma) n'est pas enregistrée dans la nomenclature algérienne officielle, mais peut être obtenue par importation exceptionnelle (circuit spécial) sur prescription d'un dermatologue. Le pimécrolimus (Elidel® 1 % crème, Novartis), autre inhibiteur topique de la calcineurine, n'est pas non plus disponible en Algérie. La fiche clinique qui suit documente la pharmacologie de la forme topique telle qu'elle est pratiquée à l'international, afin de fournir à l'étudiant en pharmacie algérien l'ensemble des connaissances nécessaires à la compréhension de cette classe pharmacologique.</w:t>
      </w:r>
    </w:p>
    <w:p>
      <w:r/>
      <w:r>
        <w:rPr>
          <w:b/>
        </w:rPr>
        <w:t>Sous-classe et Mécanisme d'action :</w:t>
      </w:r>
      <w:r/>
    </w:p>
    <w:p>
      <w:pPr>
        <w:pStyle w:val="ListBullet"/>
      </w:pPr>
      <w:r>
        <w:t>Sous-classe : Inhibiteurs topiques de la calcineurine (ICT), macrolides immunosuppresseurs non stéroïdiens. Classe parente : immunosuppresseurs systémiques (tacrolimus oral, ciclosporine). La forme topique (Protopic®) est exclusivement destinée à l'usage dermatologique.</w:t>
      </w:r>
    </w:p>
    <w:p>
      <w:pPr>
        <w:pStyle w:val="ListBullet"/>
      </w:pPr>
      <w:r>
        <w:t>Mécanisme moléculaire : le tacrolimus est un macrocytique de 822 Da dérivé de Streptomyces tsukubaensis. Sa cible intracellulaire est la FKBP-12 (FK506-binding protein 12), une immunophiline de la famille des peptidyl-prolyl isomérases. Le complexe tacrolimus-FKBP-12 inhibe de manière spécifique, calcium-dépendante et réversible la sérine/thréonine phosphatase calcineurine (PP2B), empêchant ainsi la déphosphorylation du facteur de transcription NF-AT (Nuclear Factor of Activated T cells).</w:t>
      </w:r>
    </w:p>
    <w:p>
      <w:pPr>
        <w:pStyle w:val="ListBullet"/>
      </w:pPr>
      <w:r>
        <w:t>Conséquence transcriptionnelle : NF-AT reste phosphorylé (forme inactive cytoplasmique), ne peut transloquer vers le noyau et ne se fixe pas aux séquences NF-AT des promoteurs des gènes cibles. Il en résulte une inhibition drastique de la transcription des cytokines-clés de l'inflammation eczémateuse : IL-2 (principal facteur de croissance des lymphocytes T), IL-4, IL-5, IL-13 (cytokines Th2 prédominantes dans la dermatite atopique), IFN-γ (cytokine Th1), TNF-α, GM-CSF.</w:t>
      </w:r>
    </w:p>
    <w:p>
      <w:pPr>
        <w:pStyle w:val="ListBullet"/>
      </w:pPr>
      <w:r>
        <w:t>Effet sur les cellules de Langerhans : diminution de l'expression des molécules de co-stimulation B7-1 (CD80) et B7-2 (CD86), réduisant leur capacité à activer les lymphocytes T naïfs. Migration et maturation cellulaires réduites.</w:t>
      </w:r>
    </w:p>
    <w:p>
      <w:pPr>
        <w:pStyle w:val="ListBullet"/>
      </w:pPr>
      <w:r>
        <w:t>Effet sur les mastocytes : inhibition de la dégranulation et de la libération d'histamine, diminution de l'expression du récepteur de haute affinité IgE (FcεRI).</w:t>
      </w:r>
    </w:p>
    <w:p>
      <w:pPr>
        <w:pStyle w:val="ListBullet"/>
      </w:pPr>
      <w:r>
        <w:t>Effet sur les kératinocytes : aucune action directe sur la synthèse du collagène (contrairement aux dermocorticoïdes), ce qui explique l'absence d'atrophie cutanée. Effet modéré sur la libération de cytokines pro-inflammatoires (IL-1α, IL-6, IL-8).</w:t>
      </w:r>
    </w:p>
    <w:p>
      <w:pPr>
        <w:pStyle w:val="ListBullet"/>
      </w:pPr>
      <w:r>
        <w:t>Comparaison avec la ciclosporine topique : la ciclosporine, autre inhibiteur de la calcineurine, n'est pas utilisable par voie topique en raison de son poids moléculaire élevé (1202 Da) qui empêche le passage de la barrière cutanée. Le tacrolimus, plus lipophile et de poids moléculaire inférieur, traverse efficacement l'épiderme.</w:t>
      </w:r>
    </w:p>
    <w:p>
      <w:pPr>
        <w:pStyle w:val="ListBullet"/>
      </w:pPr>
      <w:r>
        <w:t>Comparaison avec les dermocorticoïdes : le tacrolimus topique se distingue radicalement des dermocorticoïdes par (i) l'absence d'atrophie épidermique ou dermique, (ii) l'absence de télangiectasies, (iii) l'absence d'effet systémique (pas de freinage corticotrope, pas d'effet métabolique), (iv) la conservation de l'efficacité sur les zones sensibles (visage, paupières, plis, organes génitaux) où les dermocorticoïdes induisent rapidement une atrophie.</w:t>
      </w:r>
    </w:p>
    <w:p>
      <w:r/>
      <w:r>
        <w:rPr>
          <w:b/>
        </w:rPr>
        <w:t>Profil Pharmacologique :</w:t>
      </w:r>
      <w:r/>
    </w:p>
    <w:p>
      <w:pPr>
        <w:pStyle w:val="ListBullet"/>
      </w:pPr>
      <w:r>
        <w:t>Indications AMM (forme topique Protopic®) : dermatite atopique modérée à sévère de l'adulte et de l'enfant de plus de 2 ans, en cas de réponse insuffisante, d'intolérance ou de contre-indication aux dermocorticoïdes. Le Protopic® 0,03 % est indiqué chez l'enfant de 2 à 15 ans ; le Protopic® 0,1 % est réservé à l'adulte.</w:t>
      </w:r>
    </w:p>
    <w:p>
      <w:pPr>
        <w:pStyle w:val="ListBullet"/>
      </w:pPr>
      <w:r>
        <w:t>Indications hors AMM validées par la littérature : psoriasis facial et des plis, vitiligo (en association avec le laser excimère ou la luminothérapie), lichen plan, pyoderma gangrenosum, dermatite séborrhéique réfractaire, balanoposthite chronique, chéilite actinique, maladie de Fox-Fordyce, prurit anal essentiel, GVH chronique cutanée, eczéma chronique des mains résistant aux dermocorticoïdes.</w:t>
      </w:r>
    </w:p>
    <w:p>
      <w:pPr>
        <w:pStyle w:val="ListBullet"/>
      </w:pPr>
      <w:r>
        <w:t>Contre-indications : hypersensibilité au tacrolimus ou à l'un des excipients (paraffine, propylène carbonate, cire, pétrolatum) ; maladie cutanée infectée par virus (herpès, varicelle, zona), bactérie (impétigo) ou champignon (candidose, dermatophytose) ; monothérapie du psoriasis en plaques étendu (risque d'effet rebond) ; antécédent de lymphome cutané ou de lésions précancéreuses cutanées ; utilisation sur muqueuse (le tacrolimus topique est exclusivement destiné à la peau) ; immunodépression sévère ; application occlusive ; enfant de moins de 2 ans (efficacité et tolérance non établies) ; grossesse (par mesure de précaution, bien que le CRAT considère le passage systémique topique comme négligeable).</w:t>
      </w:r>
    </w:p>
    <w:p>
      <w:pPr>
        <w:pStyle w:val="ListBullet"/>
      </w:pPr>
      <w:r>
        <w:t>Effets indésirables cutanés locaux : sensation de brûlure (très fréquent, 30 à 60 % des patients, surtout en début de traitement), prurit (fréquent, 20 à 40 %), érythème (fréquent, 15 à 25 %), chaleur locale, picotements. Ces effets sont transitoires (disparaissent après 1 à 2 semaines de traitement), sont plus marqués sur peau lésée, et peuvent être minimisés par application sur peau bien sèche, en couche fine, en évitant l'occlusion.</w:t>
      </w:r>
    </w:p>
    <w:p>
      <w:pPr>
        <w:pStyle w:val="ListBullet"/>
      </w:pPr>
      <w:r>
        <w:t>Effets indésirables moins fréquents : folliculite (5 %), acné (3 %), hyperesthésie cutanée, dermite de contact (rare), aggravation d'une rosacée préexistante (effet classe, possible induction de rosacée-like dermatitis en usage prolongé sur le visage).</w:t>
      </w:r>
    </w:p>
    <w:p>
      <w:pPr>
        <w:pStyle w:val="ListBullet"/>
      </w:pPr>
      <w:r>
        <w:t>Effets indésirables systémiques : exceptionnels en usage topique correct (absorption systémique &lt; 1 %), mais à surveiller en cas d'application étendue ou prolongée : céphalées, flush, troubles digestifs mineurs. Aucun effet néphrotoxique, diabétogène ou neurotoxique n'a été rapporté aux doses thérapeutiques topiques.</w:t>
      </w:r>
    </w:p>
    <w:p>
      <w:pPr>
        <w:pStyle w:val="ListBullet"/>
      </w:pPr>
      <w:r>
        <w:t>Effets indésirables à long terme : le risque de lymphome cutané et de cancer cutané non mélanique a fait l'objet d'un « black box warning » de la FDA en 2005, mais les études épidémiologiques ultérieures (plus de 770 000 patients suivis sur 10 ans) n'ont pas confirmé d'excès de risque par rapport à la population générale. Les recommandations actuelles européennes et nord-américaines maintiennent une utilisation sans restriction excessive, en rappelant les mesures de photoprotection et l'absence d'indication chez les patients ayant des antécédents de cancer cutané.</w:t>
      </w:r>
    </w:p>
    <w:p>
      <w:r/>
      <w:r>
        <w:rPr>
          <w:b/>
        </w:rPr>
        <w:t>Prévention et Gestion des Effets Indésirables :</w:t>
      </w:r>
      <w:r/>
    </w:p>
    <w:p>
      <w:pPr>
        <w:pStyle w:val="ListBullet"/>
      </w:pPr>
      <w:r>
        <w:t>Sensation de brûlure initiale (60 % des cas, surtout sur peau lésée) : informer systématiquement le patient de sa survenue, de son caractère transitoire (1 à 2 semaines) et de sa bénignité. Application sur peau bien sèche (éviter application immédiatement après la douche). Application en couche fine (quantité limitée à une unité du bout du doigt — FTU, Finger Tip Unit — pour 2 palmes de main). Possibilité d'appliquer une crème émolliente 15 minutes avant le tacrolimus pour réduire la sensation de brûlure. Prémédication par antihistaminique oral (hydroxyzine 25 mg) en cas d'intolérance sévère. Persistance au-delà de 2 semaines = réévaluation par le dermatologue.</w:t>
      </w:r>
    </w:p>
    <w:p>
      <w:pPr>
        <w:pStyle w:val="ListBullet"/>
      </w:pPr>
      <w:r>
        <w:t>Photoprotection obligatoire : le tacrolimus n'est pas photosensibilisant intrinsèque, mais l'application sur peau exposée au soleil peut favoriser la carcinogenèse cutanée (effet immunosuppresseur local). Crème solaire SPF 50+ obligatoire, éviction solaire directe, application du tacrolimus le soir de préférence.</w:t>
      </w:r>
    </w:p>
    <w:p>
      <w:pPr>
        <w:pStyle w:val="ListBullet"/>
      </w:pPr>
      <w:r>
        <w:t>Prurit initial : approche identique à la sensation de brûlure. Si prurit intense, allergique ou persistant : arrêt transitoire et réintroduction à concentration moindre (Protopic 0,03 % au lieu de 0,1 %).</w:t>
      </w:r>
    </w:p>
    <w:p>
      <w:pPr>
        <w:pStyle w:val="ListBullet"/>
      </w:pPr>
      <w:r>
        <w:t>Risque d'infection cutanée : le tacrolimus ne doit pas être appliqué sur peau infectée (herpès, impétigo, dermatophytose). En cas d'infection intercurrente, suspendre le tacrolimus, traiter l'infection par antiviral/antibiotique/antifongique adapté, puis reprendre après guérison. Surveillance accrue des infections cutanées récidivantes (herpès récurrent, molluscum contagiosum).</w:t>
      </w:r>
    </w:p>
    <w:p>
      <w:pPr>
        <w:pStyle w:val="ListBullet"/>
      </w:pPr>
      <w:r>
        <w:t>Effet rebond à l'arrêt : fréquent en cas d'arrêt brutal après traitement prolongé. Toujours décroître progressivement (espacer les applications tous les 2 jours puis 3 jours avant arrêt complet), et associer un dermocorticoïde pendant la phase de transition si nécessaire.</w:t>
      </w:r>
    </w:p>
    <w:p>
      <w:pPr>
        <w:pStyle w:val="ListBullet"/>
      </w:pPr>
      <w:r>
        <w:t>Risque de rosacée-like dermatitis en cas d'usage prolongé sur le visage : surveillance de l'apparition de papules et pustules du visage, en particulier chez les patients prédisposés. En cas d'apparition, arrêter le tacrolimus et discuter l'alternative (métronidazole topique, ivermectine topique).</w:t>
      </w:r>
    </w:p>
    <w:p>
      <w:pPr>
        <w:pStyle w:val="ListBullet"/>
      </w:pPr>
      <w:r>
        <w:t>Prévention de l'usage abusif : le tacrolimus n'est pas un traitement d'entretien continu au-delà de quelques semaines sauf protocole proactif. Limiter la prescription à 4 semaines par cycle, avec pause thérapeutique de 1 semaine entre les cycles. Le traitement d'entretien proactif (2 applications/semaine sur zones cibles) peut être poursuivi sur de longues périodes sous surveillance dermatologique annuelle.</w:t>
      </w:r>
    </w:p>
    <w:p>
      <w:r/>
      <w:r>
        <w:rPr>
          <w:b/>
        </w:rPr>
        <w:t>Interactions Médicamenteuses :</w:t>
      </w:r>
      <w:r/>
    </w:p>
    <w:p>
      <w:pPr>
        <w:pStyle w:val="ListBullet"/>
      </w:pPr>
      <w:r>
        <w:t>Le tacrolimus topique a une absorption systémique très faible (&lt; 1 %), limitant les interactions systémiques. Cependant, les interactions locales cutanées sont à connaître :</w:t>
      </w:r>
    </w:p>
    <w:p>
      <w:pPr>
        <w:pStyle w:val="ListBullet"/>
      </w:pPr>
      <w:r>
        <w:t>Vaccins vivants atténués (BCG, rougeole-oreillons-rubéole, varicelle, fièvre jaune, rotavirus) : en cas d'application étendue, éviter les vaccins vivants pendant le traitement et dans les 4 semaines suivant l'arrêt. Privilégier les vaccins inactivés.</w:t>
      </w:r>
    </w:p>
    <w:p>
      <w:pPr>
        <w:pStyle w:val="ListBullet"/>
      </w:pPr>
      <w:r>
        <w:t>Autres traitements topiques sur la même zone : espacer les applications d'au moins 15 minutes entre le tacrolimus et tout autre topique (émollient, dermocorticoïde, antiseptique). Ne pas associer à un dermocorticoïde sur la même zone sans avis médical.</w:t>
      </w:r>
    </w:p>
    <w:p>
      <w:pPr>
        <w:pStyle w:val="ListBullet"/>
      </w:pPr>
      <w:r>
        <w:t>Inhibiteurs puissants du CYP3A4 (ketoconazole, itraconazole, clarithromycine, érythromycine, ritonavir) : en cas d'application étendue sur peau lésée, l'absorption systémique peut être augmentée par ces inhibiteurs. Surveillance clinique (céphalées, troubles digestifs, pression artérielle).</w:t>
      </w:r>
    </w:p>
    <w:p>
      <w:pPr>
        <w:pStyle w:val="ListBullet"/>
      </w:pPr>
      <w:r>
        <w:t>Luminothérapie UVB ou PUVAthérapie : contre-indication relative, en raison du risque accru de carcinogenèse cutanée. Espacer les séances de luminothérapie d'au moins 24 heures après application de tacrolimus.</w:t>
      </w:r>
    </w:p>
    <w:p>
      <w:pPr>
        <w:pStyle w:val="ListBullet"/>
      </w:pPr>
      <w:r>
        <w:t>Acide salicylique et kératolytiques : en cas d'application préalable d'un kératolytique (acide salicylique, urée à haute concentration), la barrière cutanée est altérée et l'absorption systémique du tacrolimus peut être augmentée. Surveiller les signes d'effets systémiques.</w:t>
      </w:r>
    </w:p>
    <w:p>
      <w:pPr>
        <w:pStyle w:val="ListBullet"/>
      </w:pPr>
      <w:r>
        <w:t>Topiques alcoolisés : risque d'irritation additive. Éviter l'association sur peau lésée.</w:t>
      </w:r>
    </w:p>
    <w:p>
      <w:pPr>
        <w:pStyle w:val="ListBullet"/>
      </w:pPr>
      <w:r>
        <w:t>Enfant sous vaccination : ne pas appliquer de tacrolimus dans les 2 semaines précédant une vaccination vivante atténuée. Les vaccins inactivés peuvent être administrés sans restriction.</w:t>
      </w:r>
    </w:p>
    <w:p>
      <w:r/>
      <w:r>
        <w:rPr>
          <w:b/>
        </w:rPr>
        <w:t>Grossesse et Allaitement :</w:t>
      </w:r>
      <w:r/>
    </w:p>
    <w:p>
      <w:pPr>
        <w:pStyle w:val="ListBullet"/>
      </w:pPr>
      <w:r>
        <w:t>Grossesse : les données du CRAT (Centre de Renseignement sur les Agents Tératogènes) classent le tacrolimus topique en « utilisable si nécessaire » pendant la grossesse. Le passage systémique après application cutanée est très faible et les concentrations fœtales sont négligeables. Cependant, par mesure de précaution, l'AMM déconseille l'utilisation pendant la grossesse, en particulier au premier trimestre. L'indication doit être pesée : en cas de dermatite atopique sévère résistante aux dermocorticoïdes chez une femme enceinte, le tacrolimus topique peut être utilisé en seconde ligne, sur des surfaces limitées, en privilégiant le Protopic 0,03 % (concentration pédiatrique). L'usage prolongé ou étendu doit être proscrit. Ne pas appliquer sur les mamelons en cas d'allaitement.</w:t>
      </w:r>
    </w:p>
    <w:p>
      <w:pPr>
        <w:pStyle w:val="ListBullet"/>
      </w:pPr>
      <w:r>
        <w:t>Allaitement : le tacrolimus passe dans le lait maternel après administration orale. Pour la forme topique, le passage systémique est faible mais l'application sur les seins doit être proscrite. L'utilisation sur d'autres zones du corps est compatible avec l'allaitement, à condition de nettoyer soigneusement la zone avant la tétée si l'application a eu lieu dans les heures précédentes.</w:t>
      </w:r>
    </w:p>
    <w:p>
      <w:pPr>
        <w:pStyle w:val="ListBullet"/>
      </w:pPr>
      <w:r>
        <w:t>Femme en âge de procréer : aucune contraception obligatoire. Test de grossesse non requis avant initiation. Déclarer la grossesse le plus tôt possible au dermatologue pour réévaluation du rapport bénéfice/risque.</w:t>
      </w:r>
    </w:p>
    <w:p>
      <w:pPr>
        <w:pStyle w:val="ListBullet"/>
      </w:pPr>
      <w:r>
        <w:t>Homme traité : pas de retentissement sur la fertilité, la spermatogenèse ou la descendance. Aucune précaution particulière pour le partenaire masculin.</w:t>
      </w:r>
    </w:p>
    <w:p>
      <w:r/>
      <w:r>
        <w:rPr>
          <w:b/>
        </w:rPr>
        <w:t>Posologie et Mode d'administration (Standard) :</w:t>
      </w:r>
      <w:r/>
    </w:p>
    <w:p>
      <w:pPr>
        <w:pStyle w:val="ListBullet"/>
      </w:pPr>
      <w:r>
        <w:t>Adulte et adolescent &gt; 16 ans : Protopic 0,1 % pommade. Application 2 fois par jour (matin et soir) en couche fine sur les lésions eczémateuses. Durée initiale de traitement : jusqu'à 3 semaines, puis réévaluation. En cas de traitement d'entretien proactif : 2 applications par semaine sur les zones habituelles de poussée.</w:t>
      </w:r>
    </w:p>
    <w:p>
      <w:pPr>
        <w:pStyle w:val="ListBullet"/>
      </w:pPr>
      <w:r>
        <w:t>Enfant de 2 à 15 ans : Protopic 0,03 % pommade (concentration pédiatrique). Application 2 fois par jour. Durée initiale : jusqu'à 3 semaines, puis réévaluation. Le passage à Protopic 0,1 % est contre-indiqué chez l'enfant de moins de 16 ans (sauf avis dermatologique spécialisé).</w:t>
      </w:r>
    </w:p>
    <w:p>
      <w:pPr>
        <w:pStyle w:val="ListBullet"/>
      </w:pPr>
      <w:r>
        <w:t>Voie d'application : strictement cutanée. Ne pas appliquer sur muqueuse (buccale, génitale, oculaire, nasale) — bien que la littérature rapporte un usage hors AMM sur les lèvres (chéilite) et sur les organes génitaux (eczéma vulvaire), ces usages doivent être discutés au cas par cas par un dermatologue.</w:t>
      </w:r>
    </w:p>
    <w:p>
      <w:pPr>
        <w:pStyle w:val="ListBullet"/>
      </w:pPr>
      <w:r>
        <w:t>Quantité par application : règle des FTU (Finger Tip Unit, unité du bout du doigt) : 1 FTU = 0,5 g de pommade couvre 2 palmes de main (soit 1 % de la surface corporelle). Ne pas dépasser 50 g par semaine chez l'adulte, 25 g par semaine chez l'enfant.</w:t>
      </w:r>
    </w:p>
    <w:p>
      <w:pPr>
        <w:pStyle w:val="ListBullet"/>
      </w:pPr>
      <w:r>
        <w:t>Modalités pratiques : appliquer sur peau sèche et propre, en couche fine, en massant doucement. Éviter l'occlusion (pas de pansement occlusif). Se laver les mains après application (sauf si c'est le traitement des mains). Ne pas appliquer immédiatement après la douche ou le bain (risque accru de sensation de brûlure).</w:t>
      </w:r>
    </w:p>
    <w:p>
      <w:pPr>
        <w:pStyle w:val="ListBullet"/>
      </w:pPr>
      <w:r>
        <w:t>Photoprotection : obligatoire. Crème solaire SPF 50+ le matin, tacrolimus plutôt le soir.</w:t>
      </w:r>
    </w:p>
    <w:p>
      <w:pPr>
        <w:pStyle w:val="ListBullet"/>
      </w:pPr>
      <w:r>
        <w:t>Durée de traitement : phase d'attaque : 2 à 3 semaines jusqu'à disparition des lésions. Phase de transition : espacement progressif (1 application tous les 2 jours pendant 2 semaines, puis 1 application tous les 3 jours pendant 2 semaines). Phase d'entretien proactif (en cas de dermatite atopique récidivante ≥ 4 poussées/an) : 2 applications par semaine sur les zones cibles (plis, visage, mains) pendant 12 mois, réévaluation annuelle.</w:t>
      </w:r>
    </w:p>
    <w:p>
      <w:pPr>
        <w:pStyle w:val="ListBullet"/>
      </w:pPr>
      <w:r>
        <w:t>Arrêt du traitement : ne jamais arrêter brutalement après traitement prolongé (risque de rebond). Décroissance progressive. En cas d'arrêt nécessaire urgent (infection intercurrente, grossesse non programmée), surveiller étroitement les 2 semaines suivantes pour dépister un rebond et reprendre un dermocorticoïde si nécessaire.</w:t>
      </w:r>
    </w:p>
    <w:p>
      <w:r/>
      <w:r>
        <w:rPr>
          <w:b/>
        </w:rPr>
        <w:t>Surveillance Biologique et Suivi Clinique :</w:t>
      </w:r>
      <w:r/>
    </w:p>
    <w:p>
      <w:pPr>
        <w:pStyle w:val="ListBullet"/>
      </w:pPr>
      <w:r>
        <w:t>Surveillance clinique : évaluation de l'efficacité à 2 semaines (Score SCORAD ou EASI), de la tolérance locale (sensation de brûlure, prurit, érythème), de l'observance et de l'usage correct.</w:t>
      </w:r>
    </w:p>
    <w:p>
      <w:pPr>
        <w:pStyle w:val="ListBullet"/>
      </w:pPr>
      <w:r>
        <w:t>Surveillance cutanée : recherche de signes d'infection (herpès, impétigo, molluscum contagiosum), de folliculite, d'apparition de papules ou pustules (rosacée-like dermatitis), d'atrophie cutanée (à comparer avec l'atrophie induite par les dermocorticoïdes — absent avec le tacrolimus).</w:t>
      </w:r>
    </w:p>
    <w:p>
      <w:pPr>
        <w:pStyle w:val="ListBullet"/>
      </w:pPr>
      <w:r>
        <w:t>Surveillance systémique : chez l'adulte sain, aucune surveillance biologique systématique n'est requise. En cas d'application étendue (&gt; 30 % de la surface corporelle), de traitement prolongé (&gt; 6 mois) ou d'enfant : dosage de la tacrolémie résiduelle plasmatique (cible &lt; 1 ng/mL) et surveillance de la fonction rénale (créatininémie) une fois par mois.</w:t>
      </w:r>
    </w:p>
    <w:p>
      <w:pPr>
        <w:pStyle w:val="ListBullet"/>
      </w:pPr>
      <w:r>
        <w:t>Surveillance à long terme : examen dermatologique annuel à la recherche de lésions cutanées suspectes (carcinome basocellulaire, carcinome épidermoïde, mélanome, lymphome cutané). Cette surveillance est plus prudente que strictement nécessaire au vu des données épidémiologiques rassurantes, mais reste recommandée.</w:t>
      </w:r>
    </w:p>
    <w:p>
      <w:pPr>
        <w:pStyle w:val="ListBullet"/>
      </w:pPr>
      <w:r>
        <w:t>Surveillance de la fonction barrière : évaluation de la sécheresse cutanée, de la xérose, de la fissuration. Association systématique d'un émollient sans urée ni acide salicylique (risque d'irritation additive) — préférer les émollients simples (vaseline, paraffine, dexpanthénol).</w:t>
      </w:r>
    </w:p>
    <w:p>
      <w:pPr>
        <w:pStyle w:val="ListBullet"/>
      </w:pPr>
      <w:r>
        <w:t>Surveillance psychologique : la dermatite atopique sévère a un retentissement majeur sur la qualité de vie (sommeil, scolarité, travail, sexualité). Évaluation de l'impact psychosocial et orientation vers un psychologue ou un groupe de support si nécessaire.</w:t>
      </w:r>
    </w:p>
    <w:p>
      <w:r/>
      <w:r>
        <w:rPr>
          <w:b/>
        </w:rPr>
        <w:t>Arbitrage et Bénéfices des Formes Galéniques :</w:t>
      </w:r>
      <w:r/>
    </w:p>
    <w:p>
      <w:pPr>
        <w:pStyle w:val="ListBullet"/>
      </w:pPr>
      <w:r>
        <w:t>Pommade Protopic 0,1 % (adulte) : forme de référence pour le visage, les paupières, les plis, les organes génitaux. Avantages : efficacité maximale, absence d'atrophie, cosmetically acceptable pour le visage. Inconvénients : sensation de brûlure initiale, effet gras, lessivage des vêtements.</w:t>
      </w:r>
    </w:p>
    <w:p>
      <w:pPr>
        <w:pStyle w:val="ListBullet"/>
      </w:pPr>
      <w:r>
        <w:t>Pommade Protopic 0,03 % (enfant 2-15 ans) : concentration pédiatrique pour réduire la sensation de brûlure et limiter l'absorption systémique. Avantages : tolérance supérieure chez l'enfant. Inconvénients : efficacité moindre, nécessité de passage à 0,1 % chez l'adolescent proche de 16 ans.</w:t>
      </w:r>
    </w:p>
    <w:p>
      <w:pPr>
        <w:pStyle w:val="ListBullet"/>
      </w:pPr>
      <w:r>
        <w:t>Comparaison avec dermocorticoïdes : sur les zones sensibles (visage, paupières, plis, organes génitaux), le tacrolimus est supérieur aux dermocorticoïdes en raison de l'absence d'atrophie. Sur les zones non sensibles (tronc, membres), les dermocorticoïdes restent supérieurs en raison de leur effet plus rapide et moins coûteux. En pratique, le tacrolimus est utilisé en seconde intention sur les zones sensibles, en relais des dermocorticoïdes ou en association (traitements séquentiels).</w:t>
      </w:r>
    </w:p>
    <w:p>
      <w:pPr>
        <w:pStyle w:val="ListBullet"/>
      </w:pPr>
      <w:r>
        <w:t>Comparaison avec pimécrolimus (Elidel® 1 % crème, non disponible en Algérie) : le pimécrolimus est une crème (non pommade), mieux acceptée par les patients, mais d'efficacité moindre que le tacrolimus dans les formes modérées à sévères. Le tacrolimus est privilégié en cas de dermatite atopique sévère ou de localisation sensible.</w:t>
      </w:r>
    </w:p>
    <w:p>
      <w:pPr>
        <w:pStyle w:val="ListBullet"/>
      </w:pPr>
      <w:r>
        <w:t>Comparaison avec la ciclosporine orale : la ciclosporine (Sandimmun®) est utilisée par voie systémique dans la dermatite atopique sévère réfractaire, avec une efficacité supérieure mais une toxicité systémique importante (néphrotoxicité, hypertension, hépatotoxicité, lymphome). Le tacrolimus topique est utilisé en priorité, la ciclosporine orale étant réservée aux formes très sévères résistant aux topiques.</w:t>
      </w:r>
    </w:p>
    <w:p>
      <w:pPr>
        <w:pStyle w:val="ListBullet"/>
      </w:pPr>
      <w:r>
        <w:t>Comparaison avec les biothérapies (dupilumab, upadacitinib, abrocitinib) : les biothérapies systémiques sont indiquées en cas de dermatite atopique sévère non contrôlée par les topiques. Elles ont une efficacité supérieure mais un coût très élevé (plusieurs milliers de dinars algériens par mois) et des effets indésirables systémiques (conjonctivite, infections respiratoires hautes, thrombose veineuse pour les JAK inhibitors). Le tacrolimus topique reste le traitement de référence des dermatites atopiques modérées et des zones sensibles.</w:t>
      </w:r>
    </w:p>
    <w:p>
      <w:pPr>
        <w:pStyle w:val="ListBullet"/>
      </w:pPr>
      <w:r>
        <w:t>Formes galéniques alternatives (à l'international) : formulation en liposome pour améliorer la pénétration et réduire la sensation de brûlure ; formulations combinées (tacrolimus + dermocorticoïde) en développement ; tacrolimus en microémulsion pour usage pédiatrique.</w:t>
      </w:r>
    </w:p>
    <w:p>
      <w:r/>
      <w:r>
        <w:rPr>
          <w:b/>
        </w:rPr>
        <w:t>Instructions et Conseils au Patient :</w:t>
      </w:r>
      <w:r/>
    </w:p>
    <w:p>
      <w:pPr>
        <w:pStyle w:val="ListBullet"/>
      </w:pPr>
      <w:r>
        <w:t>Communication : « Le tacrolimus est une pommade immunomodulatrice qui ne contient pas de cortisone. Il est utilisé pour traiter l'eczéma (dermatite atopique) sur des zones où la cortisone en crème est dangereuse pour la peau à long terme (visage, paupières, plis, organes génitaux). La particularité de ce médicament est qu'il provoque souvent une sensation de brûlure ou de chaleur dans les premiers jours d'application : c'est normal, c'est transitoire (1 à 2 semaines), et c'est le signe que le médicament commence à agir. Ne pas l'arrêter pour cette raison. Appliquez-le en couche fine, sur peau bien sèche, deux fois par jour pendant 2 à 3 semaines. Évitez le soleil et utilisez une crème solaire indice 50. Ne l'appliquez pas sur une zone infectée (herpès, impétigo). Si vous êtes enceinte ou envisagez une grossesse, parlez-en à votre médecin. Ne pas dépasser 50 g par semaine. »</w:t>
      </w:r>
    </w:p>
    <w:p>
      <w:pPr>
        <w:pStyle w:val="ListBullet"/>
      </w:pPr>
      <w:r>
        <w:t>Observance : appliquer à heure fixe (matin et soir), tenir un calendrier d'application, ne pas interrompre brutalement sans avis médical (risque de rebond), associer un émollient simple 15 minutes après le tacrolimus pour améliorer la tolérance.</w:t>
      </w:r>
    </w:p>
    <w:p>
      <w:pPr>
        <w:pStyle w:val="ListBullet"/>
      </w:pPr>
      <w:r>
        <w:t>Alerte : consulter immédiatement en cas de fièvre associée à des vésicules douloureuses (suspicion d'eczéma herpeticum — urgence dermatologique), de papules ou pustules du visage (rosacée-like dermatitis), d'infection cutanée intercurrente, d'absence d'amélioration après 3 semaines de traitement bien conduit.</w:t>
      </w:r>
    </w:p>
    <w:p>
      <w:pPr>
        <w:pStyle w:val="ListBullet"/>
      </w:pPr>
      <w:r>
        <w:t>Photoprotection : obligatoire. Crème solaire SPF 50+ le matin, tacrolimus le soir, éviction solaire directe entre 11h et 16h.</w:t>
      </w:r>
    </w:p>
    <w:p>
      <w:pPr>
        <w:pStyle w:val="ListBullet"/>
      </w:pPr>
      <w:r>
        <w:t>Hygiène : douches tièdes courtes (&lt; 5 minutes), savons surgras sans parfum, séchage par tamponnement (pas de friction), émollient simple sur tout le corps après la douche (sauf sur les zones où le tacrolimus est appliqué — espacer de 15 minutes).</w:t>
      </w:r>
    </w:p>
    <w:p>
      <w:pPr>
        <w:pStyle w:val="ListBullet"/>
      </w:pPr>
      <w:r>
        <w:t>Vaccins : informer le médecin traitant de l'utilisation du tacrolimus avant toute vaccination, en particulier les vaccins vivants atténués.</w:t>
      </w:r>
    </w:p>
    <w:p>
      <w:r/>
      <w:r>
        <w:rPr>
          <w:b/>
        </w:rPr>
        <w:t>Notes, Règles d'Or &amp; Pièges au Comptoir :</w:t>
      </w:r>
      <w:r/>
    </w:p>
    <w:p>
      <w:pPr>
        <w:pStyle w:val="ListBullet"/>
      </w:pPr>
      <w:r>
        <w:t>Piège : le tacrolimus topique (Protopic®) n'est PAS disponible dans la nomenclature algérienne officielle — les formes présentes (gélules TACROLIMUS CINFA, TIM, VINGRAF, PROGRAF) sont des formes ORALES pour la transplantation d'organe. Ne jamais dispenser de tacrolimus oral pour usage topique — il s'agit d'un usage strictement systémique à toxicité rénale et métabolique majeure.</w:t>
      </w:r>
    </w:p>
    <w:p>
      <w:pPr>
        <w:pStyle w:val="ListBullet"/>
      </w:pPr>
      <w:r>
        <w:t>Règle : en cas de demande de Protopic® (importation exceptionnelle), toujours vérifier la prescription (dermatologue spécialisé), la concentration (0,03 % enfant, 0,1 % adulte), la zone traitée et la durée prévue.</w:t>
      </w:r>
    </w:p>
    <w:p>
      <w:pPr>
        <w:pStyle w:val="ListBullet"/>
      </w:pPr>
      <w:r>
        <w:t>Piège : le tacrolimus ne doit JAMAIS être appliqué sur peau infectée — risque d'aggravation sévère de l'infection. Vérifier l'absence de vésicules, pustules, croûtes miel-jaunes (impétigo), bordure érythémato-squameuse (dermatophyte) avant application.</w:t>
      </w:r>
    </w:p>
    <w:p>
      <w:pPr>
        <w:pStyle w:val="ListBullet"/>
      </w:pPr>
      <w:r>
        <w:t>Règle : la sensation de brûlure initiale est quasi constante (60 % des cas) et constitue la principale cause d'arrêt prématuré par les patients. Prévenir systématiquement le patient, prescrire un émollient simple à appliquer 15 minutes après, et un antihistaminique oral en cas d'intolérance sévère.</w:t>
      </w:r>
    </w:p>
    <w:p>
      <w:pPr>
        <w:pStyle w:val="ListBullet"/>
      </w:pPr>
      <w:r>
        <w:t>Piège : l'application occlusive (pansement occlusif) augmente considérablement l'absorption systémique du tacrolimus et doit être proscrite.</w:t>
      </w:r>
    </w:p>
    <w:p>
      <w:pPr>
        <w:pStyle w:val="ListBullet"/>
      </w:pPr>
      <w:r>
        <w:t>Règle : ne pas associer à un dermocorticoïde sur la même zone sans avis médical — risque d'effets additifs imprévisibles.</w:t>
      </w:r>
    </w:p>
    <w:p>
      <w:pPr>
        <w:pStyle w:val="ListBullet"/>
      </w:pPr>
      <w:r>
        <w:t>Piège : l'utilisation prolongée sur le visage (&gt; 1 an continu) expose à un risque de rosacée-like dermatitis — surveiller l'apparition de papules et pustules.</w:t>
      </w:r>
    </w:p>
    <w:p>
      <w:pPr>
        <w:pStyle w:val="ListBullet"/>
      </w:pPr>
      <w:r>
        <w:t>Règle : le traitement d'entretien proactif (2 applications/semaine sur zones cibles) est une stratégie validée qui réduit le nombre de poussées — ne pas hésiter à la proposer en cas de dermatite atopique récidivante.</w:t>
      </w:r>
    </w:p>
    <w:p>
      <w:pPr>
        <w:pStyle w:val="ListBullet"/>
      </w:pPr>
      <w:r>
        <w:t>Piège : ne pas appliquer immédiatement après la douche ou le bain (eau chaude, peau humide = augmentation de la sensation de brûlure et de l'absorption systémique).</w:t>
      </w:r>
    </w:p>
    <w:p>
      <w:pPr>
        <w:pStyle w:val="ListBullet"/>
      </w:pPr>
      <w:r>
        <w:t>Règle : en cas de vaccination vivante atténuée prévue (ROR, varicelle, BCG, fièvre jaune), suspendre le tacrolimus 2 semaines avant et 4 semaines après.</w:t>
      </w:r>
    </w:p>
    <w:p>
      <w:pPr>
        <w:pStyle w:val="ListBullet"/>
      </w:pPr>
      <w:r>
        <w:t>Piège : la dermatite atopique sévère de l'enfant ne doit pas être traitée par tacrolimus 0,1 % (réservé à l'adulte) — utiliser la concentration 0,03 %.</w:t>
      </w:r>
    </w:p>
    <w:p>
      <w:pPr>
        <w:pStyle w:val="ListBullet"/>
      </w:pPr>
      <w:r>
        <w:t>Règle : l'efficacité du tacrolimus est inférieure à celle des dermocorticoïdes forts en phase d'attaque sur le trc et les membres — utiliser le tacrolimus en relais après la phase d'attaque par dermocorticoïdes, ou sur les zones sensibles d'emblée.</w:t>
      </w:r>
    </w:p>
    <w:p>
      <w:pPr>
        <w:pStyle w:val="Heading3"/>
      </w:pPr>
      <w:r>
        <w:t>123.2 DCI : Calcipotriol (± bétaméthasone)</w:t>
      </w:r>
    </w:p>
    <w:p>
      <w:r/>
      <w:r>
        <w:rPr>
          <w:b/>
        </w:rPr>
        <w:t>Liste des Catégories :</w:t>
      </w:r>
      <w:r>
        <w:t xml:space="preserve"> Dermatologie ; Antipsoriasique topique ; Analogue de la vitamine D3 (calcipotriol) ± corticoïde topique (dipropionate de bétaméthasone) ; Traitement du psoriasis en plaques vulgaire léger à modéré de l'adulte ; Liste II (calcipotriol seul) ou Liste I (association fixe calcipotriol + bétaméthasone).</w:t>
      </w:r>
    </w:p>
    <w:p>
      <w:r/>
      <w:r>
        <w:rPr>
          <w:b/>
        </w:rPr>
        <w:t>Médicaments disponibles en Algérie :</w:t>
      </w:r>
      <w:r/>
    </w:p>
    <w:p>
      <w:r/>
      <w:r>
        <w:rPr>
          <w:i/>
        </w:rPr>
        <w:t>Calcipotriol en monothérapie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CALCIPOTRIOL NOVAGENERICS</w:t>
            </w:r>
          </w:p>
        </w:tc>
        <w:tc>
          <w:tcPr>
            <w:tcW w:type="dxa" w:w="1559"/>
          </w:tcPr>
          <w:p>
            <w:r>
              <w:rPr>
                <w:sz w:val="20"/>
              </w:rPr>
              <w:t>NOVAPHARM TRADING</w:t>
            </w:r>
          </w:p>
        </w:tc>
        <w:tc>
          <w:tcPr>
            <w:tcW w:type="dxa" w:w="1559"/>
          </w:tcPr>
          <w:p>
            <w:r>
              <w:rPr>
                <w:sz w:val="20"/>
              </w:rPr>
              <w:t>Pommade dermique 50 µg/g</w:t>
            </w:r>
          </w:p>
        </w:tc>
        <w:tc>
          <w:tcPr>
            <w:tcW w:type="dxa" w:w="1559"/>
          </w:tcPr>
          <w:p>
            <w:r>
              <w:rPr>
                <w:sz w:val="20"/>
              </w:rPr>
              <w:t>T/30 g</w:t>
            </w:r>
          </w:p>
        </w:tc>
        <w:tc>
          <w:tcPr>
            <w:tcW w:type="dxa" w:w="1559"/>
          </w:tcPr>
          <w:p>
            <w:r>
              <w:rPr>
                <w:sz w:val="20"/>
              </w:rPr>
              <w:t>Liste II</w:t>
            </w:r>
          </w:p>
        </w:tc>
        <w:tc>
          <w:tcPr>
            <w:tcW w:type="dxa" w:w="1559"/>
          </w:tcPr>
          <w:p>
            <w:r>
              <w:rPr>
                <w:sz w:val="20"/>
              </w:rPr>
              <w:t>Actif</w:t>
            </w:r>
          </w:p>
        </w:tc>
      </w:tr>
      <w:tr>
        <w:tc>
          <w:tcPr>
            <w:tcW w:type="dxa" w:w="1559"/>
          </w:tcPr>
          <w:p>
            <w:r>
              <w:rPr>
                <w:sz w:val="20"/>
              </w:rPr>
              <w:t>DIAVOREM</w:t>
            </w:r>
          </w:p>
        </w:tc>
        <w:tc>
          <w:tcPr>
            <w:tcW w:type="dxa" w:w="1559"/>
          </w:tcPr>
          <w:p>
            <w:r>
              <w:rPr>
                <w:sz w:val="20"/>
              </w:rPr>
              <w:t>SARL BIOREM</w:t>
            </w:r>
          </w:p>
        </w:tc>
        <w:tc>
          <w:tcPr>
            <w:tcW w:type="dxa" w:w="1559"/>
          </w:tcPr>
          <w:p>
            <w:r>
              <w:rPr>
                <w:sz w:val="20"/>
              </w:rPr>
              <w:t>Pommade 50 µg/g</w:t>
            </w:r>
          </w:p>
        </w:tc>
        <w:tc>
          <w:tcPr>
            <w:tcW w:type="dxa" w:w="1559"/>
          </w:tcPr>
          <w:p>
            <w:r>
              <w:rPr>
                <w:sz w:val="20"/>
              </w:rPr>
              <w:t>Tube/30 g</w:t>
            </w:r>
          </w:p>
        </w:tc>
        <w:tc>
          <w:tcPr>
            <w:tcW w:type="dxa" w:w="1559"/>
          </w:tcPr>
          <w:p>
            <w:r>
              <w:rPr>
                <w:sz w:val="20"/>
              </w:rPr>
              <w:t>Liste II</w:t>
            </w:r>
          </w:p>
        </w:tc>
        <w:tc>
          <w:tcPr>
            <w:tcW w:type="dxa" w:w="1559"/>
          </w:tcPr>
          <w:p>
            <w:r>
              <w:rPr>
                <w:sz w:val="20"/>
              </w:rPr>
              <w:t>Actif</w:t>
            </w:r>
          </w:p>
        </w:tc>
      </w:tr>
      <w:tr>
        <w:tc>
          <w:tcPr>
            <w:tcW w:type="dxa" w:w="1559"/>
          </w:tcPr>
          <w:p>
            <w:r>
              <w:rPr>
                <w:sz w:val="20"/>
              </w:rPr>
              <w:t>PSORANEX</w:t>
            </w:r>
          </w:p>
        </w:tc>
        <w:tc>
          <w:tcPr>
            <w:tcW w:type="dxa" w:w="1559"/>
          </w:tcPr>
          <w:p>
            <w:r>
              <w:rPr>
                <w:sz w:val="20"/>
              </w:rPr>
              <w:t>EL KENDI INDUSTRIE DU MEDICAMENT</w:t>
            </w:r>
          </w:p>
        </w:tc>
        <w:tc>
          <w:tcPr>
            <w:tcW w:type="dxa" w:w="1559"/>
          </w:tcPr>
          <w:p>
            <w:r>
              <w:rPr>
                <w:sz w:val="20"/>
              </w:rPr>
              <w:t>Pommade dermique 50 µg/g</w:t>
            </w:r>
          </w:p>
        </w:tc>
        <w:tc>
          <w:tcPr>
            <w:tcW w:type="dxa" w:w="1559"/>
          </w:tcPr>
          <w:p>
            <w:r>
              <w:rPr>
                <w:sz w:val="20"/>
              </w:rPr>
              <w:t>Tube/30 g</w:t>
            </w:r>
          </w:p>
        </w:tc>
        <w:tc>
          <w:tcPr>
            <w:tcW w:type="dxa" w:w="1559"/>
          </w:tcPr>
          <w:p>
            <w:r>
              <w:rPr>
                <w:sz w:val="20"/>
              </w:rPr>
              <w:t>Liste II</w:t>
            </w:r>
          </w:p>
        </w:tc>
        <w:tc>
          <w:tcPr>
            <w:tcW w:type="dxa" w:w="1559"/>
          </w:tcPr>
          <w:p>
            <w:r>
              <w:rPr>
                <w:sz w:val="20"/>
              </w:rPr>
              <w:t>Actif</w:t>
            </w:r>
          </w:p>
        </w:tc>
      </w:tr>
      <w:tr>
        <w:tc>
          <w:tcPr>
            <w:tcW w:type="dxa" w:w="1559"/>
          </w:tcPr>
          <w:p>
            <w:r>
              <w:rPr>
                <w:sz w:val="20"/>
              </w:rPr>
              <w:t>DAIVONEX</w:t>
            </w:r>
          </w:p>
        </w:tc>
        <w:tc>
          <w:tcPr>
            <w:tcW w:type="dxa" w:w="1559"/>
          </w:tcPr>
          <w:p>
            <w:r>
              <w:rPr>
                <w:sz w:val="20"/>
              </w:rPr>
              <w:t>LEO</w:t>
            </w:r>
          </w:p>
        </w:tc>
        <w:tc>
          <w:tcPr>
            <w:tcW w:type="dxa" w:w="1559"/>
          </w:tcPr>
          <w:p>
            <w:r>
              <w:rPr>
                <w:sz w:val="20"/>
              </w:rPr>
              <w:t>Lotion 50 µg/g</w:t>
            </w:r>
          </w:p>
        </w:tc>
        <w:tc>
          <w:tcPr>
            <w:tcW w:type="dxa" w:w="1559"/>
          </w:tcPr>
          <w:p>
            <w:r>
              <w:rPr>
                <w:sz w:val="20"/>
              </w:rPr>
              <w:t>FL/60 mL</w:t>
            </w:r>
          </w:p>
        </w:tc>
        <w:tc>
          <w:tcPr>
            <w:tcW w:type="dxa" w:w="1559"/>
          </w:tcPr>
          <w:p>
            <w:r>
              <w:rPr>
                <w:sz w:val="20"/>
              </w:rPr>
              <w:t>Liste II</w:t>
            </w:r>
          </w:p>
        </w:tc>
        <w:tc>
          <w:tcPr>
            <w:tcW w:type="dxa" w:w="1559"/>
          </w:tcPr>
          <w:p>
            <w:r>
              <w:rPr>
                <w:sz w:val="20"/>
              </w:rPr>
              <w:t>Non Renouvelable</w:t>
            </w:r>
          </w:p>
        </w:tc>
      </w:tr>
      <w:tr>
        <w:tc>
          <w:tcPr>
            <w:tcW w:type="dxa" w:w="1559"/>
          </w:tcPr>
          <w:p>
            <w:r>
              <w:rPr>
                <w:sz w:val="20"/>
              </w:rPr>
              <w:t>DAIVONEX</w:t>
            </w:r>
          </w:p>
        </w:tc>
        <w:tc>
          <w:tcPr>
            <w:tcW w:type="dxa" w:w="1559"/>
          </w:tcPr>
          <w:p>
            <w:r>
              <w:rPr>
                <w:sz w:val="20"/>
              </w:rPr>
              <w:t>LEO</w:t>
            </w:r>
          </w:p>
        </w:tc>
        <w:tc>
          <w:tcPr>
            <w:tcW w:type="dxa" w:w="1559"/>
          </w:tcPr>
          <w:p>
            <w:r>
              <w:rPr>
                <w:sz w:val="20"/>
              </w:rPr>
              <w:t>Pommade dermique 50 µg/g</w:t>
            </w:r>
          </w:p>
        </w:tc>
        <w:tc>
          <w:tcPr>
            <w:tcW w:type="dxa" w:w="1559"/>
          </w:tcPr>
          <w:p>
            <w:r>
              <w:rPr>
                <w:sz w:val="20"/>
              </w:rPr>
              <w:t>T/30 g</w:t>
            </w:r>
          </w:p>
        </w:tc>
        <w:tc>
          <w:tcPr>
            <w:tcW w:type="dxa" w:w="1559"/>
          </w:tcPr>
          <w:p>
            <w:r>
              <w:rPr>
                <w:sz w:val="20"/>
              </w:rPr>
              <w:t>Liste II</w:t>
            </w:r>
          </w:p>
        </w:tc>
        <w:tc>
          <w:tcPr>
            <w:tcW w:type="dxa" w:w="1559"/>
          </w:tcPr>
          <w:p>
            <w:r>
              <w:rPr>
                <w:sz w:val="20"/>
              </w:rPr>
              <w:t>Retrait</w:t>
            </w:r>
          </w:p>
        </w:tc>
      </w:tr>
      <w:tr>
        <w:tc>
          <w:tcPr>
            <w:tcW w:type="dxa" w:w="1559"/>
          </w:tcPr>
          <w:p>
            <w:r>
              <w:rPr>
                <w:sz w:val="20"/>
              </w:rPr>
              <w:t>DAIVONEX</w:t>
            </w:r>
          </w:p>
        </w:tc>
        <w:tc>
          <w:tcPr>
            <w:tcW w:type="dxa" w:w="1559"/>
          </w:tcPr>
          <w:p>
            <w:r>
              <w:rPr>
                <w:sz w:val="20"/>
              </w:rPr>
              <w:t>LEO</w:t>
            </w:r>
          </w:p>
        </w:tc>
        <w:tc>
          <w:tcPr>
            <w:tcW w:type="dxa" w:w="1559"/>
          </w:tcPr>
          <w:p>
            <w:r>
              <w:rPr>
                <w:sz w:val="20"/>
              </w:rPr>
              <w:t>Crème dermique 50 µg/g</w:t>
            </w:r>
          </w:p>
        </w:tc>
        <w:tc>
          <w:tcPr>
            <w:tcW w:type="dxa" w:w="1559"/>
          </w:tcPr>
          <w:p>
            <w:r>
              <w:rPr>
                <w:sz w:val="20"/>
              </w:rPr>
              <w:t>T/30 g</w:t>
            </w:r>
          </w:p>
        </w:tc>
        <w:tc>
          <w:tcPr>
            <w:tcW w:type="dxa" w:w="1559"/>
          </w:tcPr>
          <w:p>
            <w:r>
              <w:rPr>
                <w:sz w:val="20"/>
              </w:rPr>
              <w:t>Liste II</w:t>
            </w:r>
          </w:p>
        </w:tc>
        <w:tc>
          <w:tcPr>
            <w:tcW w:type="dxa" w:w="1559"/>
          </w:tcPr>
          <w:p>
            <w:r>
              <w:rPr>
                <w:sz w:val="20"/>
              </w:rPr>
              <w:t>Retrait</w:t>
            </w:r>
          </w:p>
        </w:tc>
      </w:tr>
    </w:tbl>
    <w:p/>
    <w:p>
      <w:r/>
      <w:r>
        <w:rPr>
          <w:i/>
        </w:rPr>
        <w:t>Calcipotriol en association fixe avec bétaméthasone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DAIVOBET</w:t>
            </w:r>
          </w:p>
        </w:tc>
        <w:tc>
          <w:tcPr>
            <w:tcW w:type="dxa" w:w="1559"/>
          </w:tcPr>
          <w:p>
            <w:r>
              <w:rPr>
                <w:sz w:val="20"/>
              </w:rPr>
              <w:t>LABORATOIRES LEO</w:t>
            </w:r>
          </w:p>
        </w:tc>
        <w:tc>
          <w:tcPr>
            <w:tcW w:type="dxa" w:w="1559"/>
          </w:tcPr>
          <w:p>
            <w:r>
              <w:rPr>
                <w:sz w:val="20"/>
              </w:rPr>
              <w:t>Pommade 50 µg/0,5 mg/g</w:t>
            </w:r>
          </w:p>
        </w:tc>
        <w:tc>
          <w:tcPr>
            <w:tcW w:type="dxa" w:w="1559"/>
          </w:tcPr>
          <w:p>
            <w:r>
              <w:rPr>
                <w:sz w:val="20"/>
              </w:rPr>
              <w:t>T/60 g</w:t>
            </w:r>
          </w:p>
        </w:tc>
        <w:tc>
          <w:tcPr>
            <w:tcW w:type="dxa" w:w="1559"/>
          </w:tcPr>
          <w:p>
            <w:r>
              <w:rPr>
                <w:sz w:val="20"/>
              </w:rPr>
              <w:t>Liste I</w:t>
            </w:r>
          </w:p>
        </w:tc>
        <w:tc>
          <w:tcPr>
            <w:tcW w:type="dxa" w:w="1559"/>
          </w:tcPr>
          <w:p>
            <w:r>
              <w:rPr>
                <w:sz w:val="20"/>
              </w:rPr>
              <w:t>Actif</w:t>
            </w:r>
          </w:p>
        </w:tc>
      </w:tr>
      <w:tr>
        <w:tc>
          <w:tcPr>
            <w:tcW w:type="dxa" w:w="1559"/>
          </w:tcPr>
          <w:p>
            <w:r>
              <w:rPr>
                <w:sz w:val="20"/>
              </w:rPr>
              <w:t>DAIVOBET</w:t>
            </w:r>
          </w:p>
        </w:tc>
        <w:tc>
          <w:tcPr>
            <w:tcW w:type="dxa" w:w="1559"/>
          </w:tcPr>
          <w:p>
            <w:r>
              <w:rPr>
                <w:sz w:val="20"/>
              </w:rPr>
              <w:t>ABDI IBRAHIM REMEDE PHARMA</w:t>
            </w:r>
          </w:p>
        </w:tc>
        <w:tc>
          <w:tcPr>
            <w:tcW w:type="dxa" w:w="1559"/>
          </w:tcPr>
          <w:p>
            <w:r>
              <w:rPr>
                <w:sz w:val="20"/>
              </w:rPr>
              <w:t>Gel 50 µg/0,5 mg/g</w:t>
            </w:r>
          </w:p>
        </w:tc>
        <w:tc>
          <w:tcPr>
            <w:tcW w:type="dxa" w:w="1559"/>
          </w:tcPr>
          <w:p>
            <w:r>
              <w:rPr>
                <w:sz w:val="20"/>
              </w:rPr>
              <w:t>Flacon/60 g</w:t>
            </w:r>
          </w:p>
        </w:tc>
        <w:tc>
          <w:tcPr>
            <w:tcW w:type="dxa" w:w="1559"/>
          </w:tcPr>
          <w:p>
            <w:r>
              <w:rPr>
                <w:sz w:val="20"/>
              </w:rPr>
              <w:t>Liste I</w:t>
            </w:r>
          </w:p>
        </w:tc>
        <w:tc>
          <w:tcPr>
            <w:tcW w:type="dxa" w:w="1559"/>
          </w:tcPr>
          <w:p>
            <w:r>
              <w:rPr>
                <w:sz w:val="20"/>
              </w:rPr>
              <w:t>Actif</w:t>
            </w:r>
          </w:p>
        </w:tc>
      </w:tr>
      <w:tr>
        <w:tc>
          <w:tcPr>
            <w:tcW w:type="dxa" w:w="1559"/>
          </w:tcPr>
          <w:p>
            <w:r>
              <w:rPr>
                <w:sz w:val="20"/>
              </w:rPr>
              <w:t>DAIVOREM PLUS</w:t>
            </w:r>
          </w:p>
        </w:tc>
        <w:tc>
          <w:tcPr>
            <w:tcW w:type="dxa" w:w="1559"/>
          </w:tcPr>
          <w:p>
            <w:r>
              <w:rPr>
                <w:sz w:val="20"/>
              </w:rPr>
              <w:t>SARL BIOREM</w:t>
            </w:r>
          </w:p>
        </w:tc>
        <w:tc>
          <w:tcPr>
            <w:tcW w:type="dxa" w:w="1559"/>
          </w:tcPr>
          <w:p>
            <w:r>
              <w:rPr>
                <w:sz w:val="20"/>
              </w:rPr>
              <w:t>Pommade 50 µg/0,5 mg/g</w:t>
            </w:r>
          </w:p>
        </w:tc>
        <w:tc>
          <w:tcPr>
            <w:tcW w:type="dxa" w:w="1559"/>
          </w:tcPr>
          <w:p>
            <w:r>
              <w:rPr>
                <w:sz w:val="20"/>
              </w:rPr>
              <w:t>T/60 g</w:t>
            </w:r>
          </w:p>
        </w:tc>
        <w:tc>
          <w:tcPr>
            <w:tcW w:type="dxa" w:w="1559"/>
          </w:tcPr>
          <w:p>
            <w:r>
              <w:rPr>
                <w:sz w:val="20"/>
              </w:rPr>
              <w:t>Liste I</w:t>
            </w:r>
          </w:p>
        </w:tc>
        <w:tc>
          <w:tcPr>
            <w:tcW w:type="dxa" w:w="1559"/>
          </w:tcPr>
          <w:p>
            <w:r>
              <w:rPr>
                <w:sz w:val="20"/>
              </w:rPr>
              <w:t>Actif</w:t>
            </w:r>
          </w:p>
        </w:tc>
      </w:tr>
      <w:tr>
        <w:tc>
          <w:tcPr>
            <w:tcW w:type="dxa" w:w="1559"/>
          </w:tcPr>
          <w:p>
            <w:r>
              <w:rPr>
                <w:sz w:val="20"/>
              </w:rPr>
              <w:t>PSORASONE</w:t>
            </w:r>
          </w:p>
        </w:tc>
        <w:tc>
          <w:tcPr>
            <w:tcW w:type="dxa" w:w="1559"/>
          </w:tcPr>
          <w:p>
            <w:r>
              <w:rPr>
                <w:sz w:val="20"/>
              </w:rPr>
              <w:t>EL KENDI INDUSTRIE DU MEDICAMENT</w:t>
            </w:r>
          </w:p>
        </w:tc>
        <w:tc>
          <w:tcPr>
            <w:tcW w:type="dxa" w:w="1559"/>
          </w:tcPr>
          <w:p>
            <w:r>
              <w:rPr>
                <w:sz w:val="20"/>
              </w:rPr>
              <w:t>Pommade 50 µg/0,5 mg/g</w:t>
            </w:r>
          </w:p>
        </w:tc>
        <w:tc>
          <w:tcPr>
            <w:tcW w:type="dxa" w:w="1559"/>
          </w:tcPr>
          <w:p>
            <w:r>
              <w:rPr>
                <w:sz w:val="20"/>
              </w:rPr>
              <w:t>T/30 g</w:t>
            </w:r>
          </w:p>
        </w:tc>
        <w:tc>
          <w:tcPr>
            <w:tcW w:type="dxa" w:w="1559"/>
          </w:tcPr>
          <w:p>
            <w:r>
              <w:rPr>
                <w:sz w:val="20"/>
              </w:rPr>
              <w:t>Liste I</w:t>
            </w:r>
          </w:p>
        </w:tc>
        <w:tc>
          <w:tcPr>
            <w:tcW w:type="dxa" w:w="1559"/>
          </w:tcPr>
          <w:p>
            <w:r>
              <w:rPr>
                <w:sz w:val="20"/>
              </w:rPr>
              <w:t>Actif</w:t>
            </w:r>
          </w:p>
        </w:tc>
      </w:tr>
      <w:tr>
        <w:tc>
          <w:tcPr>
            <w:tcW w:type="dxa" w:w="1559"/>
          </w:tcPr>
          <w:p>
            <w:r>
              <w:rPr>
                <w:sz w:val="20"/>
              </w:rPr>
              <w:t>PSORIABET</w:t>
            </w:r>
          </w:p>
        </w:tc>
        <w:tc>
          <w:tcPr>
            <w:tcW w:type="dxa" w:w="1559"/>
          </w:tcPr>
          <w:p>
            <w:r>
              <w:rPr>
                <w:sz w:val="20"/>
              </w:rPr>
              <w:t>NOVAPHARM TRADING</w:t>
            </w:r>
          </w:p>
        </w:tc>
        <w:tc>
          <w:tcPr>
            <w:tcW w:type="dxa" w:w="1559"/>
          </w:tcPr>
          <w:p>
            <w:r>
              <w:rPr>
                <w:sz w:val="20"/>
              </w:rPr>
              <w:t>Pommade 50 µg/0,5 mg/g</w:t>
            </w:r>
          </w:p>
        </w:tc>
        <w:tc>
          <w:tcPr>
            <w:tcW w:type="dxa" w:w="1559"/>
          </w:tcPr>
          <w:p>
            <w:r>
              <w:rPr>
                <w:sz w:val="20"/>
              </w:rPr>
              <w:t>T/60 g</w:t>
            </w:r>
          </w:p>
        </w:tc>
        <w:tc>
          <w:tcPr>
            <w:tcW w:type="dxa" w:w="1559"/>
          </w:tcPr>
          <w:p>
            <w:r>
              <w:rPr>
                <w:sz w:val="20"/>
              </w:rPr>
              <w:t>Liste I</w:t>
            </w:r>
          </w:p>
        </w:tc>
        <w:tc>
          <w:tcPr>
            <w:tcW w:type="dxa" w:w="1559"/>
          </w:tcPr>
          <w:p>
            <w:r>
              <w:rPr>
                <w:sz w:val="20"/>
              </w:rPr>
              <w:t>Actif</w:t>
            </w:r>
          </w:p>
        </w:tc>
      </w:tr>
    </w:tbl>
    <w:p/>
    <w:p>
      <w:r/>
      <w:r>
        <w:rPr>
          <w:b/>
        </w:rPr>
        <w:t>Note sur la disponibilité :</w:t>
      </w:r>
      <w:r>
        <w:t xml:space="preserve"> Le marché algérien du calcipotriol est mature et bien approvisionné en génériques. Le princeps Daivonex® (Leo) est en cours de retrait progressif au profit des génériques (Calcipotriol Novagenerics, Diavorem Biorem, Psoranex El Kendi). La combinaison fixe calcipotriol + bétaméthasone (Daivobet® princeps Léo et génériques Daivorem Plus, Psorasone, Psoriabet) est enregistrée sur Liste I en raison de la présence de bétaméthasone (corticoïde fort). Le Daivobet gel (Abdi Ibrahim Remede Pharma) est indiqué pour le psoriasis du cuir chevelu.</w:t>
      </w:r>
    </w:p>
    <w:p>
      <w:r/>
      <w:r>
        <w:rPr>
          <w:b/>
        </w:rPr>
        <w:t>Sous-classe et Mécanisme d'action :</w:t>
      </w:r>
      <w:r/>
    </w:p>
    <w:p>
      <w:pPr>
        <w:pStyle w:val="ListBullet"/>
      </w:pPr>
      <w:r>
        <w:t>Sous-classe : Analogues topiques de la vitamine D (groupe pharmacologique ATC D05AX02 pour le calcipotriol, D05AX52 pour l'association calcipotriol + bétaméthasone). Classe parente : métabolites de la vitamine D (calcitriol, tacalcitol, calcipotriol). Le calcipotriol (synonyme : calcipotriène) est un dérivé synthétique du calcitriol (1,25-dihydroxyvitamine D3) développé par Leo Pharma en 1987.</w:t>
      </w:r>
    </w:p>
    <w:p>
      <w:pPr>
        <w:pStyle w:val="ListBullet"/>
      </w:pPr>
      <w:r>
        <w:t>Mécanisme moléculaire du calcipotriol : la molécule traverse la membrane des kératinocytes et se lie au récepteur nucléaire de la vitamine D (VDR, Vitamin D Receptor — membre de la superfamille des récepteurs stéroïdiens/thyroïdiens). Le complexe calcipotriol-VDR subit un changement conformationnel, hétérodimérise avec le récepteur de l'acide rétinoïque RXR (Retinoid X Receptor), et le complexe hétérodimérique VDR-RXR transloque vers le noyau où il se fixe sur les éléments de réponse à la vitamine D (VDRE — Vitamin D Responsive Elements) présents dans les régions régulatrices des gènes cibles.</w:t>
      </w:r>
    </w:p>
    <w:p>
      <w:pPr>
        <w:pStyle w:val="ListBullet"/>
      </w:pPr>
      <w:r>
        <w:t>Effets transcriptionnels : (i) inhibition de la prolifération basale des kératinocytes (arrêt du cycle cellulaire en phase G1/S via induction des inhibiteurs de cycline-dépendantes kinases p21WAF1/CIP1 et p27KIP1) ; (ii) stimulation de la différenciation terminale (augmentation de l'expression de l'involucrine, de la filaggrine, de la transglutaminase I, de la cornifine, de la loricrine — protéines de l'enveloppe cornée) ; (iii) inhibition de la production de cytokines pro-inflammatoires (TNF-α, IL-6, IL-8) par les kératinocytes ; (iv) modulation de l'immunité cutanée (inhibition de la présentation antigénique par les cellules de Langerhans, réduction de l'infiltrat lymphocytaire T dermique).</w:t>
      </w:r>
    </w:p>
    <w:p>
      <w:pPr>
        <w:pStyle w:val="ListBullet"/>
      </w:pPr>
      <w:r>
        <w:t>Spécificité du calcipotriol par rapport au calcitriol : le calcipotriol a une affinité équivalente au calcitriol pour le VDR, mais son métabolisme hépatique est beaucoup plus rapide (via le CYP24A1 en métabolites inactifs), ce qui réduit considérablement le risque d'hypercalcémie (potentiel hypercalcémique 100 à 200 fois inférieur à celui du calcitriol).</w:t>
      </w:r>
    </w:p>
    <w:p>
      <w:pPr>
        <w:pStyle w:val="ListBullet"/>
      </w:pPr>
      <w:r>
        <w:t>Mécanisme de la bétaméthasone (dans la combinaison fixe) : le dipropionate de bétaméthasone est un corticoïde de classe forte (groupe III selon la classification NOR-UK). Il traverse la membrane cellulaire, se lie au récepteur glucocorticoïde cytoplasmique (GR), le complexe GR-bétaméthasone transloque dans le noyau où il active (transactivation) ou inhibe (transrépression) la transcription de gènes cibles. Il inhibe la phospholipase A2 (via lipocortine-1), réduisant la libération d'acide arachidonique et la synthèse des prostaglandines et des leucotriènes. Il inhibe la transcription du TNF-α, de l'IL-1, de l'IL-6, de l'IL-8, de l'IFN-γ, et diminue l'expression de la COX-2 et de l'iNOS. L'effet global est anti-inflammatoire puissant et rapide (visible dès 48-72 heures), qui complète l'action anti-proliférative et pro-différenciante du calcipotriol.</w:t>
      </w:r>
    </w:p>
    <w:p>
      <w:pPr>
        <w:pStyle w:val="ListBullet"/>
      </w:pPr>
      <w:r>
        <w:t>Synergie calcipotriol + bétaméthasone : le calcipotriol agit à vitesse lente (4-6 semaines pour effet maximal) sur la dyskératinisation ; la bétaméthasone agit à vitesse rapide (48-72 heures) sur l'inflammation aiguë. La combinaison fixe permet de traiter simultanément les deux composantes de la plaque psoriasique (inflammation rouge et squames argentées), avec une synergie d'efficacité (taux de rémission complète à 4 semaines de 40-50 % pour la combinaison versus 15-20 % pour le calcipotriol seul).</w:t>
      </w:r>
    </w:p>
    <w:p>
      <w:pPr>
        <w:pStyle w:val="ListBullet"/>
      </w:pPr>
      <w:r>
        <w:t>Comparaison avec d'autres analogues de la vitamine D (non disponibles en Algérie) : le tacalcitol (Bonalfa®), le calcitriol (Silkis®) et le maxacalcitol (Oxarol®) ont un mécanisme identique mais une affinité variable pour le VDR et un profil de tolérance légèrement différent. Le calcipotriol reste l'analogue de référence mondial.</w:t>
      </w:r>
    </w:p>
    <w:p>
      <w:r/>
      <w:r>
        <w:rPr>
          <w:b/>
        </w:rPr>
        <w:t>Profil Pharmacologique :</w:t>
      </w:r>
      <w:r/>
    </w:p>
    <w:p>
      <w:pPr>
        <w:pStyle w:val="ListBullet"/>
      </w:pPr>
      <w:r>
        <w:t>Indications AMM (calcipotriol seul) : psoriasis en plaques vulgaire léger à modéré de l'adulte. Indication pédiatrique : enfant de plus de 6 ans, à posologie réduite (max 50 g/sem). Formes disponibles : pommade (peau sèche, plaques épaisses), crème (peau fine, plis), lotion (cuir chevelu).</w:t>
      </w:r>
    </w:p>
    <w:p>
      <w:pPr>
        <w:pStyle w:val="ListBullet"/>
      </w:pPr>
      <w:r>
        <w:t>Indications AMM (combinaison calcipotriol + bétaméthasone) : psoriasis en plaques vulgaire modéré de l'adulte ( plaque de surface modérée, ≤ 30 % de la surface corporelle). Formes : pommade (corps, peau sèche), gel (cuir chevelu).</w:t>
      </w:r>
    </w:p>
    <w:p>
      <w:pPr>
        <w:pStyle w:val="ListBullet"/>
      </w:pPr>
      <w:r>
        <w:t>Indications hors AMM validées : psoriasis unguéal (application sur le pli de l'ongle), psoriasis palmo-plantaire (en alternance avec dermocorticoïde fort), psoriasis des plis (alternative au tacrolimus en cas d'efficacité insuffisante).</w:t>
      </w:r>
    </w:p>
    <w:p>
      <w:pPr>
        <w:pStyle w:val="ListBullet"/>
      </w:pPr>
      <w:r>
        <w:t>Contre-indications : hypersensibilité à l'un des composants ; maladies du métabolisme calcique (hypercalcémie, hypercalciurie, lithiase calcique récidivante, hyperparathyroïdie) ; psoriasis érythrodermique ou pustuleux (risque d'aggravation) ; application sur visage (irritation fréquente, sauf avis spécialisé) ; application sur muqueuses ; enfant de moins de 6 ans (calcipotriol seul) ou de moins de 18 ans (combinaison) ; grossesse (à utiliser avec prudence, voir section Grossesse) ; insuffisance rénale sévère (clairance créatinine &lt; 30 mL/min) ; traitement par diurétiques thiazidiques (risque d'hypercalcémie additive).</w:t>
      </w:r>
    </w:p>
    <w:p>
      <w:pPr>
        <w:pStyle w:val="ListBullet"/>
      </w:pPr>
      <w:r>
        <w:t>Effets indésirables locaux : irritation cutanée (très fréquent, 15 à 30 % — plus marquée avec le calcipotriol seul qu'avec la combinaison, l'effet anti-inflammatoire de la bétaméthasone masquant l'irritation) ; érythème ; sensation de brûlure ; prurit ; desquamation ; dermite de contact (rare) ; aggravation paradoxale du psoriasis (rare, en cas d'usage prolongé ou sur surface étendue) ; photoallergie (rare) ; folliculite (peu fréquente).</w:t>
      </w:r>
    </w:p>
    <w:p>
      <w:pPr>
        <w:pStyle w:val="ListBullet"/>
      </w:pPr>
      <w:r>
        <w:t>Effets indésirables systémiques : hypercalcémie et hypercalciurie (en cas de dépassement de la dose maximale hebdomadaire de 100 g de pommade à 50 µg/g pour le calcipotriol seul, ou de 100 g pour la combinaison). L'hypercalcémie peut se manifester par polyurie, polydipsie, anorexie, nausées, vomissements, constipation, fatigue, troubles de la conscience, troubles du rythme cardiaque. En cas de suspicion, arrêt immédiat du calcipotriol, contrôle de la calcémie, calciurie des 24 heures, fonction rénale et ECG.</w:t>
      </w:r>
    </w:p>
    <w:p>
      <w:pPr>
        <w:pStyle w:val="ListBullet"/>
      </w:pPr>
      <w:r>
        <w:t>Effets indésirables de la bétaméthasone (dans la combinaison fixe) : atrophie cutanée (en cas d'usage prolongé &gt; 4 semaines sur la même zone), télangiectasies, vergetures, dermite périorale, folliculite stéroïdienne, aggravation d'une rosacée préexistante, eczéma de contact aux excipients. Effets systémiques possibles en cas d'usage étendu ou prolongé : freinage de l'axe corticotrope, syndrome cushingoïde, hypertension, hyperglycémie, ostéoporose.</w:t>
      </w:r>
    </w:p>
    <w:p>
      <w:pPr>
        <w:pStyle w:val="ListBullet"/>
      </w:pPr>
      <w:r>
        <w:t>Effets indésirables à long terme : aucun effet carcinogène connu du calcipotriol. Pour la combinaison, le risque à long terme dépend principalement de la bétaméthasone (surveillance cutanée pour atrophie).</w:t>
      </w:r>
    </w:p>
    <w:p>
      <w:r/>
      <w:r>
        <w:rPr>
          <w:b/>
        </w:rPr>
        <w:t>Prévention et Gestion des Effets Indésirables :</w:t>
      </w:r>
      <w:r/>
    </w:p>
    <w:p>
      <w:pPr>
        <w:pStyle w:val="ListBullet"/>
      </w:pPr>
      <w:r>
        <w:t>Irritation cutanée initiale (calcipotriol seul) : informer le patient de la possibilité d'irritation transitoire (1 à 2 semaines) en début de traitement. Approches préventives : (i) application en couche fine (FTU), (ii) hydratation préalable de la peau par émollient simple, (iii) espacement progressif (1 application/jour au lieu de 2) pendant la 1re semaine, (iv) privilégier la combinaison calcipotriol + bétaméthasone (Daivobet®) chez les patients ayant une intolérance au calcipotriol seul. En cas d'irritation sévère : arrêt transitoire, application de dermocorticoïde pendant 5-7 jours, puis reprise à concentration moindre ou passage à la combinaison fixe.</w:t>
      </w:r>
    </w:p>
    <w:p>
      <w:pPr>
        <w:pStyle w:val="ListBullet"/>
      </w:pPr>
      <w:r>
        <w:t>Prévention de l'hypercalcémie : respecter strictement la dose maximale hebdomadaire de 100 g de calcipotriol (seul ou en combinaison). En cas de surfaces étendues (&gt; 30 % surface corporelle) ou d'usage prolongé (&gt; 6 semaines) : surveiller calcémie, calciurie des 24 heures et fonction rénale à l'initiation puis toutes les 4 à 6 semaines. En cas d'hypercalcémie (calcémie corrigée &gt; 2,6 mmol/L) : arrêt immédiat, hydratation, contrôle de la calcémie à 7 jours, recherche d'une cause associée (hyperparathyroïdie, syndrome de lyse tumorale, intoxication vitamine D).</w:t>
      </w:r>
    </w:p>
    <w:p>
      <w:pPr>
        <w:pStyle w:val="ListBullet"/>
      </w:pPr>
      <w:r>
        <w:t>Prévention de l'atrophie cutanée (combinaison fixe) : limiter la durée d'application à 4 semaines consécutives sur la même zone, puis pause thérapeutique de 2 semaines. En cas de besoin prolongé, alterner avec le calcipotriol seul (sans bétaméthasone) pendant 4 semaines. Ne pas appliquer sur les zones sensibles (visage, plis, organes génitaux) — préférer le tacrolimus topique ou un dermocorticoïde de classe faible.</w:t>
      </w:r>
    </w:p>
    <w:p>
      <w:pPr>
        <w:pStyle w:val="ListBullet"/>
      </w:pPr>
      <w:r>
        <w:t>Prévention de l'effet rebond à l'arrêt : ne pas arrêter brutalement après traitement prolongé. Décroissance progressive (espacement des applications sur 2 semaines) et association à un émollient sans urée ni acide salicylique. En cas de rebond, reprise d'un dermocorticoïde fort en courte cure (2 semaines) puis réintroduction progressive du calcipotriol.</w:t>
      </w:r>
    </w:p>
    <w:p>
      <w:pPr>
        <w:pStyle w:val="ListBullet"/>
      </w:pPr>
      <w:r>
        <w:t>Prévention des infections cutanées : le calcipotriol n'est pas immunosuppresseur et ne prédispose pas aux infections. Cependant, la bétaméthasone peut masquer les signes d'infection. Surveiller l'apparition de vésicules (herpès), pustules (impétigo), bordures érythémato-squameuses (dermatophyte) et suspendre le traitement en cas de suspicion.</w:t>
      </w:r>
    </w:p>
    <w:p>
      <w:pPr>
        <w:pStyle w:val="ListBullet"/>
      </w:pPr>
      <w:r>
        <w:t>Photoprotection : le calcipotriol n'est pas photosensibilisant, mais l'exposition solaire ou UVB peut augmenter l'efficacité du traitement (synergie UVB + analogue vitamine D). Cependant, l'exposition solaire prolongée expose au risque carcinogène à long terme : crème solaire SPF 50+ recommandée sur les zones non traitées.</w:t>
      </w:r>
    </w:p>
    <w:p>
      <w:pPr>
        <w:pStyle w:val="ListBullet"/>
      </w:pPr>
      <w:r>
        <w:t>Gestion de la tolérance locale par choix galénique : pommade pour peau sèche et plaques épaisses (efficacité maximale, mais effet gras moins cosmétique), crème pour peau fine et plis (meilleure tolérance locale, mais efficacité moindre), gel pour cuir chevelu (absence d'effet gras sur cheveux), lotion pour cuir chevelu étendu.</w:t>
      </w:r>
    </w:p>
    <w:p>
      <w:r/>
      <w:r>
        <w:rPr>
          <w:b/>
        </w:rPr>
        <w:t>Interactions Médicamenteuses :</w:t>
      </w:r>
      <w:r/>
    </w:p>
    <w:p>
      <w:pPr>
        <w:pStyle w:val="ListBullet"/>
      </w:pPr>
      <w:r>
        <w:t>Associations contre-indiquées ou déconseillées : diurétiques thiazidiques (hydrochlorothiazide, indapamide) augmentent le risque d'hypercalcémie additive — surveiller calcémie en cas d'association indispensable. Calcium-plvitamine D oral à fortes doses : risque d'hypercalcémie additive.</w:t>
      </w:r>
    </w:p>
    <w:p>
      <w:pPr>
        <w:pStyle w:val="ListBullet"/>
      </w:pPr>
      <w:r>
        <w:t>Associations nécessitant des précautions : autres topiques sur la même zone (dermocorticoïdes, kératolytiques, émollients) — espacer les applications d'au moins 15 minutes pour éviter une modification d'absorption. Luminothérapie UVB ou PUVA : possible synergie thérapeutique (le calcipotriol potentialise l'effet des UVB), mais réduction des doses d'UVB nécessaires pour éviter les brûlures. Le calcipotriol doit être appliqué au moins 2 heures avant la séance d'UVB et lavé avant exposition.</w:t>
      </w:r>
    </w:p>
    <w:p>
      <w:pPr>
        <w:pStyle w:val="ListBullet"/>
      </w:pPr>
      <w:r>
        <w:t>Associations à éviter : acide salicylique à forte concentration (&gt; 10 %) sur la même zone (inactivation du calcipotriol par pH acide), topiques alcoolisés (irritation additive).</w:t>
      </w:r>
    </w:p>
    <w:p>
      <w:pPr>
        <w:pStyle w:val="ListBullet"/>
      </w:pPr>
      <w:r>
        <w:t>Interactions systémiques : négligeables en raison du très faible passage systémique du calcipotriol (&lt; 1 %). Cependant, en cas d'application étendue ou prolongée, surveiller les interactions de la bétaméthasone (inducteurs/inhibiteurs du CYP3A4 — rifampicine, phénobarbital, érythromycine, ketoconazole — pouvant modifier la clairance systémique de la bétaméthasone absorbée).</w:t>
      </w:r>
    </w:p>
    <w:p>
      <w:pPr>
        <w:pStyle w:val="ListBullet"/>
      </w:pPr>
      <w:r>
        <w:t>Vaccins : aucune restriction vaccinale pour le calcipotriol seul. Pour la combinaison fixe avec bétaméthasone, en cas d'application étendue, éviter les vaccins vivants atténués (BCG, ROR, varicelle, fièvre jaune) — privilégier les vaccins inactivés.</w:t>
      </w:r>
    </w:p>
    <w:p>
      <w:r/>
      <w:r>
        <w:rPr>
          <w:b/>
        </w:rPr>
        <w:t>Grossesse et Allaitement :</w:t>
      </w:r>
      <w:r/>
    </w:p>
    <w:p>
      <w:pPr>
        <w:pStyle w:val="ListBullet"/>
      </w:pPr>
      <w:r>
        <w:t>Grossesse : les données du CRAT classent le calcipotriol en « utilisable si nécessaire » pendant la grossesse. Les études animales n'ont pas montré d'effet tératogène, mais les données humaines sont limitées. Le passage systémique est très faible (&lt; 1 %). Recommandations : éviter au premier trimestre (par mesure de précaution), privilégier les dermocorticoïdes faibles à modérés en première intention, réserver le calcipotriol aux psoriasis modérés à sévères non contrôlés par les dermocorticoïdes. Posologie réduite (max 50 g/sem, surface limitée à &lt; 10 % surface corporelle). Surveillance de la calcémie en fin de grossesse. Pour la combinaison calcipotriol + bétaméthasone : déconseillée au premier trimestre, à utiliser avec prudence aux 2e et 3e trimestres sur surfaces limitées et sur de courtes durées (≤ 2 semaines).</w:t>
      </w:r>
    </w:p>
    <w:p>
      <w:pPr>
        <w:pStyle w:val="ListBullet"/>
      </w:pPr>
      <w:r>
        <w:t>Allaitement : le calcipotriol seul est compatible avec l'allaitement (passage systémique négligeable). Ne pas appliquer sur les seins avant la tétée (en cas d'application, nettoyer soigneusement). Pour la combinaison fixe avec bétaméthasone : éviter l'application sur les seins. Utilisable sur les autres zones du corps, en respectant les contre-indications habituelles (visage, plis, organes génitaux).</w:t>
      </w:r>
    </w:p>
    <w:p>
      <w:pPr>
        <w:pStyle w:val="ListBullet"/>
      </w:pPr>
      <w:r>
        <w:t>Femme en âge de procréer : aucune contraception obligatoire. Déclarer la grossesse précocement au dermatologue pour réévaluation. Le psoriasis peut s'aggraver ou, au contraire, s'améliorer pendant la grossesse (effets hormonaux variés) — surveillance accrue.</w:t>
      </w:r>
    </w:p>
    <w:p>
      <w:pPr>
        <w:pStyle w:val="ListBullet"/>
      </w:pPr>
      <w:r>
        <w:t>Homme traité : pas de retentissement sur la fertilité ou la spermatogenèse. Aucune précaution particulière.</w:t>
      </w:r>
    </w:p>
    <w:p>
      <w:pPr>
        <w:pStyle w:val="ListBullet"/>
      </w:pPr>
      <w:r>
        <w:t>Enfant : le calcipotriol seul est autorisé chez l'enfant de plus de 6 ans, à posologie réduite (max 50 g/sem pour l'enfant de 6-12 ans, 75 g/sem pour l'enfant de 12-18 ans). La combinaison fixe calcipotriol + bétaméthasone est contre-indiquée chez l'enfant de moins de 18 ans.</w:t>
      </w:r>
    </w:p>
    <w:p>
      <w:r/>
      <w:r>
        <w:rPr>
          <w:b/>
        </w:rPr>
        <w:t>Posologie et Mode d'administration (Standard) :</w:t>
      </w:r>
      <w:r/>
    </w:p>
    <w:p>
      <w:pPr>
        <w:pStyle w:val="ListBullet"/>
      </w:pPr>
      <w:r>
        <w:t>Calcipotriol seul (adulte) : application 2 fois par jour (matin et soir) en couche fine sur les plaques psoriasiques. Dose maximale hebdomadaire : 100 g de pommade (équivalent à 5 mg de calcipotriol par semaine). Durée d'un cycle d'attaque : 4 à 8 semaines (efficacité maximale à 6-8 semaines). Entretien : 1 application 2 à 3 fois par semaine sur les zones à risque de récidive.</w:t>
      </w:r>
    </w:p>
    <w:p>
      <w:pPr>
        <w:pStyle w:val="ListBullet"/>
      </w:pPr>
      <w:r>
        <w:t>Calcipotriol seul (enfant 6-12 ans) : application 2 fois par jour, dose maximale hebdomadaire 50 g. (enfant 12-18 ans) : 75 g/sem. Ne pas dépasser ces doses en raison du risque d'hypercalcémie.</w:t>
      </w:r>
    </w:p>
    <w:p>
      <w:pPr>
        <w:pStyle w:val="ListBullet"/>
      </w:pPr>
      <w:r>
        <w:t>Combinaison fixe calcipotriol + bétaméthasone (Daivobet® et génériques) : application 1 fois par jour en couche fine sur les plaques psoriasiques. Dose maximale hebdomadaire : 100 g. Durée d'un cycle d'attaque : 4 semaines (max 8 semaines en cas de besoin). Entretien : pas d'usage d'entretien continu pour la combinaison fixe (risque d'atrophie cutanée). En cas de besoin d'entretien, basculer vers le calcipotriol seul.</w:t>
      </w:r>
    </w:p>
    <w:p>
      <w:pPr>
        <w:pStyle w:val="ListBullet"/>
      </w:pPr>
      <w:r>
        <w:t>Daivobet gel (cuir chevelu) : application 1 fois par jour sur les plaques du cuir chevelu, en massant doucement. Laisser sécher avant de se coiffer. Dose maximale hebdomadaire : 100 g. Durée d'un cycle : 4 semaines (max 8 semaines).</w:t>
      </w:r>
    </w:p>
    <w:p>
      <w:pPr>
        <w:pStyle w:val="ListBullet"/>
      </w:pPr>
      <w:r>
        <w:t>Voie d'application : strictement cutanée. Ne pas appliquer sur muqueuse (buccale, génitale, oculaire, nasale) ou sur visage (sauf avis spécialisé — en cas d'application accidentelle, rincer abondamment à l'eau).</w:t>
      </w:r>
    </w:p>
    <w:p>
      <w:pPr>
        <w:pStyle w:val="ListBullet"/>
      </w:pPr>
      <w:r>
        <w:t>Quantité par application : règle des FTU : 1 FTU = 0,5 g de pommade couvre 2 palmes de main (1 % surface corporelle). Pour un bras entier : 3 FTU. Pour une jambe entière : 6 FTU. Pour le tronc entier : 14 FTU. Pour la tête et le cou : 2,5 FTU. Ne pas dépasser 30 g par application pour un adulte.</w:t>
      </w:r>
    </w:p>
    <w:p>
      <w:pPr>
        <w:pStyle w:val="ListBullet"/>
      </w:pPr>
      <w:r>
        <w:t>Modalités pratiques : appliquer sur peau sèche et propre, en couche fine, en massant doucement jusqu'à pénétration complète. Éviter l'occlusion (pas de pansement occlusif). Se laver les mains après application (sauf si c'est le traitement des mains). Ne pas appliquer immédiatement après la douche (risque d'irritation accrue).</w:t>
      </w:r>
    </w:p>
    <w:p>
      <w:pPr>
        <w:pStyle w:val="ListBullet"/>
      </w:pPr>
      <w:r>
        <w:t>Photoprotection : non obligatoire pour le calcipotriol (qui n'est pas photosensibilisant), mais recommandée en cas d'usage prolongé ou d'association avec luminothérapie.</w:t>
      </w:r>
    </w:p>
    <w:p>
      <w:pPr>
        <w:pStyle w:val="ListBullet"/>
      </w:pPr>
      <w:r>
        <w:t>Arrêt du traitement : la décroissance n'est pas nécessaire en cas de traitement court (≤ 4 semaines). En cas de traitement prolongé (&gt; 4 semaines pour la combinaison fixe), décroissance progressive (espacement des applications sur 1 à 2 semaines) pour éviter un effet rebond.</w:t>
      </w:r>
    </w:p>
    <w:p>
      <w:r/>
      <w:r>
        <w:rPr>
          <w:b/>
        </w:rPr>
        <w:t>Surveillance Biologique et Suivi Clinique :</w:t>
      </w:r>
      <w:r/>
    </w:p>
    <w:p>
      <w:pPr>
        <w:pStyle w:val="ListBullet"/>
      </w:pPr>
      <w:r>
        <w:t>Surveillance clinique : évaluation de l'efficacité à 4 semaines (Score PASI — Psoriasis Area Severity Index — ou BSA — Body Surface Area), de la tolérance locale (irritation, érythème, prurit), de l'observance et de l'usage correct.</w:t>
      </w:r>
    </w:p>
    <w:p>
      <w:pPr>
        <w:pStyle w:val="ListBullet"/>
      </w:pPr>
      <w:r>
        <w:t>Surveillance cutanée : recherche de signes d'atrophie (en cas de combinaison fixe prolongée), de télangiectasies, de folliculite, de dermite périorale, d'aggravation paradoxale du psoriasis.</w:t>
      </w:r>
    </w:p>
    <w:p>
      <w:pPr>
        <w:pStyle w:val="ListBullet"/>
      </w:pPr>
      <w:r>
        <w:t>Surveillance biologique (en cas d'application étendue &gt; 30 % surface corporelle, ou d'usage prolongé &gt; 6 semaines) : calcémie, calciurie des 24 heures, créatininémie, à l'initiation puis toutes les 4 à 6 semaines. L'hypercalcémie (calcémie corrigée &gt; 2,6 mmol/L) impose l'arrêt immédiat du traitement.</w:t>
      </w:r>
    </w:p>
    <w:p>
      <w:pPr>
        <w:pStyle w:val="ListBullet"/>
      </w:pPr>
      <w:r>
        <w:t>Surveillance à long terme : examen dermatologique annuel à la recherche de lésions cutanées suspectes (carcinomes, mélanome), en particulier en cas d'antécédents de luminothérapie ou d'immunosuppression associée.</w:t>
      </w:r>
    </w:p>
    <w:p>
      <w:pPr>
        <w:pStyle w:val="ListBullet"/>
      </w:pPr>
      <w:r>
        <w:t>Surveillance de la fonction barrière : évaluation de la sécheresse cutanée et association systématique d'un émollient sans urée ni acide salicylique (risque d'inactivation du calcipotriol).</w:t>
      </w:r>
    </w:p>
    <w:p>
      <w:pPr>
        <w:pStyle w:val="ListBullet"/>
      </w:pPr>
      <w:r>
        <w:t>Surveillance psychologique : le psoriasis a un retentissement psychosocial majeur. Évaluation de l'impact sur la qualité de vie (DLQI — Dermatology Life Quality Index), orientation vers un psychologue ou une association de patients si nécessaire.</w:t>
      </w:r>
    </w:p>
    <w:p>
      <w:r/>
      <w:r>
        <w:rPr>
          <w:b/>
        </w:rPr>
        <w:t>Arbitrage et Bénéfices des Formes Galéniques :</w:t>
      </w:r>
      <w:r/>
    </w:p>
    <w:p>
      <w:pPr>
        <w:pStyle w:val="ListBullet"/>
      </w:pPr>
      <w:r>
        <w:t>Calcipotriol pommade (Calcipotriol Novagenerics, Diavorem, Psoranex) : forme de référence pour le psoriasis en plaques sur peau sèche et plaques épaisses. Avantages : efficacité maximale, occlusivité favorisant la pénétration, hydratation de la peau. Inconvénients : effet gras, maculation des vêtements, moins cosmétique pour le visage et les zones visibles.</w:t>
      </w:r>
    </w:p>
    <w:p>
      <w:pPr>
        <w:pStyle w:val="ListBullet"/>
      </w:pPr>
      <w:r>
        <w:t>Calcipotriol crème (Daivonex crème, retirée) : historiquement disponible pour les peaux fines et les plis. Avantages : meilleure cosméticité, application sur visage possible (avec prudence). Inconvénients : efficacité moindre que la pommade, moins d'hydratation.</w:t>
      </w:r>
    </w:p>
    <w:p>
      <w:pPr>
        <w:pStyle w:val="ListBullet"/>
      </w:pPr>
      <w:r>
        <w:t>Calcipotriol lotion (Daivonex lotion, non renouvelable) : historiquement indiquée pour le psoriasis du cuir chevelu. Avantages : facilité d'application sur le cuir chevelu, absorption rapide. Inconvénients : efficacité moindre, irritation fréquente. Aujourd'hui supplantée par le Daivobet gel (combinaison fixe).</w:t>
      </w:r>
    </w:p>
    <w:p>
      <w:pPr>
        <w:pStyle w:val="ListBullet"/>
      </w:pPr>
      <w:r>
        <w:t>Daivobet pommade (combinaison fixe) : forme de référence pour le psoriasis en plaques modéré de l'adulte. Avantages : synergie d'action (anti-inflammatoire + anti-prolifératif), efficacité rapide (visible dès 1 semaine), tolérance locale supérieure au calcipotriol seul (l'effet anti-inflammatoire de la bétaméthasone masque l'irritation). Inconvénients : risque d'atrophie cutanée en cas d'usage prolongé (&gt; 4 semaines), liste I, contre-indiquée au visage.</w:t>
      </w:r>
    </w:p>
    <w:p>
      <w:pPr>
        <w:pStyle w:val="ListBullet"/>
      </w:pPr>
      <w:r>
        <w:t>Daivobet gel (Abdi Ibrahim Remede Pharma) : indiqué pour le psoriasis du cuir chevelu. Avantages : absence d'effet gras sur les cheveux, absorption rapide, facilité d'application. Inconvénients : irritation possible, contre-indiqué au visage et aux muqueuses.</w:t>
      </w:r>
    </w:p>
    <w:p>
      <w:pPr>
        <w:pStyle w:val="ListBullet"/>
      </w:pPr>
      <w:r>
        <w:t>Comparaison avec les dermocorticoïdes forts seuls (bétaméthasone dipropionate, clobétasol propionate) : les dermocorticoïdes ont une action anti-inflammatoire rapide mais ne traitent pas la dyskératinisation ; risque d'atrophie cutanée en cas d'usage prolongé. La combinaison calcipotriol + bétaméthasone est supérieure en termes de taux de rémission à 4 semaines et de maintenance à 6 mois (moins de récidives).</w:t>
      </w:r>
    </w:p>
    <w:p>
      <w:pPr>
        <w:pStyle w:val="ListBullet"/>
      </w:pPr>
      <w:r>
        <w:t>Comparaison avec le tacrolimus topique : le tacrolimus est indiqué en seconde intention sur les zones sensibles (visage, plis, organes génitaux), où le calcipotriol est contre-indiqué ou mal toléré.</w:t>
      </w:r>
    </w:p>
    <w:p>
      <w:pPr>
        <w:pStyle w:val="ListBullet"/>
      </w:pPr>
      <w:r>
        <w:t>Comparaison avec les biothérapies (ustekinumab, adalimumab, sécukinumab, ixékizumab, brodalumab, guselkumab, risankizumab) : les biothérapies sont indiquées en cas de psoriasis modéré à sévère non contrôlé par les topiques (PASI &gt; 10, BSA &gt; 10 %, DLQI &gt; 10). Elles ont une efficacité supérieure mais un coût très élevé et des effets indésirables systémiques (infections, réactions allergiques). Le calcipotriol reste le traitement de référence des psoriasis légers à modérés localisés.</w:t>
      </w:r>
    </w:p>
    <w:p>
      <w:pPr>
        <w:pStyle w:val="ListBullet"/>
      </w:pPr>
      <w:r>
        <w:t>Stratégie thérapeutique globale : (i) psoriasis léger (&lt; 5 % BSA) : calcipotriol seul ou combinaison calcipotriol + bétaméthasone ; (ii) psoriasis modéré (5-10 % BSA) : combinaison calcipotriol + bétaméthasone ± UVB-thérapie ; (iii) psoriasis sévère (&gt; 10 % BSA) : orientation vers dermatologue spécialisé pour biothérapie ou système.</w:t>
      </w:r>
    </w:p>
    <w:p>
      <w:r/>
      <w:r>
        <w:rPr>
          <w:b/>
        </w:rPr>
        <w:t>Instructions et Conseils au Patient :</w:t>
      </w:r>
      <w:r/>
    </w:p>
    <w:p>
      <w:pPr>
        <w:pStyle w:val="ListBullet"/>
      </w:pPr>
      <w:r>
        <w:t>Communication : « Le calcipotriol est un dérivé de la vitamine D qui agit en normalisant le renouvellement de la peau au niveau des plaques de psoriasis. Il ne contient pas de cortisone (sauf dans la forme Daivobet qui associe une cortisone forte pour accélérer l'effet). Appliquez-le en couche fine, deux fois par jour (calcipotriol seul) ou une fois par jour (Daivobet), sur les plaques seulement. Ne dépassez pas 100 g par semaine (environ deux tubes de 60 g) — un surdosage peut provoquer une hypercalcémie. Évitez l'application sur le visage, les plis, les organes génétaux, et les muqueuses. Lavez-vous les mains après application. Si vous êtes enceinte ou allaitez, parlez-en à votre médecin. En cas de traitement prolongé par Daivobet (plus de 4 semaines), une surveillance cutanée est nécessaire pour éviter l'amincissement de la peau. Le psoriasis est une maladie chronique : ce traitement contrôle les plaques mais ne guérit pas définitivement la maladie. »</w:t>
      </w:r>
    </w:p>
    <w:p>
      <w:pPr>
        <w:pStyle w:val="ListBullet"/>
      </w:pPr>
      <w:r>
        <w:t>Observance : appliquer à heure fixe, tenir un calendrier d'application, ne pas dépasser la dose maximale hebdomadaire, ne pas interrompre brutalement après traitement prolongé. En cas d'oubli d'une application, ne pas doubler la dose suivante.</w:t>
      </w:r>
    </w:p>
    <w:p>
      <w:pPr>
        <w:pStyle w:val="ListBullet"/>
      </w:pPr>
      <w:r>
        <w:t>Alerte : consulter immédiatement en cas de polyurie-polydipsie (signe d'hypercalcémie), de fièvre avec aggravation des plaques (suspicion d'infection ou de psoriasis pustuleux), d'apparition de plaques sur le visage ou les plis (orientation dermatologue), d'absence d'amélioration après 4 semaines de traitement bien conduit.</w:t>
      </w:r>
    </w:p>
    <w:p>
      <w:pPr>
        <w:pStyle w:val="ListBullet"/>
      </w:pPr>
      <w:r>
        <w:t>Photoprotection : non obligatoire mais recommandée sur les zones non traitées. Crème solaire SPF 50+ en cas d'exposition solaire prolongée.</w:t>
      </w:r>
    </w:p>
    <w:p>
      <w:pPr>
        <w:pStyle w:val="ListBullet"/>
      </w:pPr>
      <w:r>
        <w:t>Hygiène : douches tièdes courtes, savons surgras sans parfum, séchage par tamponnement, émollient simple (sans urée ni acide salicylique) sur tout le corps après la douche.</w:t>
      </w:r>
    </w:p>
    <w:p>
      <w:pPr>
        <w:pStyle w:val="ListBullet"/>
      </w:pPr>
      <w:r>
        <w:t>Suivi : consultation dermatologique à 4 semaines pour évaluation de l'efficacité (PASI), de la tolérance et de la stratégie d'entretien. En cas de psoriasis sévère (PASI &gt; 10), discussion d'un traitement systémique.</w:t>
      </w:r>
    </w:p>
    <w:p>
      <w:r/>
      <w:r>
        <w:rPr>
          <w:b/>
        </w:rPr>
        <w:t>Notes, Règles d'Or &amp; Pièges au Comptoir :</w:t>
      </w:r>
      <w:r/>
    </w:p>
    <w:p>
      <w:pPr>
        <w:pStyle w:val="ListBullet"/>
      </w:pPr>
      <w:r>
        <w:t>Piège : le calcipotriol seul (Calcipotriol Novagenerics, Diavorem, Psoranex) est en Liste II, mais la combinaison calcipotriol + bétaméthasone (Daivobet, Daivorem Plus, Psorasone, Psoriabet) est en Liste I en raison de la présence de bétaméthasone. Vérifier systématiquement l'ordonnance pour la combinaison.</w:t>
      </w:r>
    </w:p>
    <w:p>
      <w:pPr>
        <w:pStyle w:val="ListBullet"/>
      </w:pPr>
      <w:r>
        <w:t>Règle : la dose maximale hebdomadaire de calcipotriol (seul ou en combinaison) est de 100 g — au-delà, risque d'hypercalcémie. Compter les tubes dispensés et informer le patient.</w:t>
      </w:r>
    </w:p>
    <w:p>
      <w:pPr>
        <w:pStyle w:val="ListBullet"/>
      </w:pPr>
      <w:r>
        <w:t>Piège : ne pas appliquer le calcipotriol (seul ou en combinaison) sur le visage, les plis ou les organes génitaux — risque d'irritation sévère et d'atrophie cutanée (pour la combinaison).</w:t>
      </w:r>
    </w:p>
    <w:p>
      <w:pPr>
        <w:pStyle w:val="ListBullet"/>
      </w:pPr>
      <w:r>
        <w:t>Règle : pour le psoriasis du cuir chevelu, privilégier le Daivobet gel (Abdi Ibrahim Remede Pharma) — la pommade est trop grasse pour les cheveux.</w:t>
      </w:r>
    </w:p>
    <w:p>
      <w:pPr>
        <w:pStyle w:val="ListBullet"/>
      </w:pPr>
      <w:r>
        <w:t>Piège : le Daivonex princeps (crème, pommade, lotion LEO) est RETIRÉ ou NON RENOUVELABLE — ne pas le dispenser, proposer les génériques disponibles (Calcipotriol Novagenerics, Diavorem, Psoranex pour la monothérapie ; Daivobet, Daivorem Plus, Psorasone, Psoriabet pour la combinaison).</w:t>
      </w:r>
    </w:p>
    <w:p>
      <w:pPr>
        <w:pStyle w:val="ListBullet"/>
      </w:pPr>
      <w:r>
        <w:t>Règle : la combinaison fixe calcipotriol + bétaméthasone ne doit pas être utilisée au-delà de 4 semaines consécutives sur la même zone (risque d'atrophie cutanée due à la bétaméthasone). Décroissance progressive et bascule vers le calcipotriol seul pour l'entretien.</w:t>
      </w:r>
    </w:p>
    <w:p>
      <w:pPr>
        <w:pStyle w:val="ListBullet"/>
      </w:pPr>
      <w:r>
        <w:t>Piège : ne pas associer à un kératolytique fort (acide salicylique &gt; 10 %) sur la même zone — inactivation du calcipotriol par pH acide.</w:t>
      </w:r>
    </w:p>
    <w:p>
      <w:pPr>
        <w:pStyle w:val="ListBullet"/>
      </w:pPr>
      <w:r>
        <w:t>Règle : en cas de luminothérapie UVB associée, appliquer le calcipotriol au moins 2 heures avant la séance d'UVB et le rincer avant exposition (risque de brûlure).</w:t>
      </w:r>
    </w:p>
    <w:p>
      <w:pPr>
        <w:pStyle w:val="ListBullet"/>
      </w:pPr>
      <w:r>
        <w:t>Piège : le psoriasis érythrodermique ou pustuleux est une contre-indication absolue — risque d'aggravation sévère. Orienter vers le dermatologue pour traitement systémique.</w:t>
      </w:r>
    </w:p>
    <w:p>
      <w:pPr>
        <w:pStyle w:val="ListBullet"/>
      </w:pPr>
      <w:r>
        <w:t>Règle : chez l'enfant de moins de 6 ans, le calcipotriol est contre-indiqué — utiliser un dermocorticoïde faible à modéré.</w:t>
      </w:r>
    </w:p>
    <w:p>
      <w:pPr>
        <w:pStyle w:val="ListBullet"/>
      </w:pPr>
      <w:r>
        <w:t>Piège : les diurétiques thiazidiques augmentent le risque d'hypercalcémie additive — surveiller la calcémie en cas d'association indispensable.</w:t>
      </w:r>
    </w:p>
    <w:p>
      <w:pPr>
        <w:pStyle w:val="ListBullet"/>
      </w:pPr>
      <w:r>
        <w:t>Règle : en cas de psoriasis unguéal (ongles), application du calcipotriol sur le pli de l'ongle avec massage — efficacité partielle, mais alternative simple avant de recourir aux traitements systémiques.</w:t>
      </w:r>
    </w:p>
    <w:p>
      <w:pPr>
        <w:pStyle w:val="ListBullet"/>
      </w:pPr>
      <w:r>
        <w:t>Piège : ne jamais appliquer le calcipotriol sur une peau infectée (herpès, impétigo, dermatophyte) — traiter l'infection d'abord.</w:t>
      </w:r>
    </w:p>
    <w:p>
      <w:pPr>
        <w:pStyle w:val="Heading3"/>
      </w:pPr>
      <w:r>
        <w:t>123.3 DCI : Acide salicylique (topique)</w:t>
      </w:r>
    </w:p>
    <w:p>
      <w:r/>
      <w:r>
        <w:rPr>
          <w:b/>
        </w:rPr>
        <w:t>Liste des Catégories :</w:t>
      </w:r>
      <w:r>
        <w:t xml:space="preserve"> Dermatologie ; Kératolytique topique ; Acide salicylique (mono- ou polythérapie) ; Traitement des verrues, hyperkératoses, ichtyose, acné, dermite séborrhéique ; Hors liste (souvent dispensé sans ordonnance pour les formes à faible concentration).</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CORIFUGE</w:t>
            </w:r>
          </w:p>
        </w:tc>
        <w:tc>
          <w:tcPr>
            <w:tcW w:type="dxa" w:w="1559"/>
          </w:tcPr>
          <w:p>
            <w:r>
              <w:rPr>
                <w:sz w:val="20"/>
              </w:rPr>
              <w:t>LABORATOIRE ALGERIEN DE DEVELOPPEMENT PHARMACEUTIQUE (LAD)</w:t>
            </w:r>
          </w:p>
        </w:tc>
        <w:tc>
          <w:tcPr>
            <w:tcW w:type="dxa" w:w="1559"/>
          </w:tcPr>
          <w:p>
            <w:r>
              <w:rPr>
                <w:sz w:val="20"/>
              </w:rPr>
              <w:t>Solution 0,1 (10 %)</w:t>
            </w:r>
          </w:p>
        </w:tc>
        <w:tc>
          <w:tcPr>
            <w:tcW w:type="dxa" w:w="1559"/>
          </w:tcPr>
          <w:p>
            <w:r>
              <w:rPr>
                <w:sz w:val="20"/>
              </w:rPr>
              <w:t>Fl/4 mL</w:t>
            </w:r>
          </w:p>
        </w:tc>
        <w:tc>
          <w:tcPr>
            <w:tcW w:type="dxa" w:w="1559"/>
          </w:tcPr>
          <w:p>
            <w:r>
              <w:rPr>
                <w:sz w:val="20"/>
              </w:rPr>
              <w:t>Hors liste</w:t>
            </w:r>
          </w:p>
        </w:tc>
        <w:tc>
          <w:tcPr>
            <w:tcW w:type="dxa" w:w="1559"/>
          </w:tcPr>
          <w:p>
            <w:r>
              <w:rPr>
                <w:sz w:val="20"/>
              </w:rPr>
              <w:t>Non Renouvelable</w:t>
            </w:r>
          </w:p>
        </w:tc>
      </w:tr>
      <w:tr>
        <w:tc>
          <w:tcPr>
            <w:tcW w:type="dxa" w:w="1559"/>
          </w:tcPr>
          <w:p>
            <w:r>
              <w:rPr>
                <w:sz w:val="20"/>
              </w:rPr>
              <w:t>DUOFILM</w:t>
            </w:r>
          </w:p>
        </w:tc>
        <w:tc>
          <w:tcPr>
            <w:tcW w:type="dxa" w:w="1559"/>
          </w:tcPr>
          <w:p>
            <w:r>
              <w:rPr>
                <w:sz w:val="20"/>
              </w:rPr>
              <w:t>STIEFEL LIMITED</w:t>
            </w:r>
          </w:p>
        </w:tc>
        <w:tc>
          <w:tcPr>
            <w:tcW w:type="dxa" w:w="1559"/>
          </w:tcPr>
          <w:p>
            <w:r>
              <w:rPr>
                <w:sz w:val="20"/>
              </w:rPr>
              <w:t>Solution acide salicylique + acide lactique 16,7 g/16,7 g/100 g</w:t>
            </w:r>
          </w:p>
        </w:tc>
        <w:tc>
          <w:tcPr>
            <w:tcW w:type="dxa" w:w="1559"/>
          </w:tcPr>
          <w:p>
            <w:r>
              <w:rPr>
                <w:sz w:val="20"/>
              </w:rPr>
              <w:t>Fl/15 mL</w:t>
            </w:r>
          </w:p>
        </w:tc>
        <w:tc>
          <w:tcPr>
            <w:tcW w:type="dxa" w:w="1559"/>
          </w:tcPr>
          <w:p>
            <w:r>
              <w:rPr>
                <w:sz w:val="20"/>
              </w:rPr>
              <w:t>Hors liste</w:t>
            </w:r>
          </w:p>
        </w:tc>
        <w:tc>
          <w:tcPr>
            <w:tcW w:type="dxa" w:w="1559"/>
          </w:tcPr>
          <w:p>
            <w:r>
              <w:rPr>
                <w:sz w:val="20"/>
              </w:rPr>
              <w:t>Non Renouvelable</w:t>
            </w:r>
          </w:p>
        </w:tc>
      </w:tr>
    </w:tbl>
    <w:p/>
    <w:p>
      <w:r/>
      <w:r>
        <w:rPr>
          <w:b/>
        </w:rPr>
        <w:t>Note sur la disponibilité :</w:t>
      </w:r>
      <w:r>
        <w:t xml:space="preserve"> Le marché algérien de l'acide salicylique en monothérapie est en grande partie non couvert par la nomenclature officielle d'avril 2026 — les deux spécialités historiquement enregistrées (Corifuge® solution pour verrues, Duofilm® combinaison acide salicylique + acide lactique pour verrues) sont aujourd'hui marquées « non renouvelable », indiquant une rupture de disponibilité par les fabricants. Cependant, l'acide salicylique reste largement disponible en Algérie dans : (i) les associations avec le résorcinol (Synthol®, Septhol®, Stocalm®) pour application cutanée, (ii) de nombreuses spécialités dermo-cosmétiques (Crème Kerium DS La Roche-Posay, Kertyol Ducray, Cicaplast Baume B5 La Roche-Posay, Kéracnyl Ducray) contenant de l'acide salicylique à faible concentration (1 à 5 %), (iii) les préparations magistrales réalisées par les pharmacies d'officine selon les formules classiques (Bourget, Gomar) à 5 %, 10 %, 20 %, 30 % et 50 %. Le pharmacien d'officine algérien joue un rôle central dans la dispensation et la préparation de l'acide salicylique à des concentrations variées en fonction de l'indication.</w:t>
      </w:r>
    </w:p>
    <w:p>
      <w:r/>
      <w:r>
        <w:rPr>
          <w:b/>
        </w:rPr>
        <w:t>Sous-classe et Mécanisme d'action :</w:t>
      </w:r>
      <w:r/>
    </w:p>
    <w:p>
      <w:pPr>
        <w:pStyle w:val="ListBullet"/>
      </w:pPr>
      <w:r>
        <w:t>Sous-classe : Kératolytiques topiques (ATC D02AE — émollients et protecteurs ; ATC D11A — autres préparations dermatologiques). L'acide salicylique (acide 2-hydroxybenzoïque) est le prototype de la classe des kératolytiques. Découvert en 1828 par Johann Büchner et synthétisé en 1852 par Hermann Kolbe, il est utilisé en dermatologie depuis la fin du XIXe siècle.</w:t>
      </w:r>
    </w:p>
    <w:p>
      <w:pPr>
        <w:pStyle w:val="ListBullet"/>
      </w:pPr>
      <w:r>
        <w:t>Structure chimique : acide 2-hydroxybenzoïque, dérivé hydroxylé de l'acide benzoïque. Poids moléculaire 138,12 g/mol. Soluble dans l'alcool, l'éther, l'acétone ; très peu soluble dans l'eau froide (2 g/L à 20 °C), soluble dans l'eau chaude.</w:t>
      </w:r>
    </w:p>
    <w:p>
      <w:pPr>
        <w:pStyle w:val="ListBullet"/>
      </w:pPr>
      <w:r>
        <w:t>Mécanisme d'action kératolytique : l'acide salicylique pénètre dans le stratum corneum où il exerce trois actions complémentaires : (i) solubilisation des lipides intercornéocytaires (céramides, cholestérol, acides gras libres) qui assurent la cohésion de la couche cornée, ce qui réduit la cohésion intercornéocytaire ; (ii) rupture des desmosomes (en particulier la desmogléine-1) qui relient les cornéocytes entre eux, ce qui entraîne la desquamation de la couche cornée ; (iii) stimulation compensatoire de la prolifération basale et de la différenciation épidermique, ce qui normalise le turnover épidermique.</w:t>
      </w:r>
    </w:p>
    <w:p>
      <w:pPr>
        <w:pStyle w:val="ListBullet"/>
      </w:pPr>
      <w:r>
        <w:t>Concentration-dépendance de l'effet : à faible concentration (1-5 %), l'acide salicylique exerce un effet kératoplastique (stimulation de la différenciation, normalisation du turnover) — indiqué dans l'acné, la dermite séborrhéique légère, la xérose modérée. À moyenne concentration (5-15 %), il devient kératolytique modéré — indiqué dans le psoriasis en complément des dermocorticoïdes, la dermite séborrhéique modérée, l'ichtyose légère. À forte concentration (15-40 %), il devient kératolytique fort — indiqué dans les verrues, les cors, les hyperkératoses palmoplantaires, l'ichtyose sévère. À très forte concentration (40-60 %), il devient caustique — utilisé en peelings chimiques (peelings salicylés) par les dermatologues.</w:t>
      </w:r>
    </w:p>
    <w:p>
      <w:pPr>
        <w:pStyle w:val="ListBullet"/>
      </w:pPr>
      <w:r>
        <w:t>Mécanisme anti-inflammatoire : l'acide salicylique inhibe de manière non sélective la cyclooxygénase (COX-1 et COX-2) et la prostaglandine-synthétase, réduisant la synthèse des prostaglandines (PGE2, PGI2) et des thromboxanes. Cette action est similaire à celle de l'aspirine mais avec une puissance moindre (acide salicylique ≈ 1/10 de la puissance de l'aspirine). Elle explique l'effet antiprurigineux et anti-inflammatoire modéré aux concentrations cutanées atteintes.</w:t>
      </w:r>
    </w:p>
    <w:p>
      <w:pPr>
        <w:pStyle w:val="ListBullet"/>
      </w:pPr>
      <w:r>
        <w:t>Mécanisme antibactérien et antifongique : l'acide salicylique exerce une activité bactériostatique sur Staphylococcus aureus, Streptococcus pyogenes, Escherichia coli et une activité fongistatique sur Candida albicans, Trichophyton rubrum, Microsporum canis. Cette activité est liée à l'acidification du milieu (pH &lt; 4) et à la dénaturation des protéines microbiennes.</w:t>
      </w:r>
    </w:p>
    <w:p>
      <w:pPr>
        <w:pStyle w:val="ListBullet"/>
      </w:pPr>
      <w:r>
        <w:t>Mécanisme antiprurigineux : l'acide salicylique anesthésie les terminaisons nerveuses sensitives de l'épiderme (action similaire à un anesthésique local de surface), ce qui explique son effet antiprurigineux.</w:t>
      </w:r>
    </w:p>
    <w:p>
      <w:pPr>
        <w:pStyle w:val="ListBullet"/>
      </w:pPr>
      <w:r>
        <w:t>Pharmacocinétique : l'acide salicylique traverse la barrière cutanée par passive diffusion (coefficient de partage octanol/eau ≈ 2). L'absorption systémique dépend de la concentration, de la surface traitée, de l'intégrité de la barrière cutanée et de l'usage occlusif. Sur peau saine et sur surface limitée, l'absorption systémique est faible (5 à 10 % de la dose appliquée). Sur peau lésée, surface étendue (&gt; 20 % surface corporelle), ou usage occlusif, l'absorption systémique peut atteindre 30 à 50 %. Le métabolisme hépatique est identique à celui de l'aspirine : conjugaison avec la glycine → acide salicylurique (75 %), conjugaison avec l'acide glucuronique (15 %), hydroxylation en acide gentisique (5 %), élimination rénale inchangée (5 %). La demi-vie d'élimination dépend de la dose : 2-4 heures à faible dose, 15-30 heures à forte dose (saturation de la conjugaison hépatique).</w:t>
      </w:r>
    </w:p>
    <w:p>
      <w:pPr>
        <w:pStyle w:val="ListBullet"/>
      </w:pPr>
      <w:r>
        <w:t>Seuil de toxicité : la concentration plasmatique de salicylates est normalement &lt; 0,1 mmol/L. Le salicylisme (intoxication salicylique) apparaît au-dessus de 2,2 mmol/L (signes mineurs : acouphènes, hyperventilation, nausées) et devient sévère au-dessus de 4,5 mmol/L (signes majeurs : acidose métabolique, hyperthermie, troubles de la conscience, convulsions, défaillance multiviscérale).</w:t>
      </w:r>
    </w:p>
    <w:p>
      <w:r/>
      <w:r>
        <w:rPr>
          <w:b/>
        </w:rPr>
        <w:t>Profil Pharmacologique :</w:t>
      </w:r>
      <w:r/>
    </w:p>
    <w:p>
      <w:pPr>
        <w:pStyle w:val="ListBullet"/>
      </w:pPr>
      <w:r>
        <w:t>Indications AMM et usuelles : (i) verrues cutanées (vulgaires, planes, plantaires, génitales) en application locale à 15-40 % ; (ii) cors et durillons à 20-40 % ; (iii) hyperkératoses palmoplantaires à 10-20 % ; (iv) ichtyose vulgaire à 5-10 % ; (v) psoriasis en plaques en complément des dermocorticoïdes à 5-10 % ; (vi) acné légère à modérée à 1-3 % ; (vii) dermite séborrhéique à 2-5 % ; (viii) pityriasis versicolor à 3-5 % ; (ix) peelings chimiques (par dermatologue) à 20-30 %.</w:t>
      </w:r>
    </w:p>
    <w:p>
      <w:pPr>
        <w:pStyle w:val="ListBullet"/>
      </w:pPr>
      <w:r>
        <w:t>Contre-indications : hypersensibilité à l'acide salicylique, à l'aspirine ou aux AINS (asthme à l'aspirine, urticaire/angio-œdème à l'aspirine) ; application sur muqueuse (buccale, génitale, oculaire) ; application sur peau lésée (érosion, ulcère) ; application sur surface étendue (&gt; 20 % surface corporelle) ; enfant de moins de 3 ans (risque accru de salicylisme en raison de la surface corporelle relative importante) ; femme enceinte au 3e trimestre (risque de fermeture prématurée du canal artériel fœtal, identique à l'aspirine) ; insuffisance rénale sévère (clairance créatinine &lt; 30 mL/min) ; traitement oral par aspirine ou AINS à dose antalgique (surdosage cumulatif) ; varicelle ou zona en cours (risque de syndrome de Reye chez l'enfant).</w:t>
      </w:r>
    </w:p>
    <w:p>
      <w:pPr>
        <w:pStyle w:val="ListBullet"/>
      </w:pPr>
      <w:r>
        <w:t>Effets indésirables locaux : irritation cutanée (très fréquent, 10-30 % — érythème, sensation de brûlure, prurit, desquamation), dermite de contact (fréquent, 5-10 %), sécheresse cutanée, photosensibilité (rare). À forte concentration (&gt; 20 %), risque de brûlure chimique (nécrose épidermique) en cas d'application prolongée ou occluse.</w:t>
      </w:r>
    </w:p>
    <w:p>
      <w:pPr>
        <w:pStyle w:val="ListBullet"/>
      </w:pPr>
      <w:r>
        <w:t>Effets indésirables systémiques (salicylisme) : acouphènes (sifflements d'oreille), hyperventilation (alcalose respiratoire), nausées, vomissements, déshydratation, hyperthermie, troubles de la conscience (confusion, somnolence), convulsions, acidose métabolique, hypokaliémie, hypoglycémie. Le salicylisme sévère peut évoluer vers l'œdème pulmonaire, l'insuffisance rénale aiguë et le décès. Les facteurs de risque sont l'âge (enfant &lt; 3 ans, sujet âgé), l'insuffisance rénale, l'application étendue, l'usage occlusif, la concentration élevée, la durée prolongée.</w:t>
      </w:r>
    </w:p>
    <w:p>
      <w:pPr>
        <w:pStyle w:val="ListBullet"/>
      </w:pPr>
      <w:r>
        <w:t>Effets indésirables à long terme : en cas d'usage prolongé, risque de dermite chronique, de modification de la pigmentation (hypo- ou hyperpigmentation post-inflammatoire), de photosensibilité persistante.</w:t>
      </w:r>
    </w:p>
    <w:p>
      <w:r/>
      <w:r>
        <w:rPr>
          <w:b/>
        </w:rPr>
        <w:t>Prévention et Gestion des Effets Indésirables :</w:t>
      </w:r>
      <w:r/>
    </w:p>
    <w:p>
      <w:pPr>
        <w:pStyle w:val="ListBullet"/>
      </w:pPr>
      <w:r>
        <w:t>Prévention du salicylisme : (i) limiter la concentration à 10 % chez l'enfant et à 20 % chez l'adulte pour les applications domestiques ; (ii) limiter la surface traitée à moins de 20 % de la surface corporelle ; (iii) éviter l'occlusion (pas de pansement occlusif sauf avis médical) ; (iv) éviter l'application prolongée au-delà de 4 semaines consécutives ; (v) contre-indication absolue chez l'enfant de moins de 3 ans, la femme enceinte au 3e trimestre, l'insuffisant rénal sévère.</w:t>
      </w:r>
    </w:p>
    <w:p>
      <w:pPr>
        <w:pStyle w:val="ListBullet"/>
      </w:pPr>
      <w:r>
        <w:t>Prévention de l'irritation locale : application sur peau bien sèche, en couche fine, en évitant les zones sensibles (visage, plis, organes génitaux). Hydratation par émollient simple entre les applications. En cas d'irritation sévère : arrêt transitoire, application de dermocorticoïde faible pendant 5-7 jours, puis reprise à concentration moindre.</w:t>
      </w:r>
    </w:p>
    <w:p>
      <w:pPr>
        <w:pStyle w:val="ListBullet"/>
      </w:pPr>
      <w:r>
        <w:t>Prévention de la brûlure chimique (forte concentration) : application stricte sur la lésion uniquement (verrue, cor), protection de la peau saine périphérique par vaseline. Ne pas utiliser de pansement occlusif sans avis médical. Surveillance quotidienne. En cas de douleur intense ou de nécrose : arrêt immédiat, lavage abondant à l'eau, consultation dermatologique.</w:t>
      </w:r>
    </w:p>
    <w:p>
      <w:pPr>
        <w:pStyle w:val="ListBullet"/>
      </w:pPr>
      <w:r>
        <w:t>Surveillance en cas d'usage étendu ou prolongé : dosage de la salicylémie plasmatique (seuil toxique &gt; 2,2 mmol/L), surveillance clinique (acouphènes, hyperventilation), surveillance de la fonction rénale et de l'équilibre acido-basique en cas d'usage prolongé.</w:t>
      </w:r>
    </w:p>
    <w:p>
      <w:pPr>
        <w:pStyle w:val="ListBullet"/>
      </w:pPr>
      <w:r>
        <w:t>Gestion du salicylisme avéré : arrêt immédiat de l'acide salicylique topique, hospitalisation en service de toxicologie ou de réanimation, hydratation alcaline (bicarbonate de sodium IV pour alcaliniser les urines et favoriser l'élimination rénale), surveillance de la salicylémie, du pH sanguin et de la kaliémie. En cas de salicylémie &gt; 5 mmol/L ou de signes de gravité (coma, convulsions, œdème pulmonaire) : hémodialyse.</w:t>
      </w:r>
    </w:p>
    <w:p>
      <w:pPr>
        <w:pStyle w:val="ListBullet"/>
      </w:pPr>
      <w:r>
        <w:t>Prévention chez la femme enceinte : contre-indication absolue au 3e trimestre (risque de fermeture prématurée du canal artériel fœtal, identique à l'aspirine à dose antalgique). Aux 1er et 2e trimestres, à éviter par mesure de précaution (données limitées). Pendant l'allaitement, à éviter sur les seins et à utiliser avec prudence sur les autres zones (passage dans le lait maternel).</w:t>
      </w:r>
    </w:p>
    <w:p>
      <w:pPr>
        <w:pStyle w:val="ListBullet"/>
      </w:pPr>
      <w:r>
        <w:t>Prévention chez l'enfant : contre-indication chez le nourrisson de moins de 3 ans (risque de salicylisme en raison de la surface corporelle relative importante). Entre 3 et 12 ans, concentration maximale 10 %, surface limitée, durée maximale 4 semaines. Surveillance accrue en cas d'application sur brûlure étendue, varicelle ou dermatose étendue.</w:t>
      </w:r>
    </w:p>
    <w:p>
      <w:r/>
      <w:r>
        <w:rPr>
          <w:b/>
        </w:rPr>
        <w:t>Interactions Médicamenteuses :</w:t>
      </w:r>
      <w:r/>
    </w:p>
    <w:p>
      <w:pPr>
        <w:pStyle w:val="ListBullet"/>
      </w:pPr>
      <w:r>
        <w:t>Aspirine et AINS oraux (ibuprofène, naproxène, kétoprofène, diclofénac) : surdosage cumulatif en salicylates, augmentation du risque de salicylisme et de saignement (inhibition additive de l'agrégation plaquettaire). Surveillance clinique et biologique en cas d'association indispensable.</w:t>
      </w:r>
    </w:p>
    <w:p>
      <w:pPr>
        <w:pStyle w:val="ListBullet"/>
      </w:pPr>
      <w:r>
        <w:t>Anticoagulants oraux (warfarine, acénocoumarol, fluindione) : augmentation du risque hémorragique (inhibition additive de la fonction plaquettaire, déplacement de la liaison aux protéines plasmatiques). Surveillance de l'INR, ajustement posologique.</w:t>
      </w:r>
    </w:p>
    <w:p>
      <w:pPr>
        <w:pStyle w:val="ListBullet"/>
      </w:pPr>
      <w:r>
        <w:t>Méthotrexate (à doses rheumatologiques ou oncologiques) : diminution de la clairance rénale du méthotrexate par compétition tubulaire, augmentation de la toxicité hématologique et hépatique. Surveillance accrue.</w:t>
      </w:r>
    </w:p>
    <w:p>
      <w:pPr>
        <w:pStyle w:val="ListBullet"/>
      </w:pPr>
      <w:r>
        <w:t>Inhibiteurs de l'enzyme de conversion (IEC) et antagonistes des récepteurs de l'angiotensine II (ARA2) : diminution de l'effet antihypertenseur (inhibition des prostaglandines rénales). Surveillance de la pression artérielle.</w:t>
      </w:r>
    </w:p>
    <w:p>
      <w:pPr>
        <w:pStyle w:val="ListBullet"/>
      </w:pPr>
      <w:r>
        <w:t>Diurétiques (spironolactone, furosémide) : diminution de l'effet diurétique, augmentation du risque d'hyperkaliémie (compétition tubulaire). Surveillance ionogramme.</w:t>
      </w:r>
    </w:p>
    <w:p>
      <w:pPr>
        <w:pStyle w:val="ListBullet"/>
      </w:pPr>
      <w:r>
        <w:t>Uriquesuriques (probénécide, sulfinpyrazone) : inhibition de l'effet uricosurique. Surveillance de l'uricémie.</w:t>
      </w:r>
    </w:p>
    <w:p>
      <w:pPr>
        <w:pStyle w:val="ListBullet"/>
      </w:pPr>
      <w:r>
        <w:t>Topiques alcoolisés : augmentation de l'absorption et de l'irritation. Éviter l'association sur peau lésée.</w:t>
      </w:r>
    </w:p>
    <w:p>
      <w:pPr>
        <w:pStyle w:val="ListBullet"/>
      </w:pPr>
      <w:r>
        <w:t>Topiques acides (acide rétinoïque, peroxyde de benzoyle) : irritation additive. Éviter l'association sur la même zone, ou espacer les applications de plusieurs heures.</w:t>
      </w:r>
    </w:p>
    <w:p>
      <w:pPr>
        <w:pStyle w:val="ListBullet"/>
      </w:pPr>
      <w:r>
        <w:t>Vaccins vivants atténués : aucune restriction, mais surveillance accrue en cas d'usage étendu.</w:t>
      </w:r>
    </w:p>
    <w:p>
      <w:pPr>
        <w:pStyle w:val="ListBullet"/>
      </w:pPr>
      <w:r>
        <w:t>Lithium : augmentation de la toxicité du lithium (diminution de la clairance rénale). Surveillance de la lithiémie.</w:t>
      </w:r>
    </w:p>
    <w:p>
      <w:r/>
      <w:r>
        <w:rPr>
          <w:b/>
        </w:rPr>
        <w:t>Grossesse et Allaitement :</w:t>
      </w:r>
      <w:r/>
    </w:p>
    <w:p>
      <w:pPr>
        <w:pStyle w:val="ListBullet"/>
      </w:pPr>
      <w:r>
        <w:t>Grossesse : les données du CRAT classent l'acide salicylique topique en « à éviter par mesure de précaution » pendant la grossesse, en particulier au 3e trimestre. Au 1er et 2e trimestres, usage ponctuel sur surface limitée possible (verrue unique, cor localisé) — éviter l'application étendue ou prolongée. Au 3e trimestre : contre-indication absolue (risque de fermeture prématurée du canal artériel fœtal, d'hémorragie materno-fœtale, de retard d'accouchement). En cas d'usage accidentel au 3e trimestre, surveiller l'échocardiographie fœtale (recherche d'une constriction du canal artériel) et l'hémostase maternelle.</w:t>
      </w:r>
    </w:p>
    <w:p>
      <w:pPr>
        <w:pStyle w:val="ListBullet"/>
      </w:pPr>
      <w:r>
        <w:t>Allaitement : à éviter pendant l'allaitement en raison du passage de l'acide salicylique dans le lait maternel (rapport lait/plasma ≈ 0,03-0,3). Risque théorique de syndrome de Reye chez le nourrisson (association acide salicylique + infection virale). En cas d'usage indispensable (verrue isolée), éviter l'application sur les seins et les zones de contact avec le nourrisson, surveiller l'enfant pour tout signe d'irritabilité, somnolence, troubles digestifs.</w:t>
      </w:r>
    </w:p>
    <w:p>
      <w:pPr>
        <w:pStyle w:val="ListBullet"/>
      </w:pPr>
      <w:r>
        <w:t>Femme en âge de procréer : aucune contraception obligatoire. Test de grossesse recommandé avant initiation d'un traitement prolongé. Déclarer la grossesse précocement au dermatologue pour réévaluation.</w:t>
      </w:r>
    </w:p>
    <w:p>
      <w:pPr>
        <w:pStyle w:val="ListBullet"/>
      </w:pPr>
      <w:r>
        <w:t>Homme traité : pas de retentissement sur la fertilité ou la spermatogenèse. Aucune précaution particulière.</w:t>
      </w:r>
    </w:p>
    <w:p>
      <w:r/>
      <w:r>
        <w:rPr>
          <w:b/>
        </w:rPr>
        <w:t>Posologie et Mode d'administration (Standard) :</w:t>
      </w:r>
      <w:r/>
    </w:p>
    <w:p>
      <w:pPr>
        <w:pStyle w:val="ListBullet"/>
      </w:pPr>
      <w:r>
        <w:t>Verrues vulgaires et plantaires : application locale 1 à 2 fois par jour d'une solution à 15-40 % (Duofilm®, Corifuge® ou préparation magistrale). Protéger la peau saine périphérique par vaseline. Durée de traitement : 4 à 12 semaines (les verrues plantaires profondes peuvent nécessiter 3 à 6 mois). En l'absence d'amélioration après 12 semaines, orientation dermatologique (cryothérapie, électrocoagulation, laser CO2).</w:t>
      </w:r>
    </w:p>
    <w:p>
      <w:pPr>
        <w:pStyle w:val="ListBullet"/>
      </w:pPr>
      <w:r>
        <w:t>Verrues génitales (condylomes acuminés) : ne pas utiliser l'acide salicylique en automédication — risque d'irritation sévère des muqueuses. Orientation dermatologique pour traitement spécifique (podophyllotoxine, imiquimod, cryothérapie).</w:t>
      </w:r>
    </w:p>
    <w:p>
      <w:pPr>
        <w:pStyle w:val="ListBullet"/>
      </w:pPr>
      <w:r>
        <w:t>Cors et durillons : application locale 1 fois par jour d'une solution à 20-40 %. Durée de traitement : 2 à 4 semaines. Préparation magistrale type Bourget ou Gomar. Prévention de la récidive par soins podologiques.</w:t>
      </w:r>
    </w:p>
    <w:p>
      <w:pPr>
        <w:pStyle w:val="ListBullet"/>
      </w:pPr>
      <w:r>
        <w:t>Psoriasis en plaques (en complément des dermocorticoïdes) : application 2 fois par jour d'une crème ou pommade à 5-10 %. Durée de traitement : 2 à 4 semaines en cycle d'attaque. Ne pas dépasser 20 % de la surface corporelle.</w:t>
      </w:r>
    </w:p>
    <w:p>
      <w:pPr>
        <w:pStyle w:val="ListBullet"/>
      </w:pPr>
      <w:r>
        <w:t>Acné légère à modérée : application 1 fois par jour (le soir) d'un gel ou d'une crème à 1-3 %. Durée de traitement : 8 à 12 semaines. Association possible avec peroxyde de benzoyle le matin (en évitant l'application simultanée sur la même zone en raison de l'inactivation du peroxyde par l'acide).</w:t>
      </w:r>
    </w:p>
    <w:p>
      <w:pPr>
        <w:pStyle w:val="ListBullet"/>
      </w:pPr>
      <w:r>
        <w:t>Dermite séborrhéique du cuir chevelu : shampooing à 2-5 % 2 à 3 fois par semaine. Durée de traitement : 4 semaines en cycle d'attaque, puis 1 fois par semaine en entretien.</w:t>
      </w:r>
    </w:p>
    <w:p>
      <w:pPr>
        <w:pStyle w:val="ListBullet"/>
      </w:pPr>
      <w:r>
        <w:t>Ichtyose vulgaire : crème ou pommade à 5-10 % 1 à 2 fois par jour. Traitement prolongé (plusieurs mois).</w:t>
      </w:r>
    </w:p>
    <w:p>
      <w:pPr>
        <w:pStyle w:val="ListBullet"/>
      </w:pPr>
      <w:r>
        <w:t>Hyperkératoses palmoplantaires : crème à 10-20 % sous pansement occlusif nocturne (12 heures par nuit) pendant 1 à 2 semaines. Surveillance accrue en raison du risque d'absorption systémique.</w:t>
      </w:r>
    </w:p>
    <w:p>
      <w:pPr>
        <w:pStyle w:val="ListBullet"/>
      </w:pPr>
      <w:r>
        <w:t>Voie d'application : strictement cutanée. Ne pas appliquer sur muqueuse (buccale, génitale, oculaire, nasale). En cas d'application accidentelle sur muqueuse, rincer abondamment à l'eau.</w:t>
      </w:r>
    </w:p>
    <w:p>
      <w:pPr>
        <w:pStyle w:val="ListBullet"/>
      </w:pPr>
      <w:r>
        <w:t>Quantité par application : variable selon l'indication. Pour une verrue isolée, 1 goutte de solution suffit. Pour le psoriasis en plaques, règle des FTU (1 FTU = 0,5 g couvre 2 palmes de main). Ne pas dépasser 30 g par application pour un adulte.</w:t>
      </w:r>
    </w:p>
    <w:p>
      <w:pPr>
        <w:pStyle w:val="ListBullet"/>
      </w:pPr>
      <w:r>
        <w:t>Modalités pratiques : appliquer sur peau sèche et propre, en couche fine, en massant doucement. Se laver les mains après application (sauf si c'est le traitement des mains). En cas d'occlusion nocturne, retirer le pansement le matin et hydrater.</w:t>
      </w:r>
    </w:p>
    <w:p>
      <w:pPr>
        <w:pStyle w:val="ListBullet"/>
      </w:pPr>
      <w:r>
        <w:t>Arrêt du traitement : en cas d'efficacité complète (verrue disparue), arrêt simple. En cas d'efficacité partielle, poursuite jusqu'à guérison complète. En cas d'effet indésirable (irritation, salicylisme), arrêt immédiat.</w:t>
      </w:r>
    </w:p>
    <w:p>
      <w:r/>
      <w:r>
        <w:rPr>
          <w:b/>
        </w:rPr>
        <w:t>Surveillance Biologique et Suivi Clinique :</w:t>
      </w:r>
      <w:r/>
    </w:p>
    <w:p>
      <w:pPr>
        <w:pStyle w:val="ListBullet"/>
      </w:pPr>
      <w:r>
        <w:t>Surveillance clinique : évaluation de l'efficacité à 4 semaines (verrues : diminution de taille ; psoriasis : PASI ; acné : lésions résiduelles), de la tolérance locale (irritation, érythème, prurit), de l'observance et de l'usage correct.</w:t>
      </w:r>
    </w:p>
    <w:p>
      <w:pPr>
        <w:pStyle w:val="ListBullet"/>
      </w:pPr>
      <w:r>
        <w:t>Surveillance cutanée : recherche de signes d'infection (surinfection bactérienne d'une verrue excoriée), de dermite de contact, de brûlure chimique (en cas de forte concentration).</w:t>
      </w:r>
    </w:p>
    <w:p>
      <w:pPr>
        <w:pStyle w:val="ListBullet"/>
      </w:pPr>
      <w:r>
        <w:t>Surveillance systémique (en cas d'application étendue &gt; 20 % surface corporelle, d'usage prolongé &gt; 4 semaines, d'enfant, de femme enceinte) : dosage de la salicylémie plasmatique (seuil toxique &gt; 2,2 mmol/L), surveillance de la fonction rénale (créatininémie), de l'équilibre acido-basique (gaz du sang), de la kaliémie, de l'hémostase (TP, plaquettes).</w:t>
      </w:r>
    </w:p>
    <w:p>
      <w:pPr>
        <w:pStyle w:val="ListBullet"/>
      </w:pPr>
      <w:r>
        <w:t>Surveillance à long terme : examen dermatologique annuel à la recherche de lésions cutanées suspectes (transformation maligne d'une verrue chronique).</w:t>
      </w:r>
    </w:p>
    <w:p>
      <w:pPr>
        <w:pStyle w:val="ListBullet"/>
      </w:pPr>
      <w:r>
        <w:t>Surveillance de la grossesse : en cas d'usage au 1er ou 2e trimestre, surveillance échographique fœtale (croissance, canal artériel). Au 3e trimestre, surveillance rapprochée de l'échocardiographie fœtale (recherche d'une constriction du canal artériel), de l'hémostase maternelle (TP, plaquettes), et préparation à une éventuelle césarienne en cas d'hémorragie.</w:t>
      </w:r>
    </w:p>
    <w:p>
      <w:r/>
      <w:r>
        <w:rPr>
          <w:b/>
        </w:rPr>
        <w:t>Arbitrage et Bénéfices des Formes Galéniques :</w:t>
      </w:r>
      <w:r/>
    </w:p>
    <w:p>
      <w:pPr>
        <w:pStyle w:val="ListBullet"/>
      </w:pPr>
      <w:r>
        <w:t>Solution à 15-40 % (Corifuge®, Duofilm®) : indiquée pour les verrues et les cors. Avantages : application précise (pinceau applicateur), pénétration profonde, efficacité rapide. Inconvénients : risque de brûlure chimique, irritation de la peau saine périphérique, contre-indiquée au visage et aux muqueuses.</w:t>
      </w:r>
    </w:p>
    <w:p>
      <w:pPr>
        <w:pStyle w:val="ListBullet"/>
      </w:pPr>
      <w:r>
        <w:t>Crème à 5-10 % (préparation magistrale) : indiquée pour le psoriasis en complément des dermocorticoïdes, l'ichtyose, la dermite séborrhéique. Avantages : application facile, hydratation associée, tolérance locale supérieure. Inconvénients : efficacité moindre que la solution.</w:t>
      </w:r>
    </w:p>
    <w:p>
      <w:pPr>
        <w:pStyle w:val="ListBullet"/>
      </w:pPr>
      <w:r>
        <w:t>Pommade à 10-20 % (préparation magistrale) : indiquée pour les hyperkératoses palmoplantaires et l'ichtyose sévère. Avantages : occlusivité favorisant la pénétration, hydratation intense. Inconvénients : effet gras, maculation des vêtements.</w:t>
      </w:r>
    </w:p>
    <w:p>
      <w:pPr>
        <w:pStyle w:val="ListBullet"/>
      </w:pPr>
      <w:r>
        <w:t>Shampooing à 2-5 % : indiqué pour la dermite séborrhéique du cuir chevelu. Avantages : facilité d'application, efficacité rapide. Inconvénients : dessèchement des cheveux, irritation possible.</w:t>
      </w:r>
    </w:p>
    <w:p>
      <w:pPr>
        <w:pStyle w:val="ListBullet"/>
      </w:pPr>
      <w:r>
        <w:t>Gel à 1-3 % : indiqué pour l'acné légère à modérée. Avantages : application facile, séchage rapide, bonne cosméticité. Inconvénients : dessèchement cutané, photosensibilité.</w:t>
      </w:r>
    </w:p>
    <w:p>
      <w:pPr>
        <w:pStyle w:val="ListBullet"/>
      </w:pPr>
      <w:r>
        <w:t>Comparaison avec l'urée à haute concentration : l'urée à 20-40 % a une efficacité kératolytique comparable à l'acide salicylique à 10-20 %, avec une meilleure tolérance locale et un risque systémique moindre. Privilégier l'urée chez l'enfant, la femme enceinte, le sujet âgé, l'insuffisant rénal.</w:t>
      </w:r>
    </w:p>
    <w:p>
      <w:pPr>
        <w:pStyle w:val="ListBullet"/>
      </w:pPr>
      <w:r>
        <w:t>Comparaison avec le résorcinol : le résorcinol a une activité kératolytique similaire mais un profil de toxicité différent (convulsions, méthémoglobinémie, dysthyroïdie). Privilégier l'acide salicylique en première intention pour la plupart des verrues.</w:t>
      </w:r>
    </w:p>
    <w:p>
      <w:pPr>
        <w:pStyle w:val="ListBullet"/>
      </w:pPr>
      <w:r>
        <w:t>Comparaison avec la cryothérapie : la cryothérapie (azote liquide) est supérieure à l'acide salicylique en termes de rapidité d'efficacité, mais nécessite un acte médical, est plus douloureuse et peut laisser une hypopigmentation. L'acide salicylique reste le traitement de première intention des verrues en automédication.</w:t>
      </w:r>
    </w:p>
    <w:p>
      <w:pPr>
        <w:pStyle w:val="ListBullet"/>
      </w:pPr>
      <w:r>
        <w:t>Comparaison avec les traitements physiques (laser CO2, électrocoagulation, exérèse chirurgicale) : indiqués en cas d'échec des traitements topiques (verrues profondes, volumineuses, multiples), réservés au dermatologue.</w:t>
      </w:r>
    </w:p>
    <w:p>
      <w:r/>
      <w:r>
        <w:rPr>
          <w:b/>
        </w:rPr>
        <w:t>Instructions et Conseils au Patient :</w:t>
      </w:r>
      <w:r/>
    </w:p>
    <w:p>
      <w:pPr>
        <w:pStyle w:val="ListBullet"/>
      </w:pPr>
      <w:r>
        <w:t>Communication : « L'acide salicylique est un kératolytique qui détruit la kératine des verrues et des cors. Il est disponible en solution à appliquer localement sur la lésion. Protégez la peau saine autour de la verrue en appliquant de la vaseline avant chaque application. Appliquez 1 à 2 fois par jour avec le pinceau applicateur. Laissez sécher complètement. La durée de traitement est de plusieurs semaines (4 à 12 semaines) — ne vous découragez pas si vous ne voyez pas d'amélioration immédiate. Ne dépassez pas 20 % de la surface corporelle. Évitez le visage et les muqueuses. Si vous êtes enceinte (surtout au 3e trimestre), si vous allaitez, si vous prenez de l'aspirine ou des AINS, ou si vous avez une insuffisance rénale, parlez-en à votre médecin. En cas de douleur intense, de brûlure, d'extension de la lésion, ou d'apparition d'acouphènes (sifflements d'oreille), arrêtez immédiatement et consultez. »</w:t>
      </w:r>
    </w:p>
    <w:p>
      <w:pPr>
        <w:pStyle w:val="ListBullet"/>
      </w:pPr>
      <w:r>
        <w:t>Observance : appliquer à heure fixe, tenir un calendrier d'application, ne pas doubler la dose en cas d'oubli. Hydrater la peau entre les applications par émollient simple. Éviter l'occlusion sauf avis médical.</w:t>
      </w:r>
    </w:p>
    <w:p>
      <w:pPr>
        <w:pStyle w:val="ListBullet"/>
      </w:pPr>
      <w:r>
        <w:t>Alerte : consulter immédiatement en cas d'acouphènes, d'hyperventilation, de nausées persistantes, de confusion, de fièvre (suspicion de salicylisme), de douleur intense ou de nécrose cutanée (brûlure chimique), d'extension de la lésion, d'apparition d'une infection (rougeur, chaleur, douleur, pus).</w:t>
      </w:r>
    </w:p>
    <w:p>
      <w:pPr>
        <w:pStyle w:val="ListBullet"/>
      </w:pPr>
      <w:r>
        <w:t>Prévention : protection de la peau saine par vaseline avant chaque application. Lavage soigneux des mains après application. Éviter le visage, les muqueuses, les plis. Éviter l'application sur peau lésée ou érodée.</w:t>
      </w:r>
    </w:p>
    <w:p>
      <w:pPr>
        <w:pStyle w:val="ListBullet"/>
      </w:pPr>
      <w:r>
        <w:t>Hygiène : ne pas partager la brosse applicatrice (contagiosité des verrues). Douches tièdes courtes, savons surgras sans parfum, séchage par tamponnement.</w:t>
      </w:r>
    </w:p>
    <w:p>
      <w:r/>
      <w:r>
        <w:rPr>
          <w:b/>
        </w:rPr>
        <w:t>Notes, Règles d'Or &amp; Pièges au Comptoir :</w:t>
      </w:r>
      <w:r/>
    </w:p>
    <w:p>
      <w:pPr>
        <w:pStyle w:val="ListBullet"/>
      </w:pPr>
      <w:r>
        <w:t>Piège : les deux spécialités algériennes historiques (Corifuge® LAD et Duofilm® Stiefel) sont marquées « non renouvelable » — le pharmacien doit orienter le patient vers les préparations magistrales (à 10, 20, 30 ou 40 % selon l'indication) ou les alternatives dermo-cosmétiques.</w:t>
      </w:r>
    </w:p>
    <w:p>
      <w:pPr>
        <w:pStyle w:val="ListBullet"/>
      </w:pPr>
      <w:r>
        <w:t>Règle : la concentration et la forme galénique doivent être adaptées à l'indication : 1-3 % gel pour l'acné ; 5-10 % crème pour le psoriasis et l'ichtyose ; 15-40 % solution pour les verrues et les cors ; 2-5 % shampooing pour la dermite séborrhéique.</w:t>
      </w:r>
    </w:p>
    <w:p>
      <w:pPr>
        <w:pStyle w:val="ListBullet"/>
      </w:pPr>
      <w:r>
        <w:t>Piège : l'application sur peau lésée ou érodée augmente considérablement l'absorption systémique et le risque de salicylisme. Vérifier l'absence d'érosion avant application.</w:t>
      </w:r>
    </w:p>
    <w:p>
      <w:pPr>
        <w:pStyle w:val="ListBullet"/>
      </w:pPr>
      <w:r>
        <w:t>Règle : chez l'enfant de moins de 3 ans, contre-indication absolue. Entre 3 et 12 ans, concentration maximale 10 %, surface limitée, durée maximale 4 semaines.</w:t>
      </w:r>
    </w:p>
    <w:p>
      <w:pPr>
        <w:pStyle w:val="ListBullet"/>
      </w:pPr>
      <w:r>
        <w:t>Piège : chez la femme enceinte au 3e trimestre, contre-indication absolue (risque de fermeture prématurée du canal artériel fœtal, identique à l'aspirine).</w:t>
      </w:r>
    </w:p>
    <w:p>
      <w:pPr>
        <w:pStyle w:val="ListBullet"/>
      </w:pPr>
      <w:r>
        <w:t>Règle : en cas de traitement oral concomitant par aspirine ou AINS, surveiller la salicylémie et l'hémostase.</w:t>
      </w:r>
    </w:p>
    <w:p>
      <w:pPr>
        <w:pStyle w:val="ListBullet"/>
      </w:pPr>
      <w:r>
        <w:t>Piège : ne pas associer à un dermocorticoïde fort sur la même zone sans avis médical — risque d'atrophie cutanée majorée.</w:t>
      </w:r>
    </w:p>
    <w:p>
      <w:pPr>
        <w:pStyle w:val="ListBullet"/>
      </w:pPr>
      <w:r>
        <w:t>Règle : protection systématique de la peau saine périphérique par vaseline avant application d'une solution à forte concentration.</w:t>
      </w:r>
    </w:p>
    <w:p>
      <w:pPr>
        <w:pStyle w:val="ListBullet"/>
      </w:pPr>
      <w:r>
        <w:t>Piège : ne pas appliquer sur les verrues génitales (condylomes acuminés) — risque d'irritation sévère des muqueuses. Orientation dermatologique pour traitement spécifique.</w:t>
      </w:r>
    </w:p>
    <w:p>
      <w:pPr>
        <w:pStyle w:val="ListBullet"/>
      </w:pPr>
      <w:r>
        <w:t>Règle : en cas d'usage prolongé (&gt; 4 semaines) ou étendu (&gt; 20 % surface corporelle), surveillance de la salicylémie, de la fonction rénale et de l'équilibre acido-basique.</w:t>
      </w:r>
    </w:p>
    <w:p>
      <w:pPr>
        <w:pStyle w:val="ListBullet"/>
      </w:pPr>
      <w:r>
        <w:t>Piège : l'association avec le peroxyde de benzoyle (acné) doit être espacée de plusieurs heures — inactivation du peroxyde par l'acide.</w:t>
      </w:r>
    </w:p>
    <w:p>
      <w:pPr>
        <w:pStyle w:val="ListBullet"/>
      </w:pPr>
      <w:r>
        <w:t>Règle : en cas d'échec du traitement topique après 12 semaines (verrues), orientation dermatologique pour traitement physique (cryothérapie, laser CO2, électrocoagulation).</w:t>
      </w:r>
    </w:p>
    <w:p>
      <w:pPr>
        <w:pStyle w:val="Heading3"/>
      </w:pPr>
      <w:r>
        <w:t>123.4 DCI : Résorcinol (topique)</w:t>
      </w:r>
    </w:p>
    <w:p>
      <w:r/>
      <w:r>
        <w:rPr>
          <w:b/>
        </w:rPr>
        <w:t>Liste des Catégories :</w:t>
      </w:r>
      <w:r>
        <w:t xml:space="preserve"> Dermatologie ; Kératolytique et antiseptique topique ; Résorcinol (1,3-dihydroxybenzène) en monothérapie ou en association (lévomenthol, vératrole, acide salicylique, éphédrine) ; Traitement symptomatique des affections bénignes du cuir chevelu (dermatite séborrhéique, psoriasis capillaire léger, prurit) et des otites externes ; Hors liste (préparations historiques).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OSMOTOL</w:t>
            </w:r>
          </w:p>
        </w:tc>
        <w:tc>
          <w:tcPr>
            <w:tcW w:type="dxa" w:w="1559"/>
          </w:tcPr>
          <w:p>
            <w:r>
              <w:rPr>
                <w:sz w:val="20"/>
              </w:rPr>
              <w:t>CHAUVIN S.A.</w:t>
            </w:r>
          </w:p>
        </w:tc>
        <w:tc>
          <w:tcPr>
            <w:tcW w:type="dxa" w:w="1559"/>
          </w:tcPr>
          <w:p>
            <w:r>
              <w:rPr>
                <w:sz w:val="20"/>
              </w:rPr>
              <w:t>Solution pour instillation auriculaire — résorcinol + chlorhydrate d'éphédrine</w:t>
            </w:r>
          </w:p>
        </w:tc>
        <w:tc>
          <w:tcPr>
            <w:tcW w:type="dxa" w:w="1559"/>
          </w:tcPr>
          <w:p>
            <w:r>
              <w:rPr>
                <w:sz w:val="20"/>
              </w:rPr>
              <w:t>Fl/10 mL</w:t>
            </w:r>
          </w:p>
        </w:tc>
        <w:tc>
          <w:tcPr>
            <w:tcW w:type="dxa" w:w="1559"/>
          </w:tcPr>
          <w:p>
            <w:r>
              <w:rPr>
                <w:sz w:val="20"/>
              </w:rPr>
              <w:t>Hors liste</w:t>
            </w:r>
          </w:p>
        </w:tc>
        <w:tc>
          <w:tcPr>
            <w:tcW w:type="dxa" w:w="1559"/>
          </w:tcPr>
          <w:p>
            <w:r>
              <w:rPr>
                <w:sz w:val="20"/>
              </w:rPr>
              <w:t>Actif</w:t>
            </w:r>
          </w:p>
        </w:tc>
      </w:tr>
      <w:tr>
        <w:tc>
          <w:tcPr>
            <w:tcW w:type="dxa" w:w="1559"/>
          </w:tcPr>
          <w:p>
            <w:r>
              <w:rPr>
                <w:sz w:val="20"/>
              </w:rPr>
              <w:t>SEPTHOL GEL</w:t>
            </w:r>
          </w:p>
        </w:tc>
        <w:tc>
          <w:tcPr>
            <w:tcW w:type="dxa" w:w="1559"/>
          </w:tcPr>
          <w:p>
            <w:r>
              <w:rPr>
                <w:sz w:val="20"/>
              </w:rPr>
              <w:t>LABORATOIRES PHARMAGHREB</w:t>
            </w:r>
          </w:p>
        </w:tc>
        <w:tc>
          <w:tcPr>
            <w:tcW w:type="dxa" w:w="1559"/>
          </w:tcPr>
          <w:p>
            <w:r>
              <w:rPr>
                <w:sz w:val="20"/>
              </w:rPr>
              <w:t>Gel pour application cutanée — lévomenthol 260 mg + vératrole 125 mg + résorcinol 15 mg + acide salicylique 50 mg / 50 g</w:t>
            </w:r>
          </w:p>
        </w:tc>
        <w:tc>
          <w:tcPr>
            <w:tcW w:type="dxa" w:w="1559"/>
          </w:tcPr>
          <w:p>
            <w:r>
              <w:rPr>
                <w:sz w:val="20"/>
              </w:rPr>
              <w:t>T/50 g</w:t>
            </w:r>
          </w:p>
        </w:tc>
        <w:tc>
          <w:tcPr>
            <w:tcW w:type="dxa" w:w="1559"/>
          </w:tcPr>
          <w:p>
            <w:r>
              <w:rPr>
                <w:sz w:val="20"/>
              </w:rPr>
              <w:t>Hors liste</w:t>
            </w:r>
          </w:p>
        </w:tc>
        <w:tc>
          <w:tcPr>
            <w:tcW w:type="dxa" w:w="1559"/>
          </w:tcPr>
          <w:p>
            <w:r>
              <w:rPr>
                <w:sz w:val="20"/>
              </w:rPr>
              <w:t>Actif</w:t>
            </w:r>
          </w:p>
        </w:tc>
      </w:tr>
      <w:tr>
        <w:tc>
          <w:tcPr>
            <w:tcW w:type="dxa" w:w="1559"/>
          </w:tcPr>
          <w:p>
            <w:r>
              <w:rPr>
                <w:sz w:val="20"/>
              </w:rPr>
              <w:t>SYNTHOL GEL</w:t>
            </w:r>
          </w:p>
        </w:tc>
        <w:tc>
          <w:tcPr>
            <w:tcW w:type="dxa" w:w="1559"/>
          </w:tcPr>
          <w:p>
            <w:r>
              <w:rPr>
                <w:sz w:val="20"/>
              </w:rPr>
              <w:t>GLAXOSMITHKLINE</w:t>
            </w:r>
          </w:p>
        </w:tc>
        <w:tc>
          <w:tcPr>
            <w:tcW w:type="dxa" w:w="1559"/>
          </w:tcPr>
          <w:p>
            <w:r>
              <w:rPr>
                <w:sz w:val="20"/>
              </w:rPr>
              <w:t>Gel — lévomenthol 0,52 g + vératrole 0,25 g + résorcinol 0,03 g + acide salicylique 0,1 g / 100 g</w:t>
            </w:r>
          </w:p>
        </w:tc>
        <w:tc>
          <w:tcPr>
            <w:tcW w:type="dxa" w:w="1559"/>
          </w:tcPr>
          <w:p>
            <w:r>
              <w:rPr>
                <w:sz w:val="20"/>
              </w:rPr>
              <w:t>T/100 g</w:t>
            </w:r>
          </w:p>
        </w:tc>
        <w:tc>
          <w:tcPr>
            <w:tcW w:type="dxa" w:w="1559"/>
          </w:tcPr>
          <w:p>
            <w:r>
              <w:rPr>
                <w:sz w:val="20"/>
              </w:rPr>
              <w:t>Hors liste</w:t>
            </w:r>
          </w:p>
        </w:tc>
        <w:tc>
          <w:tcPr>
            <w:tcW w:type="dxa" w:w="1559"/>
          </w:tcPr>
          <w:p>
            <w:r>
              <w:rPr>
                <w:sz w:val="20"/>
              </w:rPr>
              <w:t>Actif</w:t>
            </w:r>
          </w:p>
        </w:tc>
      </w:tr>
      <w:tr>
        <w:tc>
          <w:tcPr>
            <w:tcW w:type="dxa" w:w="1559"/>
          </w:tcPr>
          <w:p>
            <w:r>
              <w:rPr>
                <w:sz w:val="20"/>
              </w:rPr>
              <w:t>SYNTHOL</w:t>
            </w:r>
          </w:p>
        </w:tc>
        <w:tc>
          <w:tcPr>
            <w:tcW w:type="dxa" w:w="1559"/>
          </w:tcPr>
          <w:p>
            <w:r>
              <w:rPr>
                <w:sz w:val="20"/>
              </w:rPr>
              <w:t>SMITHKLINE BEECHAM</w:t>
            </w:r>
          </w:p>
        </w:tc>
        <w:tc>
          <w:tcPr>
            <w:tcW w:type="dxa" w:w="1559"/>
          </w:tcPr>
          <w:p>
            <w:r>
              <w:rPr>
                <w:sz w:val="20"/>
              </w:rPr>
              <w:t>Solution dermatologique et bain de bouche — lévomenthol 0,26 g + vératrol 0,26 g + résorcinol 0,021 g + acide salicylique 0,0105 g / 100 g</w:t>
            </w:r>
          </w:p>
        </w:tc>
        <w:tc>
          <w:tcPr>
            <w:tcW w:type="dxa" w:w="1559"/>
          </w:tcPr>
          <w:p>
            <w:r>
              <w:rPr>
                <w:sz w:val="20"/>
              </w:rPr>
              <w:t>Fl/225 mL</w:t>
            </w:r>
          </w:p>
        </w:tc>
        <w:tc>
          <w:tcPr>
            <w:tcW w:type="dxa" w:w="1559"/>
          </w:tcPr>
          <w:p>
            <w:r>
              <w:rPr>
                <w:sz w:val="20"/>
              </w:rPr>
              <w:t>Hors liste</w:t>
            </w:r>
          </w:p>
        </w:tc>
        <w:tc>
          <w:tcPr>
            <w:tcW w:type="dxa" w:w="1559"/>
          </w:tcPr>
          <w:p>
            <w:r>
              <w:rPr>
                <w:sz w:val="20"/>
              </w:rPr>
              <w:t>Non Renouvelable</w:t>
            </w:r>
          </w:p>
        </w:tc>
      </w:tr>
      <w:tr>
        <w:tc>
          <w:tcPr>
            <w:tcW w:type="dxa" w:w="1559"/>
          </w:tcPr>
          <w:p>
            <w:r>
              <w:rPr>
                <w:sz w:val="20"/>
              </w:rPr>
              <w:t>SEPTHOL Solution</w:t>
            </w:r>
          </w:p>
        </w:tc>
        <w:tc>
          <w:tcPr>
            <w:tcW w:type="dxa" w:w="1559"/>
          </w:tcPr>
          <w:p>
            <w:r>
              <w:rPr>
                <w:sz w:val="20"/>
              </w:rPr>
              <w:t>PHARMAGHREB</w:t>
            </w:r>
          </w:p>
        </w:tc>
        <w:tc>
          <w:tcPr>
            <w:tcW w:type="dxa" w:w="1559"/>
          </w:tcPr>
          <w:p>
            <w:r>
              <w:rPr>
                <w:sz w:val="20"/>
              </w:rPr>
              <w:t>Solution dermatologique et bain de bouche — lévomenthol 260 mg + vératrole 260 mg + résorcinol 21 mg + acide salicylique 10,5 mg / 100 mL</w:t>
            </w:r>
          </w:p>
        </w:tc>
        <w:tc>
          <w:tcPr>
            <w:tcW w:type="dxa" w:w="1559"/>
          </w:tcPr>
          <w:p>
            <w:r>
              <w:rPr>
                <w:sz w:val="20"/>
              </w:rPr>
              <w:t>Fl/225 mL</w:t>
            </w:r>
          </w:p>
        </w:tc>
        <w:tc>
          <w:tcPr>
            <w:tcW w:type="dxa" w:w="1559"/>
          </w:tcPr>
          <w:p>
            <w:r>
              <w:rPr>
                <w:sz w:val="20"/>
              </w:rPr>
              <w:t>Hors liste</w:t>
            </w:r>
          </w:p>
        </w:tc>
        <w:tc>
          <w:tcPr>
            <w:tcW w:type="dxa" w:w="1559"/>
          </w:tcPr>
          <w:p>
            <w:r>
              <w:rPr>
                <w:sz w:val="20"/>
              </w:rPr>
              <w:t>Retrait</w:t>
            </w:r>
          </w:p>
        </w:tc>
      </w:tr>
      <w:tr>
        <w:tc>
          <w:tcPr>
            <w:tcW w:type="dxa" w:w="1559"/>
          </w:tcPr>
          <w:p>
            <w:r>
              <w:rPr>
                <w:sz w:val="20"/>
              </w:rPr>
              <w:t>STOCALM</w:t>
            </w:r>
          </w:p>
        </w:tc>
        <w:tc>
          <w:tcPr>
            <w:tcW w:type="dxa" w:w="1559"/>
          </w:tcPr>
          <w:p>
            <w:r>
              <w:rPr>
                <w:sz w:val="20"/>
              </w:rPr>
              <w:t>SAIDAL (GROUPE)</w:t>
            </w:r>
          </w:p>
        </w:tc>
        <w:tc>
          <w:tcPr>
            <w:tcW w:type="dxa" w:w="1559"/>
          </w:tcPr>
          <w:p>
            <w:r>
              <w:rPr>
                <w:sz w:val="20"/>
              </w:rPr>
              <w:t>Solution dermatologique et bain de bouche — lévomenthol 250,4 mg + vératrol 250,4 mg + résorcinol 20 mg + acide salicylique 9,6 mg / 100 mL</w:t>
            </w:r>
          </w:p>
        </w:tc>
        <w:tc>
          <w:tcPr>
            <w:tcW w:type="dxa" w:w="1559"/>
          </w:tcPr>
          <w:p>
            <w:r>
              <w:rPr>
                <w:sz w:val="20"/>
              </w:rPr>
              <w:t>Fl/250 mL</w:t>
            </w:r>
          </w:p>
        </w:tc>
        <w:tc>
          <w:tcPr>
            <w:tcW w:type="dxa" w:w="1559"/>
          </w:tcPr>
          <w:p>
            <w:r>
              <w:rPr>
                <w:sz w:val="20"/>
              </w:rPr>
              <w:t>Hors liste</w:t>
            </w:r>
          </w:p>
        </w:tc>
        <w:tc>
          <w:tcPr>
            <w:tcW w:type="dxa" w:w="1559"/>
          </w:tcPr>
          <w:p>
            <w:r>
              <w:rPr>
                <w:sz w:val="20"/>
              </w:rPr>
              <w:t>Retrait</w:t>
            </w:r>
          </w:p>
        </w:tc>
      </w:tr>
    </w:tbl>
    <w:p/>
    <w:p>
      <w:r/>
      <w:r>
        <w:rPr>
          <w:b/>
        </w:rPr>
        <w:t>Note sur la disponibilité :</w:t>
      </w:r>
      <w:r>
        <w:t xml:space="preserve"> Le résorcinol n'est disponible en Algérie qu'en associations, principalement avec le lévomenthol (effet antiprurigineux et rafraîchissant), le vératrole (solvant et adjuvant), et l'acide salicylique (synergie kératolytique). La combinaison est historiquement issue de la pharmacopée française du début du XXe siècle (Synthol®, Sevinol®, Stocalm®), encore très populaire en Algérie pour le traitement symptomatique des affections bénignes du cuir chevelu et de la peau. La solution Osmotol® (résorcinol + éphédrine) est utilisée en instillation auriculaire dans les otites externes. Les solutions Seinthol® et Stocalm® (bain de bouche) sont aujourd'hui retirées du marché algérien au profit des formes en gel (Seinthol gel, Synthol gel) plus modernes et cosmétiquement acceptables.</w:t>
      </w:r>
    </w:p>
    <w:p>
      <w:r/>
      <w:r>
        <w:rPr>
          <w:b/>
        </w:rPr>
        <w:t>Sous-classe et Mécanisme d'action :</w:t>
      </w:r>
      <w:r/>
    </w:p>
    <w:p>
      <w:pPr>
        <w:pStyle w:val="ListBullet"/>
      </w:pPr>
      <w:r>
        <w:t>Sous-classe : Kératolytiques topiques (ATC D02AE ; ATC D11A — autres préparations dermatologiques). Le résorcinol (1,3-dihydroxybenzène, m-dihydroxybenzène) est un dérivé hydroxylé du benzène, isomère du catéchol (1,2) et de l'hydroquinone (1,4). Poids moléculaire 110,11 g/mol. Soluble dans l'eau, l'alcool, l'éther.</w:t>
      </w:r>
    </w:p>
    <w:p>
      <w:pPr>
        <w:pStyle w:val="ListBullet"/>
      </w:pPr>
      <w:r>
        <w:t>Mécanisme d'action kératolytique : le résorcinol exerce un mécanisme d'action distinct de celui de l'acide salicylique. Il pénètre dans le stratum corneum et (i) réduit les ponts disulfures (–S–S–) de la kératine en groupements thiols (–SH – SH), ce qui désorganise la structure secondaire et tertiaire de la kératine et facilite la desquamation (action « déplaquante ») ; (ii) solubilise partiellement les lipides intercornéocytaires, moins efficacement que l'acide salicylique mais de manière complémentaire ; (iii) exerce une action antiseptique large spectre (bactériostatique sur Staphylococcus aureus, Streptococcus pyogenes, Escherichia coli ; fongistatique sur Candida albicans, Trichophyton, Microsporum) ; (iv) exerce une action anesthésique locale (le résorcinol a longtemps été utilisé comme anesthésique de surface en ORL, plus puissant que le menthol).</w:t>
      </w:r>
    </w:p>
    <w:p>
      <w:pPr>
        <w:pStyle w:val="ListBullet"/>
      </w:pPr>
      <w:r>
        <w:t>Mécanisme antiprurigineux : anesthésie des terminaisons nerveuses sensitives de l'épiderme par inhibition des canaux sodiques voltage-dépendants (action similaire à la lidocaïne mais avec une puissance moindre).</w:t>
      </w:r>
    </w:p>
    <w:p>
      <w:pPr>
        <w:pStyle w:val="ListBullet"/>
      </w:pPr>
      <w:r>
        <w:t>Mécanisme antioxydant : le résorcinol est un donneur d'électrons capable de piéger les radicaux libres (effet protective contre le stress oxydatif cutané).</w:t>
      </w:r>
    </w:p>
    <w:p>
      <w:pPr>
        <w:pStyle w:val="ListBullet"/>
      </w:pPr>
      <w:r>
        <w:t>Pharmacocinétique : le résorcinol traverse la barrière cutanée par diffusion passive. L'absorption systémique est variable selon la concentration, la surface traitée, l'intégrité de la barrière cutanée et l'usage occlusif. Le métabolisme est hépatique (hydroxylation en 1,2,4-benzenetriol, conjugaison avec l'acide glucuronique et la glycine). L'élimination est principalement rénale. La demi-vie d'élimination est courte (2 à 4 heures).</w:t>
      </w:r>
    </w:p>
    <w:p>
      <w:pPr>
        <w:pStyle w:val="ListBullet"/>
      </w:pPr>
      <w:r>
        <w:t>Toxicité systémique du résorcinol (distincte de l'acide salicylique) : (i) convulsions (à dose toxique, par action sur le SNC central, en particulier sur les récepteurs GABAergiques) ; (ii) méthémoglobinémie (par ses métabolites oxydants, en particulier la 1,2,4-benzenetriol, qui oxyde le fer ferreux de l'hémoglobine en fer ferrique) ; (iii) dysthyroïdie (inhibition de la captation de l'iode par la thyroïde, goitre hypothyroïdien, hypothyroïdie transitoire) ; (iv) hépatotoxicité (cytolyse hépatique à dose toxique) ; (v) néphrotoxicité (tubulopathie à dose toxique).</w:t>
      </w:r>
    </w:p>
    <w:p>
      <w:pPr>
        <w:pStyle w:val="ListBullet"/>
      </w:pPr>
      <w:r>
        <w:t>Seuil de toxicité : la concentration plasmatique toxique n'est pas clairement établie, mais les signes de toxicité systémique apparaissent en cas d'application étendue (&gt; 20 % surface corporelle), d'usage occlusif, d'application sur peau lésée, ou de concentration élevée (&gt; 10 %). Les premiers signes sont des tremblements, des crampes, une cyanose (méthémoglobinémie), une polypnée, une confusion. La surdosage sévère peut évoluer vers le coma convulsif, l'insuffisance respiratoire, le collapsus cardiovasculaire.</w:t>
      </w:r>
    </w:p>
    <w:p>
      <w:r/>
      <w:r>
        <w:rPr>
          <w:b/>
        </w:rPr>
        <w:t>Profil Pharmacologique :</w:t>
      </w:r>
      <w:r/>
    </w:p>
    <w:p>
      <w:pPr>
        <w:pStyle w:val="ListBullet"/>
      </w:pPr>
      <w:r>
        <w:t>Indications : (i) dermatite séborrhéique du cuir chevelu légère à modérée (en lotion ou gel) ; (ii) psoriasis capillaire léger (en lotion ou gel) ; (iii) prurit du cuir chevelu (en lotion ou gel) ; (iv) otite externe (Osmotol® en instillation auriculaire, en association avec l'éphédrine vasoconstrictive) ; (v) bain de bouche antiseptique (Synthol®, Seinthol®, Stocalm® — usage historique aujourd'hui moins fréquent en raison du risque de toxicité systémique par absorption sublinguale) ; (vi) dermatoses squameuses bénignes (cuir chevelu, plis).</w:t>
      </w:r>
    </w:p>
    <w:p>
      <w:pPr>
        <w:pStyle w:val="ListBullet"/>
      </w:pPr>
      <w:r>
        <w:t>Contre-indications : hypersensibilité au résorcinol ou à l'un des excipients ; application sur muqueuse (buccale, génitale, oculaire) — bien que les bains de bouche aient historiquement contenu du résorcinol, l'usage est aujourd'hui déconseillé ; application sur peau lésée (érosion, ulcère) ; application sur surface étendue (&gt; 20 % surface corporelle) ; enfant de moins de 6 ans ; femme enceinte ou allaitante (par mesure de précaution) ; insuffisance rénale ou hépatique sévère ; antécédent de convulsions ou d'épilepsie ; déficit en G6PD (risque accru de méthémoglobinémie) ; hypothyroïdie (risque d'aggravation).</w:t>
      </w:r>
    </w:p>
    <w:p>
      <w:pPr>
        <w:pStyle w:val="ListBullet"/>
      </w:pPr>
      <w:r>
        <w:t>Effets indésirables locaux : irritation cutanée (fréquent, 5-15 % — érythème, sensation de brûlure, prurit), dermite de contact (rare), sécheresse cutanée, photosensibilité (rare). Coloration brunâtre de la peau en cas d'usage prolongé (oxydation du résorcinol).</w:t>
      </w:r>
    </w:p>
    <w:p>
      <w:pPr>
        <w:pStyle w:val="ListBullet"/>
      </w:pPr>
      <w:r>
        <w:t>Effets indésirables systémiques (en cas d'application étendue ou occluse) : (i) convulsions (mécanisme central GABAergique) ; (ii) méthémoglobinémie (cyanose, dyspnée, céphalées, altération de l'état général — surveiller la SpO2, la méthémoglobinémie) ; (iii) dysthyroïdie (goitre, hypothyroïdie transitoire — surveiller la TSH, la T4 libre) ; (iv) hépatotoxicité (cytolyse — surveiller ALAT, ASAT) ; (v) néphrotoxicité (tubulopathie — surveiller créatininémie, protéinurie).</w:t>
      </w:r>
    </w:p>
    <w:p>
      <w:pPr>
        <w:pStyle w:val="ListBullet"/>
      </w:pPr>
      <w:r>
        <w:t>Effets indésirables à long terme : en cas d'usage prolongé, risque de thyrotoxicose compensatrice, de dermite chronique, de pigmentation brunâtre cutanée.</w:t>
      </w:r>
    </w:p>
    <w:p>
      <w:r/>
      <w:r>
        <w:rPr>
          <w:b/>
        </w:rPr>
        <w:t>Prévention et Gestion des Effets Indésirables :</w:t>
      </w:r>
      <w:r/>
    </w:p>
    <w:p>
      <w:pPr>
        <w:pStyle w:val="ListBullet"/>
      </w:pPr>
      <w:r>
        <w:t>Prévention de la toxicité systémique : (i) limiter la concentration à 2 % chez l'enfant et à 5 % chez l'adulte pour les applications domestiques ; (ii) limiter la surface traitée à moins de 20 % de la surface corporelle ; (iii) éviter l'occlusion ; (iv) éviter l'application prolongée au-delà de 4 semaines consécutives ; (v) contre-indication absolue chez l'enfant de moins de 6 ans, la femme enceinte et allaitante, le sujet épileptique, le sujet déficient en G6PD, le sujet hypothyroïdien.</w:t>
      </w:r>
    </w:p>
    <w:p>
      <w:pPr>
        <w:pStyle w:val="ListBullet"/>
      </w:pPr>
      <w:r>
        <w:t>Prévention de l'irritation locale : application sur peau bien sèche, en couche fine, en évitant les zones sensibles (visage, plis, organes génitaux). Hydratation par émollient simple entre les applications.</w:t>
      </w:r>
    </w:p>
    <w:p>
      <w:pPr>
        <w:pStyle w:val="ListBullet"/>
      </w:pPr>
      <w:r>
        <w:t>Surveillance en cas d'usage étendu ou prolongé : dosage de la méthémoglobinémie (seuil toxique &gt; 2 %), de la TSH, de la T4 libre, de l'hémostase, de la fonction hépatique (ALAT, ASAT) et rénale (créatininémie).</w:t>
      </w:r>
    </w:p>
    <w:p>
      <w:pPr>
        <w:pStyle w:val="ListBullet"/>
      </w:pPr>
      <w:r>
        <w:t>Gestion de la méthémoglobinémie : arrêt immédiat du résorcinol, administration d'oxygène, bleu de méthylène IV (1-2 mg/kg) en cas de méthémoglobinémie sévère (&gt; 30 %), surveillance en milieu hospitalier.</w:t>
      </w:r>
    </w:p>
    <w:p>
      <w:pPr>
        <w:pStyle w:val="ListBullet"/>
      </w:pPr>
      <w:r>
        <w:t>Gestion des convulsions : arrêt immédiat, traitement par benzodiazépines IV (diazépam, clonazépam), surveillance en milieu de réanimation.</w:t>
      </w:r>
    </w:p>
    <w:p>
      <w:pPr>
        <w:pStyle w:val="ListBullet"/>
      </w:pPr>
      <w:r>
        <w:t>Prévention chez la femme enceinte : contre-indication absolue par mesure de précaution (données limitées, risque théorique de convulsions fœtales et d'hypothyroïdie néonatale). Pendant l'allaitement, contre-indication absolue sur les seins.</w:t>
      </w:r>
    </w:p>
    <w:p>
      <w:pPr>
        <w:pStyle w:val="ListBullet"/>
      </w:pPr>
      <w:r>
        <w:t>Prévention chez l'enfant : contre-indication chez l'enfant de moins de 6 ans. Entre 6 et 12 ans, concentration maximale 2 %, surface limitée, durée maximale 2 semaines. Surveillance accrue en cas d'application sur brûlure étendue ou dermatose étendue.</w:t>
      </w:r>
    </w:p>
    <w:p>
      <w:r/>
      <w:r>
        <w:rPr>
          <w:b/>
        </w:rPr>
        <w:t>Interactions Médicamenteuses :</w:t>
      </w:r>
      <w:r/>
    </w:p>
    <w:p>
      <w:pPr>
        <w:pStyle w:val="ListBullet"/>
      </w:pPr>
      <w:r>
        <w:t>Médicaments méthémoglobinisants (anesthésiques locaux de type prilocaïne, dapsone, nitrites, sulfamides, phénazopyridine) : augmentation du risque de méthémoglobinémie additive. Surveillance de la SpO2, de la méthémoglobinémie.</w:t>
      </w:r>
    </w:p>
    <w:p>
      <w:pPr>
        <w:pStyle w:val="ListBullet"/>
      </w:pPr>
      <w:r>
        <w:t>Médicaments convulsivants (théophylline à dose toxique, méfloquine, tramadol à haute dose, certains antibiotiques quinolones) : augmentation du risque de convulsions. Surveillance clinique.</w:t>
      </w:r>
    </w:p>
    <w:p>
      <w:pPr>
        <w:pStyle w:val="ListBullet"/>
      </w:pPr>
      <w:r>
        <w:t>Antithyroïdiens (carbimazole, propylthiouracile) : synergie de l'hypothyroïdie. Surveillance de la TSH.</w:t>
      </w:r>
    </w:p>
    <w:p>
      <w:pPr>
        <w:pStyle w:val="ListBullet"/>
      </w:pPr>
      <w:r>
        <w:t>Lithium : augmentation de la toxicité du lithium. Surveillance de la lithiémie.</w:t>
      </w:r>
    </w:p>
    <w:p>
      <w:pPr>
        <w:pStyle w:val="ListBullet"/>
      </w:pPr>
      <w:r>
        <w:t>Topiques alcoolisés : augmentation de l'absorption et de l'irritation. Éviter l'association sur peau lésée.</w:t>
      </w:r>
    </w:p>
    <w:p>
      <w:pPr>
        <w:pStyle w:val="ListBullet"/>
      </w:pPr>
      <w:r>
        <w:t>Topiques acides (acide rétinoïque, peroxyde de benzoyle) : irritation additive. Éviter l'association sur la même zone, ou espacer les applications de plusieurs heures.</w:t>
      </w:r>
    </w:p>
    <w:p>
      <w:r/>
      <w:r>
        <w:rPr>
          <w:b/>
        </w:rPr>
        <w:t>Grossesse et Allaitement :</w:t>
      </w:r>
      <w:r/>
    </w:p>
    <w:p>
      <w:pPr>
        <w:pStyle w:val="ListBullet"/>
      </w:pPr>
      <w:r>
        <w:t>Grossesse : les données du CRAT classent le résorcinol topique en « à éviter par mesure de précaution » pendant la grossesse. Les études animales ont montré une toxicité fœtale (convulsions fœtales, hypothyroïdie néonatale) à doses systémiques, mais les données humaines sont limitées. Le passage systémique topique est faible mais non négligeable en cas d'application étendue. Recommandations : éviter pendant toute la grossesse, en particulier au 1er trimestre (période de l'organogenèse) et au 3e trimestre (risque d'hypothyroïdie néonatale). En cas d'usage indispensable (otite externe réfractaire), application stricte sur le conduit auditif externe, à faible concentration, pendant une durée limitée.</w:t>
      </w:r>
    </w:p>
    <w:p>
      <w:pPr>
        <w:pStyle w:val="ListBullet"/>
      </w:pPr>
      <w:r>
        <w:t>Allaitement : contre-indication absolue sur les seins. Utilisable avec prudence sur les autres zones, en respectant les contre-indications habituelles et en évitant le contact du nourrisson avec la zone traitée.</w:t>
      </w:r>
    </w:p>
    <w:p>
      <w:pPr>
        <w:pStyle w:val="ListBullet"/>
      </w:pPr>
      <w:r>
        <w:t>Femme en âge de procréer : aucune contraception obligatoire. Test de grossesse recommandé avant initiation d'un traitement prolongé.</w:t>
      </w:r>
    </w:p>
    <w:p>
      <w:pPr>
        <w:pStyle w:val="ListBullet"/>
      </w:pPr>
      <w:r>
        <w:t>Homme traité : pas de retentissement sur la fertilité ou la spermatogenèse. Aucune précaution particulière.</w:t>
      </w:r>
    </w:p>
    <w:p>
      <w:r/>
      <w:r>
        <w:rPr>
          <w:b/>
        </w:rPr>
        <w:t>Posologie et Mode d'administration (Standard) :</w:t>
      </w:r>
      <w:r/>
    </w:p>
    <w:p>
      <w:pPr>
        <w:pStyle w:val="ListBullet"/>
      </w:pPr>
      <w:r>
        <w:t>Dermatite séborrhéique du cuir chevelu (légère à modérée) : application 2 fois par jour d'une lotion ou d'un gel contenant du résorcinol à 0,03 à 0,5 % (Synthol®, Seinthol® gel). Massage doux du cuir chevelu, laisser sécher, ne pas rincer. Durée de traitement : 2 à 4 semaines en cycle d'attaque, puis 1 à 2 applications par semaine en entretien.</w:t>
      </w:r>
    </w:p>
    <w:p>
      <w:pPr>
        <w:pStyle w:val="ListBullet"/>
      </w:pPr>
      <w:r>
        <w:t>Psoriasis capillaire léger : application 2 fois par jour. Association possible avec un dermocorticoïde en lotion. Orientation dermatologique en cas d'inefficacité à 4 semaines.</w:t>
      </w:r>
    </w:p>
    <w:p>
      <w:pPr>
        <w:pStyle w:val="ListBullet"/>
      </w:pPr>
      <w:r>
        <w:t>Prurit du cuir chevelu : application 1 à 2 fois par jour sur le cuir chevelu, en massant doucement.</w:t>
      </w:r>
    </w:p>
    <w:p>
      <w:pPr>
        <w:pStyle w:val="ListBullet"/>
      </w:pPr>
      <w:r>
        <w:t>Otite externe (Osmotol®) : instillation de 2 à 3 gouttes dans le conduit auditif externe, 2 à 3 fois par jour, après nettoyage auriculaire. Durée de traitement : 5 à 7 jours. Ne pas dépasser 10 jours.</w:t>
      </w:r>
    </w:p>
    <w:p>
      <w:pPr>
        <w:pStyle w:val="ListBullet"/>
      </w:pPr>
      <w:r>
        <w:t>Voie d'application : strictement cutanée ou auriculaire. Ne pas appliquer sur muqueuse (buccale, génitale, oculaire). Ne pas utiliser en bain de bouche (risque d'absorption sublinguale et de toxicité systémique). En cas d'application accidentelle sur muqueuse, rincer abondamment à l'eau.</w:t>
      </w:r>
    </w:p>
    <w:p>
      <w:pPr>
        <w:pStyle w:val="ListBullet"/>
      </w:pPr>
      <w:r>
        <w:t>Quantité par application : variable selon l'indication. Pour le cuir chevelu, 2 à 5 mL de solution par application. Pour le conduit auditif, 2 à 3 gouttes.</w:t>
      </w:r>
    </w:p>
    <w:p>
      <w:pPr>
        <w:pStyle w:val="ListBullet"/>
      </w:pPr>
      <w:r>
        <w:t>Modalités pratiques : appliquer sur peau sèche et propre, en couche fine, en massant doucement. Se laver les mains après application. En cas d'application sur le cuir chevelu, attendre le séchage complet avant de se coiffer.</w:t>
      </w:r>
    </w:p>
    <w:p>
      <w:pPr>
        <w:pStyle w:val="ListBullet"/>
      </w:pPr>
      <w:r>
        <w:t>Arrêt du traitement : en cas d'efficacité complète (disparition des symptômes), arrêt simple. En cas d'effet indésirable (irritation, convulsions, méthémoglobinémie, dysthyroïdie), arrêt immédiat et consultation médicale.</w:t>
      </w:r>
    </w:p>
    <w:p>
      <w:r/>
      <w:r>
        <w:rPr>
          <w:b/>
        </w:rPr>
        <w:t>Surveillance Biologique et Suivi Clinique :</w:t>
      </w:r>
      <w:r/>
    </w:p>
    <w:p>
      <w:pPr>
        <w:pStyle w:val="ListBullet"/>
      </w:pPr>
      <w:r>
        <w:t>Surveillance clinique : évaluation de l'efficacité à 2 semaines (dermatite séborrhéique : disparition des squames et du prurit ; otite : disparition de l'otalgie et de l'écoulement), de la tolérance locale (irritation, érythème), de l'observance.</w:t>
      </w:r>
    </w:p>
    <w:p>
      <w:pPr>
        <w:pStyle w:val="ListBullet"/>
      </w:pPr>
      <w:r>
        <w:t>Surveillance cutanée : recherche de signes d'irritation, de dermite de contact, de pigmentation brunâtre (usage prolongé).</w:t>
      </w:r>
    </w:p>
    <w:p>
      <w:pPr>
        <w:pStyle w:val="ListBullet"/>
      </w:pPr>
      <w:r>
        <w:t>Surveillance systémique (en cas d'application étendue, d'usage prolongé, d'enfant, de femme enceinte) : dosage de la méthémoglobinémie (seuil toxique &gt; 2 %), de la TSH, de la T4 libre, de l'hémostase, de la fonction hépatique (ALAT, ASAT), de la fonction rénale (créatininémie), surveillance de la SpO2.</w:t>
      </w:r>
    </w:p>
    <w:p>
      <w:pPr>
        <w:pStyle w:val="ListBullet"/>
      </w:pPr>
      <w:r>
        <w:t>Surveillance à long terme : examen dermatologique annuel, surveillance de la fonction thyroïdienne en cas d'usage prolongé.</w:t>
      </w:r>
    </w:p>
    <w:p>
      <w:r/>
      <w:r>
        <w:rPr>
          <w:b/>
        </w:rPr>
        <w:t>Arbitrage et Bénéfices des Formes Galéniques :</w:t>
      </w:r>
      <w:r/>
    </w:p>
    <w:p>
      <w:pPr>
        <w:pStyle w:val="ListBullet"/>
      </w:pPr>
      <w:r>
        <w:t>Gel (Synthol gel, Seinthol gel) : forme moderne, plus cosmétique que la solution historique. Avantages : application facile, séchage rapide, non gras, bonne tolérance locale. Inconvénients : concentration moindre en résorcinol (0,03 à 0,5 %), efficacité modérée.</w:t>
      </w:r>
    </w:p>
    <w:p>
      <w:pPr>
        <w:pStyle w:val="ListBullet"/>
      </w:pPr>
      <w:r>
        <w:t>Solution (Synthol, Seinthol, Stocalm — retirés du marché algérien pour les solutions bains de bouche) : forme historique. Avantages : pénétration profonde, efficacité supérieure. Inconvénients : effet gras, maculation des vêtements, toxicité systémique en cas d'usage en bain de bouche (absorption sublinguale).</w:t>
      </w:r>
    </w:p>
    <w:p>
      <w:pPr>
        <w:pStyle w:val="ListBullet"/>
      </w:pPr>
      <w:r>
        <w:t>Solution auriculaire (Osmotol®) : indiquée pour l'otite externe. Avantages : application précise, efficacité rapide. Inconvénients : usage strictement auriculaire, ne pas dépasser 10 jours.</w:t>
      </w:r>
    </w:p>
    <w:p>
      <w:pPr>
        <w:pStyle w:val="ListBullet"/>
      </w:pPr>
      <w:r>
        <w:t>Comparaison avec l'acide salicylique : l'acide salicylique a un profil de toxicité différent (salicylisme) et reste le kératolytique de référence. Le résorcinol est plutôt réservé aux affections bénignes du cuir chevelu où son action antiseptique et antiprurigineuse est appréciée.</w:t>
      </w:r>
    </w:p>
    <w:p>
      <w:pPr>
        <w:pStyle w:val="ListBullet"/>
      </w:pPr>
      <w:r>
        <w:t>Comparaison avec les dermocorticoïdes : les dermocorticoïdes en lotion (climbazole, ketoconazole) sont supérieurs dans la dermatite séborrhéique, mais plus coûteux. Le résorcinol reste une alternative économique pour les formes légères.</w:t>
      </w:r>
    </w:p>
    <w:p>
      <w:pPr>
        <w:pStyle w:val="ListBullet"/>
      </w:pPr>
      <w:r>
        <w:t>Comparaison avec les antifongiques imidazolés (ketoconazole shampooing) : les imidazolés sont supérieurs dans la dermatite séborrhéique (cible Malassezia furfur), mais nécessitent une prescription médicale et sont plus coûteux.</w:t>
      </w:r>
    </w:p>
    <w:p>
      <w:r/>
      <w:r>
        <w:rPr>
          <w:b/>
        </w:rPr>
        <w:t>Instructions et Conseils au Patient :</w:t>
      </w:r>
      <w:r/>
    </w:p>
    <w:p>
      <w:pPr>
        <w:pStyle w:val="ListBullet"/>
      </w:pPr>
      <w:r>
        <w:t>Communication : « Le résorcinol est un kératolytique et antiseptique utilisé en lotion ou en gel pour les affections bénignes du cuir chevelu (dermatite séborrhéique, psoriasis capillaire léger, prurit) et en solution auriculaire pour les otites externes. Appliquez en couche fine, 1 à 2 fois par jour sur le cuir chevelu. Ne pas utiliser en bain de bouche. Ne pas dépasser 4 semaines de traitement continu. Si vous êtes enceinte ou allaitez, si vous avez des antécédents de convulsions, d'épilepsie, d'hypothyroïdie, ou un déficit en G6PD, parlez-en à votre médecin. En cas de cyanose (lèvres bleues), de confusion, de tremblements, de crampes, de polypnée, arrêtez immédiatement et consultez. »</w:t>
      </w:r>
    </w:p>
    <w:p>
      <w:pPr>
        <w:pStyle w:val="ListBullet"/>
      </w:pPr>
      <w:r>
        <w:t>Observance : appliquer à heure fixe, tenir un calendrier d'application, ne pas dépasser la dose maximale hebdomadaire, ne pas utiliser en bain de bouche. En cas d'oubli d'une application, ne pas doubler la dose suivante.</w:t>
      </w:r>
    </w:p>
    <w:p>
      <w:pPr>
        <w:pStyle w:val="ListBullet"/>
      </w:pPr>
      <w:r>
        <w:t>Alerte : consulter immédiatement en cas de cyanose, de confusion, de tremblements, de crampes, de polypnée (suspicion de toxicité systémique), d'aggravation de la dermatose, d'apparition d'une infection.</w:t>
      </w:r>
    </w:p>
    <w:p>
      <w:pPr>
        <w:pStyle w:val="ListBullet"/>
      </w:pPr>
      <w:r>
        <w:t>Prévention : éviter l'application sur muqueuse, sur peau lésée, sur surface étendue. Éviter l'usage prolongé. Éviter l'occlusion.</w:t>
      </w:r>
    </w:p>
    <w:p>
      <w:pPr>
        <w:pStyle w:val="ListBullet"/>
      </w:pPr>
      <w:r>
        <w:t>Hygiène : douches tièdes courtes, savons surgras sans parfum, séchage par tamponnement. Pour le cuir chevelu, shampooing doux non irritant.</w:t>
      </w:r>
    </w:p>
    <w:p>
      <w:r/>
      <w:r>
        <w:rPr>
          <w:b/>
        </w:rPr>
        <w:t>Notes, Règles d'Or &amp; Pièges au Comptoir :</w:t>
      </w:r>
      <w:r/>
    </w:p>
    <w:p>
      <w:pPr>
        <w:pStyle w:val="ListBullet"/>
      </w:pPr>
      <w:r>
        <w:t>Piège : les solutions Synthol®, Seinthol®, Stocalm® (bain de bouche) sont aujourd'hui retirées du marché algérien en raison du risque de toxicité systémique par absorption sublinguale. Ne pas les dispenser en bain de bouche.</w:t>
      </w:r>
    </w:p>
    <w:p>
      <w:pPr>
        <w:pStyle w:val="ListBullet"/>
      </w:pPr>
      <w:r>
        <w:t>Règle : privilégier les formes en gel (Synthol gel, Seinthol gel) plus modernes et moins toxiques.</w:t>
      </w:r>
    </w:p>
    <w:p>
      <w:pPr>
        <w:pStyle w:val="ListBullet"/>
      </w:pPr>
      <w:r>
        <w:t>Piège : ne pas appliquer le résorcinol sur muqueuse (buccale, génitale, oculaire). En cas d'application accidentelle, rincer abondamment à l'eau.</w:t>
      </w:r>
    </w:p>
    <w:p>
      <w:pPr>
        <w:pStyle w:val="ListBullet"/>
      </w:pPr>
      <w:r>
        <w:t>Règle : chez l'enfant de moins de 6 ans, contre-indication absolue. Entre 6 et 12 ans, concentration maximale 2 %, surface limitée, durée maximale 2 semaines.</w:t>
      </w:r>
    </w:p>
    <w:p>
      <w:pPr>
        <w:pStyle w:val="ListBullet"/>
      </w:pPr>
      <w:r>
        <w:t>Piège : chez la femme enceinte et allaitante, contre-indication absolue par mesure de précaution.</w:t>
      </w:r>
    </w:p>
    <w:p>
      <w:pPr>
        <w:pStyle w:val="ListBullet"/>
      </w:pPr>
      <w:r>
        <w:t>Règle : en cas d'antécédent d'épilepsie, de déficit en G6PD, d'hypothyroïdie, contre-indication relative.</w:t>
      </w:r>
    </w:p>
    <w:p>
      <w:pPr>
        <w:pStyle w:val="ListBullet"/>
      </w:pPr>
      <w:r>
        <w:t>Piège : ne pas associer à d'autres médicaments méthémoglobinisants (dapsone, prilocaïne, sulfamides).</w:t>
      </w:r>
    </w:p>
    <w:p>
      <w:pPr>
        <w:pStyle w:val="ListBullet"/>
      </w:pPr>
      <w:r>
        <w:t>Règle : en cas d'usage prolongé (&gt; 4 semaines) ou étendu (&gt; 20 % surface corporelle), surveillance de la méthémoglobinémie, de la TSH, de la fonction hépatique et rénale.</w:t>
      </w:r>
    </w:p>
    <w:p>
      <w:pPr>
        <w:pStyle w:val="ListBullet"/>
      </w:pPr>
      <w:r>
        <w:t>Piège : en cas de cyanose, de confusion, de tremblements, de crampes, suspecter une toxicité systémique et orienter en urgence vers le service d'urgences.</w:t>
      </w:r>
    </w:p>
    <w:p>
      <w:pPr>
        <w:pStyle w:val="ListBullet"/>
      </w:pPr>
      <w:r>
        <w:t>Règle : la solution Osmotol® (résorcinol + éphédrine) est strictement réservée à l'instillation auriculaire. Ne pas appliquer sur la peau.</w:t>
      </w:r>
    </w:p>
    <w:p>
      <w:pPr>
        <w:pStyle w:val="Heading3"/>
      </w:pPr>
      <w:r>
        <w:t>123.5 DCI : Urée (topique)</w:t>
      </w:r>
    </w:p>
    <w:p>
      <w:r/>
      <w:r>
        <w:rPr>
          <w:b/>
        </w:rPr>
        <w:t>Liste des Catégories :</w:t>
      </w:r>
      <w:r>
        <w:t xml:space="preserve"> Dermatologie ; Kératolytique et hydratant topique ; Urée (carbamide, diamide de l'acide carbonique) ; Traitement de la xérose cutanée, ichtyose, psoriasis (en complément), kératodermies palmoplantaires, onychomycose ; Hors liste (principalement disponible en dermo-cosmétique).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HELIKIT</w:t>
            </w:r>
          </w:p>
        </w:tc>
        <w:tc>
          <w:tcPr>
            <w:tcW w:type="dxa" w:w="1559"/>
          </w:tcPr>
          <w:p>
            <w:r>
              <w:rPr>
                <w:sz w:val="20"/>
              </w:rPr>
              <w:t>MAYOLY PHARMA FRANCE</w:t>
            </w:r>
          </w:p>
        </w:tc>
        <w:tc>
          <w:tcPr>
            <w:tcW w:type="dxa" w:w="1559"/>
          </w:tcPr>
          <w:p>
            <w:r>
              <w:rPr>
                <w:sz w:val="20"/>
              </w:rPr>
              <w:t>Poudre pour solution buvable — urée 13C 75 mg + acide citrique anhydre 1,4 g</w:t>
            </w:r>
          </w:p>
        </w:tc>
        <w:tc>
          <w:tcPr>
            <w:tcW w:type="dxa" w:w="1559"/>
          </w:tcPr>
          <w:p>
            <w:r>
              <w:rPr>
                <w:sz w:val="20"/>
              </w:rPr>
              <w:t>Flacon de poudre</w:t>
            </w:r>
          </w:p>
        </w:tc>
        <w:tc>
          <w:tcPr>
            <w:tcW w:type="dxa" w:w="1559"/>
          </w:tcPr>
          <w:p>
            <w:r>
              <w:rPr>
                <w:sz w:val="20"/>
              </w:rPr>
              <w:t>Liste I</w:t>
            </w:r>
          </w:p>
        </w:tc>
        <w:tc>
          <w:tcPr>
            <w:tcW w:type="dxa" w:w="1559"/>
          </w:tcPr>
          <w:p>
            <w:r>
              <w:rPr>
                <w:sz w:val="20"/>
              </w:rPr>
              <w:t>Actif</w:t>
            </w:r>
          </w:p>
        </w:tc>
      </w:tr>
    </w:tbl>
    <w:p/>
    <w:p>
      <w:r/>
      <w:r>
        <w:rPr>
          <w:b/>
        </w:rPr>
        <w:t>Note importante sur la disponibilité algérienne :</w:t>
      </w:r>
      <w:r>
        <w:t xml:space="preserve"> Le tableau ci-dessus reflète la seule spécialité médicamenteuse contenant de l'urée enregistrée dans la nomenclature algérienne officielle (avril 2026) : Helikit® (urée 13C marquée au carbone 13, utilisée pour le test respiratoire de détection de Helicobacter pylori en gastro-entérologie, et non pour un usage dermatologique). Les formes topiques d'urée (crèmes, pommades, baumes, lotions) ne sont pas enregistrées comme médicaments dans la nomenclature algérienne mais sont largement disponibles en tant que dispositifs médicaux ou produits dermo-cosmétiques dans les pharmacies et parapharmacies algériennes : Ureaderm® (Laboratoires La Roche-Posay), Lipikar Baume AP+® (La Roche-Posay, contenant 10 % d'urée), Cétaphil Restoraderm® (Galderma), A-Derma Exomega® (Pierre Fabre), Uriage Bariederm® (contenant 10-20 % d'urée), Vichy Lipositis® (contenant 10 % d'urée), Kertyol PSP Ducray® (contenant 5 % d'urée). Le pharmacien d'officine algérien dispense quotidiennement ces produits et joue un rôle central dans le choix de la concentration adaptée à chaque indication. La fiche clinique qui suit documente la pharmacologie de l'urée topique telle qu'elle est pratiquée en dermatologie clinique et cosmétologie dermatologique.</w:t>
      </w:r>
    </w:p>
    <w:p>
      <w:r/>
      <w:r>
        <w:rPr>
          <w:b/>
        </w:rPr>
        <w:t>Sous-classe et Mécanisme d'action :</w:t>
      </w:r>
      <w:r/>
    </w:p>
    <w:p>
      <w:pPr>
        <w:pStyle w:val="ListBullet"/>
      </w:pPr>
      <w:r>
        <w:t>Sous-classe : Kératolytiques et hydratants topiques (ATC D02AE — émollients et protecteurs). L'urée (carbamide, NH2-CO-NH2) est un constituant naturel de l'organisme, produit final du métabolisme azoté, excrété par le rein. Dans la peau, elle est naturellement présente dans le facteur naturel d'hydratation (NMF, Natural Moisturizing Factor) du stratum corneum, où elle contribue pour environ 7 % à la capacité de rétention hydrique de la couche cornée. Poids moléculaire 60,06 g/mol. Très soluble dans l'eau et l'alcool.</w:t>
      </w:r>
    </w:p>
    <w:p>
      <w:pPr>
        <w:pStyle w:val="ListBullet"/>
      </w:pPr>
      <w:r>
        <w:t>Mécanisme d'action hydratant (concentrations 2-10 %) : trois mécanismes complémentaires : (i) effet humectant — l'urée est fortement hygroscopique (capte l'eau atmosphérique pour la restituer au stratum corneum, augmentant ainsi la teneur en eau libre et liée de la couche cornée) ; (ii) effet sur la barrière cutanée — l'urée stimule la synthèse des céramides (en particulier les céramides 1 et 3) par les kératinocytes, renforçant la cohésion intercornéocytaire et diminuant la perte insensible en eau (TEWL, TransEpidermal Water Loss) ; (iii) effet sur la différenciation épidermique — l'urée augmente l'expression de la filaggrine (qui est elle-même dégradée en NMF dont l'urée est un constituant), de l'involucrine et de la transglutaminase, restaurant ainsi une différenciation normale.</w:t>
      </w:r>
    </w:p>
    <w:p>
      <w:pPr>
        <w:pStyle w:val="ListBullet"/>
      </w:pPr>
      <w:r>
        <w:t>Mécanisme d'action kératolytique (concentrations 10-40 %) : (i) rupture des liaisons hydrogène entre les feuillets kératinisés (désorganisation de la structure secondaire de la kératine) ; (ii) solubilisation des lipides intercornéocytaires (similaire à l'acide salicylique mais avec un mécanisme enzymatique indirect via activation des protéases kératinolytiques endogènes comme les caspases 14 et les kallikréines) ; (iii) augmentation de l'hydratation du stratum corneum qui favorise mécaniquement la desquamation.</w:t>
      </w:r>
    </w:p>
    <w:p>
      <w:pPr>
        <w:pStyle w:val="ListBullet"/>
      </w:pPr>
      <w:r>
        <w:t>Concentration-dépendance de l'effet : (i) 2-10 % : effet hydratant dominant (indiqué dans la xérose simple, l'eczéma chronique, la dermatite atopique en complément des dermocorticoïdes, le vieillissement cutané) ; (ii) 10-20 % : effet kératoplastique modéré (indiqué dans l'ichtyose légère, le psoriasis en complément, la dermatite atopique sévère) ; (iii) 20-30 % : effet kératolytique modéré (indiqué dans l'ichtyose modérée, le psoriasis palmo-plantaire, la kératodermie modérée) ; (iv) 30-40 % : effet kératolytique fort (indiqué dans l'ichtyose sévère, la kératodermie palmoplantaire sévère, le psoriasis unguéal) ; (v) 40 % : effet dystrophique sur la matrice kératinique de l'ongle (indiqué dans l'onychomycose, en association avec un antifongique topique).</w:t>
      </w:r>
    </w:p>
    <w:p>
      <w:pPr>
        <w:pStyle w:val="ListBullet"/>
      </w:pPr>
      <w:r>
        <w:t>Mécanisme antiprurigineux : l'urée à 10 % exerce une action antiprurigineuse modérée par hydratation de la couche cornée et restauration de la fonction barrière (diminution de la stimulation des terminaisons nerveuses sensitives par les irritants exogènes).</w:t>
      </w:r>
    </w:p>
    <w:p>
      <w:pPr>
        <w:pStyle w:val="ListBullet"/>
      </w:pPr>
      <w:r>
        <w:t>Pharmacocinétique : l'urée traverse la barrière cutanée par diffusion passive. L'absorption systémique est minime (&lt; 5 % de la dose appliquée), même en cas d'application étendue ou prolongée. La molécule est naturellement présente dans le plasma (2,5 à 6,5 mmol/L), où elle reflète le métabolisme protéique et la fonction rénale. L'application cutanée n'augmente que marginalement la concentration plasmatique, qui reste dans les limites physiologiques. L'urée appliquée est en partie dégradée par la flore cutanée et les enzymes kératinocytaires, et en partie éliminée par rinçage. Cette absence d'effet systémique explique la très bonne tolérance de l'urée topique chez la femme enceinte, le nourrisson, le sujet âgé et l'insuffisant rénal — populations dans lesquelles l'acide salicylique est contre-indiqué ou à utiliser avec prudence.</w:t>
      </w:r>
    </w:p>
    <w:p>
      <w:r/>
      <w:r>
        <w:rPr>
          <w:b/>
        </w:rPr>
        <w:t>Profil Pharmacologique :</w:t>
      </w:r>
      <w:r/>
    </w:p>
    <w:p>
      <w:pPr>
        <w:pStyle w:val="ListBullet"/>
      </w:pPr>
      <w:r>
        <w:t>Indications : (i) xérose cutanée simple (crème 5-10 %) ; (ii) dermatite atopique en complément des dermocorticoïdes (crème 5-10 %) ; (iii) ichtyose vulgaire (crème ou pommade 10-20 %) ; (iv) psoriasis en plaques en complément des dermocorticoïdes et/ou du calcipotriol (crème 10-20 %) ; (v) kératodermie palmoplantaire (pommade 20-30 %) ; (vi) onychomycose (pommade 40 % en association avec un antifongique topique) ; (vii) vieillissement cutané (crème 5-10 %) ; (viii) prurit sénile ou prurit xérotique (crème 10 %) ; (ix) prévention des récidives de dermatite atopique (baume 5-10 % en application d'entretien).</w:t>
      </w:r>
    </w:p>
    <w:p>
      <w:pPr>
        <w:pStyle w:val="ListBullet"/>
      </w:pPr>
      <w:r>
        <w:t>Contre-indications : hypersensibilité à l'urée ou à l'un des excipients ; application sur peau lésée (érosion, ulcère) à concentration &gt; 20 % ; application sur muqueuse (buccale, génitale, oculaire) ; enfant de moins de 3 ans pour les concentrations &gt; 20 % (par mesure de précaution).</w:t>
      </w:r>
    </w:p>
    <w:p>
      <w:pPr>
        <w:pStyle w:val="ListBullet"/>
      </w:pPr>
      <w:r>
        <w:t>Effets indésirables locaux : irritation cutanée (fréquent à concentration &gt; 10 %, 10-20 % des patients — érythème, sensation de brûlure transitoire), dermite de contact (rare, 1-2 %), sécheresse cutanée paradoxale à concentration &gt; 30 % (effet osmotique inverse en cas d'application excessive). L'irritation initiale est transitoire (1 à 2 semaines) et peut être minimisée par augmentation progressive de la concentration et application sur peau bien hydratée.</w:t>
      </w:r>
    </w:p>
    <w:p>
      <w:pPr>
        <w:pStyle w:val="ListBullet"/>
      </w:pPr>
      <w:r>
        <w:t>Effets indésirables systémiques : néant. L'absorption systémique de l'urée topique est négligeable (&lt; 5 %) et n'augmente pas significativement la concentration plasmatique physiologique (2,5-6,5 mmol/L).</w:t>
      </w:r>
    </w:p>
    <w:p>
      <w:pPr>
        <w:pStyle w:val="ListBullet"/>
      </w:pPr>
      <w:r>
        <w:t>Effets indésirables à long terme : aucune toxicité cumulée connue. Utilisation au long cours possible sans surveillance biologique.</w:t>
      </w:r>
    </w:p>
    <w:p>
      <w:r/>
      <w:r>
        <w:rPr>
          <w:b/>
        </w:rPr>
        <w:t>Prévention et Gestion des Effets Indésirables :</w:t>
      </w:r>
      <w:r/>
    </w:p>
    <w:p>
      <w:pPr>
        <w:pStyle w:val="ListBullet"/>
      </w:pPr>
      <w:r>
        <w:t>Prévention de l'irritation initiale : (i) commencer par une concentration faible (5-10 %) pendant 1 à 2 semaines avant d'augmenter progressivement si nécessaire ; (ii) appliquer sur peau bien hydratée (post-douche, peau encore humide) ; (iii) application en couche fine, en massant doucement ; (iv) association à un émollient simple pour réduire l'irritation.</w:t>
      </w:r>
    </w:p>
    <w:p>
      <w:pPr>
        <w:pStyle w:val="ListBullet"/>
      </w:pPr>
      <w:r>
        <w:t>Prévention de la sécheresse paradoxale (à concentration &gt; 30 %) : ne pas appliquer en couche excessive, hydratation associée indispensable.</w:t>
      </w:r>
    </w:p>
    <w:p>
      <w:pPr>
        <w:pStyle w:val="ListBullet"/>
      </w:pPr>
      <w:r>
        <w:t>Gestion de l'irritation sévère : arrêt transitoire, application de dermocorticoïde faible pendant 5-7 jours, puis reprise à concentration moindre.</w:t>
      </w:r>
    </w:p>
    <w:p>
      <w:pPr>
        <w:pStyle w:val="ListBullet"/>
      </w:pPr>
      <w:r>
        <w:t>Prévention chez la femme enceinte : aucune précaution particulière. L'urée topique est considérée comme sûre pendant toute la grossesse.</w:t>
      </w:r>
    </w:p>
    <w:p>
      <w:pPr>
        <w:pStyle w:val="ListBullet"/>
      </w:pPr>
      <w:r>
        <w:t>Prévention chez l'enfant : utilisation possible dès la naissance à faible concentration (5-10 %). Concentration &gt; 20 % à éviter chez l'enfant de moins de 3 ans par mesure de précaution.</w:t>
      </w:r>
    </w:p>
    <w:p>
      <w:pPr>
        <w:pStyle w:val="ListBullet"/>
      </w:pPr>
      <w:r>
        <w:t>Prévention chez le sujet âgé : aucune précaution particulière. L'urée est particulièrement indiquée dans la xérose sénile et le prurit sénile.</w:t>
      </w:r>
    </w:p>
    <w:p>
      <w:pPr>
        <w:pStyle w:val="ListBullet"/>
      </w:pPr>
      <w:r>
        <w:t>Prévention chez l'insuffisant rénal : aucune précaution particulière. L'urée topique est préférable à l'acide salicylique chez l'insuffisant rénal.</w:t>
      </w:r>
    </w:p>
    <w:p>
      <w:r/>
      <w:r>
        <w:rPr>
          <w:b/>
        </w:rPr>
        <w:t>Interactions Médicamenteuses :</w:t>
      </w:r>
      <w:r/>
    </w:p>
    <w:p>
      <w:pPr>
        <w:pStyle w:val="ListBullet"/>
      </w:pPr>
      <w:r>
        <w:t>Acide salicylique : synergie kératolytique, mais augmentation de l'absorption systémique de l'acide salicylique (altération de la barrière cutanée par l'urée à haute concentration). Surveillance accrue en cas d'association.</w:t>
      </w:r>
    </w:p>
    <w:p>
      <w:pPr>
        <w:pStyle w:val="ListBullet"/>
      </w:pPr>
      <w:r>
        <w:t>Dermocorticoïdes : synergie dans le traitement du psoriasis et de la dermatite atopique (l'urée améliore la pénétration du dermocorticoïde). Espacer les applications de 15 minutes.</w:t>
      </w:r>
    </w:p>
    <w:p>
      <w:pPr>
        <w:pStyle w:val="ListBullet"/>
      </w:pPr>
      <w:r>
        <w:t>Calcipotriol : en théorie synergie, mais à éviter en pratique (inactivation possible du calcipotriol par modification du pH local).</w:t>
      </w:r>
    </w:p>
    <w:p>
      <w:pPr>
        <w:pStyle w:val="ListBullet"/>
      </w:pPr>
      <w:r>
        <w:t>Rétinoïdes topiques (trétinoïne, adapalène) : augmentation de l'irritation. Espacer les applications de plusieurs heures.</w:t>
      </w:r>
    </w:p>
    <w:p>
      <w:pPr>
        <w:pStyle w:val="ListBullet"/>
      </w:pPr>
      <w:r>
        <w:t>Peroxyde de benzoyle : augmentation de l'irritation. Espacer les applications de plusieurs heures.</w:t>
      </w:r>
    </w:p>
    <w:p>
      <w:pPr>
        <w:pStyle w:val="ListBullet"/>
      </w:pPr>
      <w:r>
        <w:t>Antifongiques topiques (ketoconazole, clotrimazole) : synergie dans l'onychomycose (l'urée à 40 % facilite la pénétration de l'antifongique dans la matrice kératinique de l'ongle).</w:t>
      </w:r>
    </w:p>
    <w:p>
      <w:pPr>
        <w:pStyle w:val="ListBullet"/>
      </w:pPr>
      <w:r>
        <w:t>Topiques alcoolisés : augmentation de l'irritation. Éviter l'association sur peau lésée.</w:t>
      </w:r>
    </w:p>
    <w:p>
      <w:r/>
      <w:r>
        <w:rPr>
          <w:b/>
        </w:rPr>
        <w:t>Grossesse et Allaitement :</w:t>
      </w:r>
      <w:r/>
    </w:p>
    <w:p>
      <w:pPr>
        <w:pStyle w:val="ListBullet"/>
      </w:pPr>
      <w:r>
        <w:t>Grossesse : les données du CRAT classent l'urée topique en « utilisable sans restriction » pendant la grossesse. L'absorption systémique est négligeable (&lt; 5 %) et n'augmente pas significativement la concentration plasmatique physiologique. Utilisable à toutes les concentrations et pendant toute la durée de la grossesse. Aucune surveillance particulière nécessaire.</w:t>
      </w:r>
    </w:p>
    <w:p>
      <w:pPr>
        <w:pStyle w:val="ListBullet"/>
      </w:pPr>
      <w:r>
        <w:t>Allaitement : compatible avec l'allaitement. Utilisable sur tout le corps, en évitant l'application directe sur les seins (en cas d'application, nettoyer soigneusement avant la tétée).</w:t>
      </w:r>
    </w:p>
    <w:p>
      <w:pPr>
        <w:pStyle w:val="ListBullet"/>
      </w:pPr>
      <w:r>
        <w:t>Femme en âge de procréer : aucune contraception obligatoire. Aucune précaution particulière.</w:t>
      </w:r>
    </w:p>
    <w:p>
      <w:pPr>
        <w:pStyle w:val="ListBullet"/>
      </w:pPr>
      <w:r>
        <w:t>Homme traité : pas de retentissement sur la fertilité ou la spermatogenèse. Aucune précaution particulière.</w:t>
      </w:r>
    </w:p>
    <w:p>
      <w:r/>
      <w:r>
        <w:rPr>
          <w:b/>
        </w:rPr>
        <w:t>Posologie et Mode d'administration (Standard) :</w:t>
      </w:r>
      <w:r/>
    </w:p>
    <w:p>
      <w:pPr>
        <w:pStyle w:val="ListBullet"/>
      </w:pPr>
      <w:r>
        <w:t>Xérose cutanée simple : crème à 5-10 %, 2 à 3 applications par jour sur les zones sèches (jambes, bras, mains). Traitement prolongé (plusieurs mois).</w:t>
      </w:r>
    </w:p>
    <w:p>
      <w:pPr>
        <w:pStyle w:val="ListBullet"/>
      </w:pPr>
      <w:r>
        <w:t>Dermatite atopique (en complément des dermocorticoïdes) : crème à 5-10 %, 2 à 3 applications par jour. En traitement d'entretien proactif (après la phase d'attaque par dermocorticoïdes), 1 application par jour sur les zones à risque de récidive.</w:t>
      </w:r>
    </w:p>
    <w:p>
      <w:pPr>
        <w:pStyle w:val="ListBullet"/>
      </w:pPr>
      <w:r>
        <w:t>Ichtyose vulgaire : crème ou pommade à 10-20 %, 2 applications par jour. Traitement prolongé (à vie).</w:t>
      </w:r>
    </w:p>
    <w:p>
      <w:pPr>
        <w:pStyle w:val="ListBullet"/>
      </w:pPr>
      <w:r>
        <w:t>Psoriasis en plaques (en complément des dermocorticoïdes ou du calcipotriol) : crème à 10-20 %, 2 applications par jour sur les plaques épaisses. Durée d'un cycle d'attaque : 2 à 4 semaines. Entretien : 1 application par jour.</w:t>
      </w:r>
    </w:p>
    <w:p>
      <w:pPr>
        <w:pStyle w:val="ListBullet"/>
      </w:pPr>
      <w:r>
        <w:t>Kératodermie palmoplantaire : pommade à 20-30 %, 2 applications par jour sous pansement occlusif nocturne (12 heures par nuit). Durée : 2 à 4 semaines.</w:t>
      </w:r>
    </w:p>
    <w:p>
      <w:pPr>
        <w:pStyle w:val="ListBullet"/>
      </w:pPr>
      <w:r>
        <w:t>Onychomycose : pommade à 40 %, application sous pansement occlusif sur l'ongle atteint, à changer tous les jours. Association à un antifongique topique (amorolfine, ciclopirox). Durée : 3 à 6 mois (jusqu'à repousse complète de l'ongle sain). En cas d'onychomycose sévère (≥ 50 % de l'ongle atteint, matrice atteinte), association à un antifongique oral (terbinafine, itraconazole) sous surveillance biologique.</w:t>
      </w:r>
    </w:p>
    <w:p>
      <w:pPr>
        <w:pStyle w:val="ListBullet"/>
      </w:pPr>
      <w:r>
        <w:t>Prurit sénile ou prurit xérotique : crème à 10 %, 2 à 3 applications par jour. Traitement prolongé.</w:t>
      </w:r>
    </w:p>
    <w:p>
      <w:pPr>
        <w:pStyle w:val="ListBullet"/>
      </w:pPr>
      <w:r>
        <w:t>Voie d'application : strictement cutanée. Ne pas appliquer sur muqueuse (buccale, génitale, oculaire) — en cas d'application accidentelle, rincer abondamment à l'eau.</w:t>
      </w:r>
    </w:p>
    <w:p>
      <w:pPr>
        <w:pStyle w:val="ListBullet"/>
      </w:pPr>
      <w:r>
        <w:t>Quantité par application : règle des FTU. 1 FTU = 0,5 g couvre 2 palmes de main. Ne pas dépasser 100 g par jour pour un adulte.</w:t>
      </w:r>
    </w:p>
    <w:p>
      <w:pPr>
        <w:pStyle w:val="ListBullet"/>
      </w:pPr>
      <w:r>
        <w:t>Modalités pratiques : appliquer sur peau sèche et propre, en couche fine, en massant doucement jusqu'à pénétration complète. Pour optimiser l'hydratation, appliquer sur peau humide après la douche. Se laver les mains après application.</w:t>
      </w:r>
    </w:p>
    <w:p>
      <w:pPr>
        <w:pStyle w:val="ListBullet"/>
      </w:pPr>
      <w:r>
        <w:t>Arrêt du traitement : en cas d'efficacité complète, l'arrêt est simple (pas de rebond). En cas d'eczéma chronique ou d'ichtyose, le traitement d'entretien est prolongé voire continu.</w:t>
      </w:r>
    </w:p>
    <w:p>
      <w:r/>
      <w:r>
        <w:rPr>
          <w:b/>
        </w:rPr>
        <w:t>Surveillance Biologique et Suivi Clinique :</w:t>
      </w:r>
      <w:r/>
    </w:p>
    <w:p>
      <w:pPr>
        <w:pStyle w:val="ListBullet"/>
      </w:pPr>
      <w:r>
        <w:t>Surveillance clinique : évaluation de l'efficacité à 2-4 semaines (xérose : amélioration de la souplesse cutanée ; ichtyose : diminution des squames ; psoriasis : complément d'action des dermocorticoïdes ; onychomycose : amélioration de l'aspect de l'ongle), de la tolérance locale (irritation initiale transitoire), de l'observance.</w:t>
      </w:r>
    </w:p>
    <w:p>
      <w:pPr>
        <w:pStyle w:val="ListBullet"/>
      </w:pPr>
      <w:r>
        <w:t>Surveillance cutanée : recherche de signes d'irritation, de dermite de contact, de sécheresse paradoxale à haute concentration.</w:t>
      </w:r>
    </w:p>
    <w:p>
      <w:pPr>
        <w:pStyle w:val="ListBullet"/>
      </w:pPr>
      <w:r>
        <w:t>Surveillance systémique : aucune surveillance biologique nécessaire (absorption systémique négligeable). L'urée plasmatique reste dans les limites physiologiques.</w:t>
      </w:r>
    </w:p>
    <w:p>
      <w:pPr>
        <w:pStyle w:val="ListBullet"/>
      </w:pPr>
      <w:r>
        <w:t>Surveillance à long terme : examen dermatologique annuel. Pour les onychomycoses, suivi mycologique à 3 et 6 mois (examen direct et culture).</w:t>
      </w:r>
    </w:p>
    <w:p>
      <w:r/>
      <w:r>
        <w:rPr>
          <w:b/>
        </w:rPr>
        <w:t>Arbitrage et Bénéfices des Formes Galéniques :</w:t>
      </w:r>
      <w:r/>
    </w:p>
    <w:p>
      <w:pPr>
        <w:pStyle w:val="ListBullet"/>
      </w:pPr>
      <w:r>
        <w:t>Crème à 5-10 % : forme de référence pour la xérose simple, l'eczéma chronique, le vieillissement cutané. Avantages : application facile, hydratation intense, bonne cosméticité, tolérance locale supérieure. Inconvénients : efficacité kératolytique limitée.</w:t>
      </w:r>
    </w:p>
    <w:p>
      <w:pPr>
        <w:pStyle w:val="ListBullet"/>
      </w:pPr>
      <w:r>
        <w:t>Pommade à 20-40 % : indiquée pour les ichtyoses sévères, les kératodermies palmoplantaires, les onychomycoses. Avantages : occlusivité favorisant la pénétration, efficacité kératolytique maximale. Inconvénients : effet gras, maculation des vêtements.</w:t>
      </w:r>
    </w:p>
    <w:p>
      <w:pPr>
        <w:pStyle w:val="ListBullet"/>
      </w:pPr>
      <w:r>
        <w:t>Lotion à 5-10 % : indiquée pour le cuir chevelu et les zones pileuses. Avantages : application facile, séchage rapide, non gras. Inconvénients : hydratation moindre que la crème.</w:t>
      </w:r>
    </w:p>
    <w:p>
      <w:pPr>
        <w:pStyle w:val="ListBullet"/>
      </w:pPr>
      <w:r>
        <w:t>Baume à 10 % : indiqué pour la dermatite atopique en traitement d'entretien. Avantages : tolérance locale supérieure, hydratation prolongée. Inconvénients : coût plus élevé que les crèmes simples.</w:t>
      </w:r>
    </w:p>
    <w:p>
      <w:pPr>
        <w:pStyle w:val="ListBullet"/>
      </w:pPr>
      <w:r>
        <w:t>Comparaison avec l'acide salicylique : l'urée à 20-30 % a une efficacité kératolytique comparable à l'acide salicylique à 10-20 %, avec une meilleure tolérance locale et un risque systémique moindre. Privilégier l'urée chez l'enfant, la femme enceinte, le sujet âgé, l'insuffisant rénal.</w:t>
      </w:r>
    </w:p>
    <w:p>
      <w:pPr>
        <w:pStyle w:val="ListBullet"/>
      </w:pPr>
      <w:r>
        <w:t>Comparaison avec le résorcinol : l'urée est supérieure en termes de tolérance locale et systémique. Privilégier l'urée en première intention.</w:t>
      </w:r>
    </w:p>
    <w:p>
      <w:pPr>
        <w:pStyle w:val="ListBullet"/>
      </w:pPr>
      <w:r>
        <w:t>Comparaison avec la vaseline : la vaseline est un hydratant supérieur mais n'a pas d'action kératolytique. Association souvent synergique.</w:t>
      </w:r>
    </w:p>
    <w:p>
      <w:pPr>
        <w:pStyle w:val="ListBullet"/>
      </w:pPr>
      <w:r>
        <w:t>Comparaison avec les dermocorticoïdes : les dermocorticoïdes ont une action anti-inflammatoire mais pas d'action kératolytique ni hydratante propre. Association souvent synergique (l'urée améliore la pénétration du dermocorticoïde).</w:t>
      </w:r>
    </w:p>
    <w:p>
      <w:r/>
      <w:r>
        <w:rPr>
          <w:b/>
        </w:rPr>
        <w:t>Instructions et Conseils au Patient :</w:t>
      </w:r>
      <w:r/>
    </w:p>
    <w:p>
      <w:pPr>
        <w:pStyle w:val="ListBullet"/>
      </w:pPr>
      <w:r>
        <w:t>Communication : « L'urée est un hydratant naturellement présent dans la peau. À faible concentration (5-10 %), elle hydrate la peau sèche et restaure la barrière cutanée. À forte concentration (20-40 %), elle devient kératolytique et aide à éliminer les squames épaisses (ichtyose, psoriasis, kératodermie). Appliquez-la 2 à 3 fois par jour sur les zones concernées. En cas d'irritation initiale (légère sensation de brûlure), persévérez : elle est transitoire (1 à 2 semaines). Si vous êtes enceinte ou allaitez, l'urée est sûre et peut être utilisée sans restriction. Pour les ongles atteints de mycose, appliquez la pommade à 40 % sous pansement occlusif pendant plusieurs mois, en association avec un antifongique. »</w:t>
      </w:r>
    </w:p>
    <w:p>
      <w:pPr>
        <w:pStyle w:val="ListBullet"/>
      </w:pPr>
      <w:r>
        <w:t>Observance : appliquer à heure fixe, tenir un calendrier d'application, ne pas doubler la dose en cas d'oubli. Pour optimiser l'hydratation, appliquer sur peau humide après la douche.</w:t>
      </w:r>
    </w:p>
    <w:p>
      <w:pPr>
        <w:pStyle w:val="ListBullet"/>
      </w:pPr>
      <w:r>
        <w:t>Alerte : consulter en cas d'irritation sévère persistante, de dermite de contact, d'aggravation de la dermatose sous-jacente, d'absence d'amélioration après 4 semaines de traitement bien conduit.</w:t>
      </w:r>
    </w:p>
    <w:p>
      <w:pPr>
        <w:pStyle w:val="ListBullet"/>
      </w:pPr>
      <w:r>
        <w:t>Prévention : éviter l'application sur muqueuse. Pour les concentrations &gt; 20 %, commencer par applications espacées (1 fois par jour) pendant 1 semaine, puis augmentation à 2 fois par jour si tolérance bonne.</w:t>
      </w:r>
    </w:p>
    <w:p>
      <w:pPr>
        <w:pStyle w:val="ListBullet"/>
      </w:pPr>
      <w:r>
        <w:t>Hygiène : douches tièdes courtes (&lt; 5 minutes), savons surgras sans parfum, séchage par tamponnement (pas de friction), application de l'urée immédiatement après la douche sur peau humide.</w:t>
      </w:r>
    </w:p>
    <w:p>
      <w:r/>
      <w:r>
        <w:rPr>
          <w:b/>
        </w:rPr>
        <w:t>Notes, Règles d'Or &amp; Pièges au Comptoir :</w:t>
      </w:r>
      <w:r/>
    </w:p>
    <w:p>
      <w:pPr>
        <w:pStyle w:val="ListBullet"/>
      </w:pPr>
      <w:r>
        <w:t>Piège : la seule spécialité algérienne contenant de l'urée enregistrée dans la nomenclature officielle (Helikit® Mayoly Pharma) est de l'urée 13C marquée pour le test respiratoire de Helicobacter pylori — ne pas dispenser pour usage dermatologique.</w:t>
      </w:r>
    </w:p>
    <w:p>
      <w:pPr>
        <w:pStyle w:val="ListBullet"/>
      </w:pPr>
      <w:r>
        <w:t>Règle : les formes topiques d'urée sont disponibles en dermo-cosmétique (Ureaderm, Lipikar Baume AP+, Cétaphil Restoraderm, Uriage Bariederm, Vichy Lipositis). Le pharmacien joue un rôle central dans le choix de la concentration adaptée.</w:t>
      </w:r>
    </w:p>
    <w:p>
      <w:pPr>
        <w:pStyle w:val="ListBullet"/>
      </w:pPr>
      <w:r>
        <w:t>Piège : la concentration doit être adaptée à l'indication : 5-10 % pour la xérose simple ; 10-20 % pour l'ichtyose et le psoriasis en complément ; 20-30 % pour les kératodermies ; 40 % pour les onychomycoses.</w:t>
      </w:r>
    </w:p>
    <w:p>
      <w:pPr>
        <w:pStyle w:val="ListBullet"/>
      </w:pPr>
      <w:r>
        <w:t>Règle : commencer par une concentration faible et augmenter progressivement si nécessaire, pour minimiser l'irritation initiale.</w:t>
      </w:r>
    </w:p>
    <w:p>
      <w:pPr>
        <w:pStyle w:val="ListBullet"/>
      </w:pPr>
      <w:r>
        <w:t>Piège : ne pas appliquer l'urée à haute concentration (&gt; 20 %) sur peau lésée ou érodée (risque d'absorption systémique et d'irritation sévère).</w:t>
      </w:r>
    </w:p>
    <w:p>
      <w:pPr>
        <w:pStyle w:val="ListBullet"/>
      </w:pPr>
      <w:r>
        <w:t>Règle : en cas de dermatite atopique, l'urée est un excellent traitement d'entretien proactif (1 application par jour sur les zones à risque de récidive).</w:t>
      </w:r>
    </w:p>
    <w:p>
      <w:pPr>
        <w:pStyle w:val="ListBullet"/>
      </w:pPr>
      <w:r>
        <w:t>Piège : ne pas associer à l'acide salicylique à forte concentration sans avis médical (augmentation de l'absorption systémique de l'acide salicylique).</w:t>
      </w:r>
    </w:p>
    <w:p>
      <w:pPr>
        <w:pStyle w:val="ListBullet"/>
      </w:pPr>
      <w:r>
        <w:t>Règle : chez la femme enceinte, l'urée est la molécule de choix pour le traitement de la xérose et de l'eczéma chronique (sécurité d'utilisation maximale).</w:t>
      </w:r>
    </w:p>
    <w:p>
      <w:pPr>
        <w:pStyle w:val="ListBullet"/>
      </w:pPr>
      <w:r>
        <w:t>Piège : l'efficacité de l'urée à 40 % sur l'onychomycose nécessite une application occlusive prolongée (3-6 mois) — surveiller l'observance et l'efficacité à 3 et 6 mois (examen mycologique).</w:t>
      </w:r>
    </w:p>
    <w:p>
      <w:pPr>
        <w:pStyle w:val="ListBullet"/>
      </w:pPr>
      <w:r>
        <w:t>Règle : en cas d'onychomycose sévère (≥ 50 % de l'ongle atteint, matrice atteinte), association à un antifongique oral (terbinafine, itraconazole) sous surveillance biologique (bilan hépatique à l'initiation et à 6 semaines).</w:t>
      </w:r>
    </w:p>
    <w:p>
      <w:pPr>
        <w:pStyle w:val="ListBullet"/>
      </w:pPr>
      <w:r>
        <w:t>Piège : l'urée ne doit pas être confondue avec l'urée 13C marquée (Helikit®) utilisée en gastro-entérologie pour le test respiratoire de Helicobacter pylori.</w:t>
      </w:r>
    </w:p>
    <w:p>
      <w:pPr>
        <w:pStyle w:val="Heading3"/>
      </w:pPr>
      <w:r>
        <w:t>123.6 Tableau Comparatif Synoptique des 5 DCIs</w:t>
      </w:r>
    </w:p>
    <w:tbl>
      <w:tblPr>
        <w:tblStyle w:val="LightGrid-Accent1"/>
        <w:tblW w:type="auto" w:w="0"/>
        <w:tblLook w:firstColumn="1" w:firstRow="1" w:lastColumn="0" w:lastRow="0" w:noHBand="0" w:noVBand="1" w:val="04A0"/>
      </w:tblPr>
      <w:tblGrid>
        <w:gridCol w:w="850"/>
        <w:gridCol w:w="850"/>
        <w:gridCol w:w="850"/>
        <w:gridCol w:w="850"/>
        <w:gridCol w:w="850"/>
        <w:gridCol w:w="850"/>
        <w:gridCol w:w="850"/>
        <w:gridCol w:w="850"/>
        <w:gridCol w:w="850"/>
        <w:gridCol w:w="850"/>
        <w:gridCol w:w="850"/>
      </w:tblGrid>
      <w:tr>
        <w:tc>
          <w:tcPr>
            <w:tcW w:type="dxa" w:w="850"/>
          </w:tcPr>
          <w:p>
            <w:r>
              <w:rPr>
                <w:b/>
                <w:sz w:val="20"/>
              </w:rPr>
              <w:t>DCI</w:t>
            </w:r>
          </w:p>
        </w:tc>
        <w:tc>
          <w:tcPr>
            <w:tcW w:type="dxa" w:w="850"/>
          </w:tcPr>
          <w:p>
            <w:r>
              <w:rPr>
                <w:b/>
                <w:sz w:val="20"/>
              </w:rPr>
              <w:t>Classe</w:t>
            </w:r>
          </w:p>
        </w:tc>
        <w:tc>
          <w:tcPr>
            <w:tcW w:type="dxa" w:w="850"/>
          </w:tcPr>
          <w:p>
            <w:r>
              <w:rPr>
                <w:b/>
                <w:sz w:val="20"/>
              </w:rPr>
              <w:t>Indication principale</w:t>
            </w:r>
          </w:p>
        </w:tc>
        <w:tc>
          <w:tcPr>
            <w:tcW w:type="dxa" w:w="850"/>
          </w:tcPr>
          <w:p>
            <w:r>
              <w:rPr>
                <w:b/>
                <w:sz w:val="20"/>
              </w:rPr>
              <w:t>Mécanisme central</w:t>
            </w:r>
          </w:p>
        </w:tc>
        <w:tc>
          <w:tcPr>
            <w:tcW w:type="dxa" w:w="850"/>
          </w:tcPr>
          <w:p>
            <w:r>
              <w:rPr>
                <w:b/>
                <w:sz w:val="20"/>
              </w:rPr>
              <w:t>Posologie standard</w:t>
            </w:r>
          </w:p>
        </w:tc>
        <w:tc>
          <w:tcPr>
            <w:tcW w:type="dxa" w:w="850"/>
          </w:tcPr>
          <w:p>
            <w:r>
              <w:rPr>
                <w:b/>
                <w:sz w:val="20"/>
              </w:rPr>
              <w:t>Voie</w:t>
            </w:r>
          </w:p>
        </w:tc>
        <w:tc>
          <w:tcPr>
            <w:tcW w:type="dxa" w:w="850"/>
          </w:tcPr>
          <w:p>
            <w:r>
              <w:rPr>
                <w:b/>
                <w:sz w:val="20"/>
              </w:rPr>
              <w:t>EI signature</w:t>
            </w:r>
          </w:p>
        </w:tc>
        <w:tc>
          <w:tcPr>
            <w:tcW w:type="dxa" w:w="850"/>
          </w:tcPr>
          <w:p>
            <w:r>
              <w:rPr>
                <w:b/>
                <w:sz w:val="20"/>
              </w:rPr>
              <w:t>CI majeures</w:t>
            </w:r>
          </w:p>
        </w:tc>
        <w:tc>
          <w:tcPr>
            <w:tcW w:type="dxa" w:w="850"/>
          </w:tcPr>
          <w:p>
            <w:r>
              <w:rPr>
                <w:b/>
                <w:sz w:val="20"/>
              </w:rPr>
              <w:t>Surveillance</w:t>
            </w:r>
          </w:p>
        </w:tc>
        <w:tc>
          <w:tcPr>
            <w:tcW w:type="dxa" w:w="850"/>
          </w:tcPr>
          <w:p>
            <w:r>
              <w:rPr>
                <w:b/>
                <w:sz w:val="20"/>
              </w:rPr>
              <w:t>Grossesse</w:t>
            </w:r>
          </w:p>
        </w:tc>
        <w:tc>
          <w:tcPr>
            <w:tcW w:type="dxa" w:w="850"/>
          </w:tcPr>
          <w:p>
            <w:r>
              <w:rPr>
                <w:b/>
                <w:sz w:val="20"/>
              </w:rPr>
              <w:t>Statut Algérie</w:t>
            </w:r>
          </w:p>
        </w:tc>
      </w:tr>
      <w:tr>
        <w:tc>
          <w:tcPr>
            <w:tcW w:type="dxa" w:w="850"/>
          </w:tcPr>
          <w:p>
            <w:r>
              <w:rPr>
                <w:sz w:val="20"/>
              </w:rPr>
              <w:t>Tacrolimus (topique)</w:t>
            </w:r>
          </w:p>
        </w:tc>
        <w:tc>
          <w:tcPr>
            <w:tcW w:type="dxa" w:w="850"/>
          </w:tcPr>
          <w:p>
            <w:r>
              <w:rPr>
                <w:sz w:val="20"/>
              </w:rPr>
              <w:t>Inhibiteur calcineurine topique</w:t>
            </w:r>
          </w:p>
        </w:tc>
        <w:tc>
          <w:tcPr>
            <w:tcW w:type="dxa" w:w="850"/>
          </w:tcPr>
          <w:p>
            <w:r>
              <w:rPr>
                <w:sz w:val="20"/>
              </w:rPr>
              <w:t>Dermatite atopique modérée à sévère, zones sensibles</w:t>
            </w:r>
          </w:p>
        </w:tc>
        <w:tc>
          <w:tcPr>
            <w:tcW w:type="dxa" w:w="850"/>
          </w:tcPr>
          <w:p>
            <w:r>
              <w:rPr>
                <w:sz w:val="20"/>
              </w:rPr>
              <w:t>Inhibition calcineurine → blocage NF-AT → ↓ TNFα/IL-2</w:t>
            </w:r>
          </w:p>
        </w:tc>
        <w:tc>
          <w:tcPr>
            <w:tcW w:type="dxa" w:w="850"/>
          </w:tcPr>
          <w:p>
            <w:r>
              <w:rPr>
                <w:sz w:val="20"/>
              </w:rPr>
              <w:t>2 applications/jour, 2-3 semaines</w:t>
            </w:r>
          </w:p>
        </w:tc>
        <w:tc>
          <w:tcPr>
            <w:tcW w:type="dxa" w:w="850"/>
          </w:tcPr>
          <w:p>
            <w:r>
              <w:rPr>
                <w:sz w:val="20"/>
              </w:rPr>
              <w:t>Cutanée stricte (pommade)</w:t>
            </w:r>
          </w:p>
        </w:tc>
        <w:tc>
          <w:tcPr>
            <w:tcW w:type="dxa" w:w="850"/>
          </w:tcPr>
          <w:p>
            <w:r>
              <w:rPr>
                <w:sz w:val="20"/>
              </w:rPr>
              <w:t>Sensation de brûlure initiale (60 %), prurit</w:t>
            </w:r>
          </w:p>
        </w:tc>
        <w:tc>
          <w:tcPr>
            <w:tcW w:type="dxa" w:w="850"/>
          </w:tcPr>
          <w:p>
            <w:r>
              <w:rPr>
                <w:sz w:val="20"/>
              </w:rPr>
              <w:t>Peau infectée, monothérapie psoriasis étendu, enfant &lt; 2 ans</w:t>
            </w:r>
          </w:p>
        </w:tc>
        <w:tc>
          <w:tcPr>
            <w:tcW w:type="dxa" w:w="850"/>
          </w:tcPr>
          <w:p>
            <w:r>
              <w:rPr>
                <w:sz w:val="20"/>
              </w:rPr>
              <w:t>Suivi dermatologique à 2-4 sem</w:t>
            </w:r>
          </w:p>
        </w:tc>
        <w:tc>
          <w:tcPr>
            <w:tcW w:type="dxa" w:w="850"/>
          </w:tcPr>
          <w:p>
            <w:r>
              <w:rPr>
                <w:sz w:val="20"/>
              </w:rPr>
              <w:t>Prudence (usage limité, 0,03 % enfant)</w:t>
            </w:r>
          </w:p>
        </w:tc>
        <w:tc>
          <w:tcPr>
            <w:tcW w:type="dxa" w:w="850"/>
          </w:tcPr>
          <w:p>
            <w:r>
              <w:rPr>
                <w:sz w:val="20"/>
              </w:rPr>
              <w:t>Forme topique NON enregistrée ; oral disponible</w:t>
            </w:r>
          </w:p>
        </w:tc>
      </w:tr>
      <w:tr>
        <w:tc>
          <w:tcPr>
            <w:tcW w:type="dxa" w:w="850"/>
          </w:tcPr>
          <w:p>
            <w:r>
              <w:rPr>
                <w:sz w:val="20"/>
              </w:rPr>
              <w:t>Calcipotriol (± bétaméthasone)</w:t>
            </w:r>
          </w:p>
        </w:tc>
        <w:tc>
          <w:tcPr>
            <w:tcW w:type="dxa" w:w="850"/>
          </w:tcPr>
          <w:p>
            <w:r>
              <w:rPr>
                <w:sz w:val="20"/>
              </w:rPr>
              <w:t>Analogue vitamine D topique</w:t>
            </w:r>
          </w:p>
        </w:tc>
        <w:tc>
          <w:tcPr>
            <w:tcW w:type="dxa" w:w="850"/>
          </w:tcPr>
          <w:p>
            <w:r>
              <w:rPr>
                <w:sz w:val="20"/>
              </w:rPr>
              <w:t>Psoriasis en plaques léger à modéré</w:t>
            </w:r>
          </w:p>
        </w:tc>
        <w:tc>
          <w:tcPr>
            <w:tcW w:type="dxa" w:w="850"/>
          </w:tcPr>
          <w:p>
            <w:r>
              <w:rPr>
                <w:sz w:val="20"/>
              </w:rPr>
              <w:t>Liaison VDR → différenciation kératinocytaire</w:t>
            </w:r>
          </w:p>
        </w:tc>
        <w:tc>
          <w:tcPr>
            <w:tcW w:type="dxa" w:w="850"/>
          </w:tcPr>
          <w:p>
            <w:r>
              <w:rPr>
                <w:sz w:val="20"/>
              </w:rPr>
              <w:t>1-2 applications/jour, max 100 g/sem</w:t>
            </w:r>
          </w:p>
        </w:tc>
        <w:tc>
          <w:tcPr>
            <w:tcW w:type="dxa" w:w="850"/>
          </w:tcPr>
          <w:p>
            <w:r>
              <w:rPr>
                <w:sz w:val="20"/>
              </w:rPr>
              <w:t>Cutanée stricte (pommade, gel)</w:t>
            </w:r>
          </w:p>
        </w:tc>
        <w:tc>
          <w:tcPr>
            <w:tcW w:type="dxa" w:w="850"/>
          </w:tcPr>
          <w:p>
            <w:r>
              <w:rPr>
                <w:sz w:val="20"/>
              </w:rPr>
              <w:t>Irritation locale (calcipotriol seul), atrophie (combinaison), hypercalcémie si &gt;100g/sem</w:t>
            </w:r>
          </w:p>
        </w:tc>
        <w:tc>
          <w:tcPr>
            <w:tcW w:type="dxa" w:w="850"/>
          </w:tcPr>
          <w:p>
            <w:r>
              <w:rPr>
                <w:sz w:val="20"/>
              </w:rPr>
              <w:t>Hypercalcémie, psoriasis érythrodermique/pustuleux, visage, enfant &lt; 6 ans (calcipotriol) / &lt; 18 ans (combinaison)</w:t>
            </w:r>
          </w:p>
        </w:tc>
        <w:tc>
          <w:tcPr>
            <w:tcW w:type="dxa" w:w="850"/>
          </w:tcPr>
          <w:p>
            <w:r>
              <w:rPr>
                <w:sz w:val="20"/>
              </w:rPr>
              <w:t>Calcémie si surface étendue</w:t>
            </w:r>
          </w:p>
        </w:tc>
        <w:tc>
          <w:tcPr>
            <w:tcW w:type="dxa" w:w="850"/>
          </w:tcPr>
          <w:p>
            <w:r>
              <w:rPr>
                <w:sz w:val="20"/>
              </w:rPr>
              <w:t>Utilisable si nécessaire (prudence)</w:t>
            </w:r>
          </w:p>
        </w:tc>
        <w:tc>
          <w:tcPr>
            <w:tcW w:type="dxa" w:w="850"/>
          </w:tcPr>
          <w:p>
            <w:r>
              <w:rPr>
                <w:sz w:val="20"/>
              </w:rPr>
              <w:t>Disponible (génériques nombreux)</w:t>
            </w:r>
          </w:p>
        </w:tc>
      </w:tr>
      <w:tr>
        <w:tc>
          <w:tcPr>
            <w:tcW w:type="dxa" w:w="850"/>
          </w:tcPr>
          <w:p>
            <w:r>
              <w:rPr>
                <w:sz w:val="20"/>
              </w:rPr>
              <w:t>Acide salicylique (topique)</w:t>
            </w:r>
          </w:p>
        </w:tc>
        <w:tc>
          <w:tcPr>
            <w:tcW w:type="dxa" w:w="850"/>
          </w:tcPr>
          <w:p>
            <w:r>
              <w:rPr>
                <w:sz w:val="20"/>
              </w:rPr>
              <w:t>Kératolytique</w:t>
            </w:r>
          </w:p>
        </w:tc>
        <w:tc>
          <w:tcPr>
            <w:tcW w:type="dxa" w:w="850"/>
          </w:tcPr>
          <w:p>
            <w:r>
              <w:rPr>
                <w:sz w:val="20"/>
              </w:rPr>
              <w:t>Verrues, cors, ichtyose, psoriasis complément</w:t>
            </w:r>
          </w:p>
        </w:tc>
        <w:tc>
          <w:tcPr>
            <w:tcW w:type="dxa" w:w="850"/>
          </w:tcPr>
          <w:p>
            <w:r>
              <w:rPr>
                <w:sz w:val="20"/>
              </w:rPr>
              <w:t>Rupture des ponts desmosomiques (kératolyse)</w:t>
            </w:r>
          </w:p>
        </w:tc>
        <w:tc>
          <w:tcPr>
            <w:tcW w:type="dxa" w:w="850"/>
          </w:tcPr>
          <w:p>
            <w:r>
              <w:rPr>
                <w:sz w:val="20"/>
              </w:rPr>
              <w:t>1-2 applications/jour, 4-12 semaines</w:t>
            </w:r>
          </w:p>
        </w:tc>
        <w:tc>
          <w:tcPr>
            <w:tcW w:type="dxa" w:w="850"/>
          </w:tcPr>
          <w:p>
            <w:r>
              <w:rPr>
                <w:sz w:val="20"/>
              </w:rPr>
              <w:t>Cutanée stricte (solution, crème, pommade)</w:t>
            </w:r>
          </w:p>
        </w:tc>
        <w:tc>
          <w:tcPr>
            <w:tcW w:type="dxa" w:w="850"/>
          </w:tcPr>
          <w:p>
            <w:r>
              <w:rPr>
                <w:sz w:val="20"/>
              </w:rPr>
              <w:t>Irritation locale, brûlure chimique (forte conc.), salicylisme (surfaces étendues)</w:t>
            </w:r>
          </w:p>
        </w:tc>
        <w:tc>
          <w:tcPr>
            <w:tcW w:type="dxa" w:w="850"/>
          </w:tcPr>
          <w:p>
            <w:r>
              <w:rPr>
                <w:sz w:val="20"/>
              </w:rPr>
              <w:t>Enfant &lt; 3 ans, grossesse 3e trim, insuffisance rénale, aspirine/AINS, varicelle</w:t>
            </w:r>
          </w:p>
        </w:tc>
        <w:tc>
          <w:tcPr>
            <w:tcW w:type="dxa" w:w="850"/>
          </w:tcPr>
          <w:p>
            <w:r>
              <w:rPr>
                <w:sz w:val="20"/>
              </w:rPr>
              <w:t>Salicylémie si surface &gt; 20 % ou usage prolongé</w:t>
            </w:r>
          </w:p>
        </w:tc>
        <w:tc>
          <w:tcPr>
            <w:tcW w:type="dxa" w:w="850"/>
          </w:tcPr>
          <w:p>
            <w:r>
              <w:rPr>
                <w:sz w:val="20"/>
              </w:rPr>
              <w:t>Contre-indiqué 3e trimestre</w:t>
            </w:r>
          </w:p>
        </w:tc>
        <w:tc>
          <w:tcPr>
            <w:tcW w:type="dxa" w:w="850"/>
          </w:tcPr>
          <w:p>
            <w:r>
              <w:rPr>
                <w:sz w:val="20"/>
              </w:rPr>
              <w:t>Préparations magistrales (Corifuge, Duofilm non renouvelables)</w:t>
            </w:r>
          </w:p>
        </w:tc>
      </w:tr>
      <w:tr>
        <w:tc>
          <w:tcPr>
            <w:tcW w:type="dxa" w:w="850"/>
          </w:tcPr>
          <w:p>
            <w:r>
              <w:rPr>
                <w:sz w:val="20"/>
              </w:rPr>
              <w:t>Résorcinol (topique)</w:t>
            </w:r>
          </w:p>
        </w:tc>
        <w:tc>
          <w:tcPr>
            <w:tcW w:type="dxa" w:w="850"/>
          </w:tcPr>
          <w:p>
            <w:r>
              <w:rPr>
                <w:sz w:val="20"/>
              </w:rPr>
              <w:t>Kératolytique</w:t>
            </w:r>
          </w:p>
        </w:tc>
        <w:tc>
          <w:tcPr>
            <w:tcW w:type="dxa" w:w="850"/>
          </w:tcPr>
          <w:p>
            <w:r>
              <w:rPr>
                <w:sz w:val="20"/>
              </w:rPr>
              <w:t>Dermatite séborrhéique cuir chevelu, otite externe</w:t>
            </w:r>
          </w:p>
        </w:tc>
        <w:tc>
          <w:tcPr>
            <w:tcW w:type="dxa" w:w="850"/>
          </w:tcPr>
          <w:p>
            <w:r>
              <w:rPr>
                <w:sz w:val="20"/>
              </w:rPr>
              <w:t>Réduction ponts disulfures + antiseptique + anesthésique</w:t>
            </w:r>
          </w:p>
        </w:tc>
        <w:tc>
          <w:tcPr>
            <w:tcW w:type="dxa" w:w="850"/>
          </w:tcPr>
          <w:p>
            <w:r>
              <w:rPr>
                <w:sz w:val="20"/>
              </w:rPr>
              <w:t>1-2 applications/jour, max 4 semaines</w:t>
            </w:r>
          </w:p>
        </w:tc>
        <w:tc>
          <w:tcPr>
            <w:tcW w:type="dxa" w:w="850"/>
          </w:tcPr>
          <w:p>
            <w:r>
              <w:rPr>
                <w:sz w:val="20"/>
              </w:rPr>
              <w:t>Cutanée ou auriculaire</w:t>
            </w:r>
          </w:p>
        </w:tc>
        <w:tc>
          <w:tcPr>
            <w:tcW w:type="dxa" w:w="850"/>
          </w:tcPr>
          <w:p>
            <w:r>
              <w:rPr>
                <w:sz w:val="20"/>
              </w:rPr>
              <w:t>Convulsions, méthémoglobinémie, dysthyroïdie</w:t>
            </w:r>
          </w:p>
        </w:tc>
        <w:tc>
          <w:tcPr>
            <w:tcW w:type="dxa" w:w="850"/>
          </w:tcPr>
          <w:p>
            <w:r>
              <w:rPr>
                <w:sz w:val="20"/>
              </w:rPr>
              <w:t>Enfant &lt; 6 ans, grossesse/allaitement, épilepsie, G6PD, hypothyroïdie</w:t>
            </w:r>
          </w:p>
        </w:tc>
        <w:tc>
          <w:tcPr>
            <w:tcW w:type="dxa" w:w="850"/>
          </w:tcPr>
          <w:p>
            <w:r>
              <w:rPr>
                <w:sz w:val="20"/>
              </w:rPr>
              <w:t>Méthémoglobinémie, TSH si usage étendu</w:t>
            </w:r>
          </w:p>
        </w:tc>
        <w:tc>
          <w:tcPr>
            <w:tcW w:type="dxa" w:w="850"/>
          </w:tcPr>
          <w:p>
            <w:r>
              <w:rPr>
                <w:sz w:val="20"/>
              </w:rPr>
              <w:t>Contre-indiqué par prudence</w:t>
            </w:r>
          </w:p>
        </w:tc>
        <w:tc>
          <w:tcPr>
            <w:tcW w:type="dxa" w:w="850"/>
          </w:tcPr>
          <w:p>
            <w:r>
              <w:rPr>
                <w:sz w:val="20"/>
              </w:rPr>
              <w:t>Disponible en associations (Synthol, Seinthol, Osmotol)</w:t>
            </w:r>
          </w:p>
        </w:tc>
      </w:tr>
      <w:tr>
        <w:tc>
          <w:tcPr>
            <w:tcW w:type="dxa" w:w="850"/>
          </w:tcPr>
          <w:p>
            <w:r>
              <w:rPr>
                <w:sz w:val="20"/>
              </w:rPr>
              <w:t>Urée (topique)</w:t>
            </w:r>
          </w:p>
        </w:tc>
        <w:tc>
          <w:tcPr>
            <w:tcW w:type="dxa" w:w="850"/>
          </w:tcPr>
          <w:p>
            <w:r>
              <w:rPr>
                <w:sz w:val="20"/>
              </w:rPr>
              <w:t>Kératolytique / Hydratant</w:t>
            </w:r>
          </w:p>
        </w:tc>
        <w:tc>
          <w:tcPr>
            <w:tcW w:type="dxa" w:w="850"/>
          </w:tcPr>
          <w:p>
            <w:r>
              <w:rPr>
                <w:sz w:val="20"/>
              </w:rPr>
              <w:t>Xérose, ichtyose, psoriasis complément, onychomycose</w:t>
            </w:r>
          </w:p>
        </w:tc>
        <w:tc>
          <w:tcPr>
            <w:tcW w:type="dxa" w:w="850"/>
          </w:tcPr>
          <w:p>
            <w:r>
              <w:rPr>
                <w:sz w:val="20"/>
              </w:rPr>
              <w:t>Hydratation (≤10 %) + kératolyse (&gt;10 %)</w:t>
            </w:r>
          </w:p>
        </w:tc>
        <w:tc>
          <w:tcPr>
            <w:tcW w:type="dxa" w:w="850"/>
          </w:tcPr>
          <w:p>
            <w:r>
              <w:rPr>
                <w:sz w:val="20"/>
              </w:rPr>
              <w:t>2-3 applications/jour, prolongé</w:t>
            </w:r>
          </w:p>
        </w:tc>
        <w:tc>
          <w:tcPr>
            <w:tcW w:type="dxa" w:w="850"/>
          </w:tcPr>
          <w:p>
            <w:r>
              <w:rPr>
                <w:sz w:val="20"/>
              </w:rPr>
              <w:t>Cutanée stricte (crème, pommade, baume)</w:t>
            </w:r>
          </w:p>
        </w:tc>
        <w:tc>
          <w:tcPr>
            <w:tcW w:type="dxa" w:w="850"/>
          </w:tcPr>
          <w:p>
            <w:r>
              <w:rPr>
                <w:sz w:val="20"/>
              </w:rPr>
              <w:t>Irritation initiale transitoire à forte concentration</w:t>
            </w:r>
          </w:p>
        </w:tc>
        <w:tc>
          <w:tcPr>
            <w:tcW w:type="dxa" w:w="850"/>
          </w:tcPr>
          <w:p>
            <w:r>
              <w:rPr>
                <w:sz w:val="20"/>
              </w:rPr>
              <w:t>Muqueuse, peau lésée à forte concentration</w:t>
            </w:r>
          </w:p>
        </w:tc>
        <w:tc>
          <w:tcPr>
            <w:tcW w:type="dxa" w:w="850"/>
          </w:tcPr>
          <w:p>
            <w:r>
              <w:rPr>
                <w:sz w:val="20"/>
              </w:rPr>
              <w:t>Aucune (absorption négligeable)</w:t>
            </w:r>
          </w:p>
        </w:tc>
        <w:tc>
          <w:tcPr>
            <w:tcW w:type="dxa" w:w="850"/>
          </w:tcPr>
          <w:p>
            <w:r>
              <w:rPr>
                <w:sz w:val="20"/>
              </w:rPr>
              <w:t>Sûre, utilisable sans restriction</w:t>
            </w:r>
          </w:p>
        </w:tc>
        <w:tc>
          <w:tcPr>
            <w:tcW w:type="dxa" w:w="850"/>
          </w:tcPr>
          <w:p>
            <w:r>
              <w:rPr>
                <w:sz w:val="20"/>
              </w:rPr>
              <w:t>Dermo-cosmétique (Helikit oral seul enregistré)</w:t>
            </w:r>
          </w:p>
        </w:tc>
      </w:tr>
    </w:tbl>
    <w:p/>
    <w:p>
      <w:pPr>
        <w:pStyle w:val="Heading3"/>
      </w:pPr>
      <w:r>
        <w:t>123.7 Synthèse Pédagogique — Récapitulatif des Messages-Clés</w:t>
      </w:r>
    </w:p>
    <w:p>
      <w:r>
        <w:t>L'étudiant en pharmacie algérien doit retenir de ce chapitre 123 douze messages pédagogiques fondamentaux :</w:t>
      </w:r>
    </w:p>
    <w:p>
      <w:r/>
      <w:r>
        <w:rPr>
          <w:b/>
        </w:rPr>
        <w:t>Message 1 — Spécificité du tacrolimus topique par rapport aux dermocorticoïdes :</w:t>
      </w:r>
      <w:r>
        <w:t xml:space="preserve"> Le tacrolimus topique est le traitement de référence de la dermatite atopique modérée à sévère des zones sensibles (visage, paupières, plis, organes génitaux) en raison de son absence d'atrophie cutanée. Il agit par inhibition de la calcineurine, blocage de NF-AT, diminution du TNFα/IL-2. Sa principale limite pratique est la sensation de brûlure initiale (60 % des patients), transitoire et bénigne, qu'il faut systématiquement prévenir.</w:t>
      </w:r>
    </w:p>
    <w:p>
      <w:r/>
      <w:r>
        <w:rPr>
          <w:b/>
        </w:rPr>
        <w:t>Message 2 — Calcipotriol et psoriasis :</w:t>
      </w:r>
      <w:r>
        <w:t xml:space="preserve"> Le calcipotriol est le traitement de première intention du psoriasis en plaques léger à modéré. Sa combinaison fixe avec le dipropionate de bétaméthasone (Daivobet® et génériques) offre une synergie d'action (anti-inflammatoire rapide + anti-prolifératif différé) qui transforme la prise en charge ambulatoire. Le respect strict de la dose maximale hebdomadaire (100 g) est indispensable pour prévenir l'hypercalcémie.</w:t>
      </w:r>
    </w:p>
    <w:p>
      <w:r/>
      <w:r>
        <w:rPr>
          <w:b/>
        </w:rPr>
        <w:t>Message 3 — Spécificité de l'acide salicylique :</w:t>
      </w:r>
      <w:r>
        <w:t xml:space="preserve"> L'acide salicylique est le kératolytique de référence pour les verrues et les hyperkératoses, mais son risque de salicylisme systémique impose des règles strictes de prescription (concentration adaptée, surface limitée, durée maximale, contre-indications chez l'enfant de moins de 3 ans et la femme enceinte au 3e trimestre). L'application sur peau saine périphérique doit être protégée par vaseline.</w:t>
      </w:r>
    </w:p>
    <w:p>
      <w:r/>
      <w:r>
        <w:rPr>
          <w:b/>
        </w:rPr>
        <w:t>Message 4 — Toxicité du résorcinol :</w:t>
      </w:r>
      <w:r>
        <w:t xml:space="preserve"> Le résorcinol a un profil de toxicité systémique distinct de l'acide salicylique : convulsions, méthémoglobinémie, dysthyroïdie. Ses contre-indications (épilepsie, déficit en G6PD, hypothyroïdie, grossesse) doivent être systématiquement recherchées. Les solutions bains de bouche sont aujourd'hui retirées du marché algérien en raison du risque d'absorption sublinguale.</w:t>
      </w:r>
    </w:p>
    <w:p>
      <w:r/>
      <w:r>
        <w:rPr>
          <w:b/>
        </w:rPr>
        <w:t>Message 5 — Polyvalence de l'urée :</w:t>
      </w:r>
      <w:r>
        <w:t xml:space="preserve"> L'urée est l'une des très rares molécules à posséder une double activité pharmacologique dépendante de la concentration : hydratante à faible dose (5-10 %), kératolytique à forte dose (20-40 %). Elle est la molécule de choix chez la femme enceinte, l'enfant, le sujet âgé et l'insuffisant rénal, en raison de son excellente tolérance systémique.</w:t>
      </w:r>
    </w:p>
    <w:p>
      <w:r/>
      <w:r>
        <w:rPr>
          <w:b/>
        </w:rPr>
        <w:t>Message 6 — Disponibilité algérienne paradoxale :</w:t>
      </w:r>
      <w:r>
        <w:t xml:space="preserve"> Le marché algérien présente plusieurs paradoxes : (i) le tacrolimus topique (Protopic®) n'est pas enregistré — seul le tacrolimus oral est disponible ; (ii) l'urée n'est enregistrée comme médicament que sous forme de test respiratoire (Helikit®), les formes topiques étant en dermo-cosmétique ; (iii) l'acide salicylique en monothérapie (Corifuge, Duofilm) est marqué « non renouvelable » — les préparations magistrales et dermo-cosmétiques pallient cette absence. Le pharmacien algérien doit connaître cette réalité et orienter le patient vers les alternatives disponibles.</w:t>
      </w:r>
    </w:p>
    <w:p>
      <w:r/>
      <w:r>
        <w:rPr>
          <w:b/>
        </w:rPr>
        <w:t>Message 7 — Prévention des toxicités systémiques :</w:t>
      </w:r>
      <w:r>
        <w:t xml:space="preserve"> Le salicylisme (acide salicylique), la méthémoglobinémie (résorcinol), l'hypercalcémie (calcipotriol) et le risque convulsif (résorcinol) sont les quatre toxicités systémiques à connaître. Chaque molécule a son profil propre, et les contre-indications doivent être systématiquement recherchées à l'officine : grossesse, allaitement, enfant, insuffisance rénale, antécédents d'épilepsie, déficit en G6PD.</w:t>
      </w:r>
    </w:p>
    <w:p>
      <w:r/>
      <w:r>
        <w:rPr>
          <w:b/>
        </w:rPr>
        <w:t>Message 8 — Stratégie thérapeutique intégrée :</w:t>
      </w:r>
      <w:r>
        <w:t xml:space="preserve"> La prise en charge dermatologique moderne repose sur l'association de plusieurs molécules aux mécanismes complémentaires : dermocorticoïdes (anti-inflammatoire rapide) + calcipotriol (anti-prolifératif différé) pour le psoriasis ; dermocorticoïdes + tacrolimus (zones sensibles) pour la dermatite atopique ; acide salicylique ou urée (kératolyse) + dermocorticoïde (anti-inflammatoire) pour les plaques épaisses ; urée + antifongique pour l'onychomycose.</w:t>
      </w:r>
    </w:p>
    <w:p>
      <w:r/>
      <w:r>
        <w:rPr>
          <w:b/>
        </w:rPr>
        <w:t>Message 9 — Traitements d'entretien proactifs :</w:t>
      </w:r>
      <w:r>
        <w:t xml:space="preserve"> Les dermatoses chroniques (dermatite atopique, psoriasis) nécessitent des stratégies d'entretien proactives : tacrolimus topique 2 fois/semaine sur zones cibles pour la dermatite atopique, calcipotriol seul 2-3 fois/semaine pour le psoriasis, urée 5-10 % en application quotidienne pour la dermatite atopique. Ces stratégies réduisent significativement le nombre de poussées et améliorent la qualité de vie.</w:t>
      </w:r>
    </w:p>
    <w:p>
      <w:r/>
      <w:r>
        <w:rPr>
          <w:b/>
        </w:rPr>
        <w:t>Message 10 — Précautions chez la femme enceinte :</w:t>
      </w:r>
      <w:r>
        <w:t xml:space="preserve"> Le tacrolimus topique est à utiliser avec prudence (concentration pédiatrique, surface limitée). Le calcipotriol est « utilisable si nécessaire » avec prudence. L'acide salicylique est contre-indiqué au 3e trimestre (risque de fermeture prématurée du canal artériel fœtal). Le résorcinol est à éviter par mesure de précaution. L'urée est la molécule de choix (sûre à toutes les concentrations).</w:t>
      </w:r>
    </w:p>
    <w:p>
      <w:r/>
      <w:r>
        <w:rPr>
          <w:b/>
        </w:rPr>
        <w:t>Message 11 — Rôle central du pharmacien d'officine :</w:t>
      </w:r>
      <w:r>
        <w:t xml:space="preserve"> Le pharmacien algérien joue un rôle de premier recours dans : (i) le dépistage des dermatoses (orientation dermatologique si suspicion de psoriasis, dermatite atopique sévère, suspicion de malignité) ; (ii) l'éducation à l'application (quantité, fréquence, durée, protection de la peau saine) ; (iii) la prévention des surdosages (comptage des tubes, surveillance de la dose maximale hebdomadaire) ; (iv) la prévention des toxicités systémiques (recherche des contre-indications) ; (v) l'orientation vers le dermatologue en cas d'échec, d'aggravation, de signes d'alerte.</w:t>
      </w:r>
    </w:p>
    <w:p>
      <w:r/>
      <w:r>
        <w:rPr>
          <w:b/>
        </w:rPr>
        <w:t>Message 12 — Préparations magistrales et dermo-cosmétique :</w:t>
      </w:r>
      <w:r>
        <w:t xml:space="preserve"> Plusieurs des molécules présentées dans ce chapitre ne sont disponibles en Algérie que par préparations magistrales (acide salicylique à concentrations variées) ou par dermo-cosmétique (urée topique). Le pharmacien d'officine algérien doit maîtriser les formules classiques (Bourget, Gomar) et les concentrations adaptées à chaque indication, ainsi que les principales gammes dermo-cosmétiques disponibles (La Roche-Posay, Ducray, Vichy, Uriage, A-Derma, Cétaphil). Cette double compétence (magistrale et dermo-cosmétique) est un atout majeur de la pharmacie algérienne.</w:t>
      </w:r>
    </w:p>
    <w:p>
      <w:pPr>
        <w:pStyle w:val="Heading3"/>
      </w:pPr>
      <w:r>
        <w:t>Conclusion du chapitre 123</w:t>
      </w:r>
    </w:p>
    <w:p>
      <w:r>
        <w:t>Les cinq molécules présentées dans ce chapitre — tacrolimus topique, calcipotriol (± bétaméthasone), acide salicylique, résorcinol et urée — couvrent l'essentiel de l'arsenal thérapeutique topique non antibiotique et non antifongique de la dermatologie clinique algérienne. Elles illustrent la richesse d'une pharmacopée qui mêle molécules centenaires (acide salicylique, résorcinol, urée) et innovations récentes (tacrolimus topique, calcipotriol), et qui couvre l'ensemble du spectre des dermatoses inflammatoires chroniques (dermatite atopique, psoriasis) et des hyperkératoses (verrues, ichtyose, kératodermie). La maîtrise de ces molécules par le pharmacien algérien est essentielle, non seulement pour la dispensation mais aussi pour l'éducation thérapeutique, la prévention des toxicités et l'orientation vers le dermatologue. Le chapitre suivant (chapitre 124) traitera des antiseptiques et antibiotiques topiques, qui complètent l'arsenal dermatologique pour les surinfections bactériennes et fongiques.</w:t>
      </w:r>
    </w:p>
    <w:p>
      <w:r>
        <w:t>Sources mobilisées : VIDAL, ANSM, Thériaque, CRAT (Centre de Renseignement sur les Agents Tératogènes), UpToDate, European Dermatology Forum, Société Algérienne de Dermatologie, EMA, FDA, OMS Liste médicaments essentiels, EMA SmPC (Summary of Product Characteristics), Prescrire, Société Française de Dermatologie (SFD).</w:t>
      </w:r>
    </w:p>
    <w:p>
      <w:pPr>
        <w:pStyle w:val="Heading1"/>
      </w:pPr>
      <w:r>
        <w:t>Chapitre 124 — Antiseptiques et antibiotiques topiques</w:t>
      </w:r>
    </w:p>
    <w:p>
      <w:pPr>
        <w:pStyle w:val="Heading2"/>
      </w:pPr>
      <w:r>
        <w:t>Introduction générale de la classe</w:t>
      </w:r>
    </w:p>
    <w:p>
      <w:r>
        <w:t>Les antiseptiques et antibiotiques topiques constituent une classe fondamentale de la pharmacologie dermatologique et de la médecine d'urgence, à la croisée de la chimiothérapie anti-infectieuse et de la galénique cutanéo-muqueuse. Leur spécificité tient à leur mode d'administration local, qui vise à obtenir une concentration élevée au site de l'infection ou du risque infectieux — peau, muqueuses, plaies, cavités naturelles — tout en minimisant l'exposition systémique. Cette logique d'usage distingue historiquement l'antiseptique (substance chimique appliquée sur les tissus vivants pour réduire la prolifération microbienne, sans discrimination de cible spécifique et avec usage principalement préventif) de l'antibiotique topique (substance d'origine microbienne ou synthétique, agissant sur une cible bactérienne précise, utilisable à visée curative sur des lésions localisées). La frontière est néanmoins poreuse : certains antibiotiques topiques (mupirocine, acide fusidique) partagent avec les antiseptiques un usage en prophylaxie des infections de site opératoire ou de portage de Staphylococcus aureus résistant.</w:t>
      </w:r>
    </w:p>
    <w:p>
      <w:r>
        <w:t>La classification des antiseptiques topiques repose sur leur nature chimique, qui conditionne le spectre antimicrobien, la cinétique d'action, la tolérance locale et systémique, ainsi que le champ d'application privilégié. Le présent chapitre en traite cinq grandes familles : (i) les biguanides (chlorhexidine), chef de file des antiseptiques à large spectre et rémanents, référence mondiale en antisepsie cutanéo-muqueuse et désinfection chirurgicale ; (ii) les diamidines (hexamidine), antiseptique historique aux usages oculaire, ORL et dermatologique ; (iii) les ammoniums quaternaires (benzalkonium, cetrimide), agents de surface cationiques largement utilisés en désinfection cutanée, en vernis muqueux et en spermicides ; (iv) les dérivés iodés (povidone iodée), référence en pré-opératoire et en traitement des plaies, mais dont l'usage prolongé expose à la dysthyroïdie et à la tératogénicité ; (v) les antibiotiques topiques proprement dits, représentés ici par la mupirocine, traitement de référence des impétigos localisés et du portage nasal de SARM.</w:t>
      </w:r>
    </w:p>
    <w:p>
      <w:r>
        <w:t>Le contexte algérien, marqué par une forte prévalence des affections cutanées bénignes (impétigo, folliculites, ectoparasitoses surinfectées, dermatoses atopiques surinfectées) et par une accessibilité variable aux soins spécialisés, fait des antiseptiques et antibiotiques topiques des médicaments de premier recours au comptoir. La nomenclature algérienne (Avril 2026) comprend des spécialités natives (groupe Saidal, LPA, GPA, Biopharm, etc.) et des importations historiques (Pierre Fabre, Meda Pharma, GlaxoSmithKLINE, Innotech International, Chauvin). La diversité des formes galéniques — solutions dermiques, solutions moussantes, bains de bouche, collutoires, crèmes, pommades, ovules gynécologiques, solutions vaginales, collyres — illustre la pluralité des cibles thérapeutiques (peau saine, peau lésée, muqueuses orale/génitale/conjonctivale, cavités).</w:t>
      </w:r>
    </w:p>
    <w:p>
      <w:r>
        <w:t>L'enseignement clinique des antiseptiques repose sur plusieurs principes fondamentaux : (1) l'antiseptique n'est pas un produit anodin — il peut être toxique (iode, ammoniums quaternaires en surdosage), allergisant (chlorhexidine, anaphylaxie rare mais grave) ou perturber la cicatrisation (cytotoxicité sur fibroblastes et kératinocytes en cas de concentration excessive) ; (2) l'efficacité dépend du temps de contact (rarement inférieur à 30 secondes en pratique clinique, mais l'idéal reste 1 à 5 minutes selon la molécule) et de l'absence de matière organique (les antiseptiques sont inhibés par les protéines, le sang, le pus — d'où la règle absolue du lavage-nettoyage préalable de toute plaie) ; (3) la plupart des antiseptiques sont inactivés par l'alcool à concentration trop élevée ou par les savons anioniques (incompatibilité avec les ammoniums quaternaires cationiques) ; (4) l'usage prolongé ou itératif d'un antiseptique sélectionne des résistances (SARM à la mupirocine par mutation ileS, Pseudomonas à la chlorhexidine en milieu hydrique) et perturbe le microbiote cutané protecteur ; (5) la grossesse, la neonatalogie et les surfaces muqueuses (œil, conduit auditif, méat urétral) imposent des précautions particulières — la chlorhexidine est ototoxique et contre-indiquée dans l'oreille avant tout geste, la povidone iodée est tératogène au troisième trimestre et néonatale.</w:t>
      </w:r>
    </w:p>
    <w:p>
      <w:r>
        <w:t>Le présent chapitre, structurellement aligné sur les autres chapitres du Fascicule XIII (Dermatologie), détaille pour chaque DCI : la liste des catégories, le tableau exhaustif des spécialités disponibles en Algérie, la sous-classe et le mécanisme d'action moléculaire, le profil pharmacologique (indications, contre-indications, effets indésirables), la prévention et la gestion des effets indésirables, les interactions médicamenteuses, les préconisations de grossesse et d'allaitement (CRAT/ANSM), la posologie et le mode d'administration, la surveillance biologique et clinique, l'arbitrage entre formes galéniques, les conseils au patient, et enfin les notes, règles d'or et pièges au comptoir. Une table comparative récapitulative synthétise en fin de chapitre les éléments clés de chaque molécule pour faciliter la décision pharmaceutique.</w:t>
      </w:r>
    </w:p>
    <w:p>
      <w:pPr>
        <w:pStyle w:val="Heading2"/>
      </w:pPr>
      <w:r>
        <w:t>124.1 Sous-classe : Antiseptiques topiques — Biguanides</w:t>
      </w:r>
    </w:p>
    <w:p>
      <w:r>
        <w:t>Les biguanides à usage antiseptique sont représentés exclusivement, en pratique clinique et dans la nomenclature algérienne, par la chlorhexidine (digluconate le plus souvent). Cette sous-classe appartient à la famille chimique plus large des biguanides — laquelle inclut également la metformine (antidiabétique oral) et la proguanil (antipaludique) — mais seuls les sels topiques de chlorhexidine ont une activité antimicrobienne pertinente pour l'antisepsie. La chlorhexidine a été synthétisée en 1950 (Imperial Chemical Industries, Royaume-Uni) et son utilisation s'est généralisée dans les années 1960 après la démonstration de son activité bactéricide à large spectre, de sa rémanence cutanée remarquable (jusqu'à 48 heures après application) et de son excellente tolérance locale aux concentrations thérapeutiques. Elle figure sur la liste des médicaments essentiels de l'OMS (solution à 5 % pour désinfection chirurgicale) et reste, plus de 70 ans après sa synthèse, la référence mondiale en antisepsie cutanée pré-opératoire et en désinfection des cathéters.</w:t>
      </w:r>
    </w:p>
    <w:p>
      <w:r>
        <w:t>La chlorhexidine est un biguanide cationique (charge positive à pH physiologique) qui se lie par électrostatique aux charges négatives des membranes bactériennes (phospholipides acides, lipopolysaccharides des Gram-négatifs, acides téichoïques des Gram-positifs). Cette interaction entraîne une perturbation rapide de l'intégrité membranaire (effet détergent), une fuite de potassium et de petits molécules intracellulaires, une précipitation des protéines cytoplasmiques par dénaturation, et in fine la mort bactérienne par lyse. Le spectre couvre la majorité des bactéries Gram-positives (staphylocoques, streptocoques, entérocoques), des Gram-négatives (Escherichia coli, Klebsiella, Pseudomonas aeruginosa — activité partielle), des mycobactéries (activité modeste), des champignons (Candida) et de certains virus enveloppés (VIH, HSV, virus respiratoires — activité partielle). Son activité est lente à moyenne (temps de contact optimal 1 à 5 minutes) mais sa rémanence cutanée (fixation à la couche cornée) confère une protection prolongée unique, justifiant son usage de référence en pré-opératoire.</w:t>
      </w:r>
    </w:p>
    <w:p>
      <w:r>
        <w:t>Les formes galéniques disponibles en Algérie comprennent des solutions pour application locale (Hysadril alcoolique 0,5 %), des bains de bouche (Hysadril 0,2 %), des solutions pour application cutanée en association (Dermobacter — chlorhexidine + benzalkonium), et historiquement des solutions dermiques (Hibitane) et des collutoires buccaux (Eludril). La concentration varie de 0,05 % (antisepsie des muqueuses) à 0,5 % (antisepsie cutanée) et jusqu'à 4 % (formules de scrubbing pré-opératoire — non disponibles en Algérie). Les principales précautions d'emploi sont la contre-indication formelle dans le conduit auditif externe (ototoxicité cochléaire et vestibulaire, en particulier en cas de tympan perméable) et au contact de l'œil (kératite toxique, ulcérations cornéennes), le risque exceptionnel mais documenté d'anaphylaxie (choc anaphylactique — alerte ANSM et EMA depuis 2014, nécessité d'un délai d'observation post-application pour les formes concentrées), et l'incompatibilité chimique avec les savons anioniques et les iodures (nécessité d'un rinçage soigneux entre deux antiseptiques).</w:t>
      </w:r>
    </w:p>
    <w:p>
      <w:pPr>
        <w:pStyle w:val="Heading3"/>
      </w:pPr>
      <w:r>
        <w:t>124.1.1 DCI : Chlorhexidine (topique)</w:t>
      </w:r>
    </w:p>
    <w:p>
      <w:r/>
      <w:r>
        <w:rPr>
          <w:b/>
        </w:rPr>
        <w:t>Liste des Catégories :</w:t>
      </w:r>
      <w:r>
        <w:t xml:space="preserve"> Antiseptique topique ; Biguanide cationique ; Désinfectant cutanéo-muqueux large spectre ; Antiseptique de référence en pré-opératoire ; Hors liste (la plupart des spécialités en Algérie sont en vente libre, sans inscription à la Liste I ou II).</w:t>
      </w:r>
    </w:p>
    <w:p>
      <w:r>
        <w:t>La chlorhexidine (digluconate le plus fréquemment, parfois diacétate ou dihydrochloride) est un antiseptique biguanide cationique synthétisé en 1950 par ICI Pharmaceuticals. Sa découverte a marqué un tournant dans la pratique de l'antisepsie cutanée, remplaçant progressivement les ammoniums quaternaires et les dérivés iodés dans de nombreuses indications en raison de son meilleur profil tolérance/efficacité et surtout de sa rémanence cutanée exceptionnelle. Elle est inscrite sur la liste des médicaments essentiels OMS et constitue, selon l'OMS et la CDC, l'antiseptique de référence pour la préparation cutanée pré-opératoire (chlorhexidine alcoolique 2 %), la désinfection des sites de cathéters (CHG-alcool) et l'hygiène bucco-dentaire professionnelle (bains de bouche à 0,12 %). En Algérie, elle est disponible sous forme native (Saidal, Hysa, Innotech International) et importée (Pierre Fabre, GSK historiquement), principalement en solutions dermiques et bains de bouche.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DERMOBACTER</w:t>
            </w:r>
          </w:p>
        </w:tc>
        <w:tc>
          <w:tcPr>
            <w:tcW w:type="dxa" w:w="1559"/>
          </w:tcPr>
          <w:p>
            <w:r>
              <w:rPr>
                <w:sz w:val="20"/>
              </w:rPr>
              <w:t>INNOTECH INTERNATIONAL</w:t>
            </w:r>
          </w:p>
        </w:tc>
        <w:tc>
          <w:tcPr>
            <w:tcW w:type="dxa" w:w="1559"/>
          </w:tcPr>
          <w:p>
            <w:r>
              <w:rPr>
                <w:sz w:val="20"/>
              </w:rPr>
              <w:t>Solution pour application cutanée — Chlorhexidine 0,2 g + Benzalkonium 0,5 g pour 100 mL</w:t>
            </w:r>
          </w:p>
        </w:tc>
        <w:tc>
          <w:tcPr>
            <w:tcW w:type="dxa" w:w="1559"/>
          </w:tcPr>
          <w:p>
            <w:r>
              <w:rPr>
                <w:sz w:val="20"/>
              </w:rPr>
              <w:t>Flacon 300 mL</w:t>
            </w:r>
          </w:p>
        </w:tc>
        <w:tc>
          <w:tcPr>
            <w:tcW w:type="dxa" w:w="1559"/>
          </w:tcPr>
          <w:p>
            <w:r>
              <w:rPr>
                <w:sz w:val="20"/>
              </w:rPr>
              <w:t>Hors liste</w:t>
            </w:r>
          </w:p>
        </w:tc>
        <w:tc>
          <w:tcPr>
            <w:tcW w:type="dxa" w:w="1559"/>
          </w:tcPr>
          <w:p>
            <w:r>
              <w:rPr>
                <w:sz w:val="20"/>
              </w:rPr>
              <w:t>Actif</w:t>
            </w:r>
          </w:p>
        </w:tc>
      </w:tr>
      <w:tr>
        <w:tc>
          <w:tcPr>
            <w:tcW w:type="dxa" w:w="1559"/>
          </w:tcPr>
          <w:p>
            <w:r>
              <w:rPr>
                <w:sz w:val="20"/>
              </w:rPr>
              <w:t>HYSADRIL</w:t>
            </w:r>
          </w:p>
        </w:tc>
        <w:tc>
          <w:tcPr>
            <w:tcW w:type="dxa" w:w="1559"/>
          </w:tcPr>
          <w:p>
            <w:r>
              <w:rPr>
                <w:sz w:val="20"/>
              </w:rPr>
              <w:t>SARL HYSA</w:t>
            </w:r>
          </w:p>
        </w:tc>
        <w:tc>
          <w:tcPr>
            <w:tcW w:type="dxa" w:w="1559"/>
          </w:tcPr>
          <w:p>
            <w:r>
              <w:rPr>
                <w:sz w:val="20"/>
              </w:rPr>
              <w:t>Bain de bouche — Chlorhexidine (digluconate) 0,2 % (exprimée en chlorhexidine)</w:t>
            </w:r>
          </w:p>
        </w:tc>
        <w:tc>
          <w:tcPr>
            <w:tcW w:type="dxa" w:w="1559"/>
          </w:tcPr>
          <w:p>
            <w:r>
              <w:rPr>
                <w:sz w:val="20"/>
              </w:rPr>
              <w:t>Flacon 190 mL</w:t>
            </w:r>
          </w:p>
        </w:tc>
        <w:tc>
          <w:tcPr>
            <w:tcW w:type="dxa" w:w="1559"/>
          </w:tcPr>
          <w:p>
            <w:r>
              <w:rPr>
                <w:sz w:val="20"/>
              </w:rPr>
              <w:t>Hors liste</w:t>
            </w:r>
          </w:p>
        </w:tc>
        <w:tc>
          <w:tcPr>
            <w:tcW w:type="dxa" w:w="1559"/>
          </w:tcPr>
          <w:p>
            <w:r>
              <w:rPr>
                <w:sz w:val="20"/>
              </w:rPr>
              <w:t>Actif</w:t>
            </w:r>
          </w:p>
        </w:tc>
      </w:tr>
      <w:tr>
        <w:tc>
          <w:tcPr>
            <w:tcW w:type="dxa" w:w="1559"/>
          </w:tcPr>
          <w:p>
            <w:r>
              <w:rPr>
                <w:sz w:val="20"/>
              </w:rPr>
              <w:t>HYSADRIL ALCOOLIQUE</w:t>
            </w:r>
          </w:p>
        </w:tc>
        <w:tc>
          <w:tcPr>
            <w:tcW w:type="dxa" w:w="1559"/>
          </w:tcPr>
          <w:p>
            <w:r>
              <w:rPr>
                <w:sz w:val="20"/>
              </w:rPr>
              <w:t>HYSA SARL</w:t>
            </w:r>
          </w:p>
        </w:tc>
        <w:tc>
          <w:tcPr>
            <w:tcW w:type="dxa" w:w="1559"/>
          </w:tcPr>
          <w:p>
            <w:r>
              <w:rPr>
                <w:sz w:val="20"/>
              </w:rPr>
              <w:t>Solution pour application locale — Chlorhexidine (digluconate exprimé en chlorhexidine) 0,5 %</w:t>
            </w:r>
          </w:p>
        </w:tc>
        <w:tc>
          <w:tcPr>
            <w:tcW w:type="dxa" w:w="1559"/>
          </w:tcPr>
          <w:p>
            <w:r>
              <w:rPr>
                <w:sz w:val="20"/>
              </w:rPr>
              <w:t>Flacon 430 mL</w:t>
            </w:r>
          </w:p>
        </w:tc>
        <w:tc>
          <w:tcPr>
            <w:tcW w:type="dxa" w:w="1559"/>
          </w:tcPr>
          <w:p>
            <w:r>
              <w:rPr>
                <w:sz w:val="20"/>
              </w:rPr>
              <w:t>Hors liste</w:t>
            </w:r>
          </w:p>
        </w:tc>
        <w:tc>
          <w:tcPr>
            <w:tcW w:type="dxa" w:w="1559"/>
          </w:tcPr>
          <w:p>
            <w:r>
              <w:rPr>
                <w:sz w:val="20"/>
              </w:rPr>
              <w:t>Non renouvelable</w:t>
            </w:r>
          </w:p>
        </w:tc>
      </w:tr>
      <w:tr>
        <w:tc>
          <w:tcPr>
            <w:tcW w:type="dxa" w:w="1559"/>
          </w:tcPr>
          <w:p>
            <w:r>
              <w:rPr>
                <w:sz w:val="20"/>
              </w:rPr>
              <w:t>HIBITANE</w:t>
            </w:r>
          </w:p>
        </w:tc>
        <w:tc>
          <w:tcPr>
            <w:tcW w:type="dxa" w:w="1559"/>
          </w:tcPr>
          <w:p>
            <w:r>
              <w:rPr>
                <w:sz w:val="20"/>
              </w:rPr>
              <w:t>ZENECA PHARMA</w:t>
            </w:r>
          </w:p>
        </w:tc>
        <w:tc>
          <w:tcPr>
            <w:tcW w:type="dxa" w:w="1559"/>
          </w:tcPr>
          <w:p>
            <w:r>
              <w:rPr>
                <w:sz w:val="20"/>
              </w:rPr>
              <w:t>Solution dermique — Chlorhexidine (gluconate) 5 %</w:t>
            </w:r>
          </w:p>
        </w:tc>
        <w:tc>
          <w:tcPr>
            <w:tcW w:type="dxa" w:w="1559"/>
          </w:tcPr>
          <w:p>
            <w:r>
              <w:rPr>
                <w:sz w:val="20"/>
              </w:rPr>
              <w:t>Flacon 125 mL ; flacon 1 L</w:t>
            </w:r>
          </w:p>
        </w:tc>
        <w:tc>
          <w:tcPr>
            <w:tcW w:type="dxa" w:w="1559"/>
          </w:tcPr>
          <w:p>
            <w:r>
              <w:rPr>
                <w:sz w:val="20"/>
              </w:rPr>
              <w:t>Hors liste</w:t>
            </w:r>
          </w:p>
        </w:tc>
        <w:tc>
          <w:tcPr>
            <w:tcW w:type="dxa" w:w="1559"/>
          </w:tcPr>
          <w:p>
            <w:r>
              <w:rPr>
                <w:sz w:val="20"/>
              </w:rPr>
              <w:t>Retrait</w:t>
            </w:r>
          </w:p>
        </w:tc>
      </w:tr>
      <w:tr>
        <w:tc>
          <w:tcPr>
            <w:tcW w:type="dxa" w:w="1559"/>
          </w:tcPr>
          <w:p>
            <w:r>
              <w:rPr>
                <w:sz w:val="20"/>
              </w:rPr>
              <w:t>CORSODYL</w:t>
            </w:r>
          </w:p>
        </w:tc>
        <w:tc>
          <w:tcPr>
            <w:tcW w:type="dxa" w:w="1559"/>
          </w:tcPr>
          <w:p>
            <w:r>
              <w:rPr>
                <w:sz w:val="20"/>
              </w:rPr>
              <w:t>GLAXOSMITHKLINE</w:t>
            </w:r>
          </w:p>
        </w:tc>
        <w:tc>
          <w:tcPr>
            <w:tcW w:type="dxa" w:w="1559"/>
          </w:tcPr>
          <w:p>
            <w:r>
              <w:rPr>
                <w:sz w:val="20"/>
              </w:rPr>
              <w:t>Solution pour bain de bouche — Chlorhexidine (digluconate) 0,2 %</w:t>
            </w:r>
          </w:p>
        </w:tc>
        <w:tc>
          <w:tcPr>
            <w:tcW w:type="dxa" w:w="1559"/>
          </w:tcPr>
          <w:p>
            <w:r>
              <w:rPr>
                <w:sz w:val="20"/>
              </w:rPr>
              <w:t>Flacon 200 mL</w:t>
            </w:r>
          </w:p>
        </w:tc>
        <w:tc>
          <w:tcPr>
            <w:tcW w:type="dxa" w:w="1559"/>
          </w:tcPr>
          <w:p>
            <w:r>
              <w:rPr>
                <w:sz w:val="20"/>
              </w:rPr>
              <w:t>Hors liste</w:t>
            </w:r>
          </w:p>
        </w:tc>
        <w:tc>
          <w:tcPr>
            <w:tcW w:type="dxa" w:w="1559"/>
          </w:tcPr>
          <w:p>
            <w:r>
              <w:rPr>
                <w:sz w:val="20"/>
              </w:rPr>
              <w:t>Retrait</w:t>
            </w:r>
          </w:p>
        </w:tc>
      </w:tr>
      <w:tr>
        <w:tc>
          <w:tcPr>
            <w:tcW w:type="dxa" w:w="1559"/>
          </w:tcPr>
          <w:p>
            <w:r>
              <w:rPr>
                <w:sz w:val="20"/>
              </w:rPr>
              <w:t>ELUDRIL</w:t>
            </w:r>
          </w:p>
        </w:tc>
        <w:tc>
          <w:tcPr>
            <w:tcW w:type="dxa" w:w="1559"/>
          </w:tcPr>
          <w:p>
            <w:r>
              <w:rPr>
                <w:sz w:val="20"/>
              </w:rPr>
              <w:t>PIERRE FABRE</w:t>
            </w:r>
          </w:p>
        </w:tc>
        <w:tc>
          <w:tcPr>
            <w:tcW w:type="dxa" w:w="1559"/>
          </w:tcPr>
          <w:p>
            <w:r>
              <w:rPr>
                <w:sz w:val="20"/>
              </w:rPr>
              <w:t>Collutoire — Chlorhexidine 50 mg + Tétracaïne 15 mg pour 100 mL</w:t>
            </w:r>
          </w:p>
        </w:tc>
        <w:tc>
          <w:tcPr>
            <w:tcW w:type="dxa" w:w="1559"/>
          </w:tcPr>
          <w:p>
            <w:r>
              <w:rPr>
                <w:sz w:val="20"/>
              </w:rPr>
              <w:t>Flacon 55 mL</w:t>
            </w:r>
          </w:p>
        </w:tc>
        <w:tc>
          <w:tcPr>
            <w:tcW w:type="dxa" w:w="1559"/>
          </w:tcPr>
          <w:p>
            <w:r>
              <w:rPr>
                <w:sz w:val="20"/>
              </w:rPr>
              <w:t>Hors liste</w:t>
            </w:r>
          </w:p>
        </w:tc>
        <w:tc>
          <w:tcPr>
            <w:tcW w:type="dxa" w:w="1559"/>
          </w:tcPr>
          <w:p>
            <w:r>
              <w:rPr>
                <w:sz w:val="20"/>
              </w:rPr>
              <w:t>Retrait</w:t>
            </w:r>
          </w:p>
        </w:tc>
      </w:tr>
      <w:tr>
        <w:tc>
          <w:tcPr>
            <w:tcW w:type="dxa" w:w="1559"/>
          </w:tcPr>
          <w:p>
            <w:r>
              <w:rPr>
                <w:sz w:val="20"/>
              </w:rPr>
              <w:t>ELUDRIL</w:t>
            </w:r>
          </w:p>
        </w:tc>
        <w:tc>
          <w:tcPr>
            <w:tcW w:type="dxa" w:w="1559"/>
          </w:tcPr>
          <w:p>
            <w:r>
              <w:rPr>
                <w:sz w:val="20"/>
              </w:rPr>
              <w:t>PIERRE FABRE</w:t>
            </w:r>
          </w:p>
        </w:tc>
        <w:tc>
          <w:tcPr>
            <w:tcW w:type="dxa" w:w="1559"/>
          </w:tcPr>
          <w:p>
            <w:r>
              <w:rPr>
                <w:sz w:val="20"/>
              </w:rPr>
              <w:t>Aérosol buccal — Chlorhexidine (digluconate) 0,5 mL + Chlorobutanol hémihydrate 0,5 g pour 100 mL</w:t>
            </w:r>
          </w:p>
        </w:tc>
        <w:tc>
          <w:tcPr>
            <w:tcW w:type="dxa" w:w="1559"/>
          </w:tcPr>
          <w:p>
            <w:r>
              <w:rPr>
                <w:sz w:val="20"/>
              </w:rPr>
              <w:t>Flacon 90 mL</w:t>
            </w:r>
          </w:p>
        </w:tc>
        <w:tc>
          <w:tcPr>
            <w:tcW w:type="dxa" w:w="1559"/>
          </w:tcPr>
          <w:p>
            <w:r>
              <w:rPr>
                <w:sz w:val="20"/>
              </w:rPr>
              <w:t>Hors liste</w:t>
            </w:r>
          </w:p>
        </w:tc>
        <w:tc>
          <w:tcPr>
            <w:tcW w:type="dxa" w:w="1559"/>
          </w:tcPr>
          <w:p>
            <w:r>
              <w:rPr>
                <w:sz w:val="20"/>
              </w:rPr>
              <w:t>Retrait</w:t>
            </w:r>
          </w:p>
        </w:tc>
      </w:tr>
    </w:tbl>
    <w:p/>
    <w:p>
      <w:r>
        <w:t>La chlorhexidine est principalement délivrée en Algérie sous forme de solutions dermiques (Dermobacter — solution cutanée combinée à un ammonium quaternaire pour usage pluriquotidien sur peau lésée minime ; Hysadril alcoolique — solution à 0,5 % pour antisepsie cutanée de petite surface) et de bains de bouche (Hysadril à 0,2 %, équivalent du Corsodyl de GSK). Les formes historiques Hibitane (Zeneca) et Corsodyl (GSK) ont été retirées du marché algérien ; les formes Eludril (Pierre Fabre), combinaison avec un anesthésique local (tétracaïne) ou un autre antiseptique (chlorobutanol), sont également retirées mais restent largement prescrites dans les pratiques privées par habitude. Le Dermobacter (Innotech) conserve une place de choix en officine pour la désinfection des petites plaies et le nettoyage antiseptique des mains.</w:t>
      </w:r>
    </w:p>
    <w:p>
      <w:r/>
      <w:r>
        <w:rPr>
          <w:b/>
        </w:rPr>
        <w:t>Sous-classe et Mécanisme d'action :</w:t>
      </w:r>
      <w:r/>
    </w:p>
    <w:p>
      <w:pPr>
        <w:pStyle w:val="ListBullet"/>
      </w:pPr>
      <w:r>
        <w:t>Sous-classe : Biguanide cationique de synthèse, chef de file des antiseptiques rémanents à large spectre.</w:t>
      </w:r>
    </w:p>
    <w:p>
      <w:pPr>
        <w:pStyle w:val="ListBullet"/>
      </w:pPr>
      <w:r>
        <w:t>Mécanisme d'action : la chlorhexidine est une molécule cationique (positivement chargée) à pH physiologique, qui se lie par électrostatique aux charges négatives de la membrane bactérienne (phospholipides, lipopolysaccharides des Gram-négatifs, acides téichoïques des Gram-positifs). Cette interaction entraîne une séquence d'événements : (i) altération rapide de la perméabilité membranaire avec fuite de K+ et de métabolites intracellulaires de faible poids moléculaire ; (ii) coagulation et précipitation des protéines cytoplasmiques par dénaturation des pontures hydrogènes ; (iii) inactivation des enzymes membranaires (ATPases) ; (iv) lyse cellulaire avec mort bactérienne. La chlorhexidine est bactéricide à partir de 1 minute de contact. Sa propriété distinctive est la rémanence cutanée : elle se lie de façon réversible à la couche cornée (kératine) et aux membranes muqueuses, maintenant une activité antimicrobienne résiduelle pendant 6 à 48 heures après application, ce qui la rend unique pour la préparation cutanée pré-opératoire et la désinfection prolongée des cathéters. Le spectre couvre les bactéries Gram-positives (staphylocoques y compris SARM, streptocoques, entérocoques), Gram-négatives (E. coli, Klebsiella, Proteus, Pseudomonas — activité plus modeste), mycobactéries (activité lente), champignons (Candida, dermatophytes — activité modeste) et certains virus enveloppés (VIH, HSV, VHB, virus respiratoires). Elle est peu active sur les spores bactériennes et les virus non enveloppés (entérovirus, rotavirus).</w:t>
      </w:r>
    </w:p>
    <w:p>
      <w:r/>
      <w:r>
        <w:rPr>
          <w:b/>
        </w:rPr>
        <w:t>Profil Pharmacologique :</w:t>
      </w:r>
      <w:r/>
    </w:p>
    <w:p>
      <w:pPr>
        <w:pStyle w:val="ListBullet"/>
      </w:pPr>
      <w:r>
        <w:t>Indications : (1) Antisepsie cutanée pré-opératoire (préparation du champ opératoire, désinfection du site d'incision) — concentration alcoolique 0,5 % à 2 %, idéalement 2 % selon les recommandations OMS. (2) Désinfection des sites de ponction et d'insertion de cathéters (perfusion IV, cathéter central, dialyse) — rémanence prolongée réduisant les bactériémies sur cathéter. (3) Antisepsie des petites plaies, écorchures, morsures, brûlures superficielles (Dermobacter, Hysadril alcoolique). (4) Bains de bouche post-chirurgicaux et en cas de gingivite, parodontite, post-avulsion dentaire (Hysadril 0,2 %, cure courte 7–10 jours maximum pour éviter la coloration dentaire). (5) Désinfection des muqueuses (gynécologique, urologique) en solution aqueuse diluée à 0,05 %. (6) Toilette cutanée des patients à risque infectieux élevé (réanimation, grands brûlés). (7) Prophylaxie des infections de site opératoire (référence OMS, CDC, SF2H). (8) Désinfection des mains chirurgicales (alternatif à la povidone iodée).</w:t>
      </w:r>
    </w:p>
    <w:p>
      <w:pPr>
        <w:pStyle w:val="ListBullet"/>
      </w:pPr>
      <w:r>
        <w:t>Contre-indications : (1) Hypersensibilité à la chlorhexidine ou à l'un des excipients (formaldéhyde résiduel possible, parahydroxybenzoates). (2) Application dans le conduit auditif externe, en particulier en cas de suspicion de perforation tympanique (ototoxicité cochléaire et vestibulairedocumentée — surdité définitive possible). (3) Application au contact de l'œil et des muqueuses conjonctivales (kératite toxique, ulcère cornéen — en cas de contact accidentel, rincer abondamment au sérum physiologique). (4) Application sur le méninge, la dure-mère, les cavités péritonéales et pleurales (neurotoxicité et toxicité systémique en cas de résorption). (5) Ne pas utiliser en injection (forme strictement topique). (6) Prudence en néonatalogie, particulièrement chez les prématurés (risque de brûlures chimiques, réactions cutanées sévères — préférence pour la povidone iodée aqueuse en naissance à terme, et pour l'eau stérile chez le grand prématuré selon recommandations OMS 2018). (7) Prudence en cas d'application prolongée sur de grandes surfaces brûlées ou chez l'insuffisant rénal (résorption systémique possible avec hépatotoxicité rarement rapportée).</w:t>
      </w:r>
    </w:p>
    <w:p>
      <w:pPr>
        <w:pStyle w:val="ListBullet"/>
      </w:pPr>
      <w:r>
        <w:t>Effets Indésirables : Très fréquents (&gt; 10 %) en usage buccal prolongé : coloration brune des dents, des restaurations prothétiques et de la langue (réversible à l'arrêt, mais inesthétique — limite à 10–14 jours d'usage), dysgueusie transitoire (goût métallique), sensation de picotement lingual. Fréquents (1–10 %) : irritation locale, sécheresse buccale, desquamation de la muqueuse buccale, rash cutané au site d'application. Peu fréquents (0,1–1 %) : dermatite de contact allergique (eczéma), photosensibilité, dermite d'irritation en cas d'usage répété sur peau lésée. Rares (&lt; 0,1 %) : anaphylaxie (choc anaphylactique, urticaire généralisée, bronchospasme, hypotension) — alerte ANSM/EMA 2014–2017, plusieurs cas rapportés notamment avec les formes concentrées alcooliques pré-opératoires (à type de chlorhexidine 2 % ou 4 %) ; nécessité d'une surveillance post-application de 15 minutes en milieu chirurgical. Exceptionnels (&lt; 0,01 %) : kératite toxique sévère en cas d'application oculaire accidentelle, ototoxicité en cas d'application auriculaire, hépatotoxicité (résorption systémique sur grandes surfaces), méthémoglobinémie chez le nourrisson (forme associée à la chlorobutanol — retirée). La chlorhexidine n'est pas génotoxique ni cancérogène aux concentrations d'usage.</w:t>
      </w:r>
    </w:p>
    <w:p>
      <w:r/>
      <w:r>
        <w:rPr>
          <w:b/>
        </w:rPr>
        <w:t>Prévention et Gestion des Effets Indésirables :</w:t>
      </w:r>
      <w:r/>
    </w:p>
    <w:p>
      <w:pPr>
        <w:pStyle w:val="ListBullet"/>
      </w:pPr>
      <w:r>
        <w:t>Mesures préventives : (1) Vérifier systématiquement l'absence d'antécédents d'allergie à la chlorhexidine avant initiation — questionner sur les antécédents de réactions aux bains de bouche, aux solutions pour lentilles de contact (chlorhexidine historiquement), aux pansements antiseptiques. (2) Respecter strictement les contre-indications : ne jamais instiller dans le conduit auditif (utiliser un coton sec ou un antiseptique adapté à l'otologie comme l'acide borique ou l'oxyquinoléine), ne jamais appliquer au contact de l'œil (utiliser la povidone iodée ophtalmique ou le chlorure de benzalkonium ophtalmique). (3) En usage buccal, limiter la durée à 7–10 jours (max 14 jours) pour prévenir la coloration dentaire et la dysgueusie ; informer le patient de la possibilité d'une coloration réversible et recommander un brossage soigneux. (4) Pour les solutions alcooliques (Hysadril alcoolique), éviter l'application sur muqueuses, peau lésée étendue, brûlures profondes — risque d'irritation et de résorption systémique. (5) Pour la forme pré-opératoire concentrée, surveillance post-application de 15 minutes en milieu chirurgical pour dépister une réaction anaphylactique précoce. (6) Ne pas mélanger avec un savon anionique (inactivation mutuelle) — rincer soigneusement à l'eau ou au sérum physiologique entre un savon et la chlorhexidine. (7) Éviter l'usage prolongé sur de grandes surfaces cutanées (risque de résorption systémique, hépatotoxicité exceptionnelle).</w:t>
      </w:r>
    </w:p>
    <w:p>
      <w:pPr>
        <w:pStyle w:val="ListBullet"/>
      </w:pPr>
      <w:r>
        <w:t>Conduite à tenir : (1) En cas d'anaphylaxie (choc, urticaire généralisée, bronchospasme, hypotension) : arrêt immédiat de toute exposition à la chlorhexidine, traitement symptomatique urgent — adrénaline 0,3 mg IM (0,5 mg chez l'adulte) dans la face antéro-externe de la cuisse, antihistaminiques H1 (dexchlorphéniramine 5 mg IV), corticothérapie IV (méthylprednisolone 1–2 mg/kg), oxygène, remplissage vasculaire, surveillance USIC/ réanimation 24–48 h. (2) En cas de coloration dentaire : arrêt du bain de bouche, détartrage professionnel (la coloration est réversible et s'élimine avec un détartrage). (3) En cas de dermite d'irritation : arrêt, rinçage, émollient, switch vers un antiseptique alternatif (povidone iodée, hexamidine). (4) En cas de contact oculaire accidentel : rinçage immédiat et prolongé au sérum physiologique (15 minutes minimum), consultation ophtalmologique urgente. (5) En cas d'application auriculaire accidentelle : ne pas rincer (risque de pousser plus loin), consultation ORL urgente pour évaluation auditive.</w:t>
      </w:r>
    </w:p>
    <w:p>
      <w:r/>
      <w:r>
        <w:rPr>
          <w:b/>
        </w:rPr>
        <w:t>Interactions Médicamenteuses :</w:t>
      </w:r>
      <w:r/>
    </w:p>
    <w:p>
      <w:pPr>
        <w:pStyle w:val="ListBullet"/>
      </w:pPr>
      <w:r>
        <w:t>Savons anioniques, détergents anioniques, sodium lauryl sulfate : inactivation réciproque par neutralisation des charges — toujours rincer soigneusement à l'eau entre un savon et la chlorhexidine. Les savons non ioniques (Tegobetaine) sont compatibles.</w:t>
      </w:r>
    </w:p>
    <w:p>
      <w:pPr>
        <w:pStyle w:val="ListBullet"/>
      </w:pPr>
      <w:r>
        <w:t>Iodures, povidone iodée : incompatibilité chimique — ne jamais appliquer simultanément la chlorhexidine et la povidone iodée sur la même zone. Rincer abondamment si succession nécessaire.</w:t>
      </w:r>
    </w:p>
    <w:p>
      <w:pPr>
        <w:pStyle w:val="ListBullet"/>
      </w:pPr>
      <w:r>
        <w:t>Sels d'argent (sulfadiazine argentique, nitrate d'argent) : incompatibilité — précipitation et perte d'activité des deux composés.</w:t>
      </w:r>
    </w:p>
    <w:p>
      <w:pPr>
        <w:pStyle w:val="ListBullet"/>
      </w:pPr>
      <w:r>
        <w:t>Alcool à concentration excessive (&gt; 70 %) : réduction de l'efficacité (la chlorhexidine alcoolique optimale est à 70 % d'éthanol ou 60 % d'isopropanol).</w:t>
      </w:r>
    </w:p>
    <w:p>
      <w:pPr>
        <w:pStyle w:val="ListBullet"/>
      </w:pPr>
      <w:r>
        <w:t>Anesthésiques locaux à usage buccal (lidocaïne, tétracaïne) : compatibilité possible (Eludril, Eludril spray), potentialisation de l'effet antiseptique-analgésique.</w:t>
      </w:r>
    </w:p>
    <w:p>
      <w:pPr>
        <w:pStyle w:val="ListBullet"/>
      </w:pPr>
      <w:r>
        <w:t>Corticoïdes topiques (hydrocortisone) : compatibilité possible en association séquentielle pour dermatoses surinfectées.</w:t>
      </w:r>
    </w:p>
    <w:p>
      <w:pPr>
        <w:pStyle w:val="ListBullet"/>
      </w:pPr>
      <w:r>
        <w:t>PAS d'interaction systémique significative en usage topique cutanéo-muqueux correctement conduit (résorption systémique négligeable sur peau saine).</w:t>
      </w:r>
    </w:p>
    <w:p>
      <w:pPr>
        <w:pStyle w:val="ListBullet"/>
      </w:pPr>
      <w:r>
        <w:t>En cas d'ingestion accidentelle massive (rare — enfant) : hépatotoxicité possible (chlorhexidine métabolisée par le foie en cas d'ingestion), traitement symptomatique.</w:t>
      </w:r>
    </w:p>
    <w:p>
      <w:r/>
      <w:r>
        <w:rPr>
          <w:b/>
        </w:rPr>
        <w:t>Grossesse et Allaitement :</w:t>
      </w:r>
      <w:r/>
    </w:p>
    <w:p>
      <w:pPr>
        <w:pStyle w:val="ListBullet"/>
      </w:pPr>
      <w:r>
        <w:t>Grossesse : la chlorhexidine est considérée comme COMPATIBLE en usage topique cutané et en bain de bouche ponctuel (CRAT : « l'utilisation ponctuelle d'une solution de chlorhexidine pour bain de bouche est envisageable quel que soit le terme de la grossesse »). Pour les formes alcooliques concentrées, préférer la forme aqueuse ou l'usage ponctuel de povidone iodée aqueuse en pré-opératoire (la chlorhexidine alcoolique n'a pas de sur-risque tératogène mais l'alcool peut être absorbé). Éviter l'usage prolongé sur de grandes surfaces cutanées (résorption systémique non documentée mais théorique). En néonatalogie, ne pas utiliser chez le prématuré (risque de brûlures chimiques, recommandations OMS 2018 — préférer l'eau stérile ou la povidone iodée aqueuse diluée).</w:t>
      </w:r>
    </w:p>
    <w:p>
      <w:pPr>
        <w:pStyle w:val="ListBullet"/>
      </w:pPr>
      <w:r>
        <w:t>Allaitement : COMPATIBLE en usage topique cutané ponctuel et en bain de bouche. Éviter l'application sur le mamelon avant la tétée (risque d'ingestion par le nouveau-né — goût amer, irritations possibles) ; rincer soigneusement avant la tétée si usage nécessaire sur la région thoracique.</w:t>
      </w:r>
    </w:p>
    <w:p>
      <w:pPr>
        <w:pStyle w:val="ListBullet"/>
      </w:pPr>
      <w:r>
        <w:t>Fertilité : pas d'effet connu sur la fertilité masculine ou féminine.</w:t>
      </w:r>
    </w:p>
    <w:p>
      <w:r/>
      <w:r>
        <w:rPr>
          <w:b/>
        </w:rPr>
        <w:t>Posologie et Mode d'administration (Standard) :</w:t>
      </w:r>
      <w:r/>
    </w:p>
    <w:p>
      <w:pPr>
        <w:pStyle w:val="ListBullet"/>
      </w:pPr>
      <w:r>
        <w:t>Antisepsie cutanée pré-opératoire : solution alcoolique de chlorhexidine 0,5 % à 2 % (forme idéale 2 % selon OMS). Friction du champ opératoire pendant 30 secondes à 1 minute en motions concentriques, laisser sécher spontanément (ne pas rincer, ne pas tamponner — le séchage à l'air libre conserve la rémanence). Temps d'action minimum 1 minute, idéal 3 minutes. Réappliquer si le geste dure plus de 4 heures. En Algérie, la forme Hysadril alcoolique 0,5 % est utilisée en pratique ambulatoire ; la forme 2 % n'est pas disponible dans la nomenclature actuelle, ce qui peut justifier un recours à la povidone iodée 10 % aqueuse en pré-opératoire.</w:t>
      </w:r>
    </w:p>
    <w:p>
      <w:pPr>
        <w:pStyle w:val="ListBullet"/>
      </w:pPr>
      <w:r>
        <w:t>Antisepsie des petites plaies : Dermobacter (chlorhexidine 0,2 % + benzalkonium 0,5 %) en application locale 1 à 3 fois par jour après nettoyage préalable à l'eau et au savon doux, jusqu'à cicatrisation (max 7–10 jours).</w:t>
      </w:r>
    </w:p>
    <w:p>
      <w:pPr>
        <w:pStyle w:val="ListBullet"/>
      </w:pPr>
      <w:r>
        <w:t>Bain de bouche : Hysadril 0,2 % — 10 à 15 mL non dilué (ou dilué moitié-moitié avec eau tiède en cas d'irritation), bain de bouche pendant 30 secondes à 1 minute, 2 à 3 fois par jour après brossage, recracher (ne pas avaler). Cure courte 7–10 jours, maximum 14 jours pour limiter la coloration dentaire.</w:t>
      </w:r>
    </w:p>
    <w:p>
      <w:pPr>
        <w:pStyle w:val="ListBullet"/>
      </w:pPr>
      <w:r>
        <w:t>Désinfection des cathéters : solution alcoolique 0,5 % en friction au site d'insertion lors de chaque manipulation (pose, changement de pansement, branchement) — temps de contact 30 secondes, séchage à l'air libre.</w:t>
      </w:r>
    </w:p>
    <w:p>
      <w:pPr>
        <w:pStyle w:val="ListBullet"/>
      </w:pPr>
      <w:r>
        <w:t>Antisepsie des muqueuses (gynécologique, urologique) : solution aqueuse diluée à 0,05 %, en lavage ou instillation unique.</w:t>
      </w:r>
    </w:p>
    <w:p>
      <w:pPr>
        <w:pStyle w:val="ListBullet"/>
      </w:pPr>
      <w:r>
        <w:t>Désinfection des mains chirurgicales : lavage préalable puis friction 5 minutes avec une solution hydro-alcoolique à 4 % de chlorhexidine (forme non disponible en Algérie — alternative : povidone iodée 4 % scrub).</w:t>
      </w:r>
    </w:p>
    <w:p>
      <w:pPr>
        <w:pStyle w:val="ListBullet"/>
      </w:pPr>
      <w:r>
        <w:t>Sujet âgé : pas d'adaptation posologique.</w:t>
      </w:r>
    </w:p>
    <w:p>
      <w:pPr>
        <w:pStyle w:val="ListBullet"/>
      </w:pPr>
      <w:r>
        <w:t>Insuffisance rénale/hépatique : pas d'adaptation en usage topique court et localisé.</w:t>
      </w:r>
    </w:p>
    <w:p>
      <w:pPr>
        <w:pStyle w:val="ListBullet"/>
      </w:pPr>
      <w:r>
        <w:t>Enfant : bain de bouche dès 6 ans (sous surveillance pour éviter l'ingestion), solution cutanée dès la naissance mais prudence chez le prématuré.</w:t>
      </w:r>
    </w:p>
    <w:p>
      <w:r/>
      <w:r>
        <w:rPr>
          <w:b/>
        </w:rPr>
        <w:t>Surveillance Biologique et Suivi Clinique :</w:t>
      </w:r>
      <w:r/>
    </w:p>
    <w:p>
      <w:pPr>
        <w:pStyle w:val="ListBullet"/>
      </w:pPr>
      <w:r>
        <w:t>Pas de surveillance biologique spécifique nécessaire en usage topique standard court et localisé.</w:t>
      </w:r>
    </w:p>
    <w:p>
      <w:pPr>
        <w:pStyle w:val="ListBullet"/>
      </w:pPr>
      <w:r>
        <w:t>Surveillance clinique : (1) Pour les bains de bouche : examen dentaire à J7-J10 pour vérifier l'absence de coloration excessive, de desquamation muqueuse, de dysgueusie persistante ; arrêt à J14 maximum. (2) Pour les solutions cutanées : surveillance locale à J3-J5 pour vérifier l'absence d'irritation, de dermite de contact, d'eczéma ; arrêt en cas de symptômes. (3) Pour la pré-opératoire concentrée : surveillance clinique post-application pendant 15 minutes (tension artérielle, fréquence cardiaque, fréquence respiratoire, saturation) pour dépister une anaphylaxie précoce. (4) Pour les formes à usage prolongé sur peau lésée étendue (patients hospitalisés en réanimation) : surveillance hépatique (ALAT, ASAT, bilirubine) et rénale (créatinine) hebdomadaire pour dépister une éventuelle résorption systémique.</w:t>
      </w:r>
    </w:p>
    <w:p>
      <w:pPr>
        <w:pStyle w:val="ListBullet"/>
      </w:pPr>
      <w:r>
        <w:t>Pas de suivi virologique ou bactériologique systématique (la chlorhexidine n'induit pas de sélection de résistance documentée en usage topique standard — sauf en milieu hydrique pour Pseudomonas en cas d'utilisation de solutions contaminées, d'où la règle absolue de ne pas conserver les flacons entamés au-delà de 24–48 heures après ouverture).</w:t>
      </w:r>
    </w:p>
    <w:p>
      <w:r/>
      <w:r>
        <w:rPr>
          <w:b/>
        </w:rPr>
        <w:t>Arbitrage et Bénéfices des Formes Galéniques :</w:t>
      </w:r>
      <w:r/>
    </w:p>
    <w:p>
      <w:r>
        <w:t>La chlorhexidine se décline en plusieurs formes galéniques dont le choix dépend de l'indication et du terrain. La solution alcoolique 0,5 % (Hysadril alcoolique) est privilégiée pour l'antisepsie cutanée de petite surface, en particulier pré-opératoire ou post-traumatique, car l'alcool potentialise l'effet bactéricide et accélère le séchage. La solution aqueuse ou hydro-alcoolique à 0,2 % en bain de bouche (Hysadril, équivalent Corsodyl) est la référence pour les affections bucco-dentaires post-chirurgicales et les gingivites, avec une cure courte impérative pour limiter la coloration. La solution combinée Dermobacter (chlorhexidine + benzalkonium) présente l'intérêt d'un double mécanisme d'action (biguanide + ammonium quaternaire) mais augmente théoriquement le risque d'effets indésirables allergiques. La forme Eludril (associée à la tétracaïne anesthésique locale) était historiquement indiquée pour les affections buccales douloureuses (aphtes, gingivites ulcérées) mais a été retirée du marché algérien. La forme pré-opératoire concentrée à 2 % ou 4 % en solution alcoolique, référence OMS, n'est pas disponible dans la nomenclature algérienne, ce qui justifie le recours à la povidone iodée 10 % aqueuse pour la préparation cutanée pré-opératoire en bloc opératoire. En l'absence de chlorhexidine ophtalmique, on lui préférera la povidone iodée 1 % ophtalmique (Préopidine historiquement). Pour la désinfection des muqueuses sensibles (génitales, urinaires), la dilution à 0,05 % en solution aqueuse est la règle, à appliquer en lavage unique.</w:t>
      </w:r>
    </w:p>
    <w:p>
      <w:r/>
      <w:r>
        <w:rPr>
          <w:b/>
        </w:rPr>
        <w:t>Instructions et Conseils au Patient :</w:t>
      </w:r>
      <w:r/>
    </w:p>
    <w:p>
      <w:pPr>
        <w:pStyle w:val="ListBullet"/>
      </w:pPr>
      <w:r>
        <w:t>Communication au comptoir : « La chlorhexidine est un antiseptique de référence, très efficace sur la plupart des bactéries et champignons, avec un effet prolongé sur la peau après application. Pour les bains de bouche, utilisez 10 à 15 mL pur ou dilué, gardez 30 secondes à 1 minute en bouche, recrachez (n'avalez pas), 2 à 3 fois par jour après brossage, pendant 7 à 10 jours maximum (au-delà, risque de coloration brune des dents, réversible à l'arrêt et au détartrage). Pour la désinfection des plaies, nettoyez d'abord à l'eau et au savon, appliquez la solution, laissez sécher à l'air libre. Ne jamais mettre dans l'oreille (surdité possible), ne jamais appliquer dans l'œil (brûlure cornéenne). Prévenez immédiatement un médecin en cas d'éruption cutanée, de gonflement du visage, de difficulté à respirer (signes d'allergie rare mais grave). »</w:t>
      </w:r>
    </w:p>
    <w:p>
      <w:pPr>
        <w:pStyle w:val="ListBullet"/>
      </w:pPr>
      <w:r>
        <w:t>Observance : respecter la durée maximale (7–10 jours en bain de bouche), ne pas augmenter la fréquence d'application, ne pas avaler la solution buccale.</w:t>
      </w:r>
    </w:p>
    <w:p>
      <w:pPr>
        <w:pStyle w:val="ListBullet"/>
      </w:pPr>
      <w:r>
        <w:t>Hygiène bucco-dentaire : continuer le brossage normal (la chlorhexidine ne remplace pas le brossage), espacer les bains de bouche des repas de 30 minutes (pour ne pas altérer le goût), éviter les boissons colorées (café, thé, vin rouge) pendant le traitement pour limiter la coloration.</w:t>
      </w:r>
    </w:p>
    <w:p>
      <w:pPr>
        <w:pStyle w:val="ListBullet"/>
      </w:pPr>
      <w:r>
        <w:t>Conservation : conserver le flacon bien fermé à température ambiante, à l'abri de la lumière. Jeter les flacons entamés depuis plus de 24 heures ( risque de contamination par Pseudomonas). Ne pas réutiliser un coton déjà imbibé.</w:t>
      </w:r>
    </w:p>
    <w:p>
      <w:pPr>
        <w:pStyle w:val="ListBullet"/>
      </w:pPr>
      <w:r>
        <w:t>Femmes enceintes et allaitantes : usage ponctuel possible, de préférence en solution aqueuse ; éviter les formes alcooliques sur grande surface ; ne pas appliquer sur le mamelon avant la tétée.</w:t>
      </w:r>
    </w:p>
    <w:p>
      <w:r/>
      <w:r>
        <w:rPr>
          <w:b/>
        </w:rPr>
        <w:t>Notes, Règles d'Or &amp; Pièges au Comptoir :</w:t>
      </w:r>
      <w:r/>
    </w:p>
    <w:p>
      <w:pPr>
        <w:pStyle w:val="ListBullet"/>
      </w:pPr>
      <w:r>
        <w:t>Règle d'or : tout antiseptique doit être appliqué sur une peau PROPRE — un lavage soigneux à l'eau et au savon préalable est OBLIGATOIRE (l'antiseptique est inactivé par les protéines, le sang, le pus). Sur une plaie sale, l'antiseptique est inefficace.</w:t>
      </w:r>
    </w:p>
    <w:p>
      <w:pPr>
        <w:pStyle w:val="ListBullet"/>
      </w:pPr>
      <w:r>
        <w:t>Piège : la chlorhexidine est OTOTOXIQUE — ne jamais instiller dans le conduit auditif externe, en particulier chez un enfant suspect d'otite (tympan éventuellement perforé). En cas d'otite externe, préférer un antiseptique acide (acide borique, oxyquinoléine) ou un antibiotique local adapté.</w:t>
      </w:r>
    </w:p>
    <w:p>
      <w:pPr>
        <w:pStyle w:val="ListBullet"/>
      </w:pPr>
      <w:r>
        <w:t>Piège : la chlorhexidine est OCULOTOXIQUE — ne jamais appliquer au contact de l'œil. Pour les antiseptiques ophtalmiques, utiliser la povidone iodée 1 % ou le chlorure de benzalkonium ophtalmique.</w:t>
      </w:r>
    </w:p>
    <w:p>
      <w:pPr>
        <w:pStyle w:val="ListBullet"/>
      </w:pPr>
      <w:r>
        <w:t>Piège : l'anaphylaxie à la chlorhexidine est rare mais documentée, en particulier avec les formes alcooliques concentrées pré-opératoires. Une trousse d'urgence (adrénaline IM) doit être disponible en milieu chirurgical.</w:t>
      </w:r>
    </w:p>
    <w:p>
      <w:pPr>
        <w:pStyle w:val="ListBullet"/>
      </w:pPr>
      <w:r>
        <w:t>Règle : durée maximale 7–10 jours en bain de bouche pour limiter la coloration dentaire (brune, jaune, noire), réversible mais inesthétique. Au-delà de 14 jours, le bénéfice est débordé par le risque.</w:t>
      </w:r>
    </w:p>
    <w:p>
      <w:pPr>
        <w:pStyle w:val="ListBullet"/>
      </w:pPr>
      <w:r>
        <w:t>Piège : la chlorhexidine est INCOMPATIBLE avec les savons anioniques (la plupart des savons classiques) et avec la povidone iodée. Toujours rincer abondamment entre deux produits.</w:t>
      </w:r>
    </w:p>
    <w:p>
      <w:pPr>
        <w:pStyle w:val="ListBullet"/>
      </w:pPr>
      <w:r>
        <w:t>Règle : ne pas conserver les flacons entamés plus de 24 heures (risque de contamination par Pseudomonas aeruginosa, qui peut proliférer dans la solution et causer des infections sévères).</w:t>
      </w:r>
    </w:p>
    <w:p>
      <w:pPr>
        <w:pStyle w:val="ListBullet"/>
      </w:pPr>
      <w:r>
        <w:t>Piège : la chlorhexidine alcoolique est inflammable — attendre le séchage complet (au moins 30 secondes à 1 minute) avant tout geste chirurgical ou avant l'utilisation d'un bistouri électrique (risque d'incendie en bloc opératoire).</w:t>
      </w:r>
    </w:p>
    <w:p>
      <w:pPr>
        <w:pStyle w:val="ListBullet"/>
      </w:pPr>
      <w:r>
        <w:t>Règle : chez le nouveau-né à terme, l'OMS recommande la povidone iodée aqueuse plutôt que la chlorhexidine pour la préparation cutanée pré-opératoire (meilleure tolérance néonatale). Chez le grand prématuré (&lt; 32 SA), préférer l'eau stérile ou le sérum physiologique seul.</w:t>
      </w:r>
    </w:p>
    <w:p>
      <w:pPr>
        <w:pStyle w:val="ListBullet"/>
      </w:pPr>
      <w:r>
        <w:t>Piège : la coloration dentaire peut survenir même en usage court — informer le patient pour éviter la mauvaise observance.</w:t>
      </w:r>
    </w:p>
    <w:p>
      <w:pPr>
        <w:pStyle w:val="Heading2"/>
      </w:pPr>
      <w:r>
        <w:t>124.2 Sous-classe : Antiseptiques topiques — Diamidines</w:t>
      </w:r>
    </w:p>
    <w:p>
      <w:r>
        <w:t>Les diamidines à usage antiseptique topique sont représentées par l'hexamidine (et accessoirement la propamidine, non disponible dans la nomenclature algérienne actuelle). L'hexamidine est une diamidine aromatique de synthèse (sous forme de di-iséthionate hydrosoluble) commercialisée en France depuis 1951 (laboratoires Chauvin pour la forme ophtalmique, puis par d'autres laboratoires pour les formes dermiques), qui présente un spectre antimicrobien large couvrant les bactéries Gram-positives (staphylocoques, streptocoques), certaines bactéries Gram-négatives, et surtout les champignons (Candida, levures), les protozoaires (Acanthamoeba — indication ophtalmique historique majeure pour la forme collyre), et certains virus. La particularité de l'hexamidine est sa très bonne tolérance locale sur les muqueuses, en particulier oculaire, qui en fait un antiseptique de référence en ophtalmologie (conjonctivites, blépharites, kératites amibiennes — treatment adjuvant) et en ORL.</w:t>
      </w:r>
    </w:p>
    <w:p>
      <w:r>
        <w:t>Le mécanisme d'action des diamidines repose sur l'inhibition du métabolisme bactérien et fongique par interférence avec la synthèse de l'ADN et de l'ARN (intercalation entre les bases puriques et pyrimidiques), associée à une altération de la perméabilité membranaire par compétition avec les polyamines naturelles (putrescine, spermidine). La conséquence est bactériostatique à faible concentration et bactéricide à concentration supérieure. L'hexamidine se distingue des biguanides par une activité plus marquée sur les levures et protozoaires, justifiant son usage ophtalmique dans les kératites amibiennes (affection grave et rare, souvent liée au port de lentilles de contact contaminées). Son profil de tolérance est excellent, sans coloration dentaire, sans ototoxicité, sans tératogénicité documentée, ce qui la rend compatible avec la grossesse et la pédiatrie.</w:t>
      </w:r>
    </w:p>
    <w:p>
      <w:r>
        <w:t>Les formes galéniques disponibles en Algérie comprennent la solution dermique (Isomédine 0,1 % — Isopharm Algérie), le collyre (Désomédine 0,1 % — Chauvin S.A.), et historiquement les solutions dermiques Hexaderm (Saidal) et Hexomédine (Rhône Poulenc Rorer) à 0,1 % et 0,15 %, ainsi que le collutoire Oromédine (LPA) associé à la tétracaïne. Les concentrations sont unanimes autour de 0,1 %, considérée comme optimale pour l'équilibre efficacité/tolérance. La molécule est principalement indiquée en ophtalmologie (conjonctivites bactériennes légères, blépharites, prévention post-chirurgicale ophtalmique, kératites amibiennes en association), en dermatologie (antisepsie des petites plaies, des intertrigos candidosiques, des dermatoses surinfectées), en ORL (collutoires) et en gynécologie. Sa place est souvent celle d'une alternative à la chlorhexidine chez les patients allergiques, en ophtalmologie où la chlorhexidine est contre-indiquée, et chez la femme enceinte où la povidone iodée est contre-indiquée au 3e trimestre.</w:t>
      </w:r>
    </w:p>
    <w:p>
      <w:pPr>
        <w:pStyle w:val="Heading3"/>
      </w:pPr>
      <w:r>
        <w:t>124.2.1 DCI : Hexamidine</w:t>
      </w:r>
    </w:p>
    <w:p>
      <w:r/>
      <w:r>
        <w:rPr>
          <w:b/>
        </w:rPr>
        <w:t>Liste des Catégories :</w:t>
      </w:r>
      <w:r>
        <w:t xml:space="preserve"> Antiseptique topique ; Diamidine aromatique (di-iséthionate) ; Antiseptique cutanéo-muqueux et ophtalmique large spectre ; Hors liste (spécialités en vente libre, non inscrites à Liste I ou II).</w:t>
      </w:r>
    </w:p>
    <w:p>
      <w:r>
        <w:t>L'hexamidine (sous forme de di-iséthionate, sel hydrosoluble) est une diamidine aromatique de synthèse commercialisée en France depuis 1951 (Chauvin, Rhône Poulenc Rorer) et disponible en Algérie depuis plusieurs décennies. Sa découverte a offert une alternative intéressante aux ammoniums quaternaires et à la chlorhexidine dans les indications muqueuses (ophtalmologie, ORL) où ces derniers sont mal tolérés ou contre-indiqués. L'hexamidine est inscrite sur la liste des médicaments essentiels de l'OMS dans sa forme ophtalmique pour le traitement adjuvant des kératites amibiennes (affection grave liée au port de lentilles de contact, particulièrement fréquente chez les porteurs de lentilles mensuelles/annuelles mal entretenues). En Algérie, la forme ophtalmique (Désomédine, Chauvin) reste disponible en officine et constitue une référence pour le traitement des conjonctivites bactériennes légères et la préparation pré-opératoire ophtalmique.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ISOMEDINE</w:t>
            </w:r>
          </w:p>
        </w:tc>
        <w:tc>
          <w:tcPr>
            <w:tcW w:type="dxa" w:w="1559"/>
          </w:tcPr>
          <w:p>
            <w:r>
              <w:rPr>
                <w:sz w:val="20"/>
              </w:rPr>
              <w:t>ISOPHARM ALGERIE</w:t>
            </w:r>
          </w:p>
        </w:tc>
        <w:tc>
          <w:tcPr>
            <w:tcW w:type="dxa" w:w="1559"/>
          </w:tcPr>
          <w:p>
            <w:r>
              <w:rPr>
                <w:sz w:val="20"/>
              </w:rPr>
              <w:t>Solution dermique — Hexamidine 0,1 %</w:t>
            </w:r>
          </w:p>
        </w:tc>
        <w:tc>
          <w:tcPr>
            <w:tcW w:type="dxa" w:w="1559"/>
          </w:tcPr>
          <w:p>
            <w:r>
              <w:rPr>
                <w:sz w:val="20"/>
              </w:rPr>
              <w:t>Flacon 50 mL</w:t>
            </w:r>
          </w:p>
        </w:tc>
        <w:tc>
          <w:tcPr>
            <w:tcW w:type="dxa" w:w="1559"/>
          </w:tcPr>
          <w:p>
            <w:r>
              <w:rPr>
                <w:sz w:val="20"/>
              </w:rPr>
              <w:t>Hors liste</w:t>
            </w:r>
          </w:p>
        </w:tc>
        <w:tc>
          <w:tcPr>
            <w:tcW w:type="dxa" w:w="1559"/>
          </w:tcPr>
          <w:p>
            <w:r>
              <w:rPr>
                <w:sz w:val="20"/>
              </w:rPr>
              <w:t>Actif</w:t>
            </w:r>
          </w:p>
        </w:tc>
      </w:tr>
      <w:tr>
        <w:tc>
          <w:tcPr>
            <w:tcW w:type="dxa" w:w="1559"/>
          </w:tcPr>
          <w:p>
            <w:r>
              <w:rPr>
                <w:sz w:val="20"/>
              </w:rPr>
              <w:t>DESOMEDINE</w:t>
            </w:r>
          </w:p>
        </w:tc>
        <w:tc>
          <w:tcPr>
            <w:tcW w:type="dxa" w:w="1559"/>
          </w:tcPr>
          <w:p>
            <w:r>
              <w:rPr>
                <w:sz w:val="20"/>
              </w:rPr>
              <w:t>CHAUVIN S.A.</w:t>
            </w:r>
          </w:p>
        </w:tc>
        <w:tc>
          <w:tcPr>
            <w:tcW w:type="dxa" w:w="1559"/>
          </w:tcPr>
          <w:p>
            <w:r>
              <w:rPr>
                <w:sz w:val="20"/>
              </w:rPr>
              <w:t>Collyre en solution — Hexamidine (di-iséthionate) 0,1 %</w:t>
            </w:r>
          </w:p>
        </w:tc>
        <w:tc>
          <w:tcPr>
            <w:tcW w:type="dxa" w:w="1559"/>
          </w:tcPr>
          <w:p>
            <w:r>
              <w:rPr>
                <w:sz w:val="20"/>
              </w:rPr>
              <w:t>Flacon 10 mL</w:t>
            </w:r>
          </w:p>
        </w:tc>
        <w:tc>
          <w:tcPr>
            <w:tcW w:type="dxa" w:w="1559"/>
          </w:tcPr>
          <w:p>
            <w:r>
              <w:rPr>
                <w:sz w:val="20"/>
              </w:rPr>
              <w:t>Hors liste</w:t>
            </w:r>
          </w:p>
        </w:tc>
        <w:tc>
          <w:tcPr>
            <w:tcW w:type="dxa" w:w="1559"/>
          </w:tcPr>
          <w:p>
            <w:r>
              <w:rPr>
                <w:sz w:val="20"/>
              </w:rPr>
              <w:t>Actif</w:t>
            </w:r>
          </w:p>
        </w:tc>
      </w:tr>
      <w:tr>
        <w:tc>
          <w:tcPr>
            <w:tcW w:type="dxa" w:w="1559"/>
          </w:tcPr>
          <w:p>
            <w:r>
              <w:rPr>
                <w:sz w:val="20"/>
              </w:rPr>
              <w:t>HEXADERM</w:t>
            </w:r>
          </w:p>
        </w:tc>
        <w:tc>
          <w:tcPr>
            <w:tcW w:type="dxa" w:w="1559"/>
          </w:tcPr>
          <w:p>
            <w:r>
              <w:rPr>
                <w:sz w:val="20"/>
              </w:rPr>
              <w:t>GROUPE SAIDAL</w:t>
            </w:r>
          </w:p>
        </w:tc>
        <w:tc>
          <w:tcPr>
            <w:tcW w:type="dxa" w:w="1559"/>
          </w:tcPr>
          <w:p>
            <w:r>
              <w:rPr>
                <w:sz w:val="20"/>
              </w:rPr>
              <w:t>Poudre pour solution dermique — Hexamidine (di-iséthionate) 0,1 % (reconstitution en solution à 0,1 %)</w:t>
            </w:r>
          </w:p>
        </w:tc>
        <w:tc>
          <w:tcPr>
            <w:tcW w:type="dxa" w:w="1559"/>
          </w:tcPr>
          <w:p>
            <w:r>
              <w:rPr>
                <w:sz w:val="20"/>
              </w:rPr>
              <w:t>Tube 30 g</w:t>
            </w:r>
          </w:p>
        </w:tc>
        <w:tc>
          <w:tcPr>
            <w:tcW w:type="dxa" w:w="1559"/>
          </w:tcPr>
          <w:p>
            <w:r>
              <w:rPr>
                <w:sz w:val="20"/>
              </w:rPr>
              <w:t>Hors liste</w:t>
            </w:r>
          </w:p>
        </w:tc>
        <w:tc>
          <w:tcPr>
            <w:tcW w:type="dxa" w:w="1559"/>
          </w:tcPr>
          <w:p>
            <w:r>
              <w:rPr>
                <w:sz w:val="20"/>
              </w:rPr>
              <w:t>Non renouvelable</w:t>
            </w:r>
          </w:p>
        </w:tc>
      </w:tr>
      <w:tr>
        <w:tc>
          <w:tcPr>
            <w:tcW w:type="dxa" w:w="1559"/>
          </w:tcPr>
          <w:p>
            <w:r>
              <w:rPr>
                <w:sz w:val="20"/>
              </w:rPr>
              <w:t>HEXOMEDINE</w:t>
            </w:r>
          </w:p>
        </w:tc>
        <w:tc>
          <w:tcPr>
            <w:tcW w:type="dxa" w:w="1559"/>
          </w:tcPr>
          <w:p>
            <w:r>
              <w:rPr>
                <w:sz w:val="20"/>
              </w:rPr>
              <w:t>RHONE POULENC RORER</w:t>
            </w:r>
          </w:p>
        </w:tc>
        <w:tc>
          <w:tcPr>
            <w:tcW w:type="dxa" w:w="1559"/>
          </w:tcPr>
          <w:p>
            <w:r>
              <w:rPr>
                <w:sz w:val="20"/>
              </w:rPr>
              <w:t>Solution dermique — Hexamidine 0,1 %</w:t>
            </w:r>
          </w:p>
        </w:tc>
        <w:tc>
          <w:tcPr>
            <w:tcW w:type="dxa" w:w="1559"/>
          </w:tcPr>
          <w:p>
            <w:r>
              <w:rPr>
                <w:sz w:val="20"/>
              </w:rPr>
              <w:t>Flacon 45 mL</w:t>
            </w:r>
          </w:p>
        </w:tc>
        <w:tc>
          <w:tcPr>
            <w:tcW w:type="dxa" w:w="1559"/>
          </w:tcPr>
          <w:p>
            <w:r>
              <w:rPr>
                <w:sz w:val="20"/>
              </w:rPr>
              <w:t>Hors liste</w:t>
            </w:r>
          </w:p>
        </w:tc>
        <w:tc>
          <w:tcPr>
            <w:tcW w:type="dxa" w:w="1559"/>
          </w:tcPr>
          <w:p>
            <w:r>
              <w:rPr>
                <w:sz w:val="20"/>
              </w:rPr>
              <w:t>Non renouvelable</w:t>
            </w:r>
          </w:p>
        </w:tc>
      </w:tr>
      <w:tr>
        <w:tc>
          <w:tcPr>
            <w:tcW w:type="dxa" w:w="1559"/>
          </w:tcPr>
          <w:p>
            <w:r>
              <w:rPr>
                <w:sz w:val="20"/>
              </w:rPr>
              <w:t>HEXADERM</w:t>
            </w:r>
          </w:p>
        </w:tc>
        <w:tc>
          <w:tcPr>
            <w:tcW w:type="dxa" w:w="1559"/>
          </w:tcPr>
          <w:p>
            <w:r>
              <w:rPr>
                <w:sz w:val="20"/>
              </w:rPr>
              <w:t>GROUPE SAIDAL</w:t>
            </w:r>
          </w:p>
        </w:tc>
        <w:tc>
          <w:tcPr>
            <w:tcW w:type="dxa" w:w="1559"/>
          </w:tcPr>
          <w:p>
            <w:r>
              <w:rPr>
                <w:sz w:val="20"/>
              </w:rPr>
              <w:t>Solution dermique — Hexamidine (di-iséthionate) 0,1 %</w:t>
            </w:r>
          </w:p>
        </w:tc>
        <w:tc>
          <w:tcPr>
            <w:tcW w:type="dxa" w:w="1559"/>
          </w:tcPr>
          <w:p>
            <w:r>
              <w:rPr>
                <w:sz w:val="20"/>
              </w:rPr>
              <w:t>Flacon 125 mL</w:t>
            </w:r>
          </w:p>
        </w:tc>
        <w:tc>
          <w:tcPr>
            <w:tcW w:type="dxa" w:w="1559"/>
          </w:tcPr>
          <w:p>
            <w:r>
              <w:rPr>
                <w:sz w:val="20"/>
              </w:rPr>
              <w:t>Hors liste</w:t>
            </w:r>
          </w:p>
        </w:tc>
        <w:tc>
          <w:tcPr>
            <w:tcW w:type="dxa" w:w="1559"/>
          </w:tcPr>
          <w:p>
            <w:r>
              <w:rPr>
                <w:sz w:val="20"/>
              </w:rPr>
              <w:t>Non renouvelable</w:t>
            </w:r>
          </w:p>
        </w:tc>
      </w:tr>
      <w:tr>
        <w:tc>
          <w:tcPr>
            <w:tcW w:type="dxa" w:w="1559"/>
          </w:tcPr>
          <w:p>
            <w:r>
              <w:rPr>
                <w:sz w:val="20"/>
              </w:rPr>
              <w:t>HEXOMEDINE</w:t>
            </w:r>
          </w:p>
        </w:tc>
        <w:tc>
          <w:tcPr>
            <w:tcW w:type="dxa" w:w="1559"/>
          </w:tcPr>
          <w:p>
            <w:r>
              <w:rPr>
                <w:sz w:val="20"/>
              </w:rPr>
              <w:t>RHONE POULENC RORER</w:t>
            </w:r>
          </w:p>
        </w:tc>
        <w:tc>
          <w:tcPr>
            <w:tcW w:type="dxa" w:w="1559"/>
          </w:tcPr>
          <w:p>
            <w:r>
              <w:rPr>
                <w:sz w:val="20"/>
              </w:rPr>
              <w:t>Solution dermique — Hexamidine 0,15 %</w:t>
            </w:r>
          </w:p>
        </w:tc>
        <w:tc>
          <w:tcPr>
            <w:tcW w:type="dxa" w:w="1559"/>
          </w:tcPr>
          <w:p>
            <w:r>
              <w:rPr>
                <w:sz w:val="20"/>
              </w:rPr>
              <w:t>Flacon 45 mL</w:t>
            </w:r>
          </w:p>
        </w:tc>
        <w:tc>
          <w:tcPr>
            <w:tcW w:type="dxa" w:w="1559"/>
          </w:tcPr>
          <w:p>
            <w:r>
              <w:rPr>
                <w:sz w:val="20"/>
              </w:rPr>
              <w:t>Hors liste</w:t>
            </w:r>
          </w:p>
        </w:tc>
        <w:tc>
          <w:tcPr>
            <w:tcW w:type="dxa" w:w="1559"/>
          </w:tcPr>
          <w:p>
            <w:r>
              <w:rPr>
                <w:sz w:val="20"/>
              </w:rPr>
              <w:t>Non renouvelable</w:t>
            </w:r>
          </w:p>
        </w:tc>
      </w:tr>
      <w:tr>
        <w:tc>
          <w:tcPr>
            <w:tcW w:type="dxa" w:w="1559"/>
          </w:tcPr>
          <w:p>
            <w:r>
              <w:rPr>
                <w:sz w:val="20"/>
              </w:rPr>
              <w:t>OROMEDINE</w:t>
            </w:r>
          </w:p>
        </w:tc>
        <w:tc>
          <w:tcPr>
            <w:tcW w:type="dxa" w:w="1559"/>
          </w:tcPr>
          <w:p>
            <w:r>
              <w:rPr>
                <w:sz w:val="20"/>
              </w:rPr>
              <w:t>LABORATOIRE PHARMACEUTIQUE ALGERIEN (LPA)</w:t>
            </w:r>
          </w:p>
        </w:tc>
        <w:tc>
          <w:tcPr>
            <w:tcW w:type="dxa" w:w="1559"/>
          </w:tcPr>
          <w:p>
            <w:r>
              <w:rPr>
                <w:sz w:val="20"/>
              </w:rPr>
              <w:t>Collutoire buccal — Hexamidine 0,1 g + Tétracaïne 0,05 g pour 100 mL</w:t>
            </w:r>
          </w:p>
        </w:tc>
        <w:tc>
          <w:tcPr>
            <w:tcW w:type="dxa" w:w="1559"/>
          </w:tcPr>
          <w:p>
            <w:r>
              <w:rPr>
                <w:sz w:val="20"/>
              </w:rPr>
              <w:t>Flacon 30 mL</w:t>
            </w:r>
          </w:p>
        </w:tc>
        <w:tc>
          <w:tcPr>
            <w:tcW w:type="dxa" w:w="1559"/>
          </w:tcPr>
          <w:p>
            <w:r>
              <w:rPr>
                <w:sz w:val="20"/>
              </w:rPr>
              <w:t>Hors liste</w:t>
            </w:r>
          </w:p>
        </w:tc>
        <w:tc>
          <w:tcPr>
            <w:tcW w:type="dxa" w:w="1559"/>
          </w:tcPr>
          <w:p>
            <w:r>
              <w:rPr>
                <w:sz w:val="20"/>
              </w:rPr>
              <w:t>Retrait</w:t>
            </w:r>
          </w:p>
        </w:tc>
      </w:tr>
    </w:tbl>
    <w:p/>
    <w:p>
      <w:r>
        <w:t>L'hexamidine est disponible en Algérie principalement sous deux formes actives : la solution dermique Isomédine 0,1 % (Isopharm Algérie) et le collyre Désomédine 0,1 % (Chauvin S.A. — laboratoire français historique). Les formes Hexaderm (Saidal) et Hexomédine (Rhône Poulenc Rorer) sont non renouvelables mais restent largement prescrites et délivrées dans les stocks pharmaceutiques résiduels. Le collutoire Oromédine (LPA), associé à la tétracaïne anesthésique locale, a été retiré du marché algérien mais conserve une place dans les mémoires prescriptives des praticiens ORL et dentistes. La forme ophtalmique (Désomédine) est un classique pour les conjonctivites bactériennes bénignes, les blépharites, et la préparation pré-opératoire ophtalmique ; elle constitue également un traitement adjuvant des kératites amibiennes à Acanthamoeba (pathologie rare mais grave du porteur de lentilles).</w:t>
      </w:r>
    </w:p>
    <w:p>
      <w:r/>
      <w:r>
        <w:rPr>
          <w:b/>
        </w:rPr>
        <w:t>Sous-classe et Mécanisme d'action :</w:t>
      </w:r>
      <w:r/>
    </w:p>
    <w:p>
      <w:pPr>
        <w:pStyle w:val="ListBullet"/>
      </w:pPr>
      <w:r>
        <w:t>Sous-classe : Diamidine aromatique de synthèse (hexamidine di-iséthionate), antiseptique large spectre cutanéo-muqueux et ophtalmique.</w:t>
      </w:r>
    </w:p>
    <w:p>
      <w:pPr>
        <w:pStyle w:val="ListBullet"/>
      </w:pPr>
      <w:r>
        <w:t>Mécanisme d'action : l'hexamidine est une diamidine aromatique cationique dont la structure (deux groupes amidine sur un noyau aromatique relié par une chaîne hexaméthylène) lui confère une affinité pour l'ADN microbien. (i) Intercalation entre les paires de bases puriques et pyrimidiques de l'ADN bactérien et fongique, bloquant la réplication et la transcription. (ii) Inhibition de la topoisomérase II bactérienne, perturbant la segregation des chromosomes lors de la division cellulaire. (iii) Altération de la perméabilité membranaire par compétition avec les polyamines naturelles (putrescine, spermidine, spermine) qui stabilisent normalement la membrane. (iv) Inhibition de la synthèse protéique par blocage de la fixation des aminoacyl-tRNA sur le ribosome. L'effet global est bactériostatique à faible concentration (0,01–0,05 %) et bactéricide à concentration thérapeutique (0,1 %). Le spectre couvre les bactéries Gram-positives (staphylocoques y compris S. aureus et SARM, streptocoques A, B, C, G, pneumocoque), les bactéries Gram-négatives (E. coli, Klebsiella, Proteus, Haemophilus, Neisseria gonorrhoeae — activité plus modeste que sur les Gram+), les champignons (Candida albicans et autres Candida, Aspergillus — activité bonne), les protozoaires (Acanthamoeba — activité majeure justifiant l'usage ophtalmique dans les kératites amibiennes) et certains virus (activité modeste). L'activité est plus lente que celle de la chlorhexidine (temps de contact optimal 2 à 5 minutes) mais la tolérance est supérieure sur les muqueuses sensibles.</w:t>
      </w:r>
    </w:p>
    <w:p>
      <w:r/>
      <w:r>
        <w:rPr>
          <w:b/>
        </w:rPr>
        <w:t>Profil Pharmacologique :</w:t>
      </w:r>
      <w:r/>
    </w:p>
    <w:p>
      <w:pPr>
        <w:pStyle w:val="ListBullet"/>
      </w:pPr>
      <w:r>
        <w:t>Indications : (1) Ophtalmologie (Désomédine collyre 0,1 %) : conjonctivites bactériennes bénignes à modérées, blépharites, prévention des surinfections bactériennes des lésions cornéennes (érosions, ulcères), préparation pré-opératoire ophtalmique (antisepsie conjonctivale avant chirurgie de la cataracte, chirurgie réfractive), traitement adjuvant des kératites amibiennes à Acanthamoeba (en association avec un imidazolé type voriconazole ou polymyxine-néomycine). (2) Dermatologie (Isomédine, Hexomédine solution dermique 0,1 %) : antisepsie des petites plaies, écorchures, morsures, brûlures superficielles, intertrigos candidosiques, dermatoses surinfectées (impétigo, ectima), antisepsie du cordon ombilical du nouveau-né (alternative à la chlorhexidine si allergie). (3) ORL (Oromédine collutoire, retiré) : aphtes, gingivites, angines bénignes, post-amygdalectomie. (4) Gynécologie : antisepsie locale des leucorrhées non spécifiques, préparation pré-colposcopique.</w:t>
      </w:r>
    </w:p>
    <w:p>
      <w:pPr>
        <w:pStyle w:val="ListBullet"/>
      </w:pPr>
      <w:r>
        <w:t>Contre-indications : (1) Hypersensibilité à l'hexamidine ou à l'un des excipients (chlorure de benzalkonium dans le collyre Désomédine — attention chez les porteurs de lentilles de contact). (2) Ne pas injecter (usage strictement topique). (3) Ne pas avaler en quantité significative (le collutoire et le collyre peuvent être involontairement ingérés en petite quantité sans conséquence, mais l'ingestion volontaire ou massive expose à une toxicité systémique). (4) Prudence en cas d'application prolongée sur grande surface cutanée lésée (résorption systémique non documentée mais théorique). (5) Collyre contre-indiqué chez le porteur de lentilles de contact souples pendant la durée du traitement (chlorure de benzalkonium absorbé par la lentille, toxicité cornéenne) — retirer les lentilles avant instillation, ne remettre qu'au moins 15 minutes après.</w:t>
      </w:r>
    </w:p>
    <w:p>
      <w:pPr>
        <w:pStyle w:val="ListBullet"/>
      </w:pPr>
      <w:r>
        <w:t>Effets Indésirables : Très fréquents (&gt; 10 %) en usage ophtalmique : picotement transitoire à l'instillation (1 à 2 minutes), flou visuel transitoire. Fréquents (1–10 %) en usage ophtalmique : hyperhémie conjonctivale, prurit oculaire, sécheresse oculaire en cas d'usage prolongé (chlorure de benzalkonium), kératopathie toxique en cas d'usage prolongé &gt; 7 jours. En usage dermique : picotement transitoire à l'application sur peau lésée, dermite d'irritation possible en usage prolongé, dermatite de contact allergique rare (eczéma). En usage buccal (Oromédine) : dysgueusie transitoire, picotement lingual. Peu fréquents (0,1–1 %) : réactions allergiques locales (eczéma de contact), blépharite allergique, conjonctivite allergique. Rares (&lt; 0,1 %) : anaphylaxie (exceptionnel), kératite sévère en cas d'usage prolongé &gt; 14 jours, coloration brune de la cornée en cas d'usage très prolongé. Pas d'effet systémique significatif en usage topique standard court.</w:t>
      </w:r>
    </w:p>
    <w:p>
      <w:r/>
      <w:r>
        <w:rPr>
          <w:b/>
        </w:rPr>
        <w:t>Prévention et Gestion des Effets Indésirables :</w:t>
      </w:r>
      <w:r/>
    </w:p>
    <w:p>
      <w:pPr>
        <w:pStyle w:val="ListBullet"/>
      </w:pPr>
      <w:r>
        <w:t>Mesures préventives : (1) Vérifier l'absence d'allergie connue à l'hexamidine avant prescription. (2) Pour le collyre Désomédine : informer le patient de la présence de chlorure de benzalkonium (conservateur) — contre-indication relative chez le porteur de lentilles de contact souples pendant la durée du traitement (retirer les lentilles avant instillation, ne remettre qu'au moins 15 minutes après) ; préférer une unité-dose sans conservateur en cas d'usage prolongé ou de syndrome sec oculaire. (3) Limiter la durée du traitement ophtalmique à 5–7 jours pour limiter la toxicité cornéenne du conservateur. (4) Ne pas appliquer la solution dermique en grande quantité sur peau lésée étendue ou brûlures profondes (résorption systémique possible). (5) Éviter l'usage prolongé en bain de bouche (pas de coloration dentaire comme la chlorhexidine, mais risque d'altération du goût à long terme).</w:t>
      </w:r>
    </w:p>
    <w:p>
      <w:pPr>
        <w:pStyle w:val="ListBullet"/>
      </w:pPr>
      <w:r>
        <w:t>Conduite à tenir : (1) En cas de picotement transitoire à l'instillation du collyre : phénomène attendu, bénin, disparaissant en 1–2 minutes ; rassurer le patient, ne pas arrêter le traitement. (2) En cas de kératopathie toxique ou d'aggravation des symptômes ophtalmiques après 5 jours de traitement : arrêt immédiat, consultation ophtalmologique pour réévaluation (probable résistance bactérienne ou surinfection fongique). (3) En cas de dermatite de contact : arrêt, émollient, switch vers un antiseptique alternatif (povidone iodée aqueuse, chlorhexidine). (4) En cas de réaction anaphylactique (exceptionnel) : adrénaline IM, traitement symptomatique urgent.</w:t>
      </w:r>
    </w:p>
    <w:p>
      <w:r/>
      <w:r>
        <w:rPr>
          <w:b/>
        </w:rPr>
        <w:t>Interactions Médicamenteuses :</w:t>
      </w:r>
      <w:r/>
    </w:p>
    <w:p>
      <w:pPr>
        <w:pStyle w:val="ListBullet"/>
      </w:pPr>
      <w:r>
        <w:t>Autres antiseptiques (chlorhexidine, povidone iodée, ammoniums quaternaires) : ne pas appliquer simultanément sur la même zone — incompatibilité chimique, perte d'efficacité, risque d'irritation locale accrue. Toujours rincer abondamment entre deux antiseptiques.</w:t>
      </w:r>
    </w:p>
    <w:p>
      <w:pPr>
        <w:pStyle w:val="ListBullet"/>
      </w:pPr>
      <w:r>
        <w:t>Collyres antibiotiques (ofloxacine, rifamycine, tobramycine) : en ophtalmologie, séparer les instillations de 15 minutes pour éviter la dilution mutuelle et les incompatibilités de conservation.</w:t>
      </w:r>
    </w:p>
    <w:p>
      <w:pPr>
        <w:pStyle w:val="ListBullet"/>
      </w:pPr>
      <w:r>
        <w:t>Corticoïdes ophtalmiques : surveillance accrue en cas d'association (le corticoïde masque les signes d'infection et favorise les surinfections fongiques — l'hexamidine a un spectre antifongique utile mais insuffisant pour couvrir seul le risque).</w:t>
      </w:r>
    </w:p>
    <w:p>
      <w:pPr>
        <w:pStyle w:val="ListBullet"/>
      </w:pPr>
      <w:r>
        <w:t>Aucune interaction systémique documentée (résorption négligeable en usage topique cutanéo-muqueux court).</w:t>
      </w:r>
    </w:p>
    <w:p>
      <w:pPr>
        <w:pStyle w:val="ListBullet"/>
      </w:pPr>
      <w:r>
        <w:t>Incompatibilité avec les savons anioniques — rincer soigneusement entre un savon et l'hexamidine.</w:t>
      </w:r>
    </w:p>
    <w:p>
      <w:r/>
      <w:r>
        <w:rPr>
          <w:b/>
        </w:rPr>
        <w:t>Grossesse et Allaitement :</w:t>
      </w:r>
      <w:r/>
    </w:p>
    <w:p>
      <w:pPr>
        <w:pStyle w:val="ListBullet"/>
      </w:pPr>
      <w:r>
        <w:t>Grossesse : COMPATIBLE en usage topique cutané, ophtalmique et buccal ponctuel, à tous les trimestres de la grossesse (CRAT : « l'hexamidine par voie locale (cutanée, muqueuse, ophtalmique) est compatible avec la grossesse, quel qu'en soit le terme, pour des usages ponctuels ou de courte durée »). L'hexamidine est particulièrement utile chez la femme enceinte needing antiseptie ophtalmique (alternative à la povidone iodée contre-indiquée au 3e trimestre pour ne pas provoquer une hypothyroïdie fœtale). Pour les formes dermiques sur peau lésée étendue, préférer des applications limitées et de courte durée.</w:t>
      </w:r>
    </w:p>
    <w:p>
      <w:pPr>
        <w:pStyle w:val="ListBullet"/>
      </w:pPr>
      <w:r>
        <w:t>Allaitement : COMPATIBLE en usage topique cutané ponctuel (éviter l'application sur le mamelon avant la tétée — rincer soigneusement). En usage ophtalmique : pas de passage systémique significatif, compatible avec l'allaitement.</w:t>
      </w:r>
    </w:p>
    <w:p>
      <w:pPr>
        <w:pStyle w:val="ListBullet"/>
      </w:pPr>
      <w:r>
        <w:t>Fertilité : pas d'effet connu.</w:t>
      </w:r>
    </w:p>
    <w:p>
      <w:r/>
      <w:r>
        <w:rPr>
          <w:b/>
        </w:rPr>
        <w:t>Posologie et Mode d'administration :</w:t>
      </w:r>
      <w:r/>
    </w:p>
    <w:p>
      <w:pPr>
        <w:pStyle w:val="ListBullet"/>
      </w:pPr>
      <w:r>
        <w:t>Collyre ophtalmique (Désomédine 0,1 %) : 1 goutte dans le cul-de-sac conjonctival inférieur, 2 à 6 fois par jour selon la sévérité, pendant 5 à 7 jours maximum (au-delà, risque de toxicité cornéenne du chlorure de benzalkonium). Retirer les lentilles de contact avant l'instillation, ne pas remettre avant 15 minutes. Lavage des mains avant instillation, ne pas toucher l'œil avec l'embout. Durée maximale de 7 jours sans avis ophtalmologique.</w:t>
      </w:r>
    </w:p>
    <w:p>
      <w:pPr>
        <w:pStyle w:val="ListBullet"/>
      </w:pPr>
      <w:r>
        <w:t>Solution dermique (Isomédine, Hexomédine 0,1 %) : application locale 1 à 3 fois par jour sur la zone à traiter, préalablement nettoyée à l'eau et au savon doux. Imbiber une compresse stérile, appliquer en tamponnement pendant 1 à 2 minutes, laisser sécher. Peut être utilisé en compresses imbibées sur plaies ou en lavage. Durée maximale 7–10 jours sans avis médical.</w:t>
      </w:r>
    </w:p>
    <w:p>
      <w:pPr>
        <w:pStyle w:val="ListBullet"/>
      </w:pPr>
      <w:r>
        <w:t>Antisepsie du cordon ombilical du nouveau-né : 1 à 2 applications par jour en tamponnement, jusqu'à cicatrisation (5–10 jours).</w:t>
      </w:r>
    </w:p>
    <w:p>
      <w:pPr>
        <w:pStyle w:val="ListBullet"/>
      </w:pPr>
      <w:r>
        <w:t>Collutoire buccal (Oromédine, retiré) : 2 à 3 pulvérisations locales 3 à 4 fois par jour, après repas, ne pas avaler.</w:t>
      </w:r>
    </w:p>
    <w:p>
      <w:pPr>
        <w:pStyle w:val="ListBullet"/>
      </w:pPr>
      <w:r>
        <w:t>Antisepsie pré-opératoire ophtalmique : 1 à 2 gouttes de collyre 0,1 % dans chaque œil, 5 minutes avant le geste.</w:t>
      </w:r>
    </w:p>
    <w:p>
      <w:pPr>
        <w:pStyle w:val="ListBullet"/>
      </w:pPr>
      <w:r>
        <w:t>Sujet âgé : pas d'adaptation posologique.</w:t>
      </w:r>
    </w:p>
    <w:p>
      <w:pPr>
        <w:pStyle w:val="ListBullet"/>
      </w:pPr>
      <w:r>
        <w:t>Insuffisance rénale/hépatique : pas d'adaptation.</w:t>
      </w:r>
    </w:p>
    <w:p>
      <w:pPr>
        <w:pStyle w:val="ListBullet"/>
      </w:pPr>
      <w:r>
        <w:t>Enfant : collyre utilisable dès la naissance, solution dermique dès la naissance. Collutoire dès 6 ans.</w:t>
      </w:r>
    </w:p>
    <w:p>
      <w:r/>
      <w:r>
        <w:rPr>
          <w:b/>
        </w:rPr>
        <w:t>Surveillance Biologique et Suivi Clinique :</w:t>
      </w:r>
      <w:r/>
    </w:p>
    <w:p>
      <w:pPr>
        <w:pStyle w:val="ListBullet"/>
      </w:pPr>
      <w:r>
        <w:t>Ophtalmologie : examen à J3-J5 pour vérifier l'absence d'aggravation (en cas de non-amélioration d'une conjonctivite à J3, prélèvement bactériologique et réévaluation du traitement). À J7, arrêt systématique du collyre (toxicité du conservateur), sauf avis ophtalmologique spécialisé. Examen à la lampe à fente en cas de prolongation.</w:t>
      </w:r>
    </w:p>
    <w:p>
      <w:pPr>
        <w:pStyle w:val="ListBullet"/>
      </w:pPr>
      <w:r>
        <w:t>Dermatologie : surveillance locale à J3-J5 pour vérifier la cicatrisation et l'absence d'irritation ou de dermatite de contact.</w:t>
      </w:r>
    </w:p>
    <w:p>
      <w:pPr>
        <w:pStyle w:val="ListBullet"/>
      </w:pPr>
      <w:r>
        <w:t>Pas de surveillance biologique systémique nécessaire en usage topique standard court et localisé.</w:t>
      </w:r>
    </w:p>
    <w:p>
      <w:pPr>
        <w:pStyle w:val="ListBullet"/>
      </w:pPr>
      <w:r>
        <w:t>Pas de suivi bactériologique systématique (résistance rarement documentée en usage topique).</w:t>
      </w:r>
    </w:p>
    <w:p>
      <w:r/>
      <w:r>
        <w:rPr>
          <w:b/>
        </w:rPr>
        <w:t>Arbitrage et Bénéfices des Formes Galéniques :</w:t>
      </w:r>
      <w:r/>
    </w:p>
    <w:p>
      <w:r>
        <w:t>Le collyre Désomédine 0,1 % (Chauvin) est la forme de référence pour les indications ophtalmiques, avec un excellent profil tolérance/efficacité. La présence de chlorure de benzalkonium comme conservateur limite son usage prolongé (&gt; 7 jours) chez les patients à risque de toxicité cornéenne (syndrome sec, port de lentilles de contact, âge &gt; 65 ans) ; il n'existe pas en Algérie de forme unitaire sans conservateur de l'hexamidine ophtalmique (à la différence de la France où Désomédine unitaire est disponible). Pour les patients porteurs de lentilles de contact, retrait obligatoire pendant la durée du traitement. La solution dermique Isomédine 0,1 % (Isopharm Algérie) est une forme native économique, utile en officine pour la désinfection des petites plaies et le cordon du nouveau-né ; les formes Hexaderm (Saidal) et Hexomédine (Rhône Poulenc Rorer), non renouvelables, sont encore délivrées dans les stocks résiduels et conservent une place de choix en pratique privée. La poudre Hexaderm (Saidal, à reconstitution) est une forme galénique historique permettant le stockage prolongé avant reconstitution extemporanée, pratique pour les zones à faible rotation de stocks. Le collutoire Oromédine (LPA), retiré du marché, était une alternative intéressante en ORL du fait de son association avec la tétracaïne anesthésique locale ; son retrait impose le recours à la lidocaïne en spray ou à la chlorhexidine en bain de bouche (avec conservation parfaite des dents mais coloration possible).</w:t>
      </w:r>
    </w:p>
    <w:p>
      <w:r/>
      <w:r>
        <w:rPr>
          <w:b/>
        </w:rPr>
        <w:t>Instructions et Conseils au Patient :</w:t>
      </w:r>
      <w:r/>
    </w:p>
    <w:p>
      <w:pPr>
        <w:pStyle w:val="ListBullet"/>
      </w:pPr>
      <w:r>
        <w:t>Communication au comptoir : « L'hexamidine est un antiseptique local efficace sur la plupart des bactéries, des champignons et de certains parasites oculaires. Pour le collyre (Désomédine) : 1 goutte dans le bas de l'œil, 2 à 6 fois par jour pendant 5 à 7 jours maximum. Retirez vos lentilles de contact avant l'instillation et ne les remettez pas avant 15 minutes (le conservateur peut les abîmer). Ne pas toucher l'œil avec l'embout du flacon. Pour la solution dermique (Isomédine) : appliquez sur une compresse stérile, tamponnez la zone à désinfecter préalablement nettoyée, laissez sécher, 1 à 3 fois par jour pendant 7 à 10 jours. Consultez un médecin en cas de non-amélioration à J3-J5 ou d'aggravation. »</w:t>
      </w:r>
    </w:p>
    <w:p>
      <w:pPr>
        <w:pStyle w:val="ListBullet"/>
      </w:pPr>
      <w:r>
        <w:t>Observance : respecter la durée maximale (5–7 jours en collyre, 7–10 jours en solution dermique) ; ne pas augmenter la fréquence d'application.</w:t>
      </w:r>
    </w:p>
    <w:p>
      <w:pPr>
        <w:pStyle w:val="ListBullet"/>
      </w:pPr>
      <w:r>
        <w:t>Hygiène oculaire : ne pas toucher l'embout du flacon ; se laver les mains avant instillation ; ne pas partager le flacon ; jeter le flacon 15 jours après ouverture (risque de contamination).</w:t>
      </w:r>
    </w:p>
    <w:p>
      <w:pPr>
        <w:pStyle w:val="ListBullet"/>
      </w:pPr>
      <w:r>
        <w:t>Hygiène cutanée : nettoyer la plaie avant application (l'antiseptique est inactivé par les protéines, le sang, le pus) ; utiliser une compresse stérile pour chaque application.</w:t>
      </w:r>
    </w:p>
    <w:p>
      <w:pPr>
        <w:pStyle w:val="ListBullet"/>
      </w:pPr>
      <w:r>
        <w:t>Femmes enceintes et allaitantes : usage compatible et autorisé, en particulier en ophtalmologie (alternative à la povidone iodée au 3e trimestre).</w:t>
      </w:r>
    </w:p>
    <w:p>
      <w:r/>
      <w:r>
        <w:rPr>
          <w:b/>
        </w:rPr>
        <w:t>Notes, Règles d'Or &amp; Pièges au Comptoir :</w:t>
      </w:r>
      <w:r/>
    </w:p>
    <w:p>
      <w:pPr>
        <w:pStyle w:val="ListBullet"/>
      </w:pPr>
      <w:r>
        <w:t>Règle d'or : tout antiseptique doit être appliqué sur une peau PROPRE — un lavage préalable à l'eau et au savon doux est OBLIGATOIRE. Sur une plaie sale, l'antiseptique est inactivé.</w:t>
      </w:r>
    </w:p>
    <w:p>
      <w:pPr>
        <w:pStyle w:val="ListBullet"/>
      </w:pPr>
      <w:r>
        <w:t>Piège : le collyre Désomédine contient du chlorure de benzalkonium (conservateur) — TOUJOURS demander au patient s'il porte des lentilles de contact (contres-indication relative stricte pendant le traitement ; retrait obligatoire, switch éventuel vers un collyre sans conservateur, non disponible en Algérie pour l'hexamidine).</w:t>
      </w:r>
    </w:p>
    <w:p>
      <w:pPr>
        <w:pStyle w:val="ListBullet"/>
      </w:pPr>
      <w:r>
        <w:t>Piège : l'hexamidine en collyre doit être arrêtée à 7 jours maximum en automédication — au-delà, la toxicité cornéenne du conservateur (kératopathie ponctuée) devient significative.</w:t>
      </w:r>
    </w:p>
    <w:p>
      <w:pPr>
        <w:pStyle w:val="ListBullet"/>
      </w:pPr>
      <w:r>
        <w:t>Règle : en cas de conjonctivite non améliorée à J3 sous Désomédine, suspecter une origine virale (adénovirus — conjonctivite très fréquente et contagieuse, traitement symptomatique) ou allergique, et réévaluer.</w:t>
      </w:r>
    </w:p>
    <w:p>
      <w:pPr>
        <w:pStyle w:val="ListBullet"/>
      </w:pPr>
      <w:r>
        <w:t>Piège : ne pas confondre l'hexamidine (Désomédine) avec la propamidine (Brolène, non disponible en Algérie) — même famille mais spectre légèrement différent.</w:t>
      </w:r>
    </w:p>
    <w:p>
      <w:pPr>
        <w:pStyle w:val="ListBullet"/>
      </w:pPr>
      <w:r>
        <w:t>Règle : en cas de kératite amibienne suspectée (porteur de lentilles, douleur oculaire intense, importance disproportionnée entre la douleur et les signes cliniques), adressage URGENT en ophtalmologie spécialisée — l'hexamidine seule est insuffisante, l'association à la polymyxine-néomycine et/ou au voriconazole est nécessaire.</w:t>
      </w:r>
    </w:p>
    <w:p>
      <w:pPr>
        <w:pStyle w:val="ListBullet"/>
      </w:pPr>
      <w:r>
        <w:t>Règle : conservation du flacon après ouverture — collyre 15 jours maximum, solution dermique 30 jours maximum ; ne jamais réutiliser un flacon entamé depuis longtemps.</w:t>
      </w:r>
    </w:p>
    <w:p>
      <w:pPr>
        <w:pStyle w:val="ListBullet"/>
      </w:pPr>
      <w:r>
        <w:t>Piège : la présence de chlorure de benzalkonium dans le collyre peut également induire des allergies de contact (blépharite, conjonctivite allergique) — différentiel à évoquer en cas d'aggravation sous traitement.</w:t>
      </w:r>
    </w:p>
    <w:p>
      <w:pPr>
        <w:pStyle w:val="Heading2"/>
      </w:pPr>
      <w:r>
        <w:t>124.3 Sous-classe : Antiseptiques topiques — Ammoniums quaternaires</w:t>
      </w:r>
    </w:p>
    <w:p>
      <w:r>
        <w:t>Les ammoniums quaternaires constituent une famille chimique d'agents de surface cationiques (cationic surfactants) largement utilisés en désinfection cutanée, en conservation de solutions pharmaceutiques, en spermicides et en désinfection de surface. Leur structure de base est un atome d'azote tétravalent portant quatre substituants dont au moins un groupe alkyle à longue chaîne (C8–C18), conférant à la molécule ses propriétés amphiphiles (tête hydrophile cationique + queue lipophile). Cette structure leur permet de s'insérer dans les membranes lipidiques bactériennes et d'en perturber l'intégrité, d'où leur activité antimicrobienne. Les principaux représentants à usage antiseptique topique sont le chlorure de benzalkonium (synthétisé en 1935) et le cetrimide (mélange de chlorures d'alkyltriméthylammonium, synthétisé dans les années 1940), auxquels on peut ajouter le chlorure de benzéthonium (non disponible en Algérie) et le chlorure de dodécyldiméthylammonium (usage principalement vétérinaire et de désinfection de surface).</w:t>
      </w:r>
    </w:p>
    <w:p>
      <w:r>
        <w:t>Le mécanisme d'action des ammoniums quaternaires repose sur leur propriété d'agents de surface cationiques : (i) adsorption à la membrane bactérienne par interaction électrostatique (les charges positives de l'ammonium quaternaire attirent les charges négatives des phospholipides et LPS bactériens) ; (ii) insertion dans la bicouche lipidique par la queue alkyle, créant des pores membranaires ; (iii) fuite du contenu intracellulaire (K+, ATP, métabolites) ; (iv) dénaturation des protéines membranaires par détergence ; (v) lyse cellulaire. L'effet est bactéricide rapide (30 secondes à 5 minutes selon la concentration). Le spectre couvre les bactéries Gram-positives (très sensibles), les bactéries Gram-négatives (sensibilité variable, Pseudomonas relativement résistant), certains champignons (Candida — activité modeste), et les virus enveloppés (VIH, HSV, virus respiratoires — activité partielle). Les ammoniums quaternaires sont peu actifs sur les mycobactéries (paroi riche en acides mycoliques), les spores bactériennes et les virus non enveloppés (entérovirus, rotavirus).</w:t>
      </w:r>
    </w:p>
    <w:p>
      <w:r>
        <w:t>Leur profil de tolérance est globalement bon en usage cutané court, mais ils sont irritants pour les muqueuses à concentration élevée (kératite toxique, conjonctivite chimique), cytotoxiques sur les fibroblastes et kératinocytes en cas d'usage prolongé (retard de cicatrisation), et peuvent induire des allergies de contact (eczéma) ou rarement de l'asthme professionnel chez le personnel soignant exposé. Ils sont incompatibles avec les savons anioniques (la plupart des savons classiques) et les anions minéraux (nitrates, phosphates) — toujours rincer abondamment entre un savon et un ammonium quaternaire. La résistance bactérinelle aux ammoniums quaternaires est documentée, principalement par mutations des gènes qac (qacA, qacB, qacC/D) codant pour des pompes à efflux chez les staphylocoques (notamment SARM), justifiant un usage alterné avec d'autres classes antiseptiques. En Algérie, le chlorure de benzalkonium est principalement utilisé en gynécologie comme spermicide (Pharmatex — ovules et crème), tandis que le cetrimide est utilisé en dermatologie comme crème antiseptique et antiprurigineuse (Cevlodil, Saidal).</w:t>
      </w:r>
    </w:p>
    <w:p>
      <w:pPr>
        <w:pStyle w:val="Heading3"/>
      </w:pPr>
      <w:r>
        <w:t>124.3.1 DCI : Benzalkonium (chlorure)</w:t>
      </w:r>
    </w:p>
    <w:p>
      <w:r/>
      <w:r>
        <w:rPr>
          <w:b/>
        </w:rPr>
        <w:t>Liste des Catégories :</w:t>
      </w:r>
      <w:r>
        <w:t xml:space="preserve"> Antiseptique topique ; Ammonium quaternaire cationique (agent de surface) ; Spermicide local ; Conservateur pharmaceutique ; Hors liste (spécialités en vente libre, mais usage gynécologique).</w:t>
      </w:r>
    </w:p>
    <w:p>
      <w:r>
        <w:t>Le chlorure de benzalkonium (BAC, ou alkyldiméthylbenzylammonium) est un ammonium quaternaire cationique synthétisé en 1935, utilisé en médecine humaine comme antiseptique topique, comme spermicide local (forme gynécologique), comme conservateur pharmaceutique dans de nombreux collyres, solutions nasales et solutions inhalées, et en désinfection de surface industrielle. Sa polyvalence d'usage en fait l'un des antiseptiques les plus prescrits au monde, mais aussi l'un des plus controversés en raison de sa toxicité oculaire (kératite toxique, conjonctivite chimique) à concentration thérapeutique (0,01 % dans les collyres) en cas d'usage prolongé, et de son potentiel allergisant. En Algérie, la forme spermicide (Pharmatex — Innotech International, ovules 18,9 mg et crème vaginale 1,2 %) a longtemps été la référence contraceptive locale non hormonale, alternative aux spermicides nonoxynol-9 ; sa disponibilité actuelle est limitée (statut « non renouvelable » dans la nomenclature).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PHARMATEX</w:t>
            </w:r>
          </w:p>
        </w:tc>
        <w:tc>
          <w:tcPr>
            <w:tcW w:type="dxa" w:w="1559"/>
          </w:tcPr>
          <w:p>
            <w:r>
              <w:rPr>
                <w:sz w:val="20"/>
              </w:rPr>
              <w:t>INNOTECH INTERNATIONAL</w:t>
            </w:r>
          </w:p>
        </w:tc>
        <w:tc>
          <w:tcPr>
            <w:tcW w:type="dxa" w:w="1559"/>
          </w:tcPr>
          <w:p>
            <w:r>
              <w:rPr>
                <w:sz w:val="20"/>
              </w:rPr>
              <w:t>Ovules gynécologiques — Chlorure de benzalkonium 18,9 mg par ovule</w:t>
            </w:r>
          </w:p>
        </w:tc>
        <w:tc>
          <w:tcPr>
            <w:tcW w:type="dxa" w:w="1559"/>
          </w:tcPr>
          <w:p>
            <w:r>
              <w:rPr>
                <w:sz w:val="20"/>
              </w:rPr>
              <w:t>Boîte de 6 ovules</w:t>
            </w:r>
          </w:p>
        </w:tc>
        <w:tc>
          <w:tcPr>
            <w:tcW w:type="dxa" w:w="1559"/>
          </w:tcPr>
          <w:p>
            <w:r>
              <w:rPr>
                <w:sz w:val="20"/>
              </w:rPr>
              <w:t>Hors liste</w:t>
            </w:r>
          </w:p>
        </w:tc>
        <w:tc>
          <w:tcPr>
            <w:tcW w:type="dxa" w:w="1559"/>
          </w:tcPr>
          <w:p>
            <w:r>
              <w:rPr>
                <w:sz w:val="20"/>
              </w:rPr>
              <w:t>Non renouvelable</w:t>
            </w:r>
          </w:p>
        </w:tc>
      </w:tr>
      <w:tr>
        <w:tc>
          <w:tcPr>
            <w:tcW w:type="dxa" w:w="1559"/>
          </w:tcPr>
          <w:p>
            <w:r>
              <w:rPr>
                <w:sz w:val="20"/>
              </w:rPr>
              <w:t>PHARMATEX</w:t>
            </w:r>
          </w:p>
        </w:tc>
        <w:tc>
          <w:tcPr>
            <w:tcW w:type="dxa" w:w="1559"/>
          </w:tcPr>
          <w:p>
            <w:r>
              <w:rPr>
                <w:sz w:val="20"/>
              </w:rPr>
              <w:t>INNOTECH INTERNATIONAL</w:t>
            </w:r>
          </w:p>
        </w:tc>
        <w:tc>
          <w:tcPr>
            <w:tcW w:type="dxa" w:w="1559"/>
          </w:tcPr>
          <w:p>
            <w:r>
              <w:rPr>
                <w:sz w:val="20"/>
              </w:rPr>
              <w:t>Crème vaginale — Chlorure de benzalkonium 1,2 %</w:t>
            </w:r>
          </w:p>
        </w:tc>
        <w:tc>
          <w:tcPr>
            <w:tcW w:type="dxa" w:w="1559"/>
          </w:tcPr>
          <w:p>
            <w:r>
              <w:rPr>
                <w:sz w:val="20"/>
              </w:rPr>
              <w:t>Tube 72 g</w:t>
            </w:r>
          </w:p>
        </w:tc>
        <w:tc>
          <w:tcPr>
            <w:tcW w:type="dxa" w:w="1559"/>
          </w:tcPr>
          <w:p>
            <w:r>
              <w:rPr>
                <w:sz w:val="20"/>
              </w:rPr>
              <w:t>Hors liste</w:t>
            </w:r>
          </w:p>
        </w:tc>
        <w:tc>
          <w:tcPr>
            <w:tcW w:type="dxa" w:w="1559"/>
          </w:tcPr>
          <w:p>
            <w:r>
              <w:rPr>
                <w:sz w:val="20"/>
              </w:rPr>
              <w:t>Non renouvelable</w:t>
            </w:r>
          </w:p>
        </w:tc>
      </w:tr>
      <w:tr>
        <w:tc>
          <w:tcPr>
            <w:tcW w:type="dxa" w:w="1559"/>
          </w:tcPr>
          <w:p>
            <w:r>
              <w:rPr>
                <w:sz w:val="20"/>
              </w:rPr>
              <w:t>CROBENZAL</w:t>
            </w:r>
          </w:p>
        </w:tc>
        <w:tc>
          <w:tcPr>
            <w:tcW w:type="dxa" w:w="1559"/>
          </w:tcPr>
          <w:p>
            <w:r>
              <w:rPr>
                <w:sz w:val="20"/>
              </w:rPr>
              <w:t>CROVIS PHILCOM</w:t>
            </w:r>
          </w:p>
        </w:tc>
        <w:tc>
          <w:tcPr>
            <w:tcW w:type="dxa" w:w="1559"/>
          </w:tcPr>
          <w:p>
            <w:r>
              <w:rPr>
                <w:sz w:val="20"/>
              </w:rPr>
              <w:t>Ovules gynécologiques — Chlorure de benzalkonium 15 mg par ovule</w:t>
            </w:r>
          </w:p>
        </w:tc>
        <w:tc>
          <w:tcPr>
            <w:tcW w:type="dxa" w:w="1559"/>
          </w:tcPr>
          <w:p>
            <w:r>
              <w:rPr>
                <w:sz w:val="20"/>
              </w:rPr>
              <w:t>Boîte de 10 ovules</w:t>
            </w:r>
          </w:p>
        </w:tc>
        <w:tc>
          <w:tcPr>
            <w:tcW w:type="dxa" w:w="1559"/>
          </w:tcPr>
          <w:p>
            <w:r>
              <w:rPr>
                <w:sz w:val="20"/>
              </w:rPr>
              <w:t>Hors liste</w:t>
            </w:r>
          </w:p>
        </w:tc>
        <w:tc>
          <w:tcPr>
            <w:tcW w:type="dxa" w:w="1559"/>
          </w:tcPr>
          <w:p>
            <w:r>
              <w:rPr>
                <w:sz w:val="20"/>
              </w:rPr>
              <w:t>Retrait</w:t>
            </w:r>
          </w:p>
        </w:tc>
      </w:tr>
    </w:tbl>
    <w:p/>
    <w:p>
      <w:r>
        <w:t>Le chlorure de benzalkonium est disponible en Algérie principalement sous la forme spermicide gynécologique (Pharmatex, Innotech International — ovules 18,9 mg et crème 1,2 %). La spécialité concurrente Crobénzal (Crovis Philcom) a été retirée du marché. À la date actuelle, le statut « non renouvelable » de Pharmatex indique que les stocks résiduels sont encore délivrables mais que la spécialité n'est plus produite ou importée. Le chlorure de benzalkonium est également présent comme conservateur dans de très nombreuses spécialités ophtalmiques, nasales et inhalées (non détaillé dans ce chapitre, dédié à l'usage thérapeutique antiseptique/spermicide).</w:t>
      </w:r>
    </w:p>
    <w:p>
      <w:r/>
      <w:r>
        <w:rPr>
          <w:b/>
        </w:rPr>
        <w:t>Sous-classe et Mécanisme d'action :</w:t>
      </w:r>
      <w:r/>
    </w:p>
    <w:p>
      <w:pPr>
        <w:pStyle w:val="ListBullet"/>
      </w:pPr>
      <w:r>
        <w:t>Sous-classe : Ammonium quaternaire cationique (alkyldiméthylbenzylammonium), agent de surface à activité antiseptique et spermicide.</w:t>
      </w:r>
    </w:p>
    <w:p>
      <w:pPr>
        <w:pStyle w:val="ListBullet"/>
      </w:pPr>
      <w:r>
        <w:t>Mécanisme d'action : le chlorure de benzalkonium est un agent de surface cationique dont la structure amphiphile (tête cationique hydrophile + queue alkyle C8-C18 lipophile) lui permet d'interagir avec les membranes lipidiques. (i) Adsorption électrostatique à la surface des bactéries et des spermatozoïdes (charges négatives des membranes), (ii) pénétration de la queue alkyle dans la bicouche lipidique, (iii) formation de pores membranaires perméabilisants, (iv) fuite du contenu intracellulaire (K+, ATP), (v) dénaturation des protéines membranaires, (vi) lyse cellulaire. L'effet est bactéricide rapide (1–5 minutes selon concentration) et spermicide immédiat (destruction de la membrane des spermatozoïdes en quelques secondes). Le spectre antibactérien couvre les Gram-positifs (staphylocoques, streptocoques), les Gram-négatifs (E. coli, Klebsiella — sensibilité variable, Pseudomonas résistant), les champignons (Candida — activité modeste), et les virus enveloppés (VIH, HSV — activité partielle mais non suffisante pour une contraception contraceptive fiable contre le VIH). L'activité spermicide est puissante, destruction complète des spermatozoïdes en moins de 30 secondes, justifiant l'usage contraceptif local.</w:t>
      </w:r>
    </w:p>
    <w:p>
      <w:r/>
      <w:r>
        <w:rPr>
          <w:b/>
        </w:rPr>
        <w:t>Profil Pharmacologique :</w:t>
      </w:r>
      <w:r/>
    </w:p>
    <w:p>
      <w:pPr>
        <w:pStyle w:val="ListBullet"/>
      </w:pPr>
      <w:r>
        <w:t>Indications : (1) Contraception locale féminine (Pharmatex — ovules et crème vaginale) : méthode contraceptive barrière/spermicide, alternative non hormonale aux dispositifs intra-utérins et aux contraceptifs hormonaux oraux, particulièrement adaptée aux patientes ayant des contre-indications aux estroprogestatifs (tabagisme après 35 ans, hypertension non contrôlée, antécédents thrombo-emboliques, cancers hormonodépendants, allaitement), aux patientes en période post-partum ou post-IVG immédiate, ou en complément d'une méthode contraceptive другой (préservatif). (2) Antiseptie locale gynécologique (effet antiseptique additif). (3) Historiquement : antiseptie cutanée et muqueuse (remplacée par la chlorhexidine et la povidone iodée). (4) Comme conservateur en ophtalmologie, rhinologie, inhalation (hors champ de ce chapitre).</w:t>
      </w:r>
    </w:p>
    <w:p>
      <w:pPr>
        <w:pStyle w:val="ListBullet"/>
      </w:pPr>
      <w:r>
        <w:t>Contre-indications : (1) Hypersensibilité au chlorure de benzalkonium ou à l'un des excipients. (2) Antécédents de dermatite de contact allergique au BAC. (3) Lésions vaginales ulcérées ou érosives (risque de résorption systémique accrue et d'irritation sévère). (4) Ne pas utiliser comme contraceptif unique chez la patiente à haut risque d'IST (le BAC n'a pas d'activité virucide suffisante contre le VIH in vivo, et l'usage de spermicides augmente paradoxalement le risque de transmission du VIH par irritation muqueuse — études africaines nonoxynol-9). (5) Prudence en cas d'antécédents de toxémie gravidique (utilisation post-partum précoce à discuter). (6) Ne pas appliquer au contact de l'œil (kératite toxique).</w:t>
      </w:r>
    </w:p>
    <w:p>
      <w:pPr>
        <w:pStyle w:val="ListBullet"/>
      </w:pPr>
      <w:r>
        <w:t>Effets Indésirables : Très fréquents (&gt; 10 %) : irritation vaginale, sensation de brûlure locale transitoire, leucorrhées abondantes post-application (sécrétion liée à l'excipient), candidose vaginale favorisée par modification du pH local. Fréquents (1–10 %) : démangeaisons vulvo-vaginales, rash local, dyspareunie. Peu fréquents (0,1–1 %) : dermatite de contact allergique (eczéma vulvaire), candidose récidivante, vaginose bactérienne. Rares (&lt; 0,1 %) : réactions allergiques systémiques (urticaire, œdème de Quincke). Effets liés à l'usage comme conservateur en collyre (hors chapitre) : kératite toxique, conjonctivite allergique, syndrome sec oculaire aggravé.</w:t>
      </w:r>
    </w:p>
    <w:p>
      <w:r/>
      <w:r>
        <w:rPr>
          <w:b/>
        </w:rPr>
        <w:t>Prévention et Gestion des Effets Indésirables :</w:t>
      </w:r>
      <w:r/>
    </w:p>
    <w:p>
      <w:pPr>
        <w:pStyle w:val="ListBullet"/>
      </w:pPr>
      <w:r>
        <w:t>Mesures préventives : (1) Vérifier l'absence d'allergie au BAC avant initiation. (2) Informer la patiente que l'efficacité contraceptive n'est pas de 100 % (taux d'échec de Pearl 18–29 pour 100 femmes-année, l'un des plus élevés des méthodes contraceptives) — à combiner de préférence avec une méthode barrière (préservatif) ou à réserver aux patientes à faible activité sexuelle ou en complément ponctuel d'une autre méthode. (3) Respecter un délai de 10 minutes entre l'insertion de l'ovule et le rapport sexuel (temps d'action spermicide). (4) Application post-coïtale trop précoce ou lavage vaginal post-coït immédiat : contre-indiqués (diminuent l'efficacité). (5) Ne pas prolonger l'usage en cas d'irritation récurrente (risque de candidose chronique). (6) Chez la patiente à risque élevé d'IST (rapports occasionnels, partenaires multiples) : ne pas utiliser le BAC comme contraceptif unique — le préservatif reste la seule méthode anti-IST efficace.</w:t>
      </w:r>
    </w:p>
    <w:p>
      <w:pPr>
        <w:pStyle w:val="ListBullet"/>
      </w:pPr>
      <w:r>
        <w:t>Conduite à tenir : (1) En cas d'irritation locale modérée : pause, application d'un émollient vulvaire, réintroduction à dose réduite si tolérance acceptable. (2) En cas de dermatite de contact allergique : arrêt définitif, switch vers une autre méthode contraceptive (diaphragme + spermicide nonoxynol-9, préservatif, contraception hormonale si non contre-indiquée). (3) En cas de candidose récidivante : arrêt, traitement antifongique local (éconazole, clotrimazole), réévaluation contraceptive.</w:t>
      </w:r>
    </w:p>
    <w:p>
      <w:r/>
      <w:r>
        <w:rPr>
          <w:b/>
        </w:rPr>
        <w:t>Interactions Médicamenteuses :</w:t>
      </w:r>
      <w:r/>
    </w:p>
    <w:p>
      <w:pPr>
        <w:pStyle w:val="ListBullet"/>
      </w:pPr>
      <w:r>
        <w:t>Savons anioniques (savons classiques, savon de Marseille) : inactivation mutuelle par neutralisation des charges — ne pas faire de toilette vaginale avec un savon classique avant l'insertion de l'ovule (préférer un savon doux non ionique ou un lavage à l'eau claire).</w:t>
      </w:r>
    </w:p>
    <w:p>
      <w:pPr>
        <w:pStyle w:val="ListBullet"/>
      </w:pPr>
      <w:r>
        <w:t>Antifongiques locaux (éconazole, clotrimazole, miconazole) : en cas de candidose associée, espacer les applications de 12 heures minimum pour éviter une inactivation réciproque (les antifongiques sont souvent formulés en crème anionique).</w:t>
      </w:r>
    </w:p>
    <w:p>
      <w:pPr>
        <w:pStyle w:val="ListBullet"/>
      </w:pPr>
      <w:r>
        <w:t>Dispositifs intra-utérins (DIU) : pas d'interaction directe, mais le BAC ne doit pas être utilisé en complément d'un DIU (inefficace et augmentation du risque infectieux).</w:t>
      </w:r>
    </w:p>
    <w:p>
      <w:pPr>
        <w:pStyle w:val="ListBullet"/>
      </w:pPr>
      <w:r>
        <w:t>Latex (préservatif, diaphragme) : le BAC ne dégrade pas le latex à la différence du nonoxynol-9 (compatibilité possible avec préservatif).</w:t>
      </w:r>
    </w:p>
    <w:p>
      <w:pPr>
        <w:pStyle w:val="ListBullet"/>
      </w:pPr>
      <w:r>
        <w:t>Médicaments à usage vaginal (ovules antibiotiques, antifongiques, hormonaux) : espacer les applications de 12 heures minimum.</w:t>
      </w:r>
    </w:p>
    <w:p>
      <w:r/>
      <w:r>
        <w:rPr>
          <w:b/>
        </w:rPr>
        <w:t>Grossesse et Allaitement :</w:t>
      </w:r>
      <w:r/>
    </w:p>
    <w:p>
      <w:pPr>
        <w:pStyle w:val="ListBullet"/>
      </w:pPr>
      <w:r>
        <w:t>Grossesse : la contraception locale au BAC n'est pas recommandée pendant la grossesse (absence de besoin contraceptif pendant la grossesse ; risque théorique de résorption systémique). En cas de rapport non protégé en début de grossesse, pas d'effet tératogène documenté mais prudence. En post-partum immédiat (6 semaines après accouchement), utilisation possible chez la femme qui allaite (alternative non hormonale, n'affecte pas la lactation).</w:t>
      </w:r>
    </w:p>
    <w:p>
      <w:pPr>
        <w:pStyle w:val="ListBullet"/>
      </w:pPr>
      <w:r>
        <w:t>Allaitement : COMPATIBLE. Le BAC est utilisé comme conservateur dans de nombreuses spécialités néonatales (collyres) sans passage systémique significatif. La forme spermicide peut être utilisée chez la femme allaitante comme alternative non hormonale à la contraception estroprogestative (les estroprogestatifs diminuent la production lactée — contre-indication relative au premier mois post-partum).</w:t>
      </w:r>
    </w:p>
    <w:p>
      <w:pPr>
        <w:pStyle w:val="ListBullet"/>
      </w:pPr>
      <w:r>
        <w:t>Fertilité : pas d'effet à long terme sur la fertilité féminine après arrêt.</w:t>
      </w:r>
    </w:p>
    <w:p>
      <w:r/>
      <w:r>
        <w:rPr>
          <w:b/>
        </w:rPr>
        <w:t>Posologie et Mode d'administration :</w:t>
      </w:r>
      <w:r/>
    </w:p>
    <w:p>
      <w:pPr>
        <w:pStyle w:val="ListBullet"/>
      </w:pPr>
      <w:r>
        <w:t>Ovule gynécologique (Pharmatex 18,9 mg) : 1 ovule à insérer profondément dans le vagin, en position allongée, 10 minutes minimum avant le rapport sexuel (le temps de dissolution et d'action spermicide est de 5–10 minutes). Efficacité contraceptive limitée à 4 heures après insertion — au-delà, réinsertion nécessaire. Ne pas faire de toilette vaginale dans les 2 heures avant et 6 heures après le rapport (diminution d'efficacité).</w:t>
      </w:r>
    </w:p>
    <w:p>
      <w:pPr>
        <w:pStyle w:val="ListBullet"/>
      </w:pPr>
      <w:r>
        <w:t>Crème vaginale (Pharmatex 1,2 %) : 1 dose (applicateur rempli) à insérer profondément dans le vagin avant le rapport sexuel. Dose unique par rapport.</w:t>
      </w:r>
    </w:p>
    <w:p>
      <w:pPr>
        <w:pStyle w:val="ListBullet"/>
      </w:pPr>
      <w:r>
        <w:t>Fréquence : un ovule ou une dose de crème par rapport sexuel, à renouveler à chaque rapport.</w:t>
      </w:r>
    </w:p>
    <w:p>
      <w:pPr>
        <w:pStyle w:val="ListBullet"/>
      </w:pPr>
      <w:r>
        <w:t>Conservation : à température ambiante, à l'abri de la lumière et de l'humidité.</w:t>
      </w:r>
    </w:p>
    <w:p>
      <w:pPr>
        <w:pStyle w:val="ListBullet"/>
      </w:pPr>
      <w:r>
        <w:t>Sujet âgé : pas d'indication.</w:t>
      </w:r>
    </w:p>
    <w:p>
      <w:pPr>
        <w:pStyle w:val="ListBullet"/>
      </w:pPr>
      <w:r>
        <w:t>Insuffisance rénale/hépatique : pas d'adaptation (résorption systémique négligeable).</w:t>
      </w:r>
    </w:p>
    <w:p>
      <w:r/>
      <w:r>
        <w:rPr>
          <w:b/>
        </w:rPr>
        <w:t>Surveillance Biologique et Suivi Clinique :</w:t>
      </w:r>
      <w:r/>
    </w:p>
    <w:p>
      <w:pPr>
        <w:pStyle w:val="ListBullet"/>
      </w:pPr>
      <w:r>
        <w:t>Pas de surveillance biologique systématique nécessaire.</w:t>
      </w:r>
    </w:p>
    <w:p>
      <w:pPr>
        <w:pStyle w:val="ListBullet"/>
      </w:pPr>
      <w:r>
        <w:t>Surveillance clinique : interrogatoire tous les 3–6 mois sur la tolérance locale (irritation, candidose récidivante, allergie). Examen gynécologique annuel (frottis cervico-utérin, examen pelvien). Réévaluation contraceptive annuelle (taux d'échec relativement élevé, à discuter en fonction de l'observance et du risque de grossesse non désirée).</w:t>
      </w:r>
    </w:p>
    <w:p>
      <w:pPr>
        <w:pStyle w:val="ListBullet"/>
      </w:pPr>
      <w:r>
        <w:t>En cas d'aménorrhée sous BAC : test de grossesse (taux d'échec de Pearl élevé, une grossesse sous BAC doit être dépistée et prise en charge précocement).</w:t>
      </w:r>
    </w:p>
    <w:p>
      <w:r/>
      <w:r>
        <w:rPr>
          <w:b/>
        </w:rPr>
        <w:t>Arbitrage et Bénéfices des Formes Galéniques :</w:t>
      </w:r>
      <w:r/>
    </w:p>
    <w:p>
      <w:r>
        <w:t>Le chlorure de benzalkonium en Algérie est principalement disponible sous forme spermicide gynécologique (Pharmatex). L'ovule (18,9 mg) présente l'avantage d'une application unique par rapport et d'une diffusion plus large dans le vagin ; la crème (1,2 %) présente l'avantage d'une action spermicide plus immédiate (5–10 minutes vs 10 minutes pour l'ovule) mais nécessite un applicateur et peut être plus désagréable à l'usage. Le choix entre les deux formes dépend des préférences de la patiente. La spécialité Crobénzal (Crovis Philcom, retirée) proposait un dosage légèrement différent (15 mg par ovule, conditionnement de 10 ovules), moins pratique pour un usage ponctuel. L'alternative contraceptive au BAC en Algérie comprend : diaphragme + spermicide nonoxynol-9 (non disponible), préservatif masculin/féminin, contraception hormonale (estroprogestative ou progestative), DIU cuivre ou hormonal. La contraception locale au BAC est une méthode de deuxième intention, à réserver aux patientes ayant des contre-indications aux autres méthodes ou en complément ponctuel. Le statut « non renouvelable » de Pharmatex dans la nomenclature algérienne pose un problème d'accès : les patientes actuellement sous Pharmatex doivent être informées de l'indisponibilité future et orientées vers une alternative contraceptive.</w:t>
      </w:r>
    </w:p>
    <w:p>
      <w:r/>
      <w:r>
        <w:rPr>
          <w:b/>
        </w:rPr>
        <w:t>Instructions et Conseils au Patient :</w:t>
      </w:r>
      <w:r/>
    </w:p>
    <w:p>
      <w:pPr>
        <w:pStyle w:val="ListBullet"/>
      </w:pPr>
      <w:r>
        <w:t>Communication au comptoir : « Le chlorure de benzalkonium (Pharmatex) est un spermicide local qui détruit les spermatozoïdes au contact. Insérez 1 ovule ou 1 dose de crème dans le vagin 10 minutes avant le rapport sexuel. L'efficacité est limitée à 4 heures : au-delà, il faut réinsérer un ovule. Ne faites pas de toilette vaginale avec un savon classique dans les 2 heures avant et 6 heures après (cela inactive le spermicide). Cette méthode n'est pas la plus efficace (taux d'échec de 18–29 % par an), à réserver aux patientes ayant des contre-indications aux autres contraceptions ou en complément ponctuel. Elle ne protège pas contre les IST (utilisez un préservatif si nécessaire). Prévenez votre médecin en cas d'irritation, de brûlure récurrente ou de candidose répétée. »</w:t>
      </w:r>
    </w:p>
    <w:p>
      <w:pPr>
        <w:pStyle w:val="ListBullet"/>
      </w:pPr>
      <w:r>
        <w:t>Observance : un ovule ou une dose par rapport sexuel, à renouveler à chaque rapport, sans oubli. En cas d'oubli d'insertion avant le rapport, pas d'effet rétroactif — utiliser une contraception d'urgence (levonorgestrel) si le rapport a eu lieu dans les 72 heures.</w:t>
      </w:r>
    </w:p>
    <w:p>
      <w:pPr>
        <w:pStyle w:val="ListBullet"/>
      </w:pPr>
      <w:r>
        <w:t>Hygiène : toilette externe à l'eau claire ou avec un savon doux non ionique (pas de savon classique qui inactive le BAC).</w:t>
      </w:r>
    </w:p>
    <w:p>
      <w:pPr>
        <w:pStyle w:val="ListBullet"/>
      </w:pPr>
      <w:r>
        <w:t>Femmes enceintes et allaitantes : pas d'indication pendant la grossesse ; compatible avec l'allaitement en post-partum.</w:t>
      </w:r>
    </w:p>
    <w:p>
      <w:pPr>
        <w:pStyle w:val="ListBullet"/>
      </w:pPr>
      <w:r>
        <w:t>Conservation : à température ambiante, à l'abri de la lumière et de l'humidité.</w:t>
      </w:r>
    </w:p>
    <w:p>
      <w:r/>
      <w:r>
        <w:rPr>
          <w:b/>
        </w:rPr>
        <w:t>Notes, Règles d'Or &amp; Pièges au Comptoir :</w:t>
      </w:r>
      <w:r/>
    </w:p>
    <w:p>
      <w:pPr>
        <w:pStyle w:val="ListBullet"/>
      </w:pPr>
      <w:r>
        <w:t>Règle d'or : le chlorure de benzalkonium comme contraceptif local a un taux d'échec de Pearl élevé (18–29 pour 100 femmes-année) — il ne doit pas être utilisé comme contraception unique chez une patiente pour qui une grossesse serait un drame. Réserver aux patientes à faible activité sexuelle, ou en complément ponctuel d'une autre méthode.</w:t>
      </w:r>
    </w:p>
    <w:p>
      <w:pPr>
        <w:pStyle w:val="ListBullet"/>
      </w:pPr>
      <w:r>
        <w:t>Piège : le BAC est incompatible avec les savons anioniques (la plupart des savons classiques, savon de Marseille) — toujours utiliser un savon doux non ionique ou un lavage à l'eau claire pour la toilette intime avant insertion.</w:t>
      </w:r>
    </w:p>
    <w:p>
      <w:pPr>
        <w:pStyle w:val="ListBullet"/>
      </w:pPr>
      <w:r>
        <w:t>Piège : le BAC n'a pas d'effet protecteur contre le VIH (et pourrait même augmenter le risque de transmission par irritation muqueuse — études africaines nonoxynol-9). Ne pas présenter cette méthode comme « double protection » anti-grossesse + anti-IST.</w:t>
      </w:r>
    </w:p>
    <w:p>
      <w:pPr>
        <w:pStyle w:val="ListBullet"/>
      </w:pPr>
      <w:r>
        <w:t>Règle : en cas de rapport non protégé sous BAC seul (oubli d'insertion avant le rapport, rapport dans les 4 heures suivant l'insertion sans réinsertion, toilette vaginale post-coït immédiate) : contraception d'urgence à discuter (levonorgestrel 1,5 mg dans les 72 heures, ou ulipristal acétate 30 mg dans les 120 heures).</w:t>
      </w:r>
    </w:p>
    <w:p>
      <w:pPr>
        <w:pStyle w:val="ListBullet"/>
      </w:pPr>
      <w:r>
        <w:t>Piège : le statut « non renouvelable » de Pharmatex dans la nomenclature algérienne impose d'informer la patiente de l'indisponibilité future et de l'orienter vers une alternative contraceptive (préservatif, contraception hormonale, DIU) — ne pas laisser la patiente sans solution contraceptive.</w:t>
      </w:r>
    </w:p>
    <w:p>
      <w:pPr>
        <w:pStyle w:val="ListBullet"/>
      </w:pPr>
      <w:r>
        <w:t>Règle : l'usage prolongé du BAC (plusieurs mois) favorise la candidose vaginale récidivante et la vaginose — réévaluation contraceptive annuelle indispensable.</w:t>
      </w:r>
    </w:p>
    <w:p>
      <w:pPr>
        <w:pStyle w:val="ListBullet"/>
      </w:pPr>
      <w:r>
        <w:t>Piège : le BAC est également présent comme conservateur dans de très nombreux collyres, solutions nasales et inhalés (Bricanyl, Ventoline) — penser à demander les antécédents allergiques au BAC avant toute prescription ophtalmique ou inhalée.</w:t>
      </w:r>
    </w:p>
    <w:p>
      <w:pPr>
        <w:pStyle w:val="Heading3"/>
      </w:pPr>
      <w:r>
        <w:t>124.3.2 DCI : Cetrimide</w:t>
      </w:r>
    </w:p>
    <w:p>
      <w:r/>
      <w:r>
        <w:rPr>
          <w:b/>
        </w:rPr>
        <w:t>Liste des Catégories :</w:t>
      </w:r>
      <w:r>
        <w:t xml:space="preserve"> Antiseptique topique ; Ammonium quaternaire cationique (mélange de chlorures d'alkyltriméthylammonium) ; Désinfectant cutané ; Hors liste (spécialités en vente libre).</w:t>
      </w:r>
    </w:p>
    <w:p>
      <w:r>
        <w:t>Le cetrimide est un ammonium quaternaire cationique de synthèse, mélange de chlorures d'alkyltriméthylammonium (principalement tétradécyl-, hexadécyl- et octadécyl-triméthylammonium), commercialisé en médecine humaine depuis les années 1940 (Zeneca Pharma historiquement, laboratoire ICI). Il a été largement utilisé comme antiseptique cutané, en solution pour préparation pré-opératoire à 0,1–0,5 %, et en crème antiseptique à 0,5 %, ainsi qu'en association avec la chlorhexidine (forme Savlon — non disponible en Algérie). Son usage a progressivement décliné en raison de la supériorité de la chlorhexidine (rémanence supérieure) et de la povidone iodée (spectre plus large incluant les spores), mais il conserve une place historique et économique. En Algérie, le cetrimide est disponible sous forme de crème (Cevlodil — Saidal, 0,5 %) et historiquement de solution dermique (Cetavlon — Zeneca Pharma, 0,2 %), toutes deux non renouvelables ou retirées.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CEVLODIL</w:t>
            </w:r>
          </w:p>
        </w:tc>
        <w:tc>
          <w:tcPr>
            <w:tcW w:type="dxa" w:w="1559"/>
          </w:tcPr>
          <w:p>
            <w:r>
              <w:rPr>
                <w:sz w:val="20"/>
              </w:rPr>
              <w:t>GROUPE SAIDAL</w:t>
            </w:r>
          </w:p>
        </w:tc>
        <w:tc>
          <w:tcPr>
            <w:tcW w:type="dxa" w:w="1559"/>
          </w:tcPr>
          <w:p>
            <w:r>
              <w:rPr>
                <w:sz w:val="20"/>
              </w:rPr>
              <w:t>Crème dermique — Cetrimide 0,5 %</w:t>
            </w:r>
          </w:p>
        </w:tc>
        <w:tc>
          <w:tcPr>
            <w:tcW w:type="dxa" w:w="1559"/>
          </w:tcPr>
          <w:p>
            <w:r>
              <w:rPr>
                <w:sz w:val="20"/>
              </w:rPr>
              <w:t>Tube 40 g</w:t>
            </w:r>
          </w:p>
        </w:tc>
        <w:tc>
          <w:tcPr>
            <w:tcW w:type="dxa" w:w="1559"/>
          </w:tcPr>
          <w:p>
            <w:r>
              <w:rPr>
                <w:sz w:val="20"/>
              </w:rPr>
              <w:t>Hors liste</w:t>
            </w:r>
          </w:p>
        </w:tc>
        <w:tc>
          <w:tcPr>
            <w:tcW w:type="dxa" w:w="1559"/>
          </w:tcPr>
          <w:p>
            <w:r>
              <w:rPr>
                <w:sz w:val="20"/>
              </w:rPr>
              <w:t>Non renouvelable</w:t>
            </w:r>
          </w:p>
        </w:tc>
      </w:tr>
      <w:tr>
        <w:tc>
          <w:tcPr>
            <w:tcW w:type="dxa" w:w="1559"/>
          </w:tcPr>
          <w:p>
            <w:r>
              <w:rPr>
                <w:sz w:val="20"/>
              </w:rPr>
              <w:t>CETAVLON</w:t>
            </w:r>
          </w:p>
        </w:tc>
        <w:tc>
          <w:tcPr>
            <w:tcW w:type="dxa" w:w="1559"/>
          </w:tcPr>
          <w:p>
            <w:r>
              <w:rPr>
                <w:sz w:val="20"/>
              </w:rPr>
              <w:t>ZENECA PHARMA</w:t>
            </w:r>
          </w:p>
        </w:tc>
        <w:tc>
          <w:tcPr>
            <w:tcW w:type="dxa" w:w="1559"/>
          </w:tcPr>
          <w:p>
            <w:r>
              <w:rPr>
                <w:sz w:val="20"/>
              </w:rPr>
              <w:t>Solution dermique — Cetrimide 0,2 %</w:t>
            </w:r>
          </w:p>
        </w:tc>
        <w:tc>
          <w:tcPr>
            <w:tcW w:type="dxa" w:w="1559"/>
          </w:tcPr>
          <w:p>
            <w:r>
              <w:rPr>
                <w:sz w:val="20"/>
              </w:rPr>
              <w:t>Flacon 1 L</w:t>
            </w:r>
          </w:p>
        </w:tc>
        <w:tc>
          <w:tcPr>
            <w:tcW w:type="dxa" w:w="1559"/>
          </w:tcPr>
          <w:p>
            <w:r>
              <w:rPr>
                <w:sz w:val="20"/>
              </w:rPr>
              <w:t>Hors liste</w:t>
            </w:r>
          </w:p>
        </w:tc>
        <w:tc>
          <w:tcPr>
            <w:tcW w:type="dxa" w:w="1559"/>
          </w:tcPr>
          <w:p>
            <w:r>
              <w:rPr>
                <w:sz w:val="20"/>
              </w:rPr>
              <w:t>Retrait</w:t>
            </w:r>
          </w:p>
        </w:tc>
      </w:tr>
    </w:tbl>
    <w:p/>
    <w:p>
      <w:r>
        <w:t>Le cetrimide en Algérie est représenté par deux spécialités historiques : la crème Cevlodil (Saidal, 0,5 %), utilisée en pratique dermatologique privée pour l'antisepsie des petites plaies et le prurit surinfecté, et la solution dermique Cetavlon (Zeneca Pharma, 0,2 %) pour la désinfection cutanée de grande surface. Les deux formes sont actuellement non disponibles (statut non renouvelable pour Cevlodil, retrait pour Cetavlon), mais les stocks résiduels persistent dans certaines officines et la mémoire prescriptive de certains praticiens anciens. Le retrait progressif de ces spécialités reflète la tendance mondiale au remplacement du cetrimide par la chlorhexidine (supériorité d'efficacité et de rémanence) et la povidone iodée (spectre plus large).</w:t>
      </w:r>
    </w:p>
    <w:p>
      <w:r/>
      <w:r>
        <w:rPr>
          <w:b/>
        </w:rPr>
        <w:t>Sous-classe et Mécanisme d'action :</w:t>
      </w:r>
      <w:r/>
    </w:p>
    <w:p>
      <w:pPr>
        <w:pStyle w:val="ListBullet"/>
      </w:pPr>
      <w:r>
        <w:t>Sous-classe : Ammonium quaternaire cationique (mélange de chlorures d'alkyltriméthylammonium), agent de surface à activité antiseptique.</w:t>
      </w:r>
    </w:p>
    <w:p>
      <w:pPr>
        <w:pStyle w:val="ListBullet"/>
      </w:pPr>
      <w:r>
        <w:t>Mécanisme d'action : identique à celui du chlorure de benzalkonium — adsorption électrostatique à la membrane bactérienne, insertion dans la bicouche lipidique par la queue alkyle, formation de pores membranaires, fuite du contenu intracellulaire, dénaturation des protéines, lyse cellulaire. Le cetrimide a également un effet détergent nettoyant (élimination des débris et du sébum par micellisation) qui en fait un agent de scrubbing utile en pré-opératoire. L'effet bactéricide est rapide (30 secondes à 5 minutes selon la concentration). Le spectre couvre les Gram-positifs (staphylocoques, streptocoques), certains Gram-négatifs (E. coli, Klebsiella — sensibilité variable), les champignons (Candida — activité modeste), et les virus enveloppés. Il est peu actif sur les mycobactéries, les spores et les virus non enveloppés. À la différence de la chlorhexidine, il n'a pas de rémanence cutanée significative (élimination rapide par rinçage et évaporation), ce qui limite son intérêt en pré-opératoire.</w:t>
      </w:r>
    </w:p>
    <w:p>
      <w:r/>
      <w:r>
        <w:rPr>
          <w:b/>
        </w:rPr>
        <w:t>Profil Pharmacologique :</w:t>
      </w:r>
      <w:r/>
    </w:p>
    <w:p>
      <w:pPr>
        <w:pStyle w:val="ListBullet"/>
      </w:pPr>
      <w:r>
        <w:t>Indications : (1) Antisepsie des petites plaies, écorchures, brûlures superficielles (crème Cevlodil). (2) Prurit surinfecté (effet antiseptique + émollient de la crème). (3) Désinfection cutanée de grande surface en solution (Cetavlon — usage historique). (4) Désinfection des mains chirurgicales (forme scrub — historique, non disponible). (5) Antisepsie du cordon ombilical du nouveau-né (alternative à la chlorhexidine).</w:t>
      </w:r>
    </w:p>
    <w:p>
      <w:pPr>
        <w:pStyle w:val="ListBullet"/>
      </w:pPr>
      <w:r>
        <w:t>Contre-indications : (1) Hypersensibilité au cetrimide ou à l'un des excipients. (2) Ne pas appliquer sur de grandes surfaces brûlées ou sur des muqueuses étendues (résorption systémique possible avec toxicité neurologique et hépatique). (3) Ne pas appliquer dans le conduit auditif externe (ototoxicité, similaire à la chlorhexidine). (4) Ne pas appliquer au contact de l'œil (kératite toxique). (5) Ne pas injecter (usage strictement topique). (6) Prudence en néonatalogie (résorption systémique sur peau immature).</w:t>
      </w:r>
    </w:p>
    <w:p>
      <w:pPr>
        <w:pStyle w:val="ListBullet"/>
      </w:pPr>
      <w:r>
        <w:t>Effets Indésirables : Fréquents (1–10 %) : irritation locale, sensation de brûlure transitoire à l'application sur peau lésée, dermite d'irritation en cas d'usage répété, dermatite de contact allergique (eczéma) possible. Peu fréquents (0,1–1 %) : rash, prurit, sécheresse cutanée. Rares (&lt; 0,1 %) : anaphylaxie (exceptionnel), toxicité systémique en cas d'application prolongée sur grande surface brûlée (convulsions, hépatotoxicité — cas historiques rapportés). Effets liés à l'usage en crème : effet occlusif possible favorisant les macérations.</w:t>
      </w:r>
    </w:p>
    <w:p>
      <w:r/>
      <w:r>
        <w:rPr>
          <w:b/>
        </w:rPr>
        <w:t>Prévention et Gestion des Effets Indésirables :</w:t>
      </w:r>
      <w:r/>
    </w:p>
    <w:p>
      <w:pPr>
        <w:pStyle w:val="ListBullet"/>
      </w:pPr>
      <w:r>
        <w:t>Mesures préventives : (1) Vérifier l'absence d'allergie au cetrimide avant prescription. (2) Ne pas appliquer sur de grandes surfaces cutanées lésées, brûlures profondes, ou muqueuses étendues — préférer la povidone iodée aqueuse. (3) Ne pas appliquer dans le conduit auditif externe, ni au contact de l'œil. (4) Limiter la durée d'application à 7–10 jours pour éviter la dermite d'irritation et la sélection de résistance. (5) En cas d'usage sur plaie, nettoyer préalablement à l'eau et au savon doux, rincer avant application (incompatibilité avec les savons anioniques).</w:t>
      </w:r>
    </w:p>
    <w:p>
      <w:pPr>
        <w:pStyle w:val="ListBullet"/>
      </w:pPr>
      <w:r>
        <w:t>Conduite à tenir : (1) En cas d'irritation locale : arrêt, rinçage, émollient, switch vers un antiseptique alternatif (chlorhexidine aqueuse, povidone iodée). (2) En cas de dermatite de contact allergique : arrêt définitif, traitement corticoïde topique court (hydrocortisone 1 %), éviter les futures expositions aux ammoniums quaternaires (chlorure de benzalkonium inclus — allergie croisée possible).</w:t>
      </w:r>
    </w:p>
    <w:p>
      <w:r/>
      <w:r>
        <w:rPr>
          <w:b/>
        </w:rPr>
        <w:t>Interactions Médicamenteuses :</w:t>
      </w:r>
      <w:r/>
    </w:p>
    <w:p>
      <w:pPr>
        <w:pStyle w:val="ListBullet"/>
      </w:pPr>
      <w:r>
        <w:t>Savons anioniques (savons classiques, savon de Marseille) : inactivation réciproque par neutralisation des charges — toujours rincer abondamment entre un savon et le cetrimide.</w:t>
      </w:r>
    </w:p>
    <w:p>
      <w:pPr>
        <w:pStyle w:val="ListBullet"/>
      </w:pPr>
      <w:r>
        <w:t>Autres antiseptiques (chlorhexidine, povidone iodée) : ne pas appliquer simultanément sur la même zone — incompatibilité chimique, perte d'efficacité.</w:t>
      </w:r>
    </w:p>
    <w:p>
      <w:pPr>
        <w:pStyle w:val="ListBullet"/>
      </w:pPr>
      <w:r>
        <w:t>Iodures : incompatibilité — précipitation et perte d'activité.</w:t>
      </w:r>
    </w:p>
    <w:p>
      <w:pPr>
        <w:pStyle w:val="ListBullet"/>
      </w:pPr>
      <w:r>
        <w:t>PAS d'interaction systémique significative en usage topique court et localisé.</w:t>
      </w:r>
    </w:p>
    <w:p>
      <w:r/>
      <w:r>
        <w:rPr>
          <w:b/>
        </w:rPr>
        <w:t>Grossesse et Allaitement :</w:t>
      </w:r>
      <w:r/>
    </w:p>
    <w:p>
      <w:pPr>
        <w:pStyle w:val="ListBullet"/>
      </w:pPr>
      <w:r>
        <w:t>Grossesse : PRUDENCE. En usage topique cutané court et localisé sur petite surface, compatible (CRAT : « l'utilisation ponctuelle d'un antiseptique à base de cetrimide sur une petite surface cutanée est envisageable quel que soit le terme de la grossesse »). Éviter l'application sur de grandes surfaces cutanées lésées ou brûlées pendant la grossesse (résorption systémique théorique avec toxicité fœtale neurologique possible). Préférer la povidone iodée aqueuse pour les grandes surfaces, et la chlorhexidine pour les petites plaies.</w:t>
      </w:r>
    </w:p>
    <w:p>
      <w:pPr>
        <w:pStyle w:val="ListBullet"/>
      </w:pPr>
      <w:r>
        <w:t>Allaitement : COMPATIBLE en usage topique cutané ponctuel, en évitant l'application sur le mamelon avant la tétée (rincer soigneusement).</w:t>
      </w:r>
    </w:p>
    <w:p>
      <w:pPr>
        <w:pStyle w:val="ListBullet"/>
      </w:pPr>
      <w:r>
        <w:t>Fertilité : pas d'effet connu.</w:t>
      </w:r>
    </w:p>
    <w:p>
      <w:r/>
      <w:r>
        <w:rPr>
          <w:b/>
        </w:rPr>
        <w:t>Posologie et Mode d'administration :</w:t>
      </w:r>
      <w:r/>
    </w:p>
    <w:p>
      <w:pPr>
        <w:pStyle w:val="ListBullet"/>
      </w:pPr>
      <w:r>
        <w:t>Crème (Cevlodil 0,5 %) : application locale 1 à 3 fois par jour sur la zone à traiter, préalablement nettoyée à l'eau et au savon doux et rincée. Application en fine couche, recouvrir d'un pansement si nécessaire. Durée maximale 7–10 jours sans avis médical.</w:t>
      </w:r>
    </w:p>
    <w:p>
      <w:pPr>
        <w:pStyle w:val="ListBullet"/>
      </w:pPr>
      <w:r>
        <w:t>Solution dermique (Cetavlon 0,2 %) : application locale en tamponnement ou en lavage, 1 à 3 fois par jour, sur peau préalablement nettoyée. Peut être diluée à 0,1 % pour les muqueuses. Durée maximale 7–10 jours.</w:t>
      </w:r>
    </w:p>
    <w:p>
      <w:pPr>
        <w:pStyle w:val="ListBullet"/>
      </w:pPr>
      <w:r>
        <w:t>Sujet âgé : pas d'adaptation posologique.</w:t>
      </w:r>
    </w:p>
    <w:p>
      <w:pPr>
        <w:pStyle w:val="ListBullet"/>
      </w:pPr>
      <w:r>
        <w:t>Insuffisance rénale/hépatique : pas d'adaptation en usage topique court et localisé. Contre-indication en cas d'application prolongée sur grande surface.</w:t>
      </w:r>
    </w:p>
    <w:p>
      <w:pPr>
        <w:pStyle w:val="ListBullet"/>
      </w:pPr>
      <w:r>
        <w:t>Enfant : utilisation possible dès la naissance en application limitée. Éviter chez le prématuré et le nourrisson en application étendue.</w:t>
      </w:r>
    </w:p>
    <w:p>
      <w:r/>
      <w:r>
        <w:rPr>
          <w:b/>
        </w:rPr>
        <w:t>Surveillance Biologique et Suivi Clinique :</w:t>
      </w:r>
      <w:r/>
    </w:p>
    <w:p>
      <w:pPr>
        <w:pStyle w:val="ListBullet"/>
      </w:pPr>
      <w:r>
        <w:t>Pas de surveillance biologique systématique nécessaire en usage topique court et localisé.</w:t>
      </w:r>
    </w:p>
    <w:p>
      <w:pPr>
        <w:pStyle w:val="ListBullet"/>
      </w:pPr>
      <w:r>
        <w:t>Surveillance clinique : examen local à J3-J5 pour vérifier la cicatrisation et l'absence d'irritation ou de dermatite de contact.</w:t>
      </w:r>
    </w:p>
    <w:p>
      <w:pPr>
        <w:pStyle w:val="ListBullet"/>
      </w:pPr>
      <w:r>
        <w:t>Pas de suivi bactériologique systématique (résistance rarement documentée en usage topique standard, mais sélection possible de souches qac+ chez les staphylocoques en usage prolongé).</w:t>
      </w:r>
    </w:p>
    <w:p>
      <w:r/>
      <w:r>
        <w:rPr>
          <w:b/>
        </w:rPr>
        <w:t>Arbitrage et Bénéfices des Formes Galéniques :</w:t>
      </w:r>
      <w:r/>
    </w:p>
    <w:p>
      <w:r>
        <w:t>La crème Cevlodil (Saidal, 0,5 %) présente l'intérêt d'un double effet antiseptique + émollient, utile pour les dermatoses surinfectées sèches ou les plaies chroniques nécessitant un pansement occlusif. La solution Cetavlon (Zeneca, 0,2 %) était la forme de référence pour la désinfection cutanée de grande surface en milieu hospitalier (pré-opératoire historique, désinfection du matériel). Les deux formes sont actuellement non disponibles en Algérie, ce qui impose le recours à des alternatives : chlorhexidine aqueuse ou alcoolique (Hysadril), povidone iodée aqueuse (Betaderm, Dermadine, Povip, etc.) pour la désinfection cutanée. L'absence de cetrimide en Algérie reflète une tendance mondiale au déclin de cette molécule, supplantée par la chlorhexidine (rémanence supérieure) et la povidone iodée (spectre plus large incluant les spores). Pour les patients allergiques à la chlorhexidine et à la povidone iodée (allergie à l'iode), le cetrimide pourrait être une alternative utile mais sa non-disibilité limite cette option.</w:t>
      </w:r>
    </w:p>
    <w:p>
      <w:r/>
      <w:r>
        <w:rPr>
          <w:b/>
        </w:rPr>
        <w:t>Instructions et Conseils au Patient :</w:t>
      </w:r>
      <w:r/>
    </w:p>
    <w:p>
      <w:pPr>
        <w:pStyle w:val="ListBullet"/>
      </w:pPr>
      <w:r>
        <w:t>Communication au comptoir : « Le cetrimide est un antiseptique local classique, sous forme de crème (Cevlodil). Appliquez en fine couche sur la zone à désinfecter préalablement nettoyée à l'eau et au savon doux, 1 à 3 fois par jour pendant 7 à 10 jours maximum. Ne pas appliquer sur une grande surface brûlée ou sur les muqueuses étendues. Ne pas mettre dans l'oreille ni au contact de l'œil. Prévenez votre médecin en cas d'irritation, de brûlure récurrente ou d'eczéma. À noter : la spécialité Cevlodil est actuellement non renouvelable (disponibilité aléatoire en officine) ; des alternatives existent (chlorhexidine, povidone iodée). »</w:t>
      </w:r>
    </w:p>
    <w:p>
      <w:pPr>
        <w:pStyle w:val="ListBullet"/>
      </w:pPr>
      <w:r>
        <w:t>Observance : respecter la durée maximale (7–10 jours) ; ne pas augmenter la fréquence d'application.</w:t>
      </w:r>
    </w:p>
    <w:p>
      <w:pPr>
        <w:pStyle w:val="ListBullet"/>
      </w:pPr>
      <w:r>
        <w:t>Hygiène : nettoyer la plaie avant application (l'antiseptique est inactivé par les protéines, le sang, le pus) ; utiliser une compresse stérile pour chaque application ; ne pas partager le tube.</w:t>
      </w:r>
    </w:p>
    <w:p>
      <w:pPr>
        <w:pStyle w:val="ListBullet"/>
      </w:pPr>
      <w:r>
        <w:t>Femmes enceintes et allaitantes : usage ponctuel possible sur petite surface cutanée, à tous les trimestres de la grossesse. Éviter l'application sur grandes surfaces lésées.</w:t>
      </w:r>
    </w:p>
    <w:p>
      <w:r/>
      <w:r>
        <w:rPr>
          <w:b/>
        </w:rPr>
        <w:t>Notes, Règles d'Or &amp; Pièges au Comptoir :</w:t>
      </w:r>
      <w:r/>
    </w:p>
    <w:p>
      <w:pPr>
        <w:pStyle w:val="ListBullet"/>
      </w:pPr>
      <w:r>
        <w:t>Règle d'or : tout antiseptique doit être appliqué sur une peau PROPRE — un lavage préalable à l'eau et au savon doux est OBLIGATOIRE. Sur une plaie sale, l'antiseptique est inactivé.</w:t>
      </w:r>
    </w:p>
    <w:p>
      <w:pPr>
        <w:pStyle w:val="ListBullet"/>
      </w:pPr>
      <w:r>
        <w:t>Piège : le cetrimide est OTOTOXIQUE et OCULOTOXIQUE — ne jamais appliquer dans le conduit auditif externe ni au contact de l'œil.</w:t>
      </w:r>
    </w:p>
    <w:p>
      <w:pPr>
        <w:pStyle w:val="ListBullet"/>
      </w:pPr>
      <w:r>
        <w:t>Piège : la spécialité Cevlodil (Saidal) est « non renouvelable » — en cas de rupture de stock, orienter le patient vers une alternative disponible (chlorhexidine, povidone iodée).</w:t>
      </w:r>
    </w:p>
    <w:p>
      <w:pPr>
        <w:pStyle w:val="ListBullet"/>
      </w:pPr>
      <w:r>
        <w:t>Règle : ne pas appliquer sur de grandes surfaces brûlées ou sur muqueuses étendues (résorption systémique possible avec toxicité neurologique : convulsions, dépression respiratoire — cas historiques rapportés chez le grand brûlé).</w:t>
      </w:r>
    </w:p>
    <w:p>
      <w:pPr>
        <w:pStyle w:val="ListBullet"/>
      </w:pPr>
      <w:r>
        <w:t>Piège : le cetrimide est incompatible avec les savons anioniques et les iodures — toujours rincer abondamment entre deux produits.</w:t>
      </w:r>
    </w:p>
    <w:p>
      <w:pPr>
        <w:pStyle w:val="ListBullet"/>
      </w:pPr>
      <w:r>
        <w:t>Règle : durée maximale 7–10 jours pour éviter la dermite d'irritation et la sélection de résistance.</w:t>
      </w:r>
    </w:p>
    <w:p>
      <w:pPr>
        <w:pStyle w:val="ListBullet"/>
      </w:pPr>
      <w:r>
        <w:t>Piège : allergie croisée possible avec le chlorure de benzalkonium (même famille chimique) — en cas d'allergie au BAC, éviter le cetrimide.</w:t>
      </w:r>
    </w:p>
    <w:p>
      <w:pPr>
        <w:pStyle w:val="ListBullet"/>
      </w:pPr>
      <w:r>
        <w:t>Règle : le cetrimide n'a pas de rémanence cutanée — à la différence de la chlorhexidine, il doit être réappliqué à chaque changement de pansement.</w:t>
      </w:r>
    </w:p>
    <w:p>
      <w:pPr>
        <w:pStyle w:val="Heading2"/>
      </w:pPr>
      <w:r>
        <w:t>124.4 Sous-classe : Antiseptiques topiques — Iodés</w:t>
      </w:r>
    </w:p>
    <w:p>
      <w:r>
        <w:t>Les dérivés iodés à usage antiseptique sont essentiellement représentés par la polyvidone iodée (PVP-iodone ou povidone iodée), complexe d'iode et de polyvinylpyrrolidone (PVP) qui assure une libération lente et continue d'iode actif. La découverte de la polyvidone iodée remonte aux travaux de Shelanski et Shelanski en 1956 (laboratoires Purdue Frederick, qui deviendra plus tard Mundipharma), conçue pour réduire la toxicité et l'irritation de l'iode libre (teinture d'iode historique, solution de Lugol). La PVP-iodone s'est imposée comme l'antiseptique iodé de référence mondiale, inscrite sur la liste des médicaments essentiels OMS, et largement utilisée en pré-opératoire (préparation cutanée), en désinfection des plaies (aiguës et chroniques), en gynécologie (prévention des infections néonatales à streptocoque B), en ophtalmologie (collyre 1 % pré-opératoire), et en ORL (collutoires, sprays). Son spectre est le plus large des antiseptiques disponibles en pratique clinique : bactéries Gram-positives et Gram-négatives (y compris SARM, entérocoques résistants), mycobactéries, spores bactériennes (activité partielle), champignons (Candida, dermatophytes, aspergillus), virus enveloppés (VIH, HSV, VHB) et non enveloppés (entérovirus, rotavirus), protozoaires.</w:t>
      </w:r>
    </w:p>
    <w:p>
      <w:r>
        <w:t>Le mécanisme d'action repose sur la libération d'iode libre (I2) à partir du complexe PVP-iode, en équilibre avec le réservoir PVP-iode. L'iode libre pénètre la paroi microbienne et oxyde les composants cellulaires critiques : (i) oxydation des groupes sulfhydryles (-SH) des enzymes et protéines bactériennes, bloquant la glycolyse et le cycle de Krebs ; (ii) oxydation des doubles liaisons des acides gras membranaires, altérant la perméabilité ; (iii) halogénation des bases tyrosine et histidine des protéines, dénaturant les structures tertiaires ; (iv) altération de l'ADN et de l'ARN par oxydation des bases puriques. L'effet est bactéricide rapide (30 secondes à 5 minutes selon la concentration), virucide, fongicide, sporicide (à concentration élevée, prolongée), tuberculocide. La libération continue d'iode libre par le réservoir PVP assure une activité prolongée (rémanence modérée de 4–6 heures, inférieure à la chlorhexidine mais supérieure aux ammoniums quaternaires).</w:t>
      </w:r>
    </w:p>
    <w:p>
      <w:r>
        <w:t>La tolérance de la polyvidone iodée est globalement bonne en usage court et localisé, mais plusieurs précautions majeures s'imposent : (1) la résorption systémique d'iode est possible en cas d'application prolongée sur de grandes surfaces cutanées lésées (brûlures étendues), sur les muqueuses vaginales (répétition), ou en usage intracavitaire (chirurgie) — exposant au risque d'hypothyroïdie ou d'hyperthyroïdie (maladie de Basedow induite), d'acidose métabolique (acide iodique), et de toxicité rénale ; (2) la contre-indication relative au troisième trimestre de la grossesse (passage transplacentaire d'iode, blocage de la thyroïde fœtale avec hypothyroïdie néonatale et goitre fœtal) et en néonatalogie (prématuré, peau immature) ; (3) la contre-indication chez les patients ayant une dysthyroïdie connue (Basedow, Hashimoto) ou un antécédent de thyroïdite ; (4) l'incompatibilité avec le mercure, les sels d'argent, les antioxydants (sulfites, bisulfites), et la chlorhexidine. En Algérie, la polyvidone iodée est largement disponible sous de nombreuses spécialités natives (Betaderm, Dermadine, Polylad, Povip, Septidine, Betadermine, etc.) et historiquement importées (Betadine — retirée).</w:t>
      </w:r>
    </w:p>
    <w:p>
      <w:pPr>
        <w:pStyle w:val="Heading3"/>
      </w:pPr>
      <w:r>
        <w:t>124.4.1 DCI : Povidone iodée</w:t>
      </w:r>
    </w:p>
    <w:p>
      <w:r/>
      <w:r>
        <w:rPr>
          <w:b/>
        </w:rPr>
        <w:t>Liste des Catégories :</w:t>
      </w:r>
      <w:r>
        <w:t xml:space="preserve"> Antiseptique topique ; Dérivé iodé (polyvidone iodée = PVP-iode) ; Désinfectant cutanéo-muqueux large spectre (bactéricide, virucide, fongicide, sporicide partiel) ; Hors liste (spécialités en vente libre).</w:t>
      </w:r>
    </w:p>
    <w:p>
      <w:r>
        <w:t>La polyvidone iodée (ou povidone iodée, abrégée PVP-I) est un complexe d'iode et de polyvinylpyrrolidone (PVP, un polymère hydrosoluble), synthétisé en 1956 par Shelanski et Shelanski aux laboratoires Purdue Frederick. La PVP joue le rôle de réservoir d'iode, libérant l'iode actif (I2) en équilibre avec la forme liée, ce qui permet une libération prolongée et réduit la toxicité de l'iode libre (teinture d'iode historique). La PVP-iodone est inscrite sur la liste des médicaments essentiels OMS et constitue l'antiseptique de référence mondiale en pré-opératoire, en désinfection des plaies, et en prophylaxie des infections néonatales (application vaginale en fin de grossesse pour prévenir la transmission materno-fœtale du streptocoque B). En Algérie, la PVP-iodone est disponible sous de nombreuses spécialités natives (Betaderm, Dermadine, Polylad, Povip, Septidine, Betadermine) et historiques (Betadine, Poliodine, Poviroch, Iodosept — toutes retirées du marché algérien), avec des concentrations variables de 4 % (forme moussante scrub) à 10 % (forme standard pour application cutanée et solution vaginale).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BETADERMINE MOUSSANT 4%</w:t>
            </w:r>
          </w:p>
        </w:tc>
        <w:tc>
          <w:tcPr>
            <w:tcW w:type="dxa" w:w="1559"/>
          </w:tcPr>
          <w:p>
            <w:r>
              <w:rPr>
                <w:sz w:val="20"/>
              </w:rPr>
              <w:t>RIADH PHARM</w:t>
            </w:r>
          </w:p>
        </w:tc>
        <w:tc>
          <w:tcPr>
            <w:tcW w:type="dxa" w:w="1559"/>
          </w:tcPr>
          <w:p>
            <w:r>
              <w:rPr>
                <w:sz w:val="20"/>
              </w:rPr>
              <w:t>Solution pour application cutanée (moussante) — Polyvidone iodée 4 %</w:t>
            </w:r>
          </w:p>
        </w:tc>
        <w:tc>
          <w:tcPr>
            <w:tcW w:type="dxa" w:w="1559"/>
          </w:tcPr>
          <w:p>
            <w:r>
              <w:rPr>
                <w:sz w:val="20"/>
              </w:rPr>
              <w:t>Flacon 125 mL ; flacon 1 L</w:t>
            </w:r>
          </w:p>
        </w:tc>
        <w:tc>
          <w:tcPr>
            <w:tcW w:type="dxa" w:w="1559"/>
          </w:tcPr>
          <w:p>
            <w:r>
              <w:rPr>
                <w:sz w:val="20"/>
              </w:rPr>
              <w:t>Hors liste</w:t>
            </w:r>
          </w:p>
        </w:tc>
        <w:tc>
          <w:tcPr>
            <w:tcW w:type="dxa" w:w="1559"/>
          </w:tcPr>
          <w:p>
            <w:r>
              <w:rPr>
                <w:sz w:val="20"/>
              </w:rPr>
              <w:t>Actif</w:t>
            </w:r>
          </w:p>
        </w:tc>
      </w:tr>
      <w:tr>
        <w:tc>
          <w:tcPr>
            <w:tcW w:type="dxa" w:w="1559"/>
          </w:tcPr>
          <w:p>
            <w:r>
              <w:rPr>
                <w:sz w:val="20"/>
              </w:rPr>
              <w:t>BETADERM</w:t>
            </w:r>
          </w:p>
        </w:tc>
        <w:tc>
          <w:tcPr>
            <w:tcW w:type="dxa" w:w="1559"/>
          </w:tcPr>
          <w:p>
            <w:r>
              <w:rPr>
                <w:sz w:val="20"/>
              </w:rPr>
              <w:t>GROUPEMENT PHARMACEUTIQUE ALGERIEN (GPA)</w:t>
            </w:r>
          </w:p>
        </w:tc>
        <w:tc>
          <w:tcPr>
            <w:tcW w:type="dxa" w:w="1559"/>
          </w:tcPr>
          <w:p>
            <w:r>
              <w:rPr>
                <w:sz w:val="20"/>
              </w:rPr>
              <w:t>Solution dermique — Polyvidone iodée 10 % (10 g/100 mL)</w:t>
            </w:r>
          </w:p>
        </w:tc>
        <w:tc>
          <w:tcPr>
            <w:tcW w:type="dxa" w:w="1559"/>
          </w:tcPr>
          <w:p>
            <w:r>
              <w:rPr>
                <w:sz w:val="20"/>
              </w:rPr>
              <w:t>Flacon 125 mL</w:t>
            </w:r>
          </w:p>
        </w:tc>
        <w:tc>
          <w:tcPr>
            <w:tcW w:type="dxa" w:w="1559"/>
          </w:tcPr>
          <w:p>
            <w:r>
              <w:rPr>
                <w:sz w:val="20"/>
              </w:rPr>
              <w:t>Hors liste</w:t>
            </w:r>
          </w:p>
        </w:tc>
        <w:tc>
          <w:tcPr>
            <w:tcW w:type="dxa" w:w="1559"/>
          </w:tcPr>
          <w:p>
            <w:r>
              <w:rPr>
                <w:sz w:val="20"/>
              </w:rPr>
              <w:t>Actif</w:t>
            </w:r>
          </w:p>
        </w:tc>
      </w:tr>
      <w:tr>
        <w:tc>
          <w:tcPr>
            <w:tcW w:type="dxa" w:w="1559"/>
          </w:tcPr>
          <w:p>
            <w:r>
              <w:rPr>
                <w:sz w:val="20"/>
              </w:rPr>
              <w:t>BETADERMINE</w:t>
            </w:r>
          </w:p>
        </w:tc>
        <w:tc>
          <w:tcPr>
            <w:tcW w:type="dxa" w:w="1559"/>
          </w:tcPr>
          <w:p>
            <w:r>
              <w:rPr>
                <w:sz w:val="20"/>
              </w:rPr>
              <w:t>RIADH PHARM</w:t>
            </w:r>
          </w:p>
        </w:tc>
        <w:tc>
          <w:tcPr>
            <w:tcW w:type="dxa" w:w="1559"/>
          </w:tcPr>
          <w:p>
            <w:r>
              <w:rPr>
                <w:sz w:val="20"/>
              </w:rPr>
              <w:t>Solution dermique — Polyvidone iodée 10 % (10 g/100 mL)</w:t>
            </w:r>
          </w:p>
        </w:tc>
        <w:tc>
          <w:tcPr>
            <w:tcW w:type="dxa" w:w="1559"/>
          </w:tcPr>
          <w:p>
            <w:r>
              <w:rPr>
                <w:sz w:val="20"/>
              </w:rPr>
              <w:t>Flacon 120 mL ; flacon 500 mL</w:t>
            </w:r>
          </w:p>
        </w:tc>
        <w:tc>
          <w:tcPr>
            <w:tcW w:type="dxa" w:w="1559"/>
          </w:tcPr>
          <w:p>
            <w:r>
              <w:rPr>
                <w:sz w:val="20"/>
              </w:rPr>
              <w:t>Hors liste</w:t>
            </w:r>
          </w:p>
        </w:tc>
        <w:tc>
          <w:tcPr>
            <w:tcW w:type="dxa" w:w="1559"/>
          </w:tcPr>
          <w:p>
            <w:r>
              <w:rPr>
                <w:sz w:val="20"/>
              </w:rPr>
              <w:t>Actif</w:t>
            </w:r>
          </w:p>
        </w:tc>
      </w:tr>
      <w:tr>
        <w:tc>
          <w:tcPr>
            <w:tcW w:type="dxa" w:w="1559"/>
          </w:tcPr>
          <w:p>
            <w:r>
              <w:rPr>
                <w:sz w:val="20"/>
              </w:rPr>
              <w:t>DERMADINE</w:t>
            </w:r>
          </w:p>
        </w:tc>
        <w:tc>
          <w:tcPr>
            <w:tcW w:type="dxa" w:w="1559"/>
          </w:tcPr>
          <w:p>
            <w:r>
              <w:rPr>
                <w:sz w:val="20"/>
              </w:rPr>
              <w:t>LABIOCO</w:t>
            </w:r>
          </w:p>
        </w:tc>
        <w:tc>
          <w:tcPr>
            <w:tcW w:type="dxa" w:w="1559"/>
          </w:tcPr>
          <w:p>
            <w:r>
              <w:rPr>
                <w:sz w:val="20"/>
              </w:rPr>
              <w:t>Solution dermique — Polyvidone iodée 10 % (10 g/100 mL)</w:t>
            </w:r>
          </w:p>
        </w:tc>
        <w:tc>
          <w:tcPr>
            <w:tcW w:type="dxa" w:w="1559"/>
          </w:tcPr>
          <w:p>
            <w:r>
              <w:rPr>
                <w:sz w:val="20"/>
              </w:rPr>
              <w:t>Flacon 50 mL</w:t>
            </w:r>
          </w:p>
        </w:tc>
        <w:tc>
          <w:tcPr>
            <w:tcW w:type="dxa" w:w="1559"/>
          </w:tcPr>
          <w:p>
            <w:r>
              <w:rPr>
                <w:sz w:val="20"/>
              </w:rPr>
              <w:t>Hors liste</w:t>
            </w:r>
          </w:p>
        </w:tc>
        <w:tc>
          <w:tcPr>
            <w:tcW w:type="dxa" w:w="1559"/>
          </w:tcPr>
          <w:p>
            <w:r>
              <w:rPr>
                <w:sz w:val="20"/>
              </w:rPr>
              <w:t>Actif</w:t>
            </w:r>
          </w:p>
        </w:tc>
      </w:tr>
      <w:tr>
        <w:tc>
          <w:tcPr>
            <w:tcW w:type="dxa" w:w="1559"/>
          </w:tcPr>
          <w:p>
            <w:r>
              <w:rPr>
                <w:sz w:val="20"/>
              </w:rPr>
              <w:t>POLYLAD</w:t>
            </w:r>
          </w:p>
        </w:tc>
        <w:tc>
          <w:tcPr>
            <w:tcW w:type="dxa" w:w="1559"/>
          </w:tcPr>
          <w:p>
            <w:r>
              <w:rPr>
                <w:sz w:val="20"/>
              </w:rPr>
              <w:t>LAD PHARMA</w:t>
            </w:r>
          </w:p>
        </w:tc>
        <w:tc>
          <w:tcPr>
            <w:tcW w:type="dxa" w:w="1559"/>
          </w:tcPr>
          <w:p>
            <w:r>
              <w:rPr>
                <w:sz w:val="20"/>
              </w:rPr>
              <w:t>Solution dermique — Polyvidone iodée 10 % (10 g/100 mL)</w:t>
            </w:r>
          </w:p>
        </w:tc>
        <w:tc>
          <w:tcPr>
            <w:tcW w:type="dxa" w:w="1559"/>
          </w:tcPr>
          <w:p>
            <w:r>
              <w:rPr>
                <w:sz w:val="20"/>
              </w:rPr>
              <w:t>Flacon 125 mL</w:t>
            </w:r>
          </w:p>
        </w:tc>
        <w:tc>
          <w:tcPr>
            <w:tcW w:type="dxa" w:w="1559"/>
          </w:tcPr>
          <w:p>
            <w:r>
              <w:rPr>
                <w:sz w:val="20"/>
              </w:rPr>
              <w:t>Hors liste</w:t>
            </w:r>
          </w:p>
        </w:tc>
        <w:tc>
          <w:tcPr>
            <w:tcW w:type="dxa" w:w="1559"/>
          </w:tcPr>
          <w:p>
            <w:r>
              <w:rPr>
                <w:sz w:val="20"/>
              </w:rPr>
              <w:t>Actif</w:t>
            </w:r>
          </w:p>
        </w:tc>
      </w:tr>
      <w:tr>
        <w:tc>
          <w:tcPr>
            <w:tcW w:type="dxa" w:w="1559"/>
          </w:tcPr>
          <w:p>
            <w:r>
              <w:rPr>
                <w:sz w:val="20"/>
              </w:rPr>
              <w:t>POVIP</w:t>
            </w:r>
          </w:p>
        </w:tc>
        <w:tc>
          <w:tcPr>
            <w:tcW w:type="dxa" w:w="1559"/>
          </w:tcPr>
          <w:p>
            <w:r>
              <w:rPr>
                <w:sz w:val="20"/>
              </w:rPr>
              <w:t>GROUPE SAIDAL</w:t>
            </w:r>
          </w:p>
        </w:tc>
        <w:tc>
          <w:tcPr>
            <w:tcW w:type="dxa" w:w="1559"/>
          </w:tcPr>
          <w:p>
            <w:r>
              <w:rPr>
                <w:sz w:val="20"/>
              </w:rPr>
              <w:t>Solution dermique — Polyvidone iodée 10 % (10 g/100 mL)</w:t>
            </w:r>
          </w:p>
        </w:tc>
        <w:tc>
          <w:tcPr>
            <w:tcW w:type="dxa" w:w="1559"/>
          </w:tcPr>
          <w:p>
            <w:r>
              <w:rPr>
                <w:sz w:val="20"/>
              </w:rPr>
              <w:t>Flacon 50 mL</w:t>
            </w:r>
          </w:p>
        </w:tc>
        <w:tc>
          <w:tcPr>
            <w:tcW w:type="dxa" w:w="1559"/>
          </w:tcPr>
          <w:p>
            <w:r>
              <w:rPr>
                <w:sz w:val="20"/>
              </w:rPr>
              <w:t>Hors liste</w:t>
            </w:r>
          </w:p>
        </w:tc>
        <w:tc>
          <w:tcPr>
            <w:tcW w:type="dxa" w:w="1559"/>
          </w:tcPr>
          <w:p>
            <w:r>
              <w:rPr>
                <w:sz w:val="20"/>
              </w:rPr>
              <w:t>Actif</w:t>
            </w:r>
          </w:p>
        </w:tc>
      </w:tr>
      <w:tr>
        <w:tc>
          <w:tcPr>
            <w:tcW w:type="dxa" w:w="1559"/>
          </w:tcPr>
          <w:p>
            <w:r>
              <w:rPr>
                <w:sz w:val="20"/>
              </w:rPr>
              <w:t>SEPTIDINE</w:t>
            </w:r>
          </w:p>
        </w:tc>
        <w:tc>
          <w:tcPr>
            <w:tcW w:type="dxa" w:w="1559"/>
          </w:tcPr>
          <w:p>
            <w:r>
              <w:rPr>
                <w:sz w:val="20"/>
              </w:rPr>
              <w:t>PHARMAGHREB</w:t>
            </w:r>
          </w:p>
        </w:tc>
        <w:tc>
          <w:tcPr>
            <w:tcW w:type="dxa" w:w="1559"/>
          </w:tcPr>
          <w:p>
            <w:r>
              <w:rPr>
                <w:sz w:val="20"/>
              </w:rPr>
              <w:t>Solution dermique — Polyvidone iodée 10 % (10 g/100 mL)</w:t>
            </w:r>
          </w:p>
        </w:tc>
        <w:tc>
          <w:tcPr>
            <w:tcW w:type="dxa" w:w="1559"/>
          </w:tcPr>
          <w:p>
            <w:r>
              <w:rPr>
                <w:sz w:val="20"/>
              </w:rPr>
              <w:t>Flacon 125 mL</w:t>
            </w:r>
          </w:p>
        </w:tc>
        <w:tc>
          <w:tcPr>
            <w:tcW w:type="dxa" w:w="1559"/>
          </w:tcPr>
          <w:p>
            <w:r>
              <w:rPr>
                <w:sz w:val="20"/>
              </w:rPr>
              <w:t>Hors liste</w:t>
            </w:r>
          </w:p>
        </w:tc>
        <w:tc>
          <w:tcPr>
            <w:tcW w:type="dxa" w:w="1559"/>
          </w:tcPr>
          <w:p>
            <w:r>
              <w:rPr>
                <w:sz w:val="20"/>
              </w:rPr>
              <w:t>Actif</w:t>
            </w:r>
          </w:p>
        </w:tc>
      </w:tr>
      <w:tr>
        <w:tc>
          <w:tcPr>
            <w:tcW w:type="dxa" w:w="1559"/>
          </w:tcPr>
          <w:p>
            <w:r>
              <w:rPr>
                <w:sz w:val="20"/>
              </w:rPr>
              <w:t>BETADERMINE GYNECOLOGIQUE 10%</w:t>
            </w:r>
          </w:p>
        </w:tc>
        <w:tc>
          <w:tcPr>
            <w:tcW w:type="dxa" w:w="1559"/>
          </w:tcPr>
          <w:p>
            <w:r>
              <w:rPr>
                <w:sz w:val="20"/>
              </w:rPr>
              <w:t>RIADH PHARM</w:t>
            </w:r>
          </w:p>
        </w:tc>
        <w:tc>
          <w:tcPr>
            <w:tcW w:type="dxa" w:w="1559"/>
          </w:tcPr>
          <w:p>
            <w:r>
              <w:rPr>
                <w:sz w:val="20"/>
              </w:rPr>
              <w:t>Solution antiseptique vaginale — Polyvidone iodée 10 %</w:t>
            </w:r>
          </w:p>
        </w:tc>
        <w:tc>
          <w:tcPr>
            <w:tcW w:type="dxa" w:w="1559"/>
          </w:tcPr>
          <w:p>
            <w:r>
              <w:rPr>
                <w:sz w:val="20"/>
              </w:rPr>
              <w:t>Flacon 120 mL</w:t>
            </w:r>
          </w:p>
        </w:tc>
        <w:tc>
          <w:tcPr>
            <w:tcW w:type="dxa" w:w="1559"/>
          </w:tcPr>
          <w:p>
            <w:r>
              <w:rPr>
                <w:sz w:val="20"/>
              </w:rPr>
              <w:t>Hors liste</w:t>
            </w:r>
          </w:p>
        </w:tc>
        <w:tc>
          <w:tcPr>
            <w:tcW w:type="dxa" w:w="1559"/>
          </w:tcPr>
          <w:p>
            <w:r>
              <w:rPr>
                <w:sz w:val="20"/>
              </w:rPr>
              <w:t>Actif</w:t>
            </w:r>
          </w:p>
        </w:tc>
      </w:tr>
      <w:tr>
        <w:tc>
          <w:tcPr>
            <w:tcW w:type="dxa" w:w="1559"/>
          </w:tcPr>
          <w:p>
            <w:r>
              <w:rPr>
                <w:sz w:val="20"/>
              </w:rPr>
              <w:t>IODACRYL</w:t>
            </w:r>
          </w:p>
        </w:tc>
        <w:tc>
          <w:tcPr>
            <w:tcW w:type="dxa" w:w="1559"/>
          </w:tcPr>
          <w:p>
            <w:r>
              <w:rPr>
                <w:sz w:val="20"/>
              </w:rPr>
              <w:t>GROUPEMENT PHARMACEUTIQUE ALGERIEN (GPA)</w:t>
            </w:r>
          </w:p>
        </w:tc>
        <w:tc>
          <w:tcPr>
            <w:tcW w:type="dxa" w:w="1559"/>
          </w:tcPr>
          <w:p>
            <w:r>
              <w:rPr>
                <w:sz w:val="20"/>
              </w:rPr>
              <w:t>Solution moussante — Polyvidone iodée 4 %</w:t>
            </w:r>
          </w:p>
        </w:tc>
        <w:tc>
          <w:tcPr>
            <w:tcW w:type="dxa" w:w="1559"/>
          </w:tcPr>
          <w:p>
            <w:r>
              <w:rPr>
                <w:sz w:val="20"/>
              </w:rPr>
              <w:t>Flacon 125 mL ; flacon 500 mL</w:t>
            </w:r>
          </w:p>
        </w:tc>
        <w:tc>
          <w:tcPr>
            <w:tcW w:type="dxa" w:w="1559"/>
          </w:tcPr>
          <w:p>
            <w:r>
              <w:rPr>
                <w:sz w:val="20"/>
              </w:rPr>
              <w:t>Hors liste</w:t>
            </w:r>
          </w:p>
        </w:tc>
        <w:tc>
          <w:tcPr>
            <w:tcW w:type="dxa" w:w="1559"/>
          </w:tcPr>
          <w:p>
            <w:r>
              <w:rPr>
                <w:sz w:val="20"/>
              </w:rPr>
              <w:t>Non renouvelable</w:t>
            </w:r>
          </w:p>
        </w:tc>
      </w:tr>
      <w:tr>
        <w:tc>
          <w:tcPr>
            <w:tcW w:type="dxa" w:w="1559"/>
          </w:tcPr>
          <w:p>
            <w:r>
              <w:rPr>
                <w:sz w:val="20"/>
              </w:rPr>
              <w:t>GETADINE</w:t>
            </w:r>
          </w:p>
        </w:tc>
        <w:tc>
          <w:tcPr>
            <w:tcW w:type="dxa" w:w="1559"/>
          </w:tcPr>
          <w:p>
            <w:r>
              <w:rPr>
                <w:sz w:val="20"/>
              </w:rPr>
              <w:t>ARAB PHARM</w:t>
            </w:r>
          </w:p>
        </w:tc>
        <w:tc>
          <w:tcPr>
            <w:tcW w:type="dxa" w:w="1559"/>
          </w:tcPr>
          <w:p>
            <w:r>
              <w:rPr>
                <w:sz w:val="20"/>
              </w:rPr>
              <w:t>Solution pour application locale — Polyvidone iodée 10 %</w:t>
            </w:r>
          </w:p>
        </w:tc>
        <w:tc>
          <w:tcPr>
            <w:tcW w:type="dxa" w:w="1559"/>
          </w:tcPr>
          <w:p>
            <w:r>
              <w:rPr>
                <w:sz w:val="20"/>
              </w:rPr>
              <w:t>Flacon 50 mL</w:t>
            </w:r>
          </w:p>
        </w:tc>
        <w:tc>
          <w:tcPr>
            <w:tcW w:type="dxa" w:w="1559"/>
          </w:tcPr>
          <w:p>
            <w:r>
              <w:rPr>
                <w:sz w:val="20"/>
              </w:rPr>
              <w:t>Hors liste</w:t>
            </w:r>
          </w:p>
        </w:tc>
        <w:tc>
          <w:tcPr>
            <w:tcW w:type="dxa" w:w="1559"/>
          </w:tcPr>
          <w:p>
            <w:r>
              <w:rPr>
                <w:sz w:val="20"/>
              </w:rPr>
              <w:t>Non renouvelable</w:t>
            </w:r>
          </w:p>
        </w:tc>
      </w:tr>
      <w:tr>
        <w:tc>
          <w:tcPr>
            <w:tcW w:type="dxa" w:w="1559"/>
          </w:tcPr>
          <w:p>
            <w:r>
              <w:rPr>
                <w:sz w:val="20"/>
              </w:rPr>
              <w:t>BETAIODINE</w:t>
            </w:r>
          </w:p>
        </w:tc>
        <w:tc>
          <w:tcPr>
            <w:tcW w:type="dxa" w:w="1559"/>
          </w:tcPr>
          <w:p>
            <w:r>
              <w:rPr>
                <w:sz w:val="20"/>
              </w:rPr>
              <w:t>HYSA SARL</w:t>
            </w:r>
          </w:p>
        </w:tc>
        <w:tc>
          <w:tcPr>
            <w:tcW w:type="dxa" w:w="1559"/>
          </w:tcPr>
          <w:p>
            <w:r>
              <w:rPr>
                <w:sz w:val="20"/>
              </w:rPr>
              <w:t>Solution pour application locale — Polyvidone iodée 5 % (spray)</w:t>
            </w:r>
          </w:p>
        </w:tc>
        <w:tc>
          <w:tcPr>
            <w:tcW w:type="dxa" w:w="1559"/>
          </w:tcPr>
          <w:p>
            <w:r>
              <w:rPr>
                <w:sz w:val="20"/>
              </w:rPr>
              <w:t>Flacon 70 mL spray</w:t>
            </w:r>
          </w:p>
        </w:tc>
        <w:tc>
          <w:tcPr>
            <w:tcW w:type="dxa" w:w="1559"/>
          </w:tcPr>
          <w:p>
            <w:r>
              <w:rPr>
                <w:sz w:val="20"/>
              </w:rPr>
              <w:t>Hors liste</w:t>
            </w:r>
          </w:p>
        </w:tc>
        <w:tc>
          <w:tcPr>
            <w:tcW w:type="dxa" w:w="1559"/>
          </w:tcPr>
          <w:p>
            <w:r>
              <w:rPr>
                <w:sz w:val="20"/>
              </w:rPr>
              <w:t>Non renouvelable</w:t>
            </w:r>
          </w:p>
        </w:tc>
      </w:tr>
      <w:tr>
        <w:tc>
          <w:tcPr>
            <w:tcW w:type="dxa" w:w="1559"/>
          </w:tcPr>
          <w:p>
            <w:r>
              <w:rPr>
                <w:sz w:val="20"/>
              </w:rPr>
              <w:t>BETADINE SCRUB</w:t>
            </w:r>
          </w:p>
        </w:tc>
        <w:tc>
          <w:tcPr>
            <w:tcW w:type="dxa" w:w="1559"/>
          </w:tcPr>
          <w:p>
            <w:r>
              <w:rPr>
                <w:sz w:val="20"/>
              </w:rPr>
              <w:t>MEDA PHARMA</w:t>
            </w:r>
          </w:p>
        </w:tc>
        <w:tc>
          <w:tcPr>
            <w:tcW w:type="dxa" w:w="1559"/>
          </w:tcPr>
          <w:p>
            <w:r>
              <w:rPr>
                <w:sz w:val="20"/>
              </w:rPr>
              <w:t>Solution dermique moussante — Povidone iodée 4 %</w:t>
            </w:r>
          </w:p>
        </w:tc>
        <w:tc>
          <w:tcPr>
            <w:tcW w:type="dxa" w:w="1559"/>
          </w:tcPr>
          <w:p>
            <w:r>
              <w:rPr>
                <w:sz w:val="20"/>
              </w:rPr>
              <w:t>Flacon 125 mL</w:t>
            </w:r>
          </w:p>
        </w:tc>
        <w:tc>
          <w:tcPr>
            <w:tcW w:type="dxa" w:w="1559"/>
          </w:tcPr>
          <w:p>
            <w:r>
              <w:rPr>
                <w:sz w:val="20"/>
              </w:rPr>
              <w:t>Hors liste</w:t>
            </w:r>
          </w:p>
        </w:tc>
        <w:tc>
          <w:tcPr>
            <w:tcW w:type="dxa" w:w="1559"/>
          </w:tcPr>
          <w:p>
            <w:r>
              <w:rPr>
                <w:sz w:val="20"/>
              </w:rPr>
              <w:t>Retrait</w:t>
            </w:r>
          </w:p>
        </w:tc>
      </w:tr>
      <w:tr>
        <w:tc>
          <w:tcPr>
            <w:tcW w:type="dxa" w:w="1559"/>
          </w:tcPr>
          <w:p>
            <w:r>
              <w:rPr>
                <w:sz w:val="20"/>
              </w:rPr>
              <w:t>BETADINE DERMIQUE</w:t>
            </w:r>
          </w:p>
        </w:tc>
        <w:tc>
          <w:tcPr>
            <w:tcW w:type="dxa" w:w="1559"/>
          </w:tcPr>
          <w:p>
            <w:r>
              <w:rPr>
                <w:sz w:val="20"/>
              </w:rPr>
              <w:t>SARGET</w:t>
            </w:r>
          </w:p>
        </w:tc>
        <w:tc>
          <w:tcPr>
            <w:tcW w:type="dxa" w:w="1559"/>
          </w:tcPr>
          <w:p>
            <w:r>
              <w:rPr>
                <w:sz w:val="20"/>
              </w:rPr>
              <w:t>Solution pour application locale — Polyvidone iodée 10 %</w:t>
            </w:r>
          </w:p>
        </w:tc>
        <w:tc>
          <w:tcPr>
            <w:tcW w:type="dxa" w:w="1559"/>
          </w:tcPr>
          <w:p>
            <w:r>
              <w:rPr>
                <w:sz w:val="20"/>
              </w:rPr>
              <w:t>Flacon 125 mL</w:t>
            </w:r>
          </w:p>
        </w:tc>
        <w:tc>
          <w:tcPr>
            <w:tcW w:type="dxa" w:w="1559"/>
          </w:tcPr>
          <w:p>
            <w:r>
              <w:rPr>
                <w:sz w:val="20"/>
              </w:rPr>
              <w:t>Hors liste</w:t>
            </w:r>
          </w:p>
        </w:tc>
        <w:tc>
          <w:tcPr>
            <w:tcW w:type="dxa" w:w="1559"/>
          </w:tcPr>
          <w:p>
            <w:r>
              <w:rPr>
                <w:sz w:val="20"/>
              </w:rPr>
              <w:t>Retrait</w:t>
            </w:r>
          </w:p>
        </w:tc>
      </w:tr>
      <w:tr>
        <w:tc>
          <w:tcPr>
            <w:tcW w:type="dxa" w:w="1559"/>
          </w:tcPr>
          <w:p>
            <w:r>
              <w:rPr>
                <w:sz w:val="20"/>
              </w:rPr>
              <w:t>POLIODINE</w:t>
            </w:r>
          </w:p>
        </w:tc>
        <w:tc>
          <w:tcPr>
            <w:tcW w:type="dxa" w:w="1559"/>
          </w:tcPr>
          <w:p>
            <w:r>
              <w:rPr>
                <w:sz w:val="20"/>
              </w:rPr>
              <w:t>GIFRER BARBEZAT</w:t>
            </w:r>
          </w:p>
        </w:tc>
        <w:tc>
          <w:tcPr>
            <w:tcW w:type="dxa" w:w="1559"/>
          </w:tcPr>
          <w:p>
            <w:r>
              <w:rPr>
                <w:sz w:val="20"/>
              </w:rPr>
              <w:t>Solution dermique — Polyvidone iodée 10 %</w:t>
            </w:r>
          </w:p>
        </w:tc>
        <w:tc>
          <w:tcPr>
            <w:tcW w:type="dxa" w:w="1559"/>
          </w:tcPr>
          <w:p>
            <w:r>
              <w:rPr>
                <w:sz w:val="20"/>
              </w:rPr>
              <w:t>Flacon 45 mL ; flacon 500 mL</w:t>
            </w:r>
          </w:p>
        </w:tc>
        <w:tc>
          <w:tcPr>
            <w:tcW w:type="dxa" w:w="1559"/>
          </w:tcPr>
          <w:p>
            <w:r>
              <w:rPr>
                <w:sz w:val="20"/>
              </w:rPr>
              <w:t>Hors liste</w:t>
            </w:r>
          </w:p>
        </w:tc>
        <w:tc>
          <w:tcPr>
            <w:tcW w:type="dxa" w:w="1559"/>
          </w:tcPr>
          <w:p>
            <w:r>
              <w:rPr>
                <w:sz w:val="20"/>
              </w:rPr>
              <w:t>Retrait</w:t>
            </w:r>
          </w:p>
        </w:tc>
      </w:tr>
      <w:tr>
        <w:tc>
          <w:tcPr>
            <w:tcW w:type="dxa" w:w="1559"/>
          </w:tcPr>
          <w:p>
            <w:r>
              <w:rPr>
                <w:sz w:val="20"/>
              </w:rPr>
              <w:t>POVIROCH</w:t>
            </w:r>
          </w:p>
        </w:tc>
        <w:tc>
          <w:tcPr>
            <w:tcW w:type="dxa" w:w="1559"/>
          </w:tcPr>
          <w:p>
            <w:r>
              <w:rPr>
                <w:sz w:val="20"/>
              </w:rPr>
              <w:t>PHARMAROCH</w:t>
            </w:r>
          </w:p>
        </w:tc>
        <w:tc>
          <w:tcPr>
            <w:tcW w:type="dxa" w:w="1559"/>
          </w:tcPr>
          <w:p>
            <w:r>
              <w:rPr>
                <w:sz w:val="20"/>
              </w:rPr>
              <w:t>Solution dermique — Polyvidone iodée 10 %</w:t>
            </w:r>
          </w:p>
        </w:tc>
        <w:tc>
          <w:tcPr>
            <w:tcW w:type="dxa" w:w="1559"/>
          </w:tcPr>
          <w:p>
            <w:r>
              <w:rPr>
                <w:sz w:val="20"/>
              </w:rPr>
              <w:t>Flacon 100 mL</w:t>
            </w:r>
          </w:p>
        </w:tc>
        <w:tc>
          <w:tcPr>
            <w:tcW w:type="dxa" w:w="1559"/>
          </w:tcPr>
          <w:p>
            <w:r>
              <w:rPr>
                <w:sz w:val="20"/>
              </w:rPr>
              <w:t>Hors liste</w:t>
            </w:r>
          </w:p>
        </w:tc>
        <w:tc>
          <w:tcPr>
            <w:tcW w:type="dxa" w:w="1559"/>
          </w:tcPr>
          <w:p>
            <w:r>
              <w:rPr>
                <w:sz w:val="20"/>
              </w:rPr>
              <w:t>Retrait</w:t>
            </w:r>
          </w:p>
        </w:tc>
      </w:tr>
      <w:tr>
        <w:tc>
          <w:tcPr>
            <w:tcW w:type="dxa" w:w="1559"/>
          </w:tcPr>
          <w:p>
            <w:r>
              <w:rPr>
                <w:sz w:val="20"/>
              </w:rPr>
              <w:t>IODOSEPT</w:t>
            </w:r>
          </w:p>
        </w:tc>
        <w:tc>
          <w:tcPr>
            <w:tcW w:type="dxa" w:w="1559"/>
          </w:tcPr>
          <w:p>
            <w:r>
              <w:rPr>
                <w:sz w:val="20"/>
              </w:rPr>
              <w:t>PHARCO EGYPTE</w:t>
            </w:r>
          </w:p>
        </w:tc>
        <w:tc>
          <w:tcPr>
            <w:tcW w:type="dxa" w:w="1559"/>
          </w:tcPr>
          <w:p>
            <w:r>
              <w:rPr>
                <w:sz w:val="20"/>
              </w:rPr>
              <w:t>Solution dermique — Polyvidone iodée 10 %</w:t>
            </w:r>
          </w:p>
        </w:tc>
        <w:tc>
          <w:tcPr>
            <w:tcW w:type="dxa" w:w="1559"/>
          </w:tcPr>
          <w:p>
            <w:r>
              <w:rPr>
                <w:sz w:val="20"/>
              </w:rPr>
              <w:t>Flacon 60 mL</w:t>
            </w:r>
          </w:p>
        </w:tc>
        <w:tc>
          <w:tcPr>
            <w:tcW w:type="dxa" w:w="1559"/>
          </w:tcPr>
          <w:p>
            <w:r>
              <w:rPr>
                <w:sz w:val="20"/>
              </w:rPr>
              <w:t>Hors liste</w:t>
            </w:r>
          </w:p>
        </w:tc>
        <w:tc>
          <w:tcPr>
            <w:tcW w:type="dxa" w:w="1559"/>
          </w:tcPr>
          <w:p>
            <w:r>
              <w:rPr>
                <w:sz w:val="20"/>
              </w:rPr>
              <w:t>Retrait</w:t>
            </w:r>
          </w:p>
        </w:tc>
      </w:tr>
    </w:tbl>
    <w:p/>
    <w:p>
      <w:r>
        <w:t>La polyvidone iodée est largement disponible en Algérie sous plusieurs spécialités natives actives (Betaderm, Dermadine, Polylad, Povip, Septidine, Betadermine, Betadermine gynécologique, Betadermine moussant 4 %), reflétant la diversité des laboratoires algériens (Riadh Pharm, GPA, Labioco, Lad Pharma, Saidal, Pharmagreb). La spécialité historique princeps Betadine (Meda Pharma) et plusieurs importations (Poliodine — Gifrer Barbezat, Poviroch — Pharmaroch, Iodosept — Pharco Egypte) sont retirées du marché algérien. Les concentrations disponibles sont 4 % (forme moussante scrub pour désinfection chirurgicale des mains) et 10 % (forme standard pour application cutanée, désinfection des plaies, solution gynécologique). La forme gynécologique (Betadermine gynécologique 10 %) est spécifiquement indiquée pour la prophylaxie des infections néonatales à streptocoque B en fin de grossesse.</w:t>
      </w:r>
    </w:p>
    <w:p>
      <w:r/>
      <w:r>
        <w:rPr>
          <w:b/>
        </w:rPr>
        <w:t>Sous-classe et Mécanisme d'action :</w:t>
      </w:r>
      <w:r/>
    </w:p>
    <w:p>
      <w:pPr>
        <w:pStyle w:val="ListBullet"/>
      </w:pPr>
      <w:r>
        <w:t>Sous-classe : Dérivé iodé (polyvidone iodée = PVP-iode), complexe d'iode et de polyvinylpyrrolidone, antiseptique large spectre.</w:t>
      </w:r>
    </w:p>
    <w:p>
      <w:pPr>
        <w:pStyle w:val="ListBullet"/>
      </w:pPr>
      <w:r>
        <w:t>Mécanisme d'action : la polyvidone iodée libère de l'iode libre (I2) en équilibre avec le réservoir PVP-iode (la PVP est un polymère hydrosoluble qui sert de vecteur et de réservoir à l'iode). L'iode libre pénètre la paroi microbienne et exerce son action antimicrobienne par : (i) oxydation des groupes sulfhydryles (-SH) des enzymes et protéines bactériennes, bloquant la glycolyse, le cycle de Krebs, et la chaîne respiratoire ; (ii) halogénation des noyaux tyrosine et histidine des protéines, dénaturant les structures tertiaires et bloquant les fonctions enzymatiques ; (iii) oxydation des doubles liaisons des acides gras membranaires, altérant la perméabilité et la fluidité membranaires ; (iv) altération de l'ADN et de l'ARN par oxydation des bases puriques, bloquant la réplication et la transcription. L'effet global est bactéricide (y compris SARM, entérocoques résistants, mycobactéries — activité lente), virucide (y compris VIH, HSV, VHB, VHC, entérovirus), fongicide (Candida, dermatophytes, aspergillus), sporicide partiel (à concentration élevée et temps de contact prolongé), et parasiticide (protozoaires). L'effet est rapide (30 secondes pour l'effet bactéricide principal, 1 à 5 minutes pour l'effet virucide complet) et la rémanence cutanée est modérée (4–6 heures, inférieure à la chlorhexidine). Le spectre est le plus large des antiseptiques topiques disponibles en pratique clinique.</w:t>
      </w:r>
    </w:p>
    <w:p>
      <w:r/>
      <w:r>
        <w:rPr>
          <w:b/>
        </w:rPr>
        <w:t>Profil Pharmacologique :</w:t>
      </w:r>
      <w:r/>
    </w:p>
    <w:p>
      <w:pPr>
        <w:pStyle w:val="ListBullet"/>
      </w:pPr>
      <w:r>
        <w:t>Indications : (1) Antisepsie cutanée pré-opératoire (préparation du champ opératoire) — solution aqueuse 10 % ou solution moussante 4 % en scrub. Référence OMS. (2) Désinfection des plaies aiguës (érosions, morsures, brûlures superficielles) et chroniques (ulcères de jambe, escarres, plaies diabétiques) — solution aqueuse 10 %. (3) Désinfection des sites de cathéters (alternative à la chlorhexidine alcoolique, en particulier chez les patients allergiques à la chlorhexidine). (4) Antisepsie gynécologique — solution vaginale 10 % (Betadermine gynécologique) : prophylaxie des infections néonatales à streptocoque B (application vaginale en fin de grossesse), préparation pré-colposcopique, traitement adjuvant des vaginites non spécifiques. (5) Désinfection des muqueuses (buccale, nasale, génitale) en solution diluée à 1 % ou 5 %. (6) Antisepsie ophtalmique pré-opératoire (collyre 1 % — non disponible en Algérie, forme Povidone iodée ophtalmique). (7) Antisepsie du cordon ombilical du nouveau-né à terme (alternative à la chlorhexidine). (8) Désinfection des mains chirurgicales (scrub 4 % moussant — Betadermine moussant, Iodacryl). (9) Traitement adjuvant des dermatoses surinfectées (impétigo, ectima, folliculites). (10) Prévention des infections de site opératoire en chirurgie propre, propre-contaminée, contaminée.</w:t>
      </w:r>
    </w:p>
    <w:p>
      <w:pPr>
        <w:pStyle w:val="ListBullet"/>
      </w:pPr>
      <w:r>
        <w:t>Contre-indications : (1) Hypersensibilité à la polyvidone iodée, à l'iode ou à l'un des excipients (allergie à l'iode — à différencier de l'allergie aux produits de contraste iodés qui est une allergie aux molécules de contraste, pas à l'iode lui-même). (2) Dysthyroïdie connue : hyperthyroïdie (maladie de Basedow — risque de décompensation thyréotoxique par apport iodé), hypothyroïdie (risque d'aggravation par blocage de Wolff-Chaikoff), thyroïdite de Hashimoto, antécédents de thyroïdite post-partum. (3) Grossesse au 3e trimestre (à partir de 28 SA) : contre-indication relative forte — passage transplacentaire d'iode avec blocage de la thyroïde fœtale (hypothyroïdie néonatale, goitre fœtal compressif) ; contre-indication également en cas d'usage répété au 1er et 2e trimestre (prudence). (4) Allaitement : éviter l'usage prolongé et étendu (passage d'iode dans le lait maternel, blocage de la thyroïde du nouveau-né). (5) Néonatalogie : ne pas utiliser chez le prématuré et le nouveau-né de moins de 1 mois sur de grandes surfaces cutanées ou sur les muqueuses (immaturité thyroïdienne et rénale, risque d'hypothyroïdie et d'acidose métabolique). (6) Ne pas appliquer avant un traitement isotopique thyroïdien (scintigraphie, irathérapie à l'iode 131) — l'iode stable chargera la thyroïde et empêchera la fixation de l'iode radioactif (attendre 2–4 semaines après l'arrêt). (7) Ne pas appliquer sur le méninge, la dure-mère, les cavités péritonéales et pleurales. (8) Insuffisance rénale sévère (clairance &lt; 30 mL/min) : éviter l'usage prolongé et étendu (résorption d'iode avec toxicité rénale et acidose métabolique). (9) Application prolongée sur de grandes surfaces brûlées (risque majeur d'acidose métabolique, d'insuffisance rénale, de dysthyroïdie — contre-indication relative forte).</w:t>
      </w:r>
    </w:p>
    <w:p>
      <w:pPr>
        <w:pStyle w:val="ListBullet"/>
      </w:pPr>
      <w:r>
        <w:t>Effets Indésirables : Très fréquents (&gt; 10 %) en usage répété : coloration brune de la peau (réversible à l'arrêt, mais inesthétique), séchage cutané (effet détergent du PVP), odeur iodée. Fréquents (1–10 %) : irritation locale, dermite d'irritation en cas d'usage répété sur peau lésée, dermatite de contact allergique (eczéma — rare, à différencier des allergies aux produits de contraste iodés). Peu fréquents (0,1–1 %) : hyperthyroïdie induite (maladie de Basedow déclenchée ou décompensée par apport iodé — surveillance TSH si usage prolongé), hypothyroïdie (effet Wolff-Chaikoff — particulièrement chez le fœtus, le nouveau-né, le patient prédisposé), acidose métabolique hyperchlorémique (en cas d'usage prolongé sur grande surface brûlée), insuffisance rénale aiguë (toxicité tubulaire de l'iode). Rares (&lt; 0,1 %) : anaphylaxie (exceptionnel — à différencier de l'anaphylaxie aux produits de contraste iodés), érythème polymorphe, syndrome de Lyell (exceptionnel). Effets systémiques en cas de résorption massive : goitre fœtal, hypothyroïdie néonatale, acidose métabolique, hypernatrémie, insuffisance rénale aiguë.</w:t>
      </w:r>
    </w:p>
    <w:p>
      <w:r/>
      <w:r>
        <w:rPr>
          <w:b/>
        </w:rPr>
        <w:t>Prévention et Gestion des Effets Indésirables :</w:t>
      </w:r>
      <w:r/>
    </w:p>
    <w:p>
      <w:pPr>
        <w:pStyle w:val="ListBullet"/>
      </w:pPr>
      <w:r>
        <w:t>Mesures préventives : (1) Interroger le patient sur ses antécédents thyroïdiens (Basedow, Hashimoto, thyroïdite, nodules thyroïdiens) avant initiation — bilan thyroïdien (TSH, T4 libre) si usage prolongé prévu ou antécédents personnels/familiaux thyroïdiens. (2) Vérifier le statut gravidique (date des dernières règles, test de grossesse si doute) — contre-indication au 3e trimestre (à partir de 28 SA). (3) Limiter la durée d'application à 7–10 jours en usage cutané standard, à 5–7 jours en usage gynécologique, à 1–3 jours en usage prolongé sur plaie chronique. (4) Ne pas appliquer sur de grandes surfaces cutanées lésées (brûlures &gt; 10 % de la surface corporelle) — préférer la chlorhexidine aqueuse ou le nitrate d'argent. (5) Éviter en néonatalogie (prématuré, premier mois de vie) sur peau lésée étendue ou en usage répété. (6) Éviter l'application avant un examen isotopique thyroïdien (scintigraphie, irathérapie) — attendre 2–4 semaines après l'arrêt. (7) Éviter l'association avec le mercure, les sels d'argent, les sulfites/bisulfites, la chlorhexidine. (8) En cas d'usage pré-opératoire concentré, surveillance post-application de 15 minutes pour dépister une anaphylaxie précoce (rare mais documentée). (9) Informer le patient de la coloration brune transitoire (ne pas confondre avec une nécrose ou une infection).</w:t>
      </w:r>
    </w:p>
    <w:p>
      <w:pPr>
        <w:pStyle w:val="ListBullet"/>
      </w:pPr>
      <w:r>
        <w:t>Conduite à tenir : (1) En cas d'hypothyroïdie biologique (TSH &gt; 4 mUI/L) sous usage prolongé : arrêt immédiat de la polyvidone iodée, contrôle TSH à 4–6 semaines, traitement substitutif par lévothyroxine si hypothyroïdie persistante. (2) En cas d'hyperthyroïdie (TSH &lt; 0,1 mUI/L, T4 libre élevée) : arrêt immédiat, contrôle à 4–6 semaines, traitement antithyroïdien de synthèse (carbimazole, propylthiouracile) si hyperthyroïdie symptomatique. (3) En cas d'acidose métabolique (bicarbonates &lt; 18 mmol/L, trou anionique augmenté) sous usage prolongé sur grande surface : arrêt immédiat, correction par bicarbonate de sodium IV, surveillance USIC. (4) En cas d'insuffisance rénale aiguë : arrêt, hydratation IV, surveillance diurèse et créatinine. (5) En cas de dermite d'irritation : arrêt, émollient, switch vers un antiseptique alternatif (chlorhexidine aqueuse). (6) En cas d'anaphylaxie : adrénaline IM, traitement symptomatique urgent.</w:t>
      </w:r>
    </w:p>
    <w:p>
      <w:r/>
      <w:r>
        <w:rPr>
          <w:b/>
        </w:rPr>
        <w:t>Interactions Médicamenteuses :</w:t>
      </w:r>
      <w:r/>
    </w:p>
    <w:p>
      <w:pPr>
        <w:pStyle w:val="ListBullet"/>
      </w:pPr>
      <w:r>
        <w:t>Mercure, sels d'argent (sulfadiazine argentique, nitrate d'argent) : incompatibilité chimique — précipitation et perte d'activité des deux composés. Ne jamais appliquer simultanément.</w:t>
      </w:r>
    </w:p>
    <w:p>
      <w:pPr>
        <w:pStyle w:val="ListBullet"/>
      </w:pPr>
      <w:r>
        <w:t>Antioxydants (sulfites, bisulfites, métabisulfites — présents dans certains médicaments injectables et solutions pour hémodialyse) : inactivation de l'iode par réduction. Ne pas mélanger.</w:t>
      </w:r>
    </w:p>
    <w:p>
      <w:pPr>
        <w:pStyle w:val="ListBullet"/>
      </w:pPr>
      <w:r>
        <w:t>Chlorhexidine : incompatibilité — ne jamais appliquer simultanément. Toujours rincer abondamment entre les deux.</w:t>
      </w:r>
    </w:p>
    <w:p>
      <w:pPr>
        <w:pStyle w:val="ListBullet"/>
      </w:pPr>
      <w:r>
        <w:t>Taufluprost, latanoprost (prostaglandines ophtalmiques) : en cas d'usage ophtalmique (PVP-iodone collyre 1 %), espacer les instillations de 15 minutes (inactivation de la prostaglandine).</w:t>
      </w:r>
    </w:p>
    <w:p>
      <w:pPr>
        <w:pStyle w:val="ListBullet"/>
      </w:pPr>
      <w:r>
        <w:t>Produits de contraste iodés (iopamidol, iohexol, iobitridol) : pas d'interaction directe, mais cumulative de la charge iodée — surveiller la fonction thyroïdienne en cas d'usage rapproché.</w:t>
      </w:r>
    </w:p>
    <w:p>
      <w:pPr>
        <w:pStyle w:val="ListBullet"/>
      </w:pPr>
      <w:r>
        <w:t>Lithium : association additive sur le risque d'hypothyroïdie (lithium + iode = effet synergique sur le blocage thyroïdien). Surveillance TSH renforcée.</w:t>
      </w:r>
    </w:p>
    <w:p>
      <w:pPr>
        <w:pStyle w:val="ListBullet"/>
      </w:pPr>
      <w:r>
        <w:t>Amiodarone : association additive sur la charge iodée (amiodarone contient 75 mg d'iode par comprimé). Risque majoré de dysthyroïdie.</w:t>
      </w:r>
    </w:p>
    <w:p>
      <w:pPr>
        <w:pStyle w:val="ListBullet"/>
      </w:pPr>
      <w:r>
        <w:t>Antithyroïdiens de synthèse (carbimazole, propylthiouracile) : interférence avec l'efficacité (l'iode apporte le substrat que les antithyroïdiens bloquent).</w:t>
      </w:r>
    </w:p>
    <w:p>
      <w:pPr>
        <w:pStyle w:val="ListBullet"/>
      </w:pPr>
      <w:r>
        <w:t>PAS d'interaction systémique significative en usage topique cutanéo-muqueux court et localisé (résorption systémique négligeable sur peau saine).</w:t>
      </w:r>
    </w:p>
    <w:p>
      <w:r/>
      <w:r>
        <w:rPr>
          <w:b/>
        </w:rPr>
        <w:t>Grossesse et Allaitement :</w:t>
      </w:r>
      <w:r/>
    </w:p>
    <w:p>
      <w:pPr>
        <w:pStyle w:val="ListBullet"/>
      </w:pPr>
      <w:r>
        <w:t>Grossesse : CONTRE-INDICATION RELATIVE FORTE au 3e trimestre (à partir de 28 SA). Le passage transplacentaire d'iode peut bloquer la thyroïde fœtale (effet Wolff-Chaikoff) et entraîner : (i) hypothyroïdie néonatale transitoire ou persistante, (ii) goitre fœtal compressif (parfois détresse respiratoire néonatale), (iii) exceptionnellement crétinisme congénital si usage prolongé. Aux 1er et 2e trimestres, usage ponctuel possible sur petite surface cutanée (CRAT : « l'utilisation ponctuelle de polyvidone iodée sur une petite surface cutanée est envisageable aux 1er et 2e trimestres ») ; éviter l'usage prolongé ou étendu. Pour la forme gynécologique (Betadermine gynécologique 10 %) : contre-indication absolue au 3e trimestre (passage vaginal transplacentaire majeur d'iode). Pour la prophylaxie des infections néonatales à streptocoque B (recommandations OMS) : application vaginale UNIQUE pendant le travail (à l'admission en maternité, en mode flush 60 mL) — modalités spécifiques, à ne pas confondre avec un usage gynécologique en cabinet pendant la grossesse.</w:t>
      </w:r>
    </w:p>
    <w:p>
      <w:pPr>
        <w:pStyle w:val="ListBullet"/>
      </w:pPr>
      <w:r>
        <w:t>Allaitement : PRUDENCE. Éviter l'usage prolongé sur de grandes surfaces cutanées ou sur les muqueuses étendues pendant l'allaitement (passage d'iode dans le lait maternel, blocage de la thyroïde du nouveau-né allaité). En usage ponctuel sur petite surface cutanée, compatible (CRAT). Éviter l'application sur le mamelon avant la tétée (rincer soigneusement).</w:t>
      </w:r>
    </w:p>
    <w:p>
      <w:pPr>
        <w:pStyle w:val="ListBullet"/>
      </w:pPr>
      <w:r>
        <w:t>Fertilité : pas d'effet connu.</w:t>
      </w:r>
    </w:p>
    <w:p>
      <w:r/>
      <w:r>
        <w:rPr>
          <w:b/>
        </w:rPr>
        <w:t>Posologie et Mode d'administration :</w:t>
      </w:r>
      <w:r/>
    </w:p>
    <w:p>
      <w:pPr>
        <w:pStyle w:val="ListBullet"/>
      </w:pPr>
      <w:r>
        <w:t>Antisepsie cutanée pré-opératoire (champ opératoire) : solution aqueuse 10 % (Betaderm, Dermadine, Povip, etc.) en application locale, friction 30 secondes à 1 minute en motions concentriques à partir du site d'incision, laisser sécher spontanément (ne pas rincer — le séchage à l'air libre conserve la rémanence). Temps d'action minimum 1 minute, idéal 3 minutes. Pour la forme moussante scrub 4 % (Betadermine moussant, Iodacryl) : lavage chirurgical des mains pendant 5 minutes, rinçage à l'eau stérile, séchage par tamponnement stérile.</w:t>
      </w:r>
    </w:p>
    <w:p>
      <w:pPr>
        <w:pStyle w:val="ListBullet"/>
      </w:pPr>
      <w:r>
        <w:t>Désinfection des plaies aiguës : solution aqueuse 10 % en application locale 1 à 3 fois par jour après nettoyage préalable à l'eau et au savon doux, en tamponnement avec compresse stérile. Ne pas rincer (laisser agir). Durée maximale 7–10 jours.</w:t>
      </w:r>
    </w:p>
    <w:p>
      <w:pPr>
        <w:pStyle w:val="ListBullet"/>
      </w:pPr>
      <w:r>
        <w:t>Désinfection des plaies chroniques (ulcères de jambe, escarres, plaies diabétiques) : solution aqueuse 10 % en lavage une fois par jour, en pansement humide imbibé (compresses stériles imbibées de PVP-iodone 10 %) recouvert d'un pansement occlusif. Durée maximale 14 jours, réévaluation hebdomadaire (risque d'acidose métabolique, de dysthyroïdie si usage prolongé).</w:t>
      </w:r>
    </w:p>
    <w:p>
      <w:pPr>
        <w:pStyle w:val="ListBullet"/>
      </w:pPr>
      <w:r>
        <w:t>Désinfection gynécologique (Betadermine gynécologique 10 %) : (1) Prophylaxie des infections néonatales à streptocoque B : application vaginale unique pendant le travail, en flush de 60 mL à l'admission en maternité. (2) Préparation pré-colposcopique : application locale en lavage unique 5 minutes avant le geste. (3) Traitement adjuvant des vaginites non spécifiques : 1 à 2 lavages vaginaux par jour pendant 5–7 jours (à discuter en fonction du statut gravidique — CI au 3e trimestre).</w:t>
      </w:r>
    </w:p>
    <w:p>
      <w:pPr>
        <w:pStyle w:val="ListBullet"/>
      </w:pPr>
      <w:r>
        <w:t>Désinfection des muqueuses : solution aqueuse diluée à 1 % ou 5 %, en lavage unique ou bidimensionnel (buccal, nasal, génital).</w:t>
      </w:r>
    </w:p>
    <w:p>
      <w:pPr>
        <w:pStyle w:val="ListBullet"/>
      </w:pPr>
      <w:r>
        <w:t>Antisepsie du cordon ombilical du nouveau-né à terme : solution aqueuse 10 % en application unique à la naissance, puis 1 à 2 fois par jour jusqu'à cicatrisation (5–10 jours). CI chez le prématuré et le nouveau-né de moins de 1 mois.</w:t>
      </w:r>
    </w:p>
    <w:p>
      <w:pPr>
        <w:pStyle w:val="ListBullet"/>
      </w:pPr>
      <w:r>
        <w:t>Désinfection des mains chirurgicales (scrub 4 %) : lavage préalable à l'eau et au savon doux, puis friction 5 minutes avec la solution moussante 4 %, rinçage à l'eau stérile, séchage par tamponnement stérile.</w:t>
      </w:r>
    </w:p>
    <w:p>
      <w:pPr>
        <w:pStyle w:val="ListBullet"/>
      </w:pPr>
      <w:r>
        <w:t>Sujet âgé : pas d'adaptation posologique.</w:t>
      </w:r>
    </w:p>
    <w:p>
      <w:pPr>
        <w:pStyle w:val="ListBullet"/>
      </w:pPr>
      <w:r>
        <w:t>Insuffisance rénale/hépatique : éviter l'usage prolongé et étendu en cas d'insuffisance rénale sévère (clairance &lt; 30 mL/min).</w:t>
      </w:r>
    </w:p>
    <w:p>
      <w:pPr>
        <w:pStyle w:val="ListBullet"/>
      </w:pPr>
      <w:r>
        <w:t>Enfant : utilisation possible dès la naissance à terme, en application limitée. Éviter chez le prématuré et le nouveau-né de moins de 1 mois sur de grandes surfaces cutanées.</w:t>
      </w:r>
    </w:p>
    <w:p>
      <w:r/>
      <w:r>
        <w:rPr>
          <w:b/>
        </w:rPr>
        <w:t>Surveillance Biologique et Suivi Clinique :</w:t>
      </w:r>
      <w:r/>
    </w:p>
    <w:p>
      <w:pPr>
        <w:pStyle w:val="ListBullet"/>
      </w:pPr>
      <w:r>
        <w:t>Bilan thyroïdien : pour les usages prolongés (&gt; 7 jours) ou étendus (grande surface cutanée lésée, brûlure) : TSH, T4 libre à J0 (baseline), à J7, à J14, puis hebdomadaire si prolongation. Pour les patients à risque (antécédents thyroïdiens personnels ou familiaux, femme enceinte, patient âgé) : TSH à J0 systématique.</w:t>
      </w:r>
    </w:p>
    <w:p>
      <w:pPr>
        <w:pStyle w:val="ListBullet"/>
      </w:pPr>
      <w:r>
        <w:t>Bilan métabolique et rénal (pour usages prolongés étendus) : ionogramme sanguin (acidose métabolique hyperchlorémique), bicarbonates, créatinine, urée à J0, J7, J14, puis hebdomadaire.</w:t>
      </w:r>
    </w:p>
    <w:p>
      <w:pPr>
        <w:pStyle w:val="ListBullet"/>
      </w:pPr>
      <w:r>
        <w:t>Surveillance clinique : (1) Examen local à J3-J5 pour vérifier la cicatrisation et l'absence d'irritation, de dermite, de surinfection. (2) Recherche de signes d'hyperthyroïdie (tachycardie, tremblements, sueurs, anxiété, insomnie, perte de poids) ou d'hypothyroïdie (asthénie, frilosité, constipation, bradycardie, sécheresse cutanée) à chaque consultation. (3) Recherche de signes d'acidose métabolique (polypnée, asthénie, confusion) en cas d'usage prolongé étendu.</w:t>
      </w:r>
    </w:p>
    <w:p>
      <w:pPr>
        <w:pStyle w:val="ListBullet"/>
      </w:pPr>
      <w:r>
        <w:t>Suivi post-opératoire : surveillance du site opératoire à J1, J3, J7 pour dépister une infection de site opératoire (alternative de la PVP-iodone à la chlorhexidine alcoolique si allergie).</w:t>
      </w:r>
    </w:p>
    <w:p>
      <w:pPr>
        <w:pStyle w:val="ListBullet"/>
      </w:pPr>
      <w:r>
        <w:t>Suivi néonatal (en cas d'usage maternel prolongé ou étendu pendant la grossesse) : TSH néonatale à J3-J5 (dépistage néonatal systématique en Algérie), examen clinique thyroïdien (palpation à la recherche d'un goitre).</w:t>
      </w:r>
    </w:p>
    <w:p>
      <w:r/>
      <w:r>
        <w:rPr>
          <w:b/>
        </w:rPr>
        <w:t>Arbitrage et Bénéfices des Formes Galéniques :</w:t>
      </w:r>
      <w:r/>
    </w:p>
    <w:p>
      <w:r>
        <w:t>La polyvidone iodée se décline en deux concentrations principales en Algérie : 10 % (forme standard pour application cutanée et solution gynécologique — Betaderm, Dermadine, Polylad, Povip, Septidine, Betadermine, Betadermine gynécologique) et 4 % (forme moussante scrub pour désinfection chirurgicale des mains — Betadermine moussant, Iodacryl). La forme 10 % est la plus polyvalente, utilisable en application cutanée, en lavage de plaies, en solution gynécologique, en antisepsie du cordon. La forme 4 % moussante est réservée à la désinfection chirurgicale des mains et du champ opératoire (action détergente du PVP améliorée par la moussification). Le choix entre les spécialités natives (Betaderm vs Dermadine vs Povip vs Septidine) repose sur les accords d'établissement et la disponibilité locale ; il n'y a pas de différence d'efficacité ou de tolérance entre ces génériques. La forme gynécologique (Betadermine gynécologique) est spécifiquement indiquée pour la prophylaxie des infections néonatales à streptocoque B et la préparation pré-colposcopique. La forme spray (Betadine spray, retirée en Algérie) présentait l'intérêt d'une application pratique sur les grandes surfaces cutanées (brûlures étendues, escarres) ; son retrait impose le recours aux flacons standard avec compresse stérile. L'alternative à la PVP-iodone en pré-opératoire est la chlorhexidine alcoolique 2 % (non disponible en Algérie) ou la chlorhexidine alcoolique 0,5 % (Hysadril alcoolique) ; en cas d'allergie à la PVP-iodone, switch vers la chlorhexidine aqueuse. Pour les ophtalmologies, le collyre PVP-iodone 1 % (Préopidine — non disponible en Algérie) peut être remplacé par le collyre Désomédine (hexamidine 0,1 %) en alternative.</w:t>
      </w:r>
    </w:p>
    <w:p>
      <w:r/>
      <w:r>
        <w:rPr>
          <w:b/>
        </w:rPr>
        <w:t>Instructions et Conseils au Patient :</w:t>
      </w:r>
      <w:r/>
    </w:p>
    <w:p>
      <w:pPr>
        <w:pStyle w:val="ListBullet"/>
      </w:pPr>
      <w:r>
        <w:t>Communication au comptoir : « La polyvidone iodée (Betaderm, Dermadine, Povip, etc.) est un antiseptique très large spectre, particulièrement efficace en pré-opératoire et pour la désinfection des plaies. Pour la désinfection des petites plaies, appliquez la solution à 10 % sur une compresse stérile, tamponnez la zone préalablement nettoyée à l'eau et au savon doux, laissez sécher à l'air libre (ne pas rincer), 1 à 3 fois par jour pendant 7 à 10 jours maximum. La solution colore la peau en brun (réversible à l'arrêt). ATTENTION : ne pas utiliser pendant la grossesse au 3e trimestre (à partir du 7e mois) sans avis médical — l'iode peut bloquer la thyroïde du bébé. Prévenez votre médecin si vous avez une maladie de la thyroïde (Basedow, Hashimoto), si vous allaitez, ou si vous devez passer un examen de la thyroïde (scintigraphie) dans les semaines à venir. En cas d'usage prolongé sur une grande surface, surveillance thyroïdienne et rénale nécessaire. »</w:t>
      </w:r>
    </w:p>
    <w:p>
      <w:pPr>
        <w:pStyle w:val="ListBullet"/>
      </w:pPr>
      <w:r>
        <w:t>Observance : respecter la durée maximale (7–10 jours en usage cutané standard, 5–7 jours en usage gynécologique, 1–3 jours en usage prolongé sur plaie chronique) ; ne pas augmenter la fréquence d'application.</w:t>
      </w:r>
    </w:p>
    <w:p>
      <w:pPr>
        <w:pStyle w:val="ListBullet"/>
      </w:pPr>
      <w:r>
        <w:t>Hygiène : nettoyer la plaie avant application (l'antiseptique est inactivé par les protéines, le sang, le pus) ; utiliser une compresse stérile pour chaque application ; ne pas partager le flacon.</w:t>
      </w:r>
    </w:p>
    <w:p>
      <w:pPr>
        <w:pStyle w:val="ListBullet"/>
      </w:pPr>
      <w:r>
        <w:t>Femmes enceintes : CONTRE-INDICATION au 3e trimestre (à partir de 28 SA). Aux 1er et 2e trimestres, usage ponctuel possible sur petite surface cutanée après avis médical.</w:t>
      </w:r>
    </w:p>
    <w:p>
      <w:pPr>
        <w:pStyle w:val="ListBullet"/>
      </w:pPr>
      <w:r>
        <w:t>Femmes allaitantes : usage ponctuel possible sur petite surface cutanée. Éviter l'application sur le mamelon avant la tétée (rincer soigneurement).</w:t>
      </w:r>
    </w:p>
    <w:p>
      <w:pPr>
        <w:pStyle w:val="ListBullet"/>
      </w:pPr>
      <w:r>
        <w:t>Patients thyroïdiens : éviter l'usage prolongé et étendu. Surveillance TSH à J7-J14 si usage prolongé.</w:t>
      </w:r>
    </w:p>
    <w:p>
      <w:pPr>
        <w:pStyle w:val="ListBullet"/>
      </w:pPr>
      <w:r>
        <w:t>Patients devant passer un examen isotopique thyroïdien (scintigraphie, irathérapie à l'iode 131) : arrêter la PVP-iodone 2–4 semaines avant l'examen.</w:t>
      </w:r>
    </w:p>
    <w:p>
      <w:pPr>
        <w:pStyle w:val="ListBullet"/>
      </w:pPr>
      <w:r>
        <w:t>Conservation : à température ambiante, à l'abri de la lumière. Le flacon doit être bien fermé (l'iode s'évapore et perd de son activité). Jeter le flacon 30 jours après ouverture.</w:t>
      </w:r>
    </w:p>
    <w:p>
      <w:r/>
      <w:r>
        <w:rPr>
          <w:b/>
        </w:rPr>
        <w:t>Notes, Règles d'Or &amp; Pièges au Comptoir :</w:t>
      </w:r>
      <w:r/>
    </w:p>
    <w:p>
      <w:pPr>
        <w:pStyle w:val="ListBullet"/>
      </w:pPr>
      <w:r>
        <w:t>Règle d'or : tout antiseptique doit être appliqué sur une peau PROPRE — un lavage préalable à l'eau et au savon doux est OBLIGATOIRE. Sur une plaie sale, l'antiseptique est inactivé par les protéines, le sang, le pus.</w:t>
      </w:r>
    </w:p>
    <w:p>
      <w:pPr>
        <w:pStyle w:val="ListBullet"/>
      </w:pPr>
      <w:r>
        <w:t>Piège : la polyvidone iodée est CONTRE-INDIQUÉE au 3e trimestre de la grossesse (à partir de 28 SA) en raison du risque d'hypothyroïdie fœtale et de goitre fœtal. Toujours vérifier le statut gravidique avant de délivrer ou d'appliquer la PVP-iodone chez une femme en âge de procréer.</w:t>
      </w:r>
    </w:p>
    <w:p>
      <w:pPr>
        <w:pStyle w:val="ListBullet"/>
      </w:pPr>
      <w:r>
        <w:t>Piège : la PVP-iodone peut induire une dysthyroïdie (hyperthyroïdie Basedow, hypothyroïdie Wolff-Chaikoff) en cas d'usage prolongé et étendu. Toujours interroger sur les antécédents thyroïdiens personnels et familiaux. Surveillance TSH si usage prolongé.</w:t>
      </w:r>
    </w:p>
    <w:p>
      <w:pPr>
        <w:pStyle w:val="ListBullet"/>
      </w:pPr>
      <w:r>
        <w:t>Piège : chez le grand brûlé, la PVP-iodone en application prolongée étendue peut induire une acidose métabolique hyperchlorémique, une insuffisance rénale aiguë, et une hypothyroïdie — préférer la chlorhexidine aqueuse ou le nitrate d'argent pour les brûlures &gt; 10 % de la surface corporelle.</w:t>
      </w:r>
    </w:p>
    <w:p>
      <w:pPr>
        <w:pStyle w:val="ListBullet"/>
      </w:pPr>
      <w:r>
        <w:t>Règle : ne pas appliquer de PVP-iodone dans les 2–4 semaines précédant un examen isotopique thyroïdien (scintigraphie, irathérapie à l'iode 131) — l'iode stable chargerait la thyroïde et empêcherait la fixation de l'iode radioactif.</w:t>
      </w:r>
    </w:p>
    <w:p>
      <w:pPr>
        <w:pStyle w:val="ListBullet"/>
      </w:pPr>
      <w:r>
        <w:t>Piège : la coloration brune de la peau après application de PVP-iodone peut être confondue avec une nécrose ou une infection — rassurer le patient (coloration réversible à l'arrêt et au lavage).</w:t>
      </w:r>
    </w:p>
    <w:p>
      <w:pPr>
        <w:pStyle w:val="ListBullet"/>
      </w:pPr>
      <w:r>
        <w:t>Règle : la PVP-iodone est incompatible avec le mercure, les sels d'argent (sulfadiazine argentique), les sulfites/bisulfites, et la chlorhexidine. Toujours rincer abondamment entre deux antiseptiques.</w:t>
      </w:r>
    </w:p>
    <w:p>
      <w:pPr>
        <w:pStyle w:val="ListBullet"/>
      </w:pPr>
      <w:r>
        <w:t>Piège : la PVP-iodone alcoolique (teinture) est inflammable — attendre le séchage complet avant tout geste chirurgical ou bistouri électrique. La forme aqueuse 10 % est non inflammable (avantage en bloc opératoire).</w:t>
      </w:r>
    </w:p>
    <w:p>
      <w:pPr>
        <w:pStyle w:val="ListBullet"/>
      </w:pPr>
      <w:r>
        <w:t>Règle : ne pas confondre l'allergie à la PVP-iodone (rare, allergie vraie à l'iode) avec l'allergie aux produits de contraste iodés (fréquente, allergie à la molécule de contraste, pas à l'iode — pas de contre-indication à la PVP-iodone chez un patient allergique au produit de contraste iodé, sauf si allergie documentée à l'iode lui-même).</w:t>
      </w:r>
    </w:p>
    <w:p>
      <w:pPr>
        <w:pStyle w:val="ListBullet"/>
      </w:pPr>
      <w:r>
        <w:t>Piège : chez le nouveau-né, éviter la PVP-iodone sur de grandes surfaces cutanées ou sur les muqueuses étendues, en particulier chez le prématuré et le nouveau-né de moins de 1 mois (immaturité thyroïdienne et rénale). Préférer la chlorhexidine aqueuse diluée ou l'eau stérile.</w:t>
      </w:r>
    </w:p>
    <w:p>
      <w:pPr>
        <w:pStyle w:val="ListBullet"/>
      </w:pPr>
      <w:r>
        <w:t>Règle : la PVP-iodone est l'antiseptique de référence mondiale en pré-opératoire selon l'OMS, mais la chlorhexidine alcoolique 2 % lui est supérieure en termes de rémanence et d'efficacité sur les bactériémies sur cathéter (recommandations CDC, SF2H).</w:t>
      </w:r>
    </w:p>
    <w:p>
      <w:pPr>
        <w:pStyle w:val="Heading2"/>
      </w:pPr>
      <w:r>
        <w:t>124.5 Sous-classe : Antibiotiques topiques — Acide fusidique / Mupirocine</w:t>
      </w:r>
    </w:p>
    <w:p>
      <w:r>
        <w:t>Les antibiotiques topiques se distinguent des antiseptiques par leur origine (synthèse microbienne — produit de fermentation de Streptomyces, Acremonium, Pseudomonas) et par leur mécanisme d'action spécifique ciblant une étape précise du métabolisme bactérien, à la différence des antiseptiques qui agissent de façon non spécifique par dénaturation chimique. Ils sont utilisés à visée curative sur des infections bactériennes localisées (impétigo, folliculite, ectima, surinfection de dermatose, portage nasal de SARM) où ils permettent d'obtenir des concentrations locales très élevées sans exposition systémique. La famille des antibiotiques topiques comprend principalement l'acide fusidique (inhibiteur de la translocation), la mupirocine (inhibiteur de l'isoleucyl-tRNA synthétase), la néomycine (aminoside), la bacitracine (inhibiteur de la synthèse de la paroi), le muhipirocine, le rétapamuline (inhibiteur de la synthèse protéique 50S — non disponible en Algérie), et historiquement la gentamicine et la polymyxine B en topique. Le présent chapitre traite exclusivement de la mupirocine, qui est la seule de cette famille disponible dans la nomenclature algérienne (l'acide fusidique n'est pas listé en topique — seule la forme orale/intraveineuse existe, traitée au Fascicule VIII).</w:t>
      </w:r>
    </w:p>
    <w:p>
      <w:r>
        <w:t>La mupirocine (anciennement appelée acide pseudomonique) est un antibiotique produit par fermentation de Pseudomonas fluorescens, isolé en 1971 et commercialisé en France depuis 1985 sous le nom de Bactroban (GlaxoSmithKline). Son mécanisme d'action original — inhibition de l'isoleucyl-tRNA synthétase bactérienne, bloquant l'incorporation de l'isoleucine dans les protéines naissantes — lui confère une absence de résistance croisée avec les autres classes d'antibiotiques, ce qui en fait une option précieuse en cas d'allergie ou de résistance aux bêtalactamines, macrolides, fluoroquinolones ou aminosides. La mupirocine est indiquée dans le traitement des impétigos localisés (forme bénigne due à Streptocoque pyogène ou Staphylocoque aureus), des folliculites, des surinfections de dermatoses atopiques, et surtout dans l'éradication du portage nasal de Staphylococcus aureus résistant à la méticilline (SARM) — indication majeure en milieu hospitalier pour la prévention des infections nosocomiales. Sa disponibilité en Algérie sous forme native (Bactroban — GSK ; Infectoban — El Kendi ; Microban — Onyx ; Mupirocine Novagenerics 2 % — Novapharm) et son prix accessible en font un antibiotique topique de premier recours.</w:t>
      </w:r>
    </w:p>
    <w:p>
      <w:r>
        <w:t>Les principes d'usage de la mupirocine reposent sur : (1) la limitation stricte de la durée (7 à 10 jours maximum) pour limiter la sélection de résistance (mutations ileS, résistance de haut niveau — particulièrement documentée dans les unités de soins intensifs où la mupirocine est utilisée de façon répétée pour éradication du portage SARM) ; (2) l'application sur des lésions localisées uniquement (impétigo en plaque, folliculite localisée — pas en usage extensif sur dermatose diffuse) ; (3) la combinaison avec un lavage soigneux (l'antibiotique topique ne remplace pas le nettoyage mécanique) ; (4) la recherche systématique d'un foyer profond (cellulite, abcès, ostéite) en cas de non-réponse à 5 jours ; (5) la déclaration obligatoire des résistances SARM documentées pour la surveillance épidémiologique.</w:t>
      </w:r>
    </w:p>
    <w:p>
      <w:pPr>
        <w:pStyle w:val="Heading3"/>
      </w:pPr>
      <w:r>
        <w:t>124.5.1 DCI : Mupirocine</w:t>
      </w:r>
    </w:p>
    <w:p>
      <w:r/>
      <w:r>
        <w:rPr>
          <w:b/>
        </w:rPr>
        <w:t>Liste des Catégories :</w:t>
      </w:r>
      <w:r>
        <w:t xml:space="preserve"> Antibiotique topique ; Inhibiteur de l'isoleucyl-tRNA synthétase bactérienne ; Traitement des impétigos localisés et éradication du portage nasal de SARM ; Liste I (prescription médicale obligatoire).</w:t>
      </w:r>
    </w:p>
    <w:p>
      <w:r>
        <w:t>La mupirocine (anciennement acide pseudomonique) est un antibiotique topique produit par fermentation de Pseudomonas fluorescens, isolé en 1971 et commercialisé en France depuis 1985 sous le nom de Bactroban (GlaxoSmithKline). Elle est inscrite sur la liste des médicaments essentiels OMS et constitue l'antibiotique topique de référence pour le traitement des impétigos localisés et l'éradication du portage nasal de Staphylococcus aureus résistant à la méticilline (SARM). Son mécanisme d'action original — inhibition de l'isoleucyl-tRNA synthétase bactérienne — lui confère une absence de résistance croisée avec les autres classes d'antibiotiques, ce qui en fait une option précieuse en cas d'allergie ou de résistance aux bêtalactamines, macrolides, fluoroquinolones ou aminosides. En Algérie, la mupirocine est disponible sous quatre spécialités natives : Bactroban (GlaxoSmithKline Algérie — spécialité princeps), Infectoban (El Kendi), Microban (Onyx), et Mupirocine Novagenerics 2 % (Novapharm), toutes en pommade dermique 2 % (2 g/100 g) en tube de 15 g, inscrites à Liste I.</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BACTROBAN</w:t>
            </w:r>
          </w:p>
        </w:tc>
        <w:tc>
          <w:tcPr>
            <w:tcW w:type="dxa" w:w="1559"/>
          </w:tcPr>
          <w:p>
            <w:r>
              <w:rPr>
                <w:sz w:val="20"/>
              </w:rPr>
              <w:t>GLAXOSMITHKLINE ALGERIE SPA</w:t>
            </w:r>
          </w:p>
        </w:tc>
        <w:tc>
          <w:tcPr>
            <w:tcW w:type="dxa" w:w="1559"/>
          </w:tcPr>
          <w:p>
            <w:r>
              <w:rPr>
                <w:sz w:val="20"/>
              </w:rPr>
              <w:t>Pommade dermique — Mupirocine 2 % (2 g/100 g)</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INFECTOBAN</w:t>
            </w:r>
          </w:p>
        </w:tc>
        <w:tc>
          <w:tcPr>
            <w:tcW w:type="dxa" w:w="1559"/>
          </w:tcPr>
          <w:p>
            <w:r>
              <w:rPr>
                <w:sz w:val="20"/>
              </w:rPr>
              <w:t>EL KENDI INDUSTRIE DU MEDICAMENT</w:t>
            </w:r>
          </w:p>
        </w:tc>
        <w:tc>
          <w:tcPr>
            <w:tcW w:type="dxa" w:w="1559"/>
          </w:tcPr>
          <w:p>
            <w:r>
              <w:rPr>
                <w:sz w:val="20"/>
              </w:rPr>
              <w:t>Pommade dermique — Mupirocine 2 % (2 g/100 g)</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MICROBAN</w:t>
            </w:r>
          </w:p>
        </w:tc>
        <w:tc>
          <w:tcPr>
            <w:tcW w:type="dxa" w:w="1559"/>
          </w:tcPr>
          <w:p>
            <w:r>
              <w:rPr>
                <w:sz w:val="20"/>
              </w:rPr>
              <w:t>ONYX INDUSTRIE PHARMACEUTIQUE</w:t>
            </w:r>
          </w:p>
        </w:tc>
        <w:tc>
          <w:tcPr>
            <w:tcW w:type="dxa" w:w="1559"/>
          </w:tcPr>
          <w:p>
            <w:r>
              <w:rPr>
                <w:sz w:val="20"/>
              </w:rPr>
              <w:t>Pommade dermique — Mupirocine 2 % (2 g/100 g)</w:t>
            </w:r>
          </w:p>
        </w:tc>
        <w:tc>
          <w:tcPr>
            <w:tcW w:type="dxa" w:w="1559"/>
          </w:tcPr>
          <w:p>
            <w:r>
              <w:rPr>
                <w:sz w:val="20"/>
              </w:rPr>
              <w:t>Tube 15 g</w:t>
            </w:r>
          </w:p>
        </w:tc>
        <w:tc>
          <w:tcPr>
            <w:tcW w:type="dxa" w:w="1559"/>
          </w:tcPr>
          <w:p>
            <w:r>
              <w:rPr>
                <w:sz w:val="20"/>
              </w:rPr>
              <w:t>Liste I</w:t>
            </w:r>
          </w:p>
        </w:tc>
        <w:tc>
          <w:tcPr>
            <w:tcW w:type="dxa" w:w="1559"/>
          </w:tcPr>
          <w:p>
            <w:r>
              <w:rPr>
                <w:sz w:val="20"/>
              </w:rPr>
              <w:t>Actif</w:t>
            </w:r>
          </w:p>
        </w:tc>
      </w:tr>
      <w:tr>
        <w:tc>
          <w:tcPr>
            <w:tcW w:type="dxa" w:w="1559"/>
          </w:tcPr>
          <w:p>
            <w:r>
              <w:rPr>
                <w:sz w:val="20"/>
              </w:rPr>
              <w:t>MUPIROCINE NOVAGENERICS 2%</w:t>
            </w:r>
          </w:p>
        </w:tc>
        <w:tc>
          <w:tcPr>
            <w:tcW w:type="dxa" w:w="1559"/>
          </w:tcPr>
          <w:p>
            <w:r>
              <w:rPr>
                <w:sz w:val="20"/>
              </w:rPr>
              <w:t>NOVAPHARM TRADING</w:t>
            </w:r>
          </w:p>
        </w:tc>
        <w:tc>
          <w:tcPr>
            <w:tcW w:type="dxa" w:w="1559"/>
          </w:tcPr>
          <w:p>
            <w:r>
              <w:rPr>
                <w:sz w:val="20"/>
              </w:rPr>
              <w:t>Pommade dermique — Mupirocine 2 % (2 g/100 g)</w:t>
            </w:r>
          </w:p>
        </w:tc>
        <w:tc>
          <w:tcPr>
            <w:tcW w:type="dxa" w:w="1559"/>
          </w:tcPr>
          <w:p>
            <w:r>
              <w:rPr>
                <w:sz w:val="20"/>
              </w:rPr>
              <w:t>Tube 15 g</w:t>
            </w:r>
          </w:p>
        </w:tc>
        <w:tc>
          <w:tcPr>
            <w:tcW w:type="dxa" w:w="1559"/>
          </w:tcPr>
          <w:p>
            <w:r>
              <w:rPr>
                <w:sz w:val="20"/>
              </w:rPr>
              <w:t>Liste I</w:t>
            </w:r>
          </w:p>
        </w:tc>
        <w:tc>
          <w:tcPr>
            <w:tcW w:type="dxa" w:w="1559"/>
          </w:tcPr>
          <w:p>
            <w:r>
              <w:rPr>
                <w:sz w:val="20"/>
              </w:rPr>
              <w:t>Actif</w:t>
            </w:r>
          </w:p>
        </w:tc>
      </w:tr>
    </w:tbl>
    <w:p/>
    <w:p>
      <w:r>
        <w:t>La mupirocine en Algérie est disponible sous quatre spécialités natives en concurrence : la spécialité princeps Bactroban (GlaxoSmithKline Algérie) et trois génériques algériens (Infectoban — El Kendi, Microban — Onyx, Mupirocine Novagenerics 2 % — Novapharm). Toutes sont en pommade dermique 2 % (2 g/100 g), en tube de 15 g, inscrites à Liste I (prescription médicale obligatoire). Le choix entre les spécialités repose sur les accords d'établissement, la disponibilité locale et les préférences du patient (le princeps Bactroban est généralement légèrement plus onéreux que les génériques). La forme nasale (pommade nasale 2 %, indiquée pour l'éradication du portage nasal de SARM) n'est pas disponible dans la nomenclature algérienne — la forme dermique est utilisée en application nasale par les praticiens algériens en alternative, ce qui n'est pas conforme à l'AMM (excipient de la forme dermique potentiellement irritant pour la muqueuse nasale). L'accès à la mupirocine en Algérie est relativement bon, avec un coût abordable (tube de 15 g à 2 %) permettant un traitement de 7 à 10 jours pour un impétigo localisé ou une folliculite.</w:t>
      </w:r>
    </w:p>
    <w:p>
      <w:r/>
      <w:r>
        <w:rPr>
          <w:b/>
        </w:rPr>
        <w:t>Sous-classe et Mécanisme d'action :</w:t>
      </w:r>
      <w:r/>
    </w:p>
    <w:p>
      <w:pPr>
        <w:pStyle w:val="ListBullet"/>
      </w:pPr>
      <w:r>
        <w:t>Sous-classe : Antibiotique topique produit par fermentation de Pseudomonas fluorescens, inhibiteur spécifique de l'isoleucyl-tRNA synthétase bactérienne. Sans résistance croisée avec les autres classes d'antibiotiques.</w:t>
      </w:r>
    </w:p>
    <w:p>
      <w:pPr>
        <w:pStyle w:val="ListBullet"/>
      </w:pPr>
      <w:r>
        <w:t>Mécanisme d'action : la mupirocine pénètre la paroi bactérienne et se lie de façon spécifique et réversible à l'isoleucyl-tRNA synthétase bactérienne (IleRS), enzyme qui catalyse la fixation de l'isoleucine sur son ARN de transfer (tRNA^Ile) spécifique avant l'élongation protéique ribosomale. La liaison de la mupirocine à IleRS est en compétition avec l'isoleucine et l'ATP, bloquant ainsi la formation de l'intermédiaire Ile-AMP (aminoacyl-AMP) et la transfert de l'isoleucine sur le tRNA^Ile. Sans tRNA^Ile chargé, le ribosome ne peut pas intégrer l'isoleucine dans les protéines naissantes, ce qui bloque la protéosynthèse bactérienne et entraîne la mort cellulaire (effet bactériostatique à faible concentration, bactéricide à concentration supérieure). La spécificité de la mupirocine pour l'IleRS bactérienne (qui diffère structurellement de l'IleRS humaine cytoplasmique et mitochondriale) explique son excellente tolérance et l'absence de toxicité systémique. Le spectre couvre les bactéries Gram-positives : Staphylococcus aureus (y compris SARM, sensibilité &gt; 95 % en Algérie selon les données épidémiologiques 2020-2024), Staphylococcus epidermidis, Streptococcus pyogenes (streptocoque A), Streptococcus agalactiae (streptocoque B), autres streptocoques ; activité modeste sur les bactéries Gram-négatives (Haemophilus influenzae, Neisseria — activité partielle) ; pas d'activité sur Pseudomonas, entérobactéries, mycobactéries, champignons, virus.</w:t>
      </w:r>
    </w:p>
    <w:p>
      <w:r/>
      <w:r>
        <w:rPr>
          <w:b/>
        </w:rPr>
        <w:t>Profil Pharmacologique :</w:t>
      </w:r>
      <w:r/>
    </w:p>
    <w:p>
      <w:pPr>
        <w:pStyle w:val="ListBullet"/>
      </w:pPr>
      <w:r>
        <w:t>Indications : (1) Impétigo localisé (forme bénigne non extensif) dû à Streptococcus pyogenes ou Staphylococcus aureus — indication princeps, traitement de première intention si lésions localisées (&lt; 3 % de la surface corporelle). (2) Folliculite bactérienne superficielle localisée (S. aureus). (3) Surinfection bactérienne de dermatoses préexistantes (eczéma, psoriasis, dermite atopique) — application courte 7 jours. (4) Éradication du portage nasal de Staphylococcus aureus (y compris SARM) en milieu hospitalier ou chez les patients porteurs sains (prévention des infections récurrentes : furonculose, surinfections de plaies chroniques). (5) Prévention des infections de site opératoire en chirurgie propre (prophylaxie pré-opératoire nasale chez les porteurs de SARM — recommandations SF2H, alternative à la décolonisation par chlorhexidine). (6) Traitement adjuvant des ectimas (forme profonde d'impétigo). (7) Éradication du portage cutané de SARM chez les patients hémodialysés, porteurs de cathéters centraux, ou en unités de soins intensifs.</w:t>
      </w:r>
    </w:p>
    <w:p>
      <w:pPr>
        <w:pStyle w:val="ListBullet"/>
      </w:pPr>
      <w:r>
        <w:t>Contre-indications : (1) Hypersensibilité à la mupirocine ou à l'un des excipients (polyéthylène glycol — attention chez l'insuffisant rénal en cas d'application sur grande surface). (2) Ne pas appliquer sur de grandes surfaces cutanées lésées ou brûlées (résorption systémique de polyéthylène glycol possible avec toxicité rénale). (3) Ne pas appliquer dans l'œil (forme dermique non ophtalmique — kératite toxique). (4) Ne pas appliquer sur le méninge, la dure-mère, les cavités péritonéales et pleurales. (5) Prudence en cas d'insuffisance rénale modérée à sévère (clairance &lt; 30 mL/min) — éviter l'application prolongée et étendue (résorption du polyéthylène glycol).</w:t>
      </w:r>
    </w:p>
    <w:p>
      <w:pPr>
        <w:pStyle w:val="ListBullet"/>
      </w:pPr>
      <w:r>
        <w:t>Effets Indésirables : Très fréquents (&gt; 10 %) : sensation de brûlure transitoire à l'application (1–2 minutes), prurit local. Fréquents (1–10 %) : érythème local, sécheresse cutanée, picotement, rash. Peu fréquents (0,1–1 %) : dermatite de contact allergique (eczéma), urticaire de contact, douleur locale. Rares (&lt; 0,1 %) : réactions systémiques allergiques (urticaire généralisée, œdème de Quincke — exceptionnel). En cas d'application prolongée ou sur grande surface : résorption systémique du polyéthylène glycol (excipient) avec toxicité rénale (insuffisance rénale aiguë), acidose métabolique — cas rapportés chez le grand brûlé et le nourrisson. Sélection de résistance bactérienne en cas d'usage prolongé (&gt; 10 jours) ou répété (mutations ileS — résistance de haut niveau, particularly préoccupant pour l'éradication SARM).</w:t>
      </w:r>
    </w:p>
    <w:p>
      <w:r/>
      <w:r>
        <w:rPr>
          <w:b/>
        </w:rPr>
        <w:t>Prévention et Gestion des Effets Indésirables :</w:t>
      </w:r>
      <w:r/>
    </w:p>
    <w:p>
      <w:pPr>
        <w:pStyle w:val="ListBullet"/>
      </w:pPr>
      <w:r>
        <w:t>Mesures préventives : (1) Vérifier l'absence d'allergie à la mupirocine ou au polyéthylène glycol (présent dans la pommade comme excipient — également présent dans de nombreux cosmétiques et laxatifs — Macrogol). (2) Limiter strictement la durée d'application à 7–10 jours pour limiter la sélection de résistance. (3) Ne pas appliquer sur de grandes surfaces cutanées lésées (brûlures &gt; 10 % de la surface corporelle) ou sur les muqueuses étendues — préférer un antiseptique adapté. (4) Ne pas appliquer dans l'œil (utiliser une forme ophtalmique d'antibiotique — ofloxacine collyre, rifamycine collyre). (5) Ne pas appliquer sur le conduit auditif (utiliser un antibiotique otologique — rifamycine, ofloxacine). (6) En cas d'insuffisance rénale modérée à sévère (clairance &lt; 30 mL/min), éviter l'application prolongée et étendue. (7) En milieu hospitalier, surveillance de la sensibilité SARM à la mupirocine (réalisation d'antibiogrammes avec détection des mutations ileS) pour adapter les protocoles de décolonisation.</w:t>
      </w:r>
    </w:p>
    <w:p>
      <w:pPr>
        <w:pStyle w:val="ListBullet"/>
      </w:pPr>
      <w:r>
        <w:t>Conduite à tenir : (1) En cas de sensation de brûlure transitoire à l'application : phénomène attendu, bénin, disparaissant en 1–2 minutes ; rassurer le patient, ne pas arrêter le traitement. (2) En cas de prurit local ou d'érythème : surveillance à 48 heures, arrêt si aggravation, switch vers un antibiotique topique alternatif (acide fusidique — non disponible en Algérie en topique) ou un antiseptique (povidone iodée, chlorhexidine). (3) En cas de dermatite de contact allergique : arrêt définitif, traitement corticoïde topique court (hydrocortisone 1 %), éviter les futures expositions (vérifier la composition des cosmétiques et laxatifs pour le polyéthylène glycol). (4) En cas de non-réponse à 5 jours : arrêt, prélèvement bactériologique (écouvillon + culture + antibiogramme), réévaluation diagnostique (suspecter une origine herpétique, dermatophytique, ou une résistance bactérienne). (5) En cas d'aggravation ou d'extension des lésions : arrêt immédiat, consultation médicale urgente (suspecter un ectima, une cellulite, une fasciite nécrosante — passage à un traitement systémique).</w:t>
      </w:r>
    </w:p>
    <w:p>
      <w:r/>
      <w:r>
        <w:rPr>
          <w:b/>
        </w:rPr>
        <w:t>Interactions Médicamenteuses :</w:t>
      </w:r>
      <w:r/>
    </w:p>
    <w:p>
      <w:pPr>
        <w:pStyle w:val="ListBullet"/>
      </w:pPr>
      <w:r>
        <w:t>Autres antibiotiques topiques (acide fusidique, néomycine, bacitracine) : ne pas appliquer simultanément sur la même zone — risque d'irritation locale accrue et de sélection de résistance.</w:t>
      </w:r>
    </w:p>
    <w:p>
      <w:pPr>
        <w:pStyle w:val="ListBullet"/>
      </w:pPr>
      <w:r>
        <w:t>Antiseptiques (chlorhexidine, povidone iodée) : possibilité d'association séquentielle (antiseptique pour le nettoyage, puis mupirocine après séchage), mais ne pas mélanger sur la même compresse. La chlorhexidine peut inactiver la mupirocine par interaction chimique — toujours rincer abondamment et sécher avant d'appliquer la mupirocine.</w:t>
      </w:r>
    </w:p>
    <w:p>
      <w:pPr>
        <w:pStyle w:val="ListBullet"/>
      </w:pPr>
      <w:r>
        <w:t>Corticoïdes topiques : en cas de dermatose surinfectée inflammatoire (eczéma surinfecté), association séquentielle possible (corticoïde le matin, mupirocine le soir) pour limiter la corticodépendance et la diffusion bactérienne.</w:t>
      </w:r>
    </w:p>
    <w:p>
      <w:pPr>
        <w:pStyle w:val="ListBullet"/>
      </w:pPr>
      <w:r>
        <w:t>Polyéthylène glycol (Macrogol — présent dans de nombreux laxatifs et cosmétiques) : allergie croisée possible chez les patients sensibilisés — questionner sur les antécédents d'allergie aux laxatifs Macrogol.</w:t>
      </w:r>
    </w:p>
    <w:p>
      <w:pPr>
        <w:pStyle w:val="ListBullet"/>
      </w:pPr>
      <w:r>
        <w:t>PAS d'interaction systémique significative en usage topique court et localisé (résorption systémique négligeable sur peau saine, mais possible sur peau lésée étendue avec toxicité rénale du PEG).</w:t>
      </w:r>
    </w:p>
    <w:p>
      <w:r/>
      <w:r>
        <w:rPr>
          <w:b/>
        </w:rPr>
        <w:t>Grossesse et Allaitement :</w:t>
      </w:r>
      <w:r/>
    </w:p>
    <w:p>
      <w:pPr>
        <w:pStyle w:val="ListBullet"/>
      </w:pPr>
      <w:r>
        <w:t>Grossesse : COMPATIBLE en usage topique court et localisé (CRAT : « l'utilisation de mupirocine par voie locale sur une petite surface cutanée est envisageable quel que soit le terme de la grossesse »). Éviter l'application prolongée et étendue (résorption du polyéthylène glycol possible, toxicité rénale théorique). En cas de portage SARM documenté chez une femme enceinte devant accoucher, l'éradication par mupirocine nasale est discutée au cas par cas (l'AMM de la forme nasale n'est pas disponible en Algérie, mais la forme dermique est parfois utilisée en application endo-nasale par les praticiens — usage hors AMM).</w:t>
      </w:r>
    </w:p>
    <w:p>
      <w:pPr>
        <w:pStyle w:val="ListBullet"/>
      </w:pPr>
      <w:r>
        <w:t>Allaitement : COMPATIBLE en usage topique cutané ponctuel (rappel : pas d'application sur le mamelon avant la tétée — rincer soigneusement). En cas de portage SARM chez la mère allaitante, l'éradication par mupirocine nasale est compatible avec l'allaitement.</w:t>
      </w:r>
    </w:p>
    <w:p>
      <w:pPr>
        <w:pStyle w:val="ListBullet"/>
      </w:pPr>
      <w:r>
        <w:t>Fertilité : pas d'effet connu.</w:t>
      </w:r>
    </w:p>
    <w:p>
      <w:r/>
      <w:r>
        <w:rPr>
          <w:b/>
        </w:rPr>
        <w:t>Posologie et Mode d'administration :</w:t>
      </w:r>
      <w:r/>
    </w:p>
    <w:p>
      <w:pPr>
        <w:pStyle w:val="ListBullet"/>
      </w:pPr>
      <w:r>
        <w:t>Impétigo localisé, folliculite, surinfection de dermatose : application locale de la pommade dermique 2 % sur la zone à traiter, préalablement nettoyée à l'eau et au savon doux et rincée, en fine couche, 3 fois par jour, pendant 7 à 10 jours maximum. Recouvrir d'un pansement léger si nécessaire (la coverage n'améliore pas l'efficacité et favorise la macération). Lavage des mains avant et après application.</w:t>
      </w:r>
    </w:p>
    <w:p>
      <w:pPr>
        <w:pStyle w:val="ListBullet"/>
      </w:pPr>
      <w:r>
        <w:t>Éradication du portage nasal de SARM : (1) Forme nasale (Bactroban nasal — non disponible en Algérie) : application de pommade nasale 2 % dans chaque narine (1 cm de pommade, environ 25 mg), 2 à 3 fois par jour pendant 5 à 7 jours, en massant les ailes du nez pour diffuser. (2) Forme dermique (Bactroban dermique, disponible en Algérie) : application endo-nasale par les praticiens — usage hors AMM, à discuter au cas par cas. (3) Association à la décolonisation corporelle : lavage à la chlorhexidine 4 % (forme scrub non disponible en Algérie — alternative : povidone iodée 4 % moussante) pendant 5 jours, en complément de la décolonisation nasale.</w:t>
      </w:r>
    </w:p>
    <w:p>
      <w:pPr>
        <w:pStyle w:val="ListBullet"/>
      </w:pPr>
      <w:r>
        <w:t>Prophylaxie pré-opératoire nasale chez les porteurs de SARM : application de mupirocine nasale 2 % dans chaque narine, 2 fois par jour pendant 5 jours précédant le geste chirurgical, en complément de la décolonisation corporelle par chlorhexidine 4 % scrub.</w:t>
      </w:r>
    </w:p>
    <w:p>
      <w:pPr>
        <w:pStyle w:val="ListBullet"/>
      </w:pPr>
      <w:r>
        <w:t>Sujet âgé : pas d'adaptation posologique.</w:t>
      </w:r>
    </w:p>
    <w:p>
      <w:pPr>
        <w:pStyle w:val="ListBullet"/>
      </w:pPr>
      <w:r>
        <w:t>Insuffisance rénale/hépatique : éviter l'application prolongée et étendue en cas d'insuffisance rénale sévère (clairance &lt; 30 mL/min) — résorption du polyéthylène glycol.</w:t>
      </w:r>
    </w:p>
    <w:p>
      <w:pPr>
        <w:pStyle w:val="ListBullet"/>
      </w:pPr>
      <w:r>
        <w:t>Enfant : utilisation possible dès la naissance, en application limitée. Pour l'impétigo de l'enfant (indication princeps), la mupirocine est le traitement de première intention en alternative à l'antibiothérapie orale si lésions localisées.</w:t>
      </w:r>
    </w:p>
    <w:p>
      <w:r/>
      <w:r>
        <w:rPr>
          <w:b/>
        </w:rPr>
        <w:t>Surveillance Biologique et Suivi Clinique :</w:t>
      </w:r>
      <w:r/>
    </w:p>
    <w:p>
      <w:pPr>
        <w:pStyle w:val="ListBullet"/>
      </w:pPr>
      <w:r>
        <w:t>Pas de surveillance biologique systématique nécessaire en usage topique standard court et localisé.</w:t>
      </w:r>
    </w:p>
    <w:p>
      <w:pPr>
        <w:pStyle w:val="ListBullet"/>
      </w:pPr>
      <w:r>
        <w:t>Surveillance clinique : (1) Examen local à J3-J5 pour vérifier l'amélioration (réduction de l'érythème, de l'exsudation, de la croûte). En cas de non-réponse à 5 jours : prélèvement bactériologique (écouvillon + culture + antibiogramme) pour recherche de résistance (mutation ileS) ou de pathogène atypique (herpès, dermatophyte). (2) Examen à J7-J10 pour vérifier la cicatrisation et décider de l'arrêt. (3) En cas d'éradication du portage SARM : contrôle par prélèvement nasal à J7 (écouvillon nasal antérieur) pour vérifier l'éradication, à refaire à 1 mois et 3 mois pour dépister une recolonisation.</w:t>
      </w:r>
    </w:p>
    <w:p>
      <w:pPr>
        <w:pStyle w:val="ListBullet"/>
      </w:pPr>
      <w:r>
        <w:t>En milieu hospitalier : surveillance épidémiologique de la résistance SARM à la mupirocine (données annuelles du COMER — Comité de Microbiologie et d'Épidémiologie de la Résistance — en Algérie) pour adapter les protocoles de décolonisation. Le taux de résistance de haut niveau SARM à la mupirocine varie de 1 à 5 % en Algérie (données 2020-2024), ce qui justifie le maintien de la mupirocine comme traitement de première intention.</w:t>
      </w:r>
    </w:p>
    <w:p>
      <w:pPr>
        <w:pStyle w:val="ListBullet"/>
      </w:pPr>
      <w:r>
        <w:t>Pas de surveillance biologique systémique nécessaire en usage topique court et localisé.</w:t>
      </w:r>
    </w:p>
    <w:p>
      <w:r/>
      <w:r>
        <w:rPr>
          <w:b/>
        </w:rPr>
        <w:t>Arbitrage et Bénéfices des Formes Galéniques :</w:t>
      </w:r>
      <w:r/>
    </w:p>
    <w:p>
      <w:r>
        <w:t>La mupirocine en Algérie est uniquement disponible sous forme de pommade dermique 2 % (en tube de 15 g). À la différence de la France et d'autres pays, la forme nasale (Bactroban nasal, pommade nasale 2 % en tube de 3 g avec applicateur nasal) n'est pas disponible dans la nomenclature algérienne — les praticiens algériens utilisent parfois la forme dermique en application endo-nasale par les praticiens (usage hors AMM, à discuter au cas par cas, en informant le patient de l'absence d'AMM et du risque théorique d'irritation nasale par les excipients de la forme dermique). La pommade dermique 2 % est adaptée à la majorité des indications cutanées (impétigo, folliculite, surinfection de dermatose) ; la forme de pommade (à base de polyéthylène glycol) peut être légèrement occlusive, ce qui peut favoriser la macération dans les plis — préférer une application en fine couche sans pansement occlusif. Le choix entre les quatre spécialités natives (Bactroban princeps, Infectoban, Microban, Mupirocine Novagenerics) repose sur les accords d'établissement et la disponibilité locale — il n'y a pas de différence d'efficacité ou de tolérance significative entre ces spécialités (toutes à 2 % en tube de 15 g, Liste I). Le princeps Bactroban (GlaxoSmithKline) est généralement légèrement plus onéreux que les génériques ; les génériques Infectoban (El Kendi) et Microban (Onyx) sont des productions algériennes locales, accessibles et bien approvisionnées. Pour les patients nécessitant une forme alternative (crème vs pommade, ou forme nasale), il faut recourir à l'importation via ATU (Autorisation Temporaire d'Utilisation) ou à l'achat à l'étranger, ce qui limite l'accès. L'alternative à la mupirocine en topique pour l'impétigo est l'acide fusidique topique (non disponible en Algérie — seule la forme orale/IV existe, traitée au Fascicule VIII), ou le passage à l'antibiothérapie orale (cloxacilline, amoxicilline-acide clavulanique, céphalosporine de 1re génération — pristinamycine en cas d'allergie aux bêtalactamines) pour les impétigos extensifs, récidivants, ou compliqués (cellulite, abcès, ectima).</w:t>
      </w:r>
    </w:p>
    <w:p>
      <w:r/>
      <w:r>
        <w:rPr>
          <w:b/>
        </w:rPr>
        <w:t>Instructions et Conseils au Patient :</w:t>
      </w:r>
      <w:r/>
    </w:p>
    <w:p>
      <w:pPr>
        <w:pStyle w:val="ListBullet"/>
      </w:pPr>
      <w:r>
        <w:t>Communication au comptoir : « La mupirocine (Bactroban, Infectoban, Microban) est un antibiotique local qui tue les bactéries responsables de l'impétigo (Streptocoque, Staphylocoque). Appliquez la pommade en fine couche sur les lésions préalablement nettoyées à l'eau et au savon doux, 3 fois par jour pendant 7 à 10 jours maximum. Lavez-vous soigneusement les mains avant et après l'application. Ne couvrez pas d'un pansement occlusif (laissez à l'air libre ou un pansement léger). Le traitement doit être suivi jusqu'au bout même si les lésions s'améliorent (sinon risque de rechute et de résistance). Consultez votre médecin si aucune amélioration à 5 jours, si aggravation ou extension, ou si apparition de lésions nouvelles. ATTENTION : ne pas appliquer dans l'œil, dans le conduit auditif, ni sur de grandes surfaces cutanées. La mupirocine est un antibiotique : son usage abusif sélectionne des résistances (notamment pour le staphylocoque résistant SARM), ne pas utiliser sans prescription médicale. »</w:t>
      </w:r>
    </w:p>
    <w:p>
      <w:pPr>
        <w:pStyle w:val="ListBullet"/>
      </w:pPr>
      <w:r>
        <w:t>Observance : respecter scrupuleusement la durée de prescription (7–10 jours, ni plus ni moins) ; ne pas augmenter la fréquence d'application ; ne pas réutiliser un tube ancien pour une nouvelle infection sans réévaluation médicale.</w:t>
      </w:r>
    </w:p>
    <w:p>
      <w:pPr>
        <w:pStyle w:val="ListBullet"/>
      </w:pPr>
      <w:r>
        <w:t>Hygiène : nettoyer la plaie avant application (l'antibiotique topique ne remplace pas le nettoyage mécanique) ; utiliser une compresse stérile pour chaque application ; se laver les mains avant et après ; ne pas partager le tube.</w:t>
      </w:r>
    </w:p>
    <w:p>
      <w:pPr>
        <w:pStyle w:val="ListBullet"/>
      </w:pPr>
      <w:r>
        <w:t>Prévention de la transmission (impétigo) : éviter le contact direct avec d'autres personnes (enfants particulièrement), ne pas partager les serviettes et le linge de toilette, changer et laver les draps et serviettes quotidiennement à 60 °C, ne pas gratter les lésions (risque de dissémination auto-inoculée), école exclue jusqu'à 48 heures après début du traitement antibiotique.</w:t>
      </w:r>
    </w:p>
    <w:p>
      <w:pPr>
        <w:pStyle w:val="ListBullet"/>
      </w:pPr>
      <w:r>
        <w:t>Femmes enceintes et allaitantes : usage compatible et autorisé, en application limitée et courte.</w:t>
      </w:r>
    </w:p>
    <w:p>
      <w:pPr>
        <w:pStyle w:val="ListBullet"/>
      </w:pPr>
      <w:r>
        <w:t>Conservation : à température ambiante (15–25 °C), à l'abri de la lumière. Jeter le tube 30 jours après ouverture ( risque de contamination bactérienne secondaire).</w:t>
      </w:r>
    </w:p>
    <w:p>
      <w:r/>
      <w:r>
        <w:rPr>
          <w:b/>
        </w:rPr>
        <w:t>Notes, Règles d'Or &amp; Pièges au Comptoir :</w:t>
      </w:r>
      <w:r/>
    </w:p>
    <w:p>
      <w:pPr>
        <w:pStyle w:val="ListBullet"/>
      </w:pPr>
      <w:r>
        <w:t>Règle d'or : la mupirocine est un antibiotique, pas un antiseptique — elle nécessite une prescription médicale obligatoire (Liste I) et doit être réservée aux infections bactériennes documentées ou fortement suspectées. Ne pas délivrer sans ordonnance, ne pas renouveler sans réévaluation.</w:t>
      </w:r>
    </w:p>
    <w:p>
      <w:pPr>
        <w:pStyle w:val="ListBullet"/>
      </w:pPr>
      <w:r>
        <w:t>Piège : la durée d'application doit être STRICTEMENT limitée à 7–10 jours pour limiter la sélection de résistance (mutations ileS — résistance de haut niveau documentée, particulièrement préoccupante pour l'éradication SARM en milieu hospitalier). Ne pas prolonger au-delà de 10 jours sans réévaluation médicale.</w:t>
      </w:r>
    </w:p>
    <w:p>
      <w:pPr>
        <w:pStyle w:val="ListBullet"/>
      </w:pPr>
      <w:r>
        <w:t>Piège : la résistance SARM à la mupirocine est un enjeu majeur de santé publique — surveillance épidémiologique renforcée en milieu hospitalier, alternance avec d'autres protocoles de décolonisation si taux de résistance &gt; 5 %.</w:t>
      </w:r>
    </w:p>
    <w:p>
      <w:pPr>
        <w:pStyle w:val="ListBullet"/>
      </w:pPr>
      <w:r>
        <w:t>Règle : ne pas appliquer sur de grandes surfaces cutanées lésées ou brûlées (résorption du polyéthylène glycol, excipient de la pommade, avec toxicité rénale — particulièrement chez l'insuffisant rénal et le nourrisson).</w:t>
      </w:r>
    </w:p>
    <w:p>
      <w:pPr>
        <w:pStyle w:val="ListBullet"/>
      </w:pPr>
      <w:r>
        <w:t>Piège : la mupirocine ne couvre pas les bactéries Gram-négatives (Pseudomonas, entérobactéries) ni les champignons — en cas de non-réponse, suspecter un pathogène atypique (herpès, dermatophyte, Pseudomonas) et prélever pour documentation.</w:t>
      </w:r>
    </w:p>
    <w:p>
      <w:pPr>
        <w:pStyle w:val="ListBullet"/>
      </w:pPr>
      <w:r>
        <w:t>Règle : la forme nasale (Bactroban nasal) n'est pas disponible en Algérie — en cas de portage SARM documenté nécessitant une éradication nasale, discuter avec le médecin de l'usage hors AMM de la forme dermique en application endo-nasale, ou de l'importation de la forme nasale via ATU.</w:t>
      </w:r>
    </w:p>
    <w:p>
      <w:pPr>
        <w:pStyle w:val="ListBullet"/>
      </w:pPr>
      <w:r>
        <w:t>Piège : ne pas appliquer dans l'œil (forme dermique non ophtalmique — kératite toxique). Pour les infections oculaires, utiliser une forme ophtalmique adaptée (ofloxacine collyre, rifamycine collyre).</w:t>
      </w:r>
    </w:p>
    <w:p>
      <w:pPr>
        <w:pStyle w:val="ListBullet"/>
      </w:pPr>
      <w:r>
        <w:t>Piège : ne pas appliquer dans le conduit auditif (utiliser une forme otologique adaptée — rifamycine otique, ofloxacine otique).</w:t>
      </w:r>
    </w:p>
    <w:p>
      <w:pPr>
        <w:pStyle w:val="ListBullet"/>
      </w:pPr>
      <w:r>
        <w:t>Règle : pour les impétigos extensifs (&gt; 3 % de surface corporelle), récidivants, compliqués (cellulite, abcès, ectima, lymphangite, adénopathie, fièvre), ou chez le nourrisson, l'antibiothérapie orale est indiquée en relais ou en alternative à la mupirocine topique (cloxacilline, amoxicilline-acide clavulanique, céphalosporine de 1re génération — pristinamycine en cas d'allergie aux bêtalactamines).</w:t>
      </w:r>
    </w:p>
    <w:p>
      <w:pPr>
        <w:pStyle w:val="ListBullet"/>
      </w:pPr>
      <w:r>
        <w:t>Règle : ne pas confondre impétigo et herpès (les lésions herpétiques vésiculaires peuvent être confondues avec l'impétigo vésiculo-bulleux) — en cas de doute, prélèvement virologique. La mupirocine est inefficace sur l'herpès.</w:t>
      </w:r>
    </w:p>
    <w:p>
      <w:pPr>
        <w:pStyle w:val="ListBullet"/>
      </w:pPr>
      <w:r>
        <w:t>Piège : chez l'enfant, l'impétigo est très contagieux (transmission directe et indirecte par le linge) — exclusion scolaire pendant 48 heures après début du traitement, changement et lavage des draps et serviettes à 60 °C, traitement des éventuels cas secondaires dans la fratrie.</w:t>
      </w:r>
    </w:p>
    <w:p>
      <w:pPr>
        <w:pStyle w:val="ListBullet"/>
      </w:pPr>
      <w:r>
        <w:t>Règle : ne pas appliquer en prophylaxie prolongée chez un patient porteur d'une dermatose chronique (eczéma) — sélection de résistance bactérienne et modification du microbiote cutané. Réserver aux surinfections documentées.</w:t>
      </w:r>
    </w:p>
    <w:p>
      <w:pPr>
        <w:pStyle w:val="Heading2"/>
      </w:pPr>
      <w:r>
        <w:t>Tableau comparatif récapitulatif des 6 antiseptiques et antibiotiques topiques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sz w:val="20"/>
              </w:rPr>
              <w:t>DCI</w:t>
            </w:r>
          </w:p>
        </w:tc>
        <w:tc>
          <w:tcPr>
            <w:tcW w:type="dxa" w:w="780"/>
          </w:tcPr>
          <w:p>
            <w:r>
              <w:rPr>
                <w:b/>
                <w:sz w:val="20"/>
              </w:rPr>
              <w:t>Sous-classe</w:t>
            </w:r>
          </w:p>
        </w:tc>
        <w:tc>
          <w:tcPr>
            <w:tcW w:type="dxa" w:w="780"/>
          </w:tcPr>
          <w:p>
            <w:r>
              <w:rPr>
                <w:b/>
                <w:sz w:val="20"/>
              </w:rPr>
              <w:t>Mécanisme d'action principal</w:t>
            </w:r>
          </w:p>
        </w:tc>
        <w:tc>
          <w:tcPr>
            <w:tcW w:type="dxa" w:w="780"/>
          </w:tcPr>
          <w:p>
            <w:r>
              <w:rPr>
                <w:b/>
                <w:sz w:val="20"/>
              </w:rPr>
              <w:t>Spectre</w:t>
            </w:r>
          </w:p>
        </w:tc>
        <w:tc>
          <w:tcPr>
            <w:tcW w:type="dxa" w:w="780"/>
          </w:tcPr>
          <w:p>
            <w:r>
              <w:rPr>
                <w:b/>
                <w:sz w:val="20"/>
              </w:rPr>
              <w:t>Indication majeure</w:t>
            </w:r>
          </w:p>
        </w:tc>
        <w:tc>
          <w:tcPr>
            <w:tcW w:type="dxa" w:w="780"/>
          </w:tcPr>
          <w:p>
            <w:r>
              <w:rPr>
                <w:b/>
                <w:sz w:val="20"/>
              </w:rPr>
              <w:t>Forme galénique Algérie</w:t>
            </w:r>
          </w:p>
        </w:tc>
        <w:tc>
          <w:tcPr>
            <w:tcW w:type="dxa" w:w="780"/>
          </w:tcPr>
          <w:p>
            <w:r>
              <w:rPr>
                <w:b/>
                <w:sz w:val="20"/>
              </w:rPr>
              <w:t>Durée standard</w:t>
            </w:r>
          </w:p>
        </w:tc>
        <w:tc>
          <w:tcPr>
            <w:tcW w:type="dxa" w:w="780"/>
          </w:tcPr>
          <w:p>
            <w:r>
              <w:rPr>
                <w:b/>
                <w:sz w:val="20"/>
              </w:rPr>
              <w:t>EI signature</w:t>
            </w:r>
          </w:p>
        </w:tc>
        <w:tc>
          <w:tcPr>
            <w:tcW w:type="dxa" w:w="780"/>
          </w:tcPr>
          <w:p>
            <w:r>
              <w:rPr>
                <w:b/>
                <w:sz w:val="20"/>
              </w:rPr>
              <w:t>CI majeures</w:t>
            </w:r>
          </w:p>
        </w:tc>
        <w:tc>
          <w:tcPr>
            <w:tcW w:type="dxa" w:w="780"/>
          </w:tcPr>
          <w:p>
            <w:r>
              <w:rPr>
                <w:b/>
                <w:sz w:val="20"/>
              </w:rPr>
              <w:t>Grossesse 3e T</w:t>
            </w:r>
          </w:p>
        </w:tc>
        <w:tc>
          <w:tcPr>
            <w:tcW w:type="dxa" w:w="780"/>
          </w:tcPr>
          <w:p>
            <w:r>
              <w:rPr>
                <w:b/>
                <w:sz w:val="20"/>
              </w:rPr>
              <w:t>Allaitement</w:t>
            </w:r>
          </w:p>
        </w:tc>
        <w:tc>
          <w:tcPr>
            <w:tcW w:type="dxa" w:w="780"/>
          </w:tcPr>
          <w:p>
            <w:r>
              <w:rPr>
                <w:b/>
                <w:sz w:val="20"/>
              </w:rPr>
              <w:t>Liste</w:t>
            </w:r>
          </w:p>
        </w:tc>
      </w:tr>
      <w:tr>
        <w:tc>
          <w:tcPr>
            <w:tcW w:type="dxa" w:w="780"/>
          </w:tcPr>
          <w:p>
            <w:r>
              <w:rPr>
                <w:sz w:val="20"/>
              </w:rPr>
              <w:t>**Chlorhexidine (topique)**</w:t>
            </w:r>
          </w:p>
        </w:tc>
        <w:tc>
          <w:tcPr>
            <w:tcW w:type="dxa" w:w="780"/>
          </w:tcPr>
          <w:p>
            <w:r>
              <w:rPr>
                <w:sz w:val="20"/>
              </w:rPr>
              <w:t>Biguanide cationique</w:t>
            </w:r>
          </w:p>
        </w:tc>
        <w:tc>
          <w:tcPr>
            <w:tcW w:type="dxa" w:w="780"/>
          </w:tcPr>
          <w:p>
            <w:r>
              <w:rPr>
                <w:sz w:val="20"/>
              </w:rPr>
              <w:t>Disruption membrane bactérienne (perturbation perméabilité, fuite K+, dénaturation protéines) ; rémanence cutanée 6–48 h</w:t>
            </w:r>
          </w:p>
        </w:tc>
        <w:tc>
          <w:tcPr>
            <w:tcW w:type="dxa" w:w="780"/>
          </w:tcPr>
          <w:p>
            <w:r>
              <w:rPr>
                <w:sz w:val="20"/>
              </w:rPr>
              <w:t>Bactéries Gram+ et Gram– (Pseudomonas partiel), champignons, virus enveloppés ; peu actif sur spores et virus non enveloppés</w:t>
            </w:r>
          </w:p>
        </w:tc>
        <w:tc>
          <w:tcPr>
            <w:tcW w:type="dxa" w:w="780"/>
          </w:tcPr>
          <w:p>
            <w:r>
              <w:rPr>
                <w:sz w:val="20"/>
              </w:rPr>
              <w:t>Antisepsie cutanée pré-opératoire, désinfection des plaies, bains de bouche, désinfection des cathéters</w:t>
            </w:r>
          </w:p>
        </w:tc>
        <w:tc>
          <w:tcPr>
            <w:tcW w:type="dxa" w:w="780"/>
          </w:tcPr>
          <w:p>
            <w:r>
              <w:rPr>
                <w:sz w:val="20"/>
              </w:rPr>
              <w:t>Solution dermique 0,5 % (Hysadril alcoolique), bain de bouche 0,2 % (Hysadril), solution combinée (Dermobacter — chlorhexidine + benzalkonium)</w:t>
            </w:r>
          </w:p>
        </w:tc>
        <w:tc>
          <w:tcPr>
            <w:tcW w:type="dxa" w:w="780"/>
          </w:tcPr>
          <w:p>
            <w:r>
              <w:rPr>
                <w:sz w:val="20"/>
              </w:rPr>
              <w:t>7–10 jours (bain de bouche max 14 jours)</w:t>
            </w:r>
          </w:p>
        </w:tc>
        <w:tc>
          <w:tcPr>
            <w:tcW w:type="dxa" w:w="780"/>
          </w:tcPr>
          <w:p>
            <w:r>
              <w:rPr>
                <w:sz w:val="20"/>
              </w:rPr>
              <w:t>Coloration dentaire brune (usage buccal), dysgueusie, dermite d'irritation, anaphylaxie rare mais grave (formes alcooliques concentrées)</w:t>
            </w:r>
          </w:p>
        </w:tc>
        <w:tc>
          <w:tcPr>
            <w:tcW w:type="dxa" w:w="780"/>
          </w:tcPr>
          <w:p>
            <w:r>
              <w:rPr>
                <w:sz w:val="20"/>
              </w:rPr>
              <w:t>CI oreille (ototoxicité), CI œil (kératite), prématuré, néonatalogie prudence</w:t>
            </w:r>
          </w:p>
        </w:tc>
        <w:tc>
          <w:tcPr>
            <w:tcW w:type="dxa" w:w="780"/>
          </w:tcPr>
          <w:p>
            <w:r>
              <w:rPr>
                <w:sz w:val="20"/>
              </w:rPr>
              <w:t>Compatible (usage ponctuel cutané et buccal)</w:t>
            </w:r>
          </w:p>
        </w:tc>
        <w:tc>
          <w:tcPr>
            <w:tcW w:type="dxa" w:w="780"/>
          </w:tcPr>
          <w:p>
            <w:r>
              <w:rPr>
                <w:sz w:val="20"/>
              </w:rPr>
              <w:t>Compatible (ne pas appliquer sur mamelon avant tétée)</w:t>
            </w:r>
          </w:p>
        </w:tc>
        <w:tc>
          <w:tcPr>
            <w:tcW w:type="dxa" w:w="780"/>
          </w:tcPr>
          <w:p>
            <w:r>
              <w:rPr>
                <w:sz w:val="20"/>
              </w:rPr>
              <w:t>Hors liste</w:t>
            </w:r>
          </w:p>
        </w:tc>
      </w:tr>
      <w:tr>
        <w:tc>
          <w:tcPr>
            <w:tcW w:type="dxa" w:w="780"/>
          </w:tcPr>
          <w:p>
            <w:r>
              <w:rPr>
                <w:sz w:val="20"/>
              </w:rPr>
              <w:t>**Hexamidine**</w:t>
            </w:r>
          </w:p>
        </w:tc>
        <w:tc>
          <w:tcPr>
            <w:tcW w:type="dxa" w:w="780"/>
          </w:tcPr>
          <w:p>
            <w:r>
              <w:rPr>
                <w:sz w:val="20"/>
              </w:rPr>
              <w:t>Diamidine aromatique (di-iséthionate)</w:t>
            </w:r>
          </w:p>
        </w:tc>
        <w:tc>
          <w:tcPr>
            <w:tcW w:type="dxa" w:w="780"/>
          </w:tcPr>
          <w:p>
            <w:r>
              <w:rPr>
                <w:sz w:val="20"/>
              </w:rPr>
              <w:t>Inhibition métabolisme bactérien (intercalation ADN, inhibition topoisomérase II, altération perméabilité membranaire par compétition avec polyamines)</w:t>
            </w:r>
          </w:p>
        </w:tc>
        <w:tc>
          <w:tcPr>
            <w:tcW w:type="dxa" w:w="780"/>
          </w:tcPr>
          <w:p>
            <w:r>
              <w:rPr>
                <w:sz w:val="20"/>
              </w:rPr>
              <w:t>Bactéries Gram+ et Gram– (activité modeste), champignons (Candida), protozoaires (Acanthamoeba — indication ophtalmique majeure)</w:t>
            </w:r>
          </w:p>
        </w:tc>
        <w:tc>
          <w:tcPr>
            <w:tcW w:type="dxa" w:w="780"/>
          </w:tcPr>
          <w:p>
            <w:r>
              <w:rPr>
                <w:sz w:val="20"/>
              </w:rPr>
              <w:t>Conjonctivites bactériennes légères, blépharites, kératites amibiennes, antisepsie cutanée, antisepsie du cordon</w:t>
            </w:r>
          </w:p>
        </w:tc>
        <w:tc>
          <w:tcPr>
            <w:tcW w:type="dxa" w:w="780"/>
          </w:tcPr>
          <w:p>
            <w:r>
              <w:rPr>
                <w:sz w:val="20"/>
              </w:rPr>
              <w:t>Collyre 0,1 % (Désomédine), solution dermique 0,1 % (Isomédine, Hexomédine)</w:t>
            </w:r>
          </w:p>
        </w:tc>
        <w:tc>
          <w:tcPr>
            <w:tcW w:type="dxa" w:w="780"/>
          </w:tcPr>
          <w:p>
            <w:r>
              <w:rPr>
                <w:sz w:val="20"/>
              </w:rPr>
              <w:t>5–7 jours (collyre), 7–10 jours (solution dermique)</w:t>
            </w:r>
          </w:p>
        </w:tc>
        <w:tc>
          <w:tcPr>
            <w:tcW w:type="dxa" w:w="780"/>
          </w:tcPr>
          <w:p>
            <w:r>
              <w:rPr>
                <w:sz w:val="20"/>
              </w:rPr>
              <w:t>Picotement transitoire à l'instillation, hyperhémie conjonctivale, dermite d'irritation, dermatite de contact allergique rare</w:t>
            </w:r>
          </w:p>
        </w:tc>
        <w:tc>
          <w:tcPr>
            <w:tcW w:type="dxa" w:w="780"/>
          </w:tcPr>
          <w:p>
            <w:r>
              <w:rPr>
                <w:sz w:val="20"/>
              </w:rPr>
              <w:t>CI porteur de lentilles pendant traitement (collyre avec BAK), prudence en cas d'usage ophtalmique prolongé</w:t>
            </w:r>
          </w:p>
        </w:tc>
        <w:tc>
          <w:tcPr>
            <w:tcW w:type="dxa" w:w="780"/>
          </w:tcPr>
          <w:p>
            <w:r>
              <w:rPr>
                <w:sz w:val="20"/>
              </w:rPr>
              <w:t>Compatible (alternative à la povidone iodée)</w:t>
            </w:r>
          </w:p>
        </w:tc>
        <w:tc>
          <w:tcPr>
            <w:tcW w:type="dxa" w:w="780"/>
          </w:tcPr>
          <w:p>
            <w:r>
              <w:rPr>
                <w:sz w:val="20"/>
              </w:rPr>
              <w:t>Compatible (pas de passage systémique significatif)</w:t>
            </w:r>
          </w:p>
        </w:tc>
        <w:tc>
          <w:tcPr>
            <w:tcW w:type="dxa" w:w="780"/>
          </w:tcPr>
          <w:p>
            <w:r>
              <w:rPr>
                <w:sz w:val="20"/>
              </w:rPr>
              <w:t>Hors liste</w:t>
            </w:r>
          </w:p>
        </w:tc>
      </w:tr>
      <w:tr>
        <w:tc>
          <w:tcPr>
            <w:tcW w:type="dxa" w:w="780"/>
          </w:tcPr>
          <w:p>
            <w:r>
              <w:rPr>
                <w:sz w:val="20"/>
              </w:rPr>
              <w:t>**Benzalkonium (chlorure)**</w:t>
            </w:r>
          </w:p>
        </w:tc>
        <w:tc>
          <w:tcPr>
            <w:tcW w:type="dxa" w:w="780"/>
          </w:tcPr>
          <w:p>
            <w:r>
              <w:rPr>
                <w:sz w:val="20"/>
              </w:rPr>
              <w:t>Ammonium quaternaire cationique</w:t>
            </w:r>
          </w:p>
        </w:tc>
        <w:tc>
          <w:tcPr>
            <w:tcW w:type="dxa" w:w="780"/>
          </w:tcPr>
          <w:p>
            <w:r>
              <w:rPr>
                <w:sz w:val="20"/>
              </w:rPr>
              <w:t>Disruption membrane bactérienne (agent de surface cationique, formation de pores, fuite intracellulaire, lyse) ; spermicide</w:t>
            </w:r>
          </w:p>
        </w:tc>
        <w:tc>
          <w:tcPr>
            <w:tcW w:type="dxa" w:w="780"/>
          </w:tcPr>
          <w:p>
            <w:r>
              <w:rPr>
                <w:sz w:val="20"/>
              </w:rPr>
              <w:t>Bactéries Gram+, Gram– (Pseudomonas résistant), champignons (modeste), virus enveloppés ; peu actif sur mycobactéries, spores, virus non enveloppés</w:t>
            </w:r>
          </w:p>
        </w:tc>
        <w:tc>
          <w:tcPr>
            <w:tcW w:type="dxa" w:w="780"/>
          </w:tcPr>
          <w:p>
            <w:r>
              <w:rPr>
                <w:sz w:val="20"/>
              </w:rPr>
              <w:t>Contraception locale spermicide gynécologique (Pharmatex — ovules et crème vaginale)</w:t>
            </w:r>
          </w:p>
        </w:tc>
        <w:tc>
          <w:tcPr>
            <w:tcW w:type="dxa" w:w="780"/>
          </w:tcPr>
          <w:p>
            <w:r>
              <w:rPr>
                <w:sz w:val="20"/>
              </w:rPr>
              <w:t>Ovules gynécologiques 18,9 mg (Pharmatex), crème vaginale 1,2 % (Pharmatex)</w:t>
            </w:r>
          </w:p>
        </w:tc>
        <w:tc>
          <w:tcPr>
            <w:tcW w:type="dxa" w:w="780"/>
          </w:tcPr>
          <w:p>
            <w:r>
              <w:rPr>
                <w:sz w:val="20"/>
              </w:rPr>
              <w:t>Un ovule ou une dose par rapport sexuel</w:t>
            </w:r>
          </w:p>
        </w:tc>
        <w:tc>
          <w:tcPr>
            <w:tcW w:type="dxa" w:w="780"/>
          </w:tcPr>
          <w:p>
            <w:r>
              <w:rPr>
                <w:sz w:val="20"/>
              </w:rPr>
              <w:t>Irritation vaginale, candidose récidivante, dermatite de contact allergique, leucorrhées abondantes post-application</w:t>
            </w:r>
          </w:p>
        </w:tc>
        <w:tc>
          <w:tcPr>
            <w:tcW w:type="dxa" w:w="780"/>
          </w:tcPr>
          <w:p>
            <w:r>
              <w:rPr>
                <w:sz w:val="20"/>
              </w:rPr>
              <w:t>CI muqueuses ulcérées, CI comme contraceptif unique chez patiente à risque IST, CI porteur de lentilles (collyre avec BAK)</w:t>
            </w:r>
          </w:p>
        </w:tc>
        <w:tc>
          <w:tcPr>
            <w:tcW w:type="dxa" w:w="780"/>
          </w:tcPr>
          <w:p>
            <w:r>
              <w:rPr>
                <w:sz w:val="20"/>
              </w:rPr>
              <w:t>Compatible en usage ponctuel (pas d'indication pendant la grossesse)</w:t>
            </w:r>
          </w:p>
        </w:tc>
        <w:tc>
          <w:tcPr>
            <w:tcW w:type="dxa" w:w="780"/>
          </w:tcPr>
          <w:p>
            <w:r>
              <w:rPr>
                <w:sz w:val="20"/>
              </w:rPr>
              <w:t>Compatible (alternative non hormonale en post-partum)</w:t>
            </w:r>
          </w:p>
        </w:tc>
        <w:tc>
          <w:tcPr>
            <w:tcW w:type="dxa" w:w="780"/>
          </w:tcPr>
          <w:p>
            <w:r>
              <w:rPr>
                <w:sz w:val="20"/>
              </w:rPr>
              <w:t>Hors liste</w:t>
            </w:r>
          </w:p>
        </w:tc>
      </w:tr>
      <w:tr>
        <w:tc>
          <w:tcPr>
            <w:tcW w:type="dxa" w:w="780"/>
          </w:tcPr>
          <w:p>
            <w:r>
              <w:rPr>
                <w:sz w:val="20"/>
              </w:rPr>
              <w:t>**Cetrimide**</w:t>
            </w:r>
          </w:p>
        </w:tc>
        <w:tc>
          <w:tcPr>
            <w:tcW w:type="dxa" w:w="780"/>
          </w:tcPr>
          <w:p>
            <w:r>
              <w:rPr>
                <w:sz w:val="20"/>
              </w:rPr>
              <w:t>Ammonium quaternaire cationique (mélange de chlorures d'alkyltriméthylammonium)</w:t>
            </w:r>
          </w:p>
        </w:tc>
        <w:tc>
          <w:tcPr>
            <w:tcW w:type="dxa" w:w="780"/>
          </w:tcPr>
          <w:p>
            <w:r>
              <w:rPr>
                <w:sz w:val="20"/>
              </w:rPr>
              <w:t>Disruption membrane bactérienne (agent de surface cationique, identique au benzalkonium, effet détergent)</w:t>
            </w:r>
          </w:p>
        </w:tc>
        <w:tc>
          <w:tcPr>
            <w:tcW w:type="dxa" w:w="780"/>
          </w:tcPr>
          <w:p>
            <w:r>
              <w:rPr>
                <w:sz w:val="20"/>
              </w:rPr>
              <w:t>Bactéries Gram+ et Gram– (activité modeste), champignons (modeste), virus enveloppés ; peu actif sur mycobactéries, spores, virus non enveloppés</w:t>
            </w:r>
          </w:p>
        </w:tc>
        <w:tc>
          <w:tcPr>
            <w:tcW w:type="dxa" w:w="780"/>
          </w:tcPr>
          <w:p>
            <w:r>
              <w:rPr>
                <w:sz w:val="20"/>
              </w:rPr>
              <w:t>Antisepsie cutanée des petites plaies, prurit surinfecté, désinfection des cordons</w:t>
            </w:r>
          </w:p>
        </w:tc>
        <w:tc>
          <w:tcPr>
            <w:tcW w:type="dxa" w:w="780"/>
          </w:tcPr>
          <w:p>
            <w:r>
              <w:rPr>
                <w:sz w:val="20"/>
              </w:rPr>
              <w:t>Crème 0,5 % (Cevlodil), solution dermique 0,2 % (Cetavlon) — non disponibles (statut non renouvelable / retrait)</w:t>
            </w:r>
          </w:p>
        </w:tc>
        <w:tc>
          <w:tcPr>
            <w:tcW w:type="dxa" w:w="780"/>
          </w:tcPr>
          <w:p>
            <w:r>
              <w:rPr>
                <w:sz w:val="20"/>
              </w:rPr>
              <w:t>7–10 jours</w:t>
            </w:r>
          </w:p>
        </w:tc>
        <w:tc>
          <w:tcPr>
            <w:tcW w:type="dxa" w:w="780"/>
          </w:tcPr>
          <w:p>
            <w:r>
              <w:rPr>
                <w:sz w:val="20"/>
              </w:rPr>
              <w:t>Irritation locale, dermite d'irritation, dermatite de contact allergique, toxicité systémique en cas d'application prolongée étendue</w:t>
            </w:r>
          </w:p>
        </w:tc>
        <w:tc>
          <w:tcPr>
            <w:tcW w:type="dxa" w:w="780"/>
          </w:tcPr>
          <w:p>
            <w:r>
              <w:rPr>
                <w:sz w:val="20"/>
              </w:rPr>
              <w:t>CI oreille (ototoxicité), CI œil (kératite), CI grandes surfaces brûlées</w:t>
            </w:r>
          </w:p>
        </w:tc>
        <w:tc>
          <w:tcPr>
            <w:tcW w:type="dxa" w:w="780"/>
          </w:tcPr>
          <w:p>
            <w:r>
              <w:rPr>
                <w:sz w:val="20"/>
              </w:rPr>
              <w:t>Compatible en usage ponctuel sur petite surface</w:t>
            </w:r>
          </w:p>
        </w:tc>
        <w:tc>
          <w:tcPr>
            <w:tcW w:type="dxa" w:w="780"/>
          </w:tcPr>
          <w:p>
            <w:r>
              <w:rPr>
                <w:sz w:val="20"/>
              </w:rPr>
              <w:t>Compatible (ne pas appliquer sur mamelon avant tétée)</w:t>
            </w:r>
          </w:p>
        </w:tc>
        <w:tc>
          <w:tcPr>
            <w:tcW w:type="dxa" w:w="780"/>
          </w:tcPr>
          <w:p>
            <w:r>
              <w:rPr>
                <w:sz w:val="20"/>
              </w:rPr>
              <w:t>Hors liste</w:t>
            </w:r>
          </w:p>
        </w:tc>
      </w:tr>
      <w:tr>
        <w:tc>
          <w:tcPr>
            <w:tcW w:type="dxa" w:w="780"/>
          </w:tcPr>
          <w:p>
            <w:r>
              <w:rPr>
                <w:sz w:val="20"/>
              </w:rPr>
              <w:t>**Povidone iodée**</w:t>
            </w:r>
          </w:p>
        </w:tc>
        <w:tc>
          <w:tcPr>
            <w:tcW w:type="dxa" w:w="780"/>
          </w:tcPr>
          <w:p>
            <w:r>
              <w:rPr>
                <w:sz w:val="20"/>
              </w:rPr>
              <w:t>Dérivé iodé (PVP-iode)</w:t>
            </w:r>
          </w:p>
        </w:tc>
        <w:tc>
          <w:tcPr>
            <w:tcW w:type="dxa" w:w="780"/>
          </w:tcPr>
          <w:p>
            <w:r>
              <w:rPr>
                <w:sz w:val="20"/>
              </w:rPr>
              <w:t>Libération d'iode libre → oxydation des protéines bactériennes (groupes -SH, halogénation tyrosine/histidine, altération ADN/ARN, oxydation des acides gras membranaires)</w:t>
            </w:r>
          </w:p>
        </w:tc>
        <w:tc>
          <w:tcPr>
            <w:tcW w:type="dxa" w:w="780"/>
          </w:tcPr>
          <w:p>
            <w:r>
              <w:rPr>
                <w:sz w:val="20"/>
              </w:rPr>
              <w:t>Bactéries Gram+ et Gram– (y compris SARM, entérocoques résistants), mycobactéries, spores (partiel), champignons, virus enveloppés et non enveloppés, protozoaires — spectre le plus large des antiseptiques</w:t>
            </w:r>
          </w:p>
        </w:tc>
        <w:tc>
          <w:tcPr>
            <w:tcW w:type="dxa" w:w="780"/>
          </w:tcPr>
          <w:p>
            <w:r>
              <w:rPr>
                <w:sz w:val="20"/>
              </w:rPr>
              <w:t>Antisepsie cutanée pré-opératoire, désinfection des plaies, prophylaxie infections néonatales strepto B, désinfection des cordons, désinfection chirurgicale des mains</w:t>
            </w:r>
          </w:p>
        </w:tc>
        <w:tc>
          <w:tcPr>
            <w:tcW w:type="dxa" w:w="780"/>
          </w:tcPr>
          <w:p>
            <w:r>
              <w:rPr>
                <w:sz w:val="20"/>
              </w:rPr>
              <w:t>Solution dermique 10 % (Betaderm, Dermadine, Polylad, Povip, Septidine, Betadermine), solution moussante 4 % (Betadermine moussant, Iodacryl), solution gynécologique 10 % (Betadermine gynéco)</w:t>
            </w:r>
          </w:p>
        </w:tc>
        <w:tc>
          <w:tcPr>
            <w:tcW w:type="dxa" w:w="780"/>
          </w:tcPr>
          <w:p>
            <w:r>
              <w:rPr>
                <w:sz w:val="20"/>
              </w:rPr>
              <w:t>7–10 jours (cutané), 5–7 jours (gynéco), 1–3 jours (plaie chronique)</w:t>
            </w:r>
          </w:p>
        </w:tc>
        <w:tc>
          <w:tcPr>
            <w:tcW w:type="dxa" w:w="780"/>
          </w:tcPr>
          <w:p>
            <w:r>
              <w:rPr>
                <w:sz w:val="20"/>
              </w:rPr>
              <w:t>Coloration brune, séchage cutané, dermite d'irritation, dysthyroïdie (hypo/hyper), acidose métabolique (usage prolongé étendu), insuffisance rénale aiguë</w:t>
            </w:r>
          </w:p>
        </w:tc>
        <w:tc>
          <w:tcPr>
            <w:tcW w:type="dxa" w:w="780"/>
          </w:tcPr>
          <w:p>
            <w:r>
              <w:rPr>
                <w:sz w:val="20"/>
              </w:rPr>
              <w:t>CI dysthyroïdie connue, CI 3e trimestre grossesse, CI néonatalogie prématuré, CI examen isotopique thyroïdien (2–4 sem avant), CI insuffisance rénale sévère</w:t>
            </w:r>
          </w:p>
        </w:tc>
        <w:tc>
          <w:tcPr>
            <w:tcW w:type="dxa" w:w="780"/>
          </w:tcPr>
          <w:p>
            <w:r>
              <w:rPr>
                <w:sz w:val="20"/>
              </w:rPr>
              <w:t>CONTRE-INDICATION 3e trimestre (à partir de 28 SA) — hypothyroïdie fœtale, goitre fœtal</w:t>
            </w:r>
          </w:p>
        </w:tc>
        <w:tc>
          <w:tcPr>
            <w:tcW w:type="dxa" w:w="780"/>
          </w:tcPr>
          <w:p>
            <w:r>
              <w:rPr>
                <w:sz w:val="20"/>
              </w:rPr>
              <w:t>Prudence en usage prolongé étendu ; usage ponctuel compatible</w:t>
            </w:r>
          </w:p>
        </w:tc>
        <w:tc>
          <w:tcPr>
            <w:tcW w:type="dxa" w:w="780"/>
          </w:tcPr>
          <w:p>
            <w:r>
              <w:rPr>
                <w:sz w:val="20"/>
              </w:rPr>
              <w:t>Hors liste</w:t>
            </w:r>
          </w:p>
        </w:tc>
      </w:tr>
      <w:tr>
        <w:tc>
          <w:tcPr>
            <w:tcW w:type="dxa" w:w="780"/>
          </w:tcPr>
          <w:p>
            <w:r>
              <w:rPr>
                <w:sz w:val="20"/>
              </w:rPr>
              <w:t>**Mupirocine**</w:t>
            </w:r>
          </w:p>
        </w:tc>
        <w:tc>
          <w:tcPr>
            <w:tcW w:type="dxa" w:w="780"/>
          </w:tcPr>
          <w:p>
            <w:r>
              <w:rPr>
                <w:sz w:val="20"/>
              </w:rPr>
              <w:t>Antibiotique topique (inhibiteur isoleucyl-tRNA synthétase)</w:t>
            </w:r>
          </w:p>
        </w:tc>
        <w:tc>
          <w:tcPr>
            <w:tcW w:type="dxa" w:w="780"/>
          </w:tcPr>
          <w:p>
            <w:r>
              <w:rPr>
                <w:sz w:val="20"/>
              </w:rPr>
              <w:t>Inhibition isoleucyl-tRNA synthétase bactérienne (blocage incorporation isoleucine dans protéines → blocage protéosynthèse → mort bactérienne) ; bactéricide concentration-dépendant</w:t>
            </w:r>
          </w:p>
        </w:tc>
        <w:tc>
          <w:tcPr>
            <w:tcW w:type="dxa" w:w="780"/>
          </w:tcPr>
          <w:p>
            <w:r>
              <w:rPr>
                <w:sz w:val="20"/>
              </w:rPr>
              <w:t>Bactéries Gram+ (Staphylocoque aureus y compris SARM, Staph epidermidis, Streptocoque A et B) ; activité modeste sur Gram– (Haemophilus, Neisseria) ; pas d'activité sur Pseudomonas, mycobactéries, champignons, virus</w:t>
            </w:r>
          </w:p>
        </w:tc>
        <w:tc>
          <w:tcPr>
            <w:tcW w:type="dxa" w:w="780"/>
          </w:tcPr>
          <w:p>
            <w:r>
              <w:rPr>
                <w:sz w:val="20"/>
              </w:rPr>
              <w:t>Impétigo localisé, folliculite, surinfection de dermatose, éradication du portage nasal SARM (forme nasale non disponible en Algérie)</w:t>
            </w:r>
          </w:p>
        </w:tc>
        <w:tc>
          <w:tcPr>
            <w:tcW w:type="dxa" w:w="780"/>
          </w:tcPr>
          <w:p>
            <w:r>
              <w:rPr>
                <w:sz w:val="20"/>
              </w:rPr>
              <w:t>Pommade dermique 2 % (Bactroban, Infectoban, Microban, Mupirocine Novagenerics) — tube 15 g, Liste I</w:t>
            </w:r>
          </w:p>
        </w:tc>
        <w:tc>
          <w:tcPr>
            <w:tcW w:type="dxa" w:w="780"/>
          </w:tcPr>
          <w:p>
            <w:r>
              <w:rPr>
                <w:sz w:val="20"/>
              </w:rPr>
              <w:t>7–10 jours maximum</w:t>
            </w:r>
          </w:p>
        </w:tc>
        <w:tc>
          <w:tcPr>
            <w:tcW w:type="dxa" w:w="780"/>
          </w:tcPr>
          <w:p>
            <w:r>
              <w:rPr>
                <w:sz w:val="20"/>
              </w:rPr>
              <w:t>Sensation de brûlure transitoire, prurit, érythème, dermatite de contact allergique rare, résistance bactérienne (mutation ileS — résistance haut niveau SARM) en cas d'usage prolongé</w:t>
            </w:r>
          </w:p>
        </w:tc>
        <w:tc>
          <w:tcPr>
            <w:tcW w:type="dxa" w:w="780"/>
          </w:tcPr>
          <w:p>
            <w:r>
              <w:rPr>
                <w:sz w:val="20"/>
              </w:rPr>
              <w:t>CI grandes surfaces cutanées lésées ou brûlées, CI œil, CI insuffisance rénale sévère (clairance &lt; 30 mL/min — résorption PEG)</w:t>
            </w:r>
          </w:p>
        </w:tc>
        <w:tc>
          <w:tcPr>
            <w:tcW w:type="dxa" w:w="780"/>
          </w:tcPr>
          <w:p>
            <w:r>
              <w:rPr>
                <w:sz w:val="20"/>
              </w:rPr>
              <w:t>Compatible en usage court et localisé</w:t>
            </w:r>
          </w:p>
        </w:tc>
        <w:tc>
          <w:tcPr>
            <w:tcW w:type="dxa" w:w="780"/>
          </w:tcPr>
          <w:p>
            <w:r>
              <w:rPr>
                <w:sz w:val="20"/>
              </w:rPr>
              <w:t>Compatible (ne pas appliquer sur mamelon avant tétée)</w:t>
            </w:r>
          </w:p>
        </w:tc>
        <w:tc>
          <w:tcPr>
            <w:tcW w:type="dxa" w:w="780"/>
          </w:tcPr>
          <w:p>
            <w:r>
              <w:rPr>
                <w:sz w:val="20"/>
              </w:rPr>
              <w:t>Liste I (prescription médicale obligatoire)</w:t>
            </w:r>
          </w:p>
        </w:tc>
      </w:tr>
    </w:tbl>
    <w:p/>
    <w:p>
      <w:pPr>
        <w:pStyle w:val="Heading2"/>
      </w:pPr>
      <w:r>
        <w:t>Conclusion générale du chapitre</w:t>
      </w:r>
    </w:p>
    <w:p>
      <w:r>
        <w:t>Les antiseptiques et antibiotiques topiques constituent un pilier de la pharmacie d'officine algérienne, à la croisée de la prescription médicale (mupirocine — Liste I) et de l'automédication encadrée (chlorhexidine, hexamidine, ammoniums quaternaires, povidone iodée — hors liste mais réservés à des indications précises). Leur maîtrise par le pharmacien d'officine et le médecin généraliste repose sur plusieurs principes structurants :</w:t>
      </w:r>
    </w:p>
    <w:p>
      <w:r/>
      <w:r>
        <w:rPr>
          <w:b/>
        </w:rPr>
        <w:t>1. Le principe de l'antisepsie sur peau PROPRE :</w:t>
      </w:r>
      <w:r>
        <w:t xml:space="preserve"> tout antiseptique est inactivé par les protéines, le sang et le pus — le lavage soigneux à l'eau et au savon doux préalable est OBLIGATOIRE. Sur une plaie sale, l'antiseptique est inefficace et peut même masquer une infection profonde. Cette règle simple conditionne l'efficacité de tous les antiseptiques, indépendamment de leur spectre et de leur concentration.</w:t>
      </w:r>
    </w:p>
    <w:p>
      <w:r/>
      <w:r>
        <w:rPr>
          <w:b/>
        </w:rPr>
        <w:t>2. Le principe de la durée LIMITÉE :</w:t>
      </w:r>
      <w:r>
        <w:t xml:space="preserve"> aucun antiseptique ni antibiotique topique n'est destiné à un usage prolongé sans réévaluation médicale. La chlorhexidine en bain de bouche doit être arrêtée à 7–14 jours (coloration dentaire), la povidone iodée à 7–10 jours en cutané et 1–3 jours en plaie chronique (dysthyroïdie, acidose métabolique), la mupirocine à 7–10 jours stricts (résistance SARM). L'usage prolongé altère le microbiote cutané, sélectionne des résistances, et expose à des toxicités systémiques.</w:t>
      </w:r>
    </w:p>
    <w:p>
      <w:r/>
      <w:r>
        <w:rPr>
          <w:b/>
        </w:rPr>
        <w:t>3. Le principe du SPECTRE adapté à l'indication :</w:t>
      </w:r>
      <w:r>
        <w:t xml:space="preserve"> pour une plaie aiguë simple, la chlorhexidine (rémanence) ou la povidone iodée (spectre large) suffisent. Pour une plaie chronique (ulcère, escarre), la povidone iodée 10 % aqueuse est préférée (spectre large incluant Pseudomonas). Pour une conjonctivite bactérienne, l'hexamidine collyre (Désomédine) est la référence (alternative à la povidone iodée au 3e trimestre de grossesse). Pour un impétigo localisé, la mupirocine est l'antibiotique topique de première intention (couvre Staphylocoque et Streptocoque). Pour une préparation pré-opératoire, la povidone iodée aqueuse 10 % est la référence OMS en Algérie (la chlorhexidine alcoolique 2 %, idéale selon l'OMS, n'est pas disponible dans la nomenclature actuelle).</w:t>
      </w:r>
    </w:p>
    <w:p>
      <w:r/>
      <w:r>
        <w:rPr>
          <w:b/>
        </w:rPr>
        <w:t>4. Le principe des CONTRE-INDICATIONS majeures :</w:t>
      </w:r>
      <w:r>
        <w:t xml:space="preserve"> la chlorhexidine est ototoxique (CI oreille) et oculotoxique (CI œil) ; la povidone iodée est contre-indiquée au 3e trimestre de grossesse (hypothyroïdie fœtale, goitre fœtal) et en cas de dysthyroïdie connue (Basedow, Hashimoto) ; la mupirocine ne doit pas être appliquée sur de grandes surfaces cutanées lésées (résorption du polyéthylène glycol avec toxicité rénale) ; les ammoniums quaternaires sont irritants pour les muqueuses à concentration élevée et incompatibles avec les savons anioniques.</w:t>
      </w:r>
    </w:p>
    <w:p>
      <w:r/>
      <w:r>
        <w:rPr>
          <w:b/>
        </w:rPr>
        <w:t>5. Le principe de la GROSSESSE et de l'ALLAITEMENT :</w:t>
      </w:r>
      <w:r>
        <w:t xml:space="preserve"> la chlorhexidine et l'hexamidine sont compatibles à tous les trimestres de la grossesse en usage ponctuel ; la povidone iodée est contre-indiquée au 3e trimestre (à partir de 28 SA) et en néonatalogie prématurée ; la mupirocine est compatible en usage court et localisé. Pour l'allaitement, éviter l'application sur le mamelon avant la tétée (rincer soigneusement pour tous les produits).</w:t>
      </w:r>
    </w:p>
    <w:p>
      <w:r/>
      <w:r>
        <w:rPr>
          <w:b/>
        </w:rPr>
        <w:t>6. Le principe de la RÉSISTANCE bactérienne :</w:t>
      </w:r>
      <w:r>
        <w:t xml:space="preserve"> la mupirocine expose à la sélection de résistance SARM (mutations ileS — résistance de haut niveau), particulièrement préoccupante en milieu hospitalier ; la chlorhexidine expose à la sélection de Pseudomonas en milieu hydrique (solutions contaminées) ; les ammoniums quaternaires exposent à la sélection de staphylocoques qac+ (pompes à efflux). La surveillance épidémiologique des résistances en milieu hospitalier, l'alternance des classes antiseptiques, et le respect strict des durées d'utilisation sont essentiels.</w:t>
      </w:r>
    </w:p>
    <w:p>
      <w:r/>
      <w:r>
        <w:rPr>
          <w:b/>
        </w:rPr>
        <w:t>7. Le principe du CHOIX ÉCLAIRÉ entre antiseptique et antibiotique topique :</w:t>
      </w:r>
      <w:r>
        <w:t xml:space="preserve"> l'antiseptique est utilisé à visée préventive (avant un geste, sur peau saine ou sur plaie aiguë) ou en traitement adjuvant (en complément d'un antibiotique systémique). L'antibiotique topique est utilisé à visée curative sur une infection bactérienne localisée documentée (impétigo, folliculite, surinfection de dermatose). L'antibiotique topique ne remplace pas l'antiseptique en prophylaxie pré-opératoire (pas d'avantage démontré, sélection de résistance). À l'inverse, l'antiseptique ne suffit pas à traiter une infection bactérienne établie (imprégnation tissulaire insuffisante, spectre limité) — le recours à l'antibiothérapie systémique est nécessaire en cas de lésion extensive, profonde, ou compliquée (cellulite, abcès, ectima, lymphangite, adénopathie, fièvre).</w:t>
      </w:r>
    </w:p>
    <w:p>
      <w:r/>
      <w:r>
        <w:rPr>
          <w:b/>
        </w:rPr>
        <w:t>8. Le principe de la DISPONIBILITÉ algérienne et de l'accès :</w:t>
      </w:r>
      <w:r>
        <w:t xml:space="preserve"> la nomenclature algérienne (Avril 2026) comprend des spécialités natives (groupe Saidal, LPA, GPA, Biopharm, Lad Pharma, Pharmagreb, Riadh Pharm, Hysa, Isopharm, El Kendi, Onyx, Novapharm) et historiques (Pierre Fabre, Meda Pharma, GSK, Zeneca, Innotech International, Chauvin) pour ces classes. Plusieurs spécialités historiques sont retirées ou non renouvelables (Cetavlon, Crobénzal, Oromédine, Betadine, Poliodine, Poviroch, Iodosept, Hexaderm poudre, Hexomédine 0,15 %), ce qui impose au praticien et au pharmacien de connaître les alternatives disponibles. Les ruptures de stock périodiques nécessitent une maîtrise des équivalences entre spécialités natives.</w:t>
      </w:r>
    </w:p>
    <w:p>
      <w:r>
        <w:t>La pratique clinique de l'antiseptique et de l'antibiotique topique en Algérie repose ainsi sur une connaissance fine des molécules disponibles, de leurs indications, de leurs contre-indications, de leurs interactions, et de leur bon usage selon le terrain (grossesse, allaitement, nouveau-né, insuffisant rénal, patient dysthyroïdien). Le pharmacien d'officine occupe une place centrale dans la dispensation, l'éducation du patient, le dépistage des mauvais usages (automédication prolongée, application sur grandes surfaces lésées, utilisation comme contraceptif unique sans complément), et l'orientation vers le médecin en cas de signes d'alarme (non-amélioration à 5 jours, aggravation, extension, fièvre, adénopathie).</w:t>
      </w:r>
    </w:p>
    <w:p>
      <w:r>
        <w:t>Le présent chapitre a détaillé six DCIs réparties sur cinq sous-classes chimiques, en intégrant les particularités de la nomenclature algérienne (Avril 2026) et les sources internationales de référence (VIDAL, ANSM, Thériaque, CRAT, OMS, UpToDate, SF2H). Il s'inscrit dans le Fascicule XIII (Dermatologie) en cohérence avec les autres chapitres du fascicule (rétinoïdes et acné, dermocorticoïdes, inhibiteurs de la calcineurine et analogues de la vitamine D, kératolytiques, cicatrisants et antiprurigineux, biothérapies dermatologiques) pour offrir une vision intégrée de la pharmacologie dermatologique algérienne.</w:t>
      </w:r>
    </w:p>
    <w:p>
      <w:r/>
      <w:r>
        <w:rPr>
          <w:i/>
        </w:rPr>
        <w:t>Sources mobilisées : VIDAL 2024, ANSM (Résumé des Caractéristiques du Produit), Thériaque, CRAT (Centre de Renseignement sur les Agents Tératogènes), OMS (Liste des médicaments essentiels, recommandations 2018 sur la préparation cutanée pré-opératoire), CDC (Centers for Disease Control — recommandations sur la désinfection des cathéters), SF2H (Société Française d'Hygiène Hospitalière), UpToDate (chapitre « Topical antiseptics and antibiotics »), COMER Algérie (données épidémiologiques de résistance SARM à la mupirocine 2020-2024), EMA (alerte 2014-2017 sur l'anaphylaxie à la chlorhexidine).</w:t>
      </w:r>
      <w:r/>
    </w:p>
    <w:p>
      <w:pPr>
        <w:pStyle w:val="Heading1"/>
      </w:pPr>
      <w:r>
        <w:t>Fascicule XIII — Dermatologie</w:t>
      </w:r>
    </w:p>
    <w:p>
      <w:pPr>
        <w:pStyle w:val="Heading2"/>
      </w:pPr>
      <w:r>
        <w:t>Chapitre 125 — Cicatrisants, Antiprurigineux et divers (Panthénol, Phytothérapie, Héparinoïdes, Counter-irritants, Crotamiton, Mafénide, Minoxidil)</w:t>
      </w:r>
    </w:p>
    <w:p>
      <w:pPr>
        <w:pStyle w:val="Heading2"/>
      </w:pPr>
      <w:r>
        <w:t>Introduction du Chapitre 125</w:t>
      </w:r>
    </w:p>
    <w:p>
      <w:r>
        <w:t xml:space="preserve">Le présent chapitre clôt le Fascicule XIII consacré à la Dermatologie en abordant un ensemble hétéroclite de spécialités pharmaceutiques qui partagent la particularité d'être appliquées sur la peau (voie topique prédominante) pour des finalités thérapeutiques très diverses : favoriser la </w:t>
      </w:r>
      <w:r>
        <w:rPr>
          <w:b/>
        </w:rPr>
        <w:t>cicatrisation cutanéo-muqueuse</w:t>
      </w:r>
      <w:r>
        <w:t xml:space="preserve"> (panthénol, phytothérapie du </w:t>
      </w:r>
      <w:r>
        <w:rPr>
          <w:i/>
        </w:rPr>
        <w:t>Centella asiatica</w:t>
      </w:r>
      <w:r>
        <w:t xml:space="preserve">, héparinoïdes), </w:t>
      </w:r>
      <w:r>
        <w:rPr>
          <w:b/>
        </w:rPr>
        <w:t>calmer le prurit</w:t>
      </w:r>
      <w:r>
        <w:t xml:space="preserve"> (counter-irritants — camphre — et antiprurigineux vrais — crotamiton), </w:t>
      </w:r>
      <w:r>
        <w:rPr>
          <w:b/>
        </w:rPr>
        <w:t>prévenir l'infection des brûlures</w:t>
      </w:r>
      <w:r>
        <w:t xml:space="preserve"> (sulfamides topiques — mafénide) et </w:t>
      </w:r>
      <w:r>
        <w:rPr>
          <w:b/>
        </w:rPr>
        <w:t>stimuler la repousse pilaire</w:t>
      </w:r>
      <w:r>
        <w:t xml:space="preserve"> dans certaines alopécies (vasodilatateurs capillaires — minoxidil). Si ces médicaments ne partagent aucune parenté mécanistique profonde, ils ont en commun d'illustrer une </w:t>
      </w:r>
      <w:r>
        <w:rPr>
          <w:b/>
        </w:rPr>
        <w:t>dermatologie de terrain</w:t>
      </w:r>
      <w:r>
        <w:t xml:space="preserve"> vieille de plusieurs décennies, dont les fondements scientifiques sont parfois anciens (le mafénide a été introduit en 1940 dans les services de brûlés militaires américains de la Seconde Guerre mondiale, le minoxidil topique est issu en 1980 de l'observation fortuite d'hypertrichose sous antihypertenseur oral) et d'être régulièrement prescrits en ville comme à l'hôpital.</w:t>
      </w:r>
    </w:p>
    <w:p>
      <w:r>
        <w:t xml:space="preserve">Le </w:t>
      </w:r>
      <w:r>
        <w:rPr>
          <w:b/>
        </w:rPr>
        <w:t>dexpanthénol</w:t>
      </w:r>
      <w:r>
        <w:t xml:space="preserve"> (provitamine B5 — D-pantothénol) est le métabolite précurseur de l'acide pantothénique (vitamine B5), cofacteur indispensable de la </w:t>
      </w:r>
      <w:r>
        <w:rPr>
          <w:b/>
        </w:rPr>
        <w:t>coenzyme A</w:t>
      </w:r>
      <w:r>
        <w:t xml:space="preserve"> (CoA) et du </w:t>
      </w:r>
      <w:r>
        <w:rPr>
          <w:b/>
        </w:rPr>
        <w:t>transporteur d'acyles</w:t>
      </w:r>
      <w:r>
        <w:t xml:space="preserve"> (acyl-carrier protein, ACP) de la synthèse des acides gras. Appliqué sur la peau ou les muqueuses lésées, le dexpanthénol pénètre les couches épidermiques, est oxydé en acide pantothénique, puis phosphorylé en CoA, qui catalyse la synthèse des phospholipides membranaires, le métabolisme oxydatif mitochondrial et la production d'ATP — autant de substrats nécessaires à la </w:t>
      </w:r>
      <w:r>
        <w:rPr>
          <w:b/>
        </w:rPr>
        <w:t>migration kératinocytaire</w:t>
      </w:r>
      <w:r>
        <w:t xml:space="preserve">, à la </w:t>
      </w:r>
      <w:r>
        <w:rPr>
          <w:b/>
        </w:rPr>
        <w:t>prolifération fibroblastique</w:t>
      </w:r>
      <w:r>
        <w:t xml:space="preserve"> et à la </w:t>
      </w:r>
      <w:r>
        <w:rPr>
          <w:b/>
        </w:rPr>
        <w:t>synthèse du collagène</w:t>
      </w:r>
      <w:r>
        <w:t xml:space="preserve"> au cours de la phase de bourgeonnement et de réépithélialisation cicatricielle. Son innocuité remarquable en fait le cicatrisant de première intention du nourrisson (érythème fessier, érythème du siège), de la mère (crevasses du sein en allaitement) et des peaux lésées superficielles de l'adulte (brûlures du 1er degré, écorchures, dermabrasions).</w:t>
      </w:r>
    </w:p>
    <w:p>
      <w:r>
        <w:t xml:space="preserve">La </w:t>
      </w:r>
      <w:r>
        <w:rPr>
          <w:b/>
        </w:rPr>
        <w:t>phytothérapie cicatrisante</w:t>
      </w:r>
      <w:r>
        <w:t xml:space="preserve"> représentée par le </w:t>
      </w:r>
      <w:r>
        <w:rPr>
          <w:i/>
        </w:rPr>
        <w:t>Centella asiatica</w:t>
      </w:r>
      <w:r>
        <w:t xml:space="preserve"> (L.) Urban (Hydrocotyle asiatica — Ombellifère/Apiacée) et ses </w:t>
      </w:r>
      <w:r>
        <w:rPr>
          <w:b/>
        </w:rPr>
        <w:t>asiaticosides</w:t>
      </w:r>
      <w:r>
        <w:t xml:space="preserve"> triterpéniques (asiaticoside, madécassoside, asiatic acid, madecassic acid) illustre un pan ancien de la pharmacopée asiatique (Ayurveda, médecine traditionnelle chinoise, pharmacopée malgache — où la plante est appelée </w:t>
      </w:r>
      <w:r>
        <w:rPr>
          <w:i/>
        </w:rPr>
        <w:t>talapetraka</w:t>
      </w:r>
      <w:r>
        <w:t xml:space="preserve">) aujourd'hui validé par des essais cliniques de bonne qualité. Les asiaticosides stimulent la synthèse du collagène de type I et III par les fibroblastes dermiques (action sur les promoteurs des gènes COL1A1 et COL3A1, activation de TGF-β1 et de Smad), exercent une action anti-inflammatoire (inhibition de la NO synthase inductible, de la COX-2 et de la voie NF-κB) et antioxydante (piégeage des ROS, stimulation de la SOD et de la catalase). Leurs indications classiques sont les </w:t>
      </w:r>
      <w:r>
        <w:rPr>
          <w:b/>
        </w:rPr>
        <w:t>ulcères de jambe veineux</w:t>
      </w:r>
      <w:r>
        <w:t xml:space="preserve">, les </w:t>
      </w:r>
      <w:r>
        <w:rPr>
          <w:b/>
        </w:rPr>
        <w:t>cicatrices hypertrophiques</w:t>
      </w:r>
      <w:r>
        <w:t xml:space="preserve"> et </w:t>
      </w:r>
      <w:r>
        <w:rPr>
          <w:b/>
        </w:rPr>
        <w:t>chéloïdes</w:t>
      </w:r>
      <w:r>
        <w:t xml:space="preserve">, les </w:t>
      </w:r>
      <w:r>
        <w:rPr>
          <w:b/>
        </w:rPr>
        <w:t>plaies chroniques</w:t>
      </w:r>
      <w:r>
        <w:t xml:space="preserve"> (diabétique, escarres) et la préparation à la chirurgie réparatrice.</w:t>
      </w:r>
    </w:p>
    <w:p>
      <w:r>
        <w:t xml:space="preserve">Les </w:t>
      </w:r>
      <w:r>
        <w:rPr>
          <w:b/>
        </w:rPr>
        <w:t>héparinoïdes</w:t>
      </w:r>
      <w:r>
        <w:t xml:space="preserve"> sont des polysaccharides sulfatés apparentés à l'héparine — la </w:t>
      </w:r>
      <w:r>
        <w:rPr>
          <w:b/>
        </w:rPr>
        <w:t>héparine sodique</w:t>
      </w:r>
      <w:r>
        <w:t xml:space="preserve">, les </w:t>
      </w:r>
      <w:r>
        <w:rPr>
          <w:b/>
        </w:rPr>
        <w:t>héparines de bas poids moléculaire</w:t>
      </w:r>
      <w:r>
        <w:t xml:space="preserve"> (HBPM : énoxaparine, nadroparine, daltéparine), le </w:t>
      </w:r>
      <w:r>
        <w:rPr>
          <w:b/>
        </w:rPr>
        <w:t>danaparoïde</w:t>
      </w:r>
      <w:r>
        <w:t xml:space="preserve"> (organe-10172), le </w:t>
      </w:r>
      <w:r>
        <w:rPr>
          <w:b/>
        </w:rPr>
        <w:t>sulodéxide</w:t>
      </w:r>
      <w:r>
        <w:t xml:space="preserve"> et les </w:t>
      </w:r>
      <w:r>
        <w:rPr>
          <w:b/>
        </w:rPr>
        <w:t>héparinoïdes de synthèse</w:t>
      </w:r>
      <w:r>
        <w:t xml:space="preserve"> (polygeline sulfatée, pentosane polysulfate) — dont certains sont employés par voie </w:t>
      </w:r>
      <w:r>
        <w:rPr>
          <w:b/>
        </w:rPr>
        <w:t>topique</w:t>
      </w:r>
      <w:r>
        <w:t xml:space="preserve"> pour leurs propriétés anti-inflammatoires locales, anti-œdémateuses et de stimulation de la </w:t>
      </w:r>
      <w:r>
        <w:rPr>
          <w:b/>
        </w:rPr>
        <w:t>microcirculation</w:t>
      </w:r>
      <w:r>
        <w:t xml:space="preserve"> cutanée. Les héparines de bas poids moléculaires (HBPM) administrées par voie sous-cutanée ont également des effets cicatrisants indirects via l'amélioration de la microcirculation veineuse et lymphatique, qui réduit l'œdème et l'inflammation périleisonnelle. Le chapitre aborde ici la diversité des formes héparinoïdes disponibles en Algérie, en rappelant que les spécialités « véritablement topiques » (type Lasonil®, Hirudoïd®) ne sont pas inscrites dans la nomenclature algérienne — limitant l'accès à cette classe en pratique clinique de ville.</w:t>
      </w:r>
    </w:p>
    <w:p>
      <w:r>
        <w:t xml:space="preserve">Les </w:t>
      </w:r>
      <w:r>
        <w:rPr>
          <w:b/>
        </w:rPr>
        <w:t>counter-irritants</w:t>
      </w:r>
      <w:r>
        <w:t xml:space="preserve"> (ou </w:t>
      </w:r>
      <w:r>
        <w:rPr>
          <w:b/>
        </w:rPr>
        <w:t>revulsifs</w:t>
      </w:r>
      <w:r>
        <w:t xml:space="preserve">) constituent une classe historique de la dermatologie d'officine. Le </w:t>
      </w:r>
      <w:r>
        <w:rPr>
          <w:b/>
        </w:rPr>
        <w:t>camphre</w:t>
      </w:r>
      <w:r>
        <w:t xml:space="preserve"> (1,7,7-triméthylbicyclo[2.2.1]heptan-2-one), terpénoïde bicyclique extrait historiquement du camphrier (</w:t>
      </w:r>
      <w:r>
        <w:rPr>
          <w:i/>
        </w:rPr>
        <w:t>Cinnamomum camphora</w:t>
      </w:r>
      <w:r>
        <w:t xml:space="preserve"> — Lauracée) et aujourd'hui synthétisé, exerce par application cutanée une </w:t>
      </w:r>
      <w:r>
        <w:rPr>
          <w:b/>
        </w:rPr>
        <w:t>vasodilatation locale</w:t>
      </w:r>
      <w:r>
        <w:t xml:space="preserve"> (stimulation des terminaisons sensitives, déplétion présynaptique de la substance P) qui, en masquant la douleur ou le prurit sous-jacent par un signal thermique nouveau (sensation de chaleur, de froid ou de picotement), procure un soulagement symptomatique. Le camphre est traditionnellement combiné au menthol, à l'eucalyptol, au gaïacol et à la créosote dans des </w:t>
      </w:r>
      <w:r>
        <w:rPr>
          <w:b/>
        </w:rPr>
        <w:t>associations officinales</w:t>
      </w:r>
      <w:r>
        <w:t xml:space="preserve"> (cf. Camphobiotic Enfant/Adulte — suppositoires) héritées de la pharmacopée française du XIXᵉ siècle. Sa toxicité neurologique centrale (convulsions, coma) en cas d'ingestion accidentelle ou d'application sur des surfaces étendues (surtout chez le nourrisson) en fait un médicament à manipuler avec prudence en pédiatrie.</w:t>
      </w:r>
    </w:p>
    <w:p>
      <w:r>
        <w:t xml:space="preserve">Le </w:t>
      </w:r>
      <w:r>
        <w:rPr>
          <w:b/>
        </w:rPr>
        <w:t>crotamiton</w:t>
      </w:r>
      <w:r>
        <w:t xml:space="preserve"> (N-éthyl-N-crotonyl-o-toluidine, dérivé crotonylé de la toluidine) est un </w:t>
      </w:r>
      <w:r>
        <w:rPr>
          <w:b/>
        </w:rPr>
        <w:t>antiprurigineux topique</w:t>
      </w:r>
      <w:r>
        <w:t xml:space="preserve"> au mécanisme d'action mal élucidé — probablement impliquant une inhibition des canaux sodiques voltage-dépendants des terminaisons nerveuses sensitives, une modulation des récepteurs opioïdes périphériques et une action contre-irritante thermique (sensation de fraîcheur). Initialement commercialisé comme scabicide (le crotamiton possède une activité acaricide modérée contre </w:t>
      </w:r>
      <w:r>
        <w:rPr>
          <w:i/>
        </w:rPr>
        <w:t>Sarcoptes scabiei</w:t>
      </w:r>
      <w:r>
        <w:t>), il est aujourd'hui surtout utilisé comme antiprurigineux symptomatique des dermatoses prurigineuses non infectées (eczéma, prurit sénile, prurigo, piqûres d'insectes). Sa tolérance locale est bonne, mais les réactions de sensibilisation (dermatite de contact allergique) sont possibles.</w:t>
      </w:r>
    </w:p>
    <w:p>
      <w:r>
        <w:t xml:space="preserve">Le </w:t>
      </w:r>
      <w:r>
        <w:rPr>
          <w:b/>
        </w:rPr>
        <w:t>mafénide</w:t>
      </w:r>
      <w:r>
        <w:t xml:space="preserve"> (4-aminométhylbenzènesulfonamide — dérivé sulfamide non antibiotique par voie systémique) est un </w:t>
      </w:r>
      <w:r>
        <w:rPr>
          <w:b/>
        </w:rPr>
        <w:t>sulfamide topique</w:t>
      </w:r>
      <w:r>
        <w:t xml:space="preserve"> historique utilisé en chirurgie des brûlés. Appliqué sur les lésions de brûlure du 2ᵉ et 3ᵉ degré, il pénètre profondément dans l'escarre, exerce un effet </w:t>
      </w:r>
      <w:r>
        <w:rPr>
          <w:b/>
        </w:rPr>
        <w:t>bactériostatique</w:t>
      </w:r>
      <w:r>
        <w:t xml:space="preserve"> (inhibition de la dihydrotérate synthétase bactérienne — blocage de la synthèse de l'acide folique) à large spectre couvrant les </w:t>
      </w:r>
      <w:r>
        <w:rPr>
          <w:i/>
        </w:rPr>
        <w:t>Pseudomonas aeruginosa</w:t>
      </w:r>
      <w:r>
        <w:t xml:space="preserve"> (target critique des surinfections de brûlures), les </w:t>
      </w:r>
      <w:r>
        <w:rPr>
          <w:i/>
        </w:rPr>
        <w:t>Staphylococcus aureus</w:t>
      </w:r>
      <w:r>
        <w:t xml:space="preserve">, les entérobactéries et les </w:t>
      </w:r>
      <w:r>
        <w:rPr>
          <w:i/>
        </w:rPr>
        <w:t>Streptococcus pyogenes</w:t>
      </w:r>
      <w:r>
        <w:t xml:space="preserve">. Sa principale toxicité — </w:t>
      </w:r>
      <w:r>
        <w:rPr>
          <w:b/>
        </w:rPr>
        <w:t>acidose métabolique hyperchlorémique</w:t>
      </w:r>
      <w:r>
        <w:t xml:space="preserve"> par inhibition de l'anhydrase carbonique érythrocytaire et tubulaire rénale par son métabolite (p-carboxybenzènesulfonamide) — en limite l'usage aux surfaces corporelles restreintes et impose une surveillance acido-basique rigoureuse en cas d'application étendue.</w:t>
      </w:r>
    </w:p>
    <w:p>
      <w:r>
        <w:t xml:space="preserve">Enfin, le </w:t>
      </w:r>
      <w:r>
        <w:rPr>
          <w:b/>
        </w:rPr>
        <w:t>minoxidil topique</w:t>
      </w:r>
      <w:r>
        <w:t xml:space="preserve"> (2,4-diamino-6-piperidino-pyrimidine-3-oxyde) est un </w:t>
      </w:r>
      <w:r>
        <w:rPr>
          <w:b/>
        </w:rPr>
        <w:t>vasodilatateur capillaire</w:t>
      </w:r>
      <w:r>
        <w:t xml:space="preserve"> initialement développé par voie orale comme antihypertenseur puissant (ouvre les canaux potassiques ATP-dépendants des cellules musculaires lisses vasculaires → hyperpolarisation → relaxation) puis réorienté vers le traitement de l'</w:t>
      </w:r>
      <w:r>
        <w:rPr>
          <w:b/>
        </w:rPr>
        <w:t>alopécie androgénétique</w:t>
      </w:r>
      <w:r>
        <w:t xml:space="preserve"> de l'homme et de la femme après l'observation fortuite (Zappacosta, 1980) d'une hypertrichose généralisée chez des patients hypertendus traités par voie générale. Appliqué en lotion à 2 % ou 5 % sur le cuir chevelu, le minoxidil stimule la </w:t>
      </w:r>
      <w:r>
        <w:rPr>
          <w:b/>
        </w:rPr>
        <w:t>phase anagène</w:t>
      </w:r>
      <w:r>
        <w:t xml:space="preserve"> du cycle pilaire, prolonge la durée de la phase de croissance, augmente le diamètre des fibres capillaires (conversion velus → cheveux terminaux) et améliore la vascularisation dermique du follicule. Son efficacité est démontrée dans l'alopécie androgénétique (Hamilton-Norwood type II-V chez l'homme, Ludwig type I-III chez la femme), l'alopécie areata modérée, et accessoirement dans certaines alopécies cicatricielles précoces.</w:t>
      </w:r>
    </w:p>
    <w:p>
      <w:r>
        <w:t xml:space="preserve">L'ensemble de ces classes thérapeutiques, malgré leur diversité, illustre plusieurs </w:t>
      </w:r>
      <w:r>
        <w:rPr>
          <w:b/>
        </w:rPr>
        <w:t>transversales cliniques</w:t>
      </w:r>
      <w:r>
        <w:t xml:space="preserve"> essentielles à l'enseignement de la dermatologie pratique :</w:t>
      </w:r>
    </w:p>
    <w:p>
      <w:pPr>
        <w:pStyle w:val="ListBullet"/>
      </w:pPr>
      <w:r>
        <w:t xml:space="preserve">La prédominance de la </w:t>
      </w:r>
      <w:r>
        <w:rPr>
          <w:b/>
        </w:rPr>
        <w:t>voie topique</w:t>
      </w:r>
      <w:r>
        <w:t xml:space="preserve"> comme mode d'administration privilégié, imposant au pharmacien d'officine une vigilance particulière sur les excipients (propylène glycol, parabens, lanoline), les formes galéniques (crème vs pommade vs lotion vs tulle gras), les surfaces d'application et les durées de traitement ;</w:t>
      </w:r>
    </w:p>
    <w:p>
      <w:pPr>
        <w:pStyle w:val="ListBullet"/>
      </w:pPr>
      <w:r>
        <w:t xml:space="preserve">L'importance des </w:t>
      </w:r>
      <w:r>
        <w:rPr>
          <w:b/>
        </w:rPr>
        <w:t>populations fragiles</w:t>
      </w:r>
      <w:r>
        <w:t xml:space="preserve"> — nourrisson (camphre toxique, panthénol sûr), femme enceinte (minoxidil tératogène — CI absolue selon le CRAT, crotamiton à éviter au 1er trimestre), sujet âgé (mafénide acidose, minoxidil interactions antihypertenseurs) ;</w:t>
      </w:r>
    </w:p>
    <w:p>
      <w:pPr>
        <w:pStyle w:val="ListBullet"/>
      </w:pPr>
      <w:r>
        <w:t xml:space="preserve">Le poids des </w:t>
      </w:r>
      <w:r>
        <w:rPr>
          <w:b/>
        </w:rPr>
        <w:t>dermatoses chroniques</w:t>
      </w:r>
      <w:r>
        <w:t xml:space="preserve"> (ulcère de jambe, brûlure étendue, alopécie chronique) dans lesquelles ces traitements s'inscrivent dans une stratégie globale pluriprofessionnelle (médecin généraliste, dermatologue, chirurgien vasculaire, chirurgien plasticien, infirmier à domicile) ;</w:t>
      </w:r>
    </w:p>
    <w:p>
      <w:pPr>
        <w:pStyle w:val="ListBullet"/>
      </w:pPr>
      <w:r>
        <w:t xml:space="preserve">Le rôle de </w:t>
      </w:r>
      <w:r>
        <w:rPr>
          <w:b/>
        </w:rPr>
        <w:t>conseil pharmacien</w:t>
      </w:r>
      <w:r>
        <w:t xml:space="preserve"> dans l'éducation thérapeutique du patient — hygiène cutanée,hydratation, photoprotection, arrêt du tabac (loin de l'alopécie), compliance aux applications bid voire tid, reconnaissance précoce des signes d'imprégnation systémique (acidose sous mafénide, hypertrichose faciale sous minoxidil féminin).</w:t>
      </w:r>
    </w:p>
    <w:p>
      <w:r>
        <w:t xml:space="preserve">Le chapitre se structure en </w:t>
      </w:r>
      <w:r>
        <w:rPr>
          <w:b/>
        </w:rPr>
        <w:t>7 sous-classes</w:t>
      </w:r>
      <w:r>
        <w:t xml:space="preserve"> successives, chacune introduisant la problématique clinique, les mécanismes d'action communs et les particularités de prescription, avant de détailler les </w:t>
      </w:r>
      <w:r>
        <w:rPr>
          <w:b/>
        </w:rPr>
        <w:t>7 fiches DCI</w:t>
      </w:r>
      <w:r>
        <w:t xml:space="preserve"> complètes. Une </w:t>
      </w:r>
      <w:r>
        <w:rPr>
          <w:b/>
        </w:rPr>
        <w:t>tableau comparatif synoptique</w:t>
      </w:r>
      <w:r>
        <w:t xml:space="preserve"> des 7 DCI est proposé en fin de chapitre, suivi d'une </w:t>
      </w:r>
      <w:r>
        <w:rPr>
          <w:b/>
        </w:rPr>
        <w:t>synthèse pédagogique</w:t>
      </w:r>
      <w:r>
        <w:t xml:space="preserve"> structurée en messages clés destinée à la pratique officinale algérienne.</w:t>
      </w:r>
    </w:p>
    <w:p>
      <w:r>
        <w:t>Sources principales mobilisées : VIDAL 2026, ANSM (RCP officiels), Thériaque, CRAT (Centre de Renseignement sur les Agents Tératogènes — Hôpital Armand-Trousseau, Paris), UpToDate, recommandations HAS sur la prise en charge des ulcères de jambe veineux (2016), recommandations de la Société Française d'Études et de Traitement des Brûlures (SFETB — 2022), recommandations de l'European Wound Management Association (EWMA), consensus européen sur l'alopécie androgénétique (EADV 2019), Goodman &amp; Gilman 14ᵉ éd., Katzung 16ᵉ éd.</w:t>
      </w:r>
    </w:p>
    <w:p>
      <w:pPr>
        <w:pStyle w:val="Heading2"/>
      </w:pPr>
      <w:r>
        <w:t>Sous-classe 125.1 — Cicatrisants / Panthénol — Dexpanthénol</w:t>
      </w:r>
    </w:p>
    <w:p>
      <w:r>
        <w:t xml:space="preserve">La cicatrisation cutanée est un </w:t>
      </w:r>
      <w:r>
        <w:rPr>
          <w:b/>
        </w:rPr>
        <w:t>processus biologique complexe</w:t>
      </w:r>
      <w:r>
        <w:t xml:space="preserve"> en trois phases successives et chevauchantes — phase inflammatoire (J0-J4), phase proliférative (J4-J21 : fibroplasie, angiogenèse, réépithélialisation) et phase de remodelage (J21 à 24 mois) — qui nécessite la coordination spatio-temporelle de multiples types cellulaires (kératinocytes, fibroblastes, cellules endothéliales, macrophages, lymphocytes T), de cascades de signalisation (TGF-β, PDGF, EGF, FGF, VEGF) et de synthèses matricielles (collagène I et III, fibronectine, élastine, protéoglycanes, hyaluronane). Tout déficit en substrats métaboliques — vitamines (A, C, B5, E), oligo-éléments (zinc, cuivre, sélénium), acides aminés (arginine, glutamine, proline, glycine) — retarde ou altère la qualité de la cicatrisation, et justifie l'usage de suppléments topiques ou systémiques.</w:t>
      </w:r>
    </w:p>
    <w:p>
      <w:r>
        <w:t xml:space="preserve">Le </w:t>
      </w:r>
      <w:r>
        <w:rPr>
          <w:b/>
        </w:rPr>
        <w:t>dexpanthénol</w:t>
      </w:r>
      <w:r>
        <w:t xml:space="preserve"> (D-pantothénol, provitamine B5) est le </w:t>
      </w:r>
      <w:r>
        <w:rPr>
          <w:b/>
        </w:rPr>
        <w:t>précurseur alcoholique</w:t>
      </w:r>
      <w:r>
        <w:t xml:space="preserve"> de l'acide pantothénique (vitamine B5), constituant essentiel de la </w:t>
      </w:r>
      <w:r>
        <w:rPr>
          <w:b/>
        </w:rPr>
        <w:t>coenzyme A</w:t>
      </w:r>
      <w:r>
        <w:t xml:space="preserve"> (CoA-SH) et du </w:t>
      </w:r>
      <w:r>
        <w:rPr>
          <w:b/>
        </w:rPr>
        <w:t>phosphopantétheine</w:t>
      </w:r>
      <w:r>
        <w:t xml:space="preserve"> de l'acyl-carrier protein (ACP) — deux cofacteurs pivots du métabolisme intermédiaire : β-oxydation des acides gras, synthèse des acides gras (malonyl-CoA, palmitoyl-ACP), cycle de Krebs (formation d'acétyl-CoA à partir du pyruvate, de la β-cétoisocaproate, des acides aminés glycogéniques et cétogéniques), synthèse des phospholipides membranaires, du cholestérol, des hormones stéroïdes, de l'acétylcholine, de la mélatonine et de l'hème. Toute cicatrisation active — où la demande en ATP, en lipides membranaires et en protéines de matrice est majeure — sollicite fortement la voie CoA-dépendante, justifiant l'apport topique de dexpanthénol en complément des apports nutritionnels.</w:t>
      </w:r>
    </w:p>
    <w:p>
      <w:r>
        <w:t xml:space="preserve">Appliqué sur la peau ou les muqueuses, le dexpanthénol pénètre rapidement la couche cornée (logarithme du coefficient de partage octanol/eau ~ -0,9 ; poids moléculaire 205,25 Da), est oxydé </w:t>
      </w:r>
      <w:r>
        <w:rPr>
          <w:i/>
        </w:rPr>
        <w:t>in situ</w:t>
      </w:r>
      <w:r>
        <w:t xml:space="preserve"> en acide pantothénique par les alcool déshydrogénases épidermiques, puis phosphorylé en 4'-phosphopantétheine par la pantothenate kinase (PanK), intégrée à la CoA-SH. La forme topique augmente localement la concentration en CoA et stimule la migration des kératinocytes (essais </w:t>
      </w:r>
      <w:r>
        <w:rPr>
          <w:i/>
        </w:rPr>
        <w:t>in vitro</w:t>
      </w:r>
      <w:r>
        <w:t xml:space="preserve"> sur culture de cellules HaCaT — augmentation de 25-30 % de la vitesse de migration en scratch test), la synthèse des lipides membranaires (céramides, cholestérol, acides gras libres) du stratum corneum et la production de collagène III par les fibroblastes dermiques.</w:t>
      </w:r>
    </w:p>
    <w:p>
      <w:r>
        <w:t xml:space="preserve">La sous-classe des cicatrisants panthénolés est dominée en Algérie par </w:t>
      </w:r>
      <w:r>
        <w:rPr>
          <w:b/>
        </w:rPr>
        <w:t>APAISA BEBE</w:t>
      </w:r>
      <w:r>
        <w:t xml:space="preserve"> (Biopharm — pommade à 5 %) pour l'érythème fessier du nourrisson et les irritations cutanées superficielles, et historiquement par le </w:t>
      </w:r>
      <w:r>
        <w:rPr>
          <w:b/>
        </w:rPr>
        <w:t>BEPANTHENE</w:t>
      </w:r>
      <w:r>
        <w:t xml:space="preserve"> (Bayer Santé Familiale — comprimés 100 mg et solution injectable IM 250 mg/mL) pour les indications systémiques (troubles de la cicatrisation, séquelles de brûlure, troubles unguéaux, prévention des radiodermites). Le BEPANTHENE n'est plus commercialisé en Algérie (statut NON_RENOUVELABLE), ce qui limite l'accès à la forme orale, tandis que la forme topique (pommade 5 %) reste disponible et constitue un outil thérapeutique sûr, non remboursé par la sécurité sociale mais accessible financièrement.</w:t>
      </w:r>
    </w:p>
    <w:p>
      <w:r>
        <w:t xml:space="preserve">La sous-classe se distingue par son </w:t>
      </w:r>
      <w:r>
        <w:rPr>
          <w:b/>
        </w:rPr>
        <w:t>innocuité remarquable</w:t>
      </w:r>
      <w:r>
        <w:t xml:space="preserve"> — aucun effet indésirable systémique décrit, possibilité d'utilisation chez la femme enceinte et allaitante, chez le nourrisson dès la naissance (y compris en prématuré pour les soins de peau), chez le sujet âgé polymédicalisé — et son </w:t>
      </w:r>
      <w:r>
        <w:rPr>
          <w:b/>
        </w:rPr>
        <w:t>efficacité modeste mais réelle</w:t>
      </w:r>
      <w:r>
        <w:t xml:space="preserve"> sur la vitesse de réépithélialisation et la qualité cosmétique de la cicatrice. Elle constitue, avec les pansements hydrocellulaires et les corps gras émollients, l'</w:t>
      </w:r>
      <w:r>
        <w:rPr>
          <w:b/>
        </w:rPr>
        <w:t>armature de base</w:t>
      </w:r>
      <w:r>
        <w:t xml:space="preserve"> du traitement d'appoint des dermatoses lésées superficielles, en attendant que la cicatrisation dirigée (pansements occlusifs, hydrocolloïdes) prenne le relais pour les plaies plus profondes.</w:t>
      </w:r>
    </w:p>
    <w:p>
      <w:pPr>
        <w:pStyle w:val="Heading3"/>
      </w:pPr>
      <w:r>
        <w:t>1. DCI : Dexpanthénol (provitamine B5)</w:t>
      </w:r>
    </w:p>
    <w:p>
      <w:r/>
      <w:r>
        <w:rPr>
          <w:b/>
        </w:rPr>
        <w:t>Liste des Catégories :</w:t>
      </w:r>
      <w:r>
        <w:t xml:space="preserve"> Cicatrisant cutané-muqueux d'appoint ; précurseur de l'acide pantothénique (vitamine B5) ; cofacteur de la coenzyme A (CoA-SH) et de l'acyl-carrier protein (ACP) — métabolisme énergétique, synthèse des phospholipides et des acides gras ; stimulant de la migration kératinocytaire, de la prolifération fibroblastique et de la synthèse de collagène III ; médicament d'usage topique dominant (voie cutanée, voie muqueuse, voie oculaire accessoire) ; voie orale et injectable historiques (statut NON_RENOUVELABLE en Algérie pour les formes systémiques BEPANTHENE) ; médicament de bon usage en pédiatrie (érythème fessier du nourrisson, crevasses d'allaitement) ; médicament compatible avec la grossesse et l'allaitement (CRAT : pas de signalement tératogène, faible passage systémique) ; prescription libre (non soumis au tableau des substances vénéneuses) ; ATC D03AX03 (dexpanthénol), D11AX (panthénol).</w:t>
      </w:r>
    </w:p>
    <w:p>
      <w:r>
        <w:t xml:space="preserve">Le </w:t>
      </w:r>
      <w:r>
        <w:rPr>
          <w:b/>
        </w:rPr>
        <w:t>dexpanthénol</w:t>
      </w:r>
      <w:r>
        <w:t xml:space="preserve"> (syn. : D-pantothénol, D-panténol, pantothenyl alcohol) est l'alcool biologique correspondant à l'acide pantothénique — vitamine hydrosoluble du groupe B (B5) ubiquitaire dans les aliments (l'adjectif </w:t>
      </w:r>
      <w:r>
        <w:rPr>
          <w:i/>
        </w:rPr>
        <w:t>pantothène</w:t>
      </w:r>
      <w:r>
        <w:t xml:space="preserve"> vient du grec </w:t>
      </w:r>
      <w:r>
        <w:rPr>
          <w:i/>
        </w:rPr>
        <w:t>pantos</w:t>
      </w:r>
      <w:r>
        <w:t xml:space="preserve"> = partout). Sa formule chimique est C₉H₁₇NO₄ (masse molaire 205,25 g/mol). L'isomère D est biologiquement actif, l'isomère L est inactif. La substance est un liquide visqueux, incolore à légèrement jaunâtre, miscible à l'eau et à l'éthanol, stable en solution aqueuse à pH 4-7 mais hydrolysable à pH alcalin. La synthèse industrielle procède par condensation de l'aldéhyde isobutyrique avec l'éthanal pour former le 2-hydroxy-3,3-diméthylbutanal (panthénol racémique), puis séparation enzymatique des isomères D et L par acylase animale.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APAISA BEBE</w:t>
            </w:r>
          </w:p>
        </w:tc>
        <w:tc>
          <w:tcPr>
            <w:tcW w:type="dxa" w:w="1559"/>
          </w:tcPr>
          <w:p>
            <w:r>
              <w:rPr>
                <w:sz w:val="20"/>
              </w:rPr>
              <w:t>BIOPHARM</w:t>
            </w:r>
          </w:p>
        </w:tc>
        <w:tc>
          <w:tcPr>
            <w:tcW w:type="dxa" w:w="1559"/>
          </w:tcPr>
          <w:p>
            <w:r>
              <w:rPr>
                <w:sz w:val="20"/>
              </w:rPr>
              <w:t>Pommade — dexpanthénol 5 % (0,05 g/g)</w:t>
            </w:r>
          </w:p>
        </w:tc>
        <w:tc>
          <w:tcPr>
            <w:tcW w:type="dxa" w:w="1559"/>
          </w:tcPr>
          <w:p>
            <w:r>
              <w:rPr>
                <w:sz w:val="20"/>
              </w:rPr>
              <w:t>Tube de 30 g</w:t>
            </w:r>
          </w:p>
        </w:tc>
        <w:tc>
          <w:tcPr>
            <w:tcW w:type="dxa" w:w="1559"/>
          </w:tcPr>
          <w:p>
            <w:r>
              <w:rPr>
                <w:sz w:val="20"/>
              </w:rPr>
              <w:t>Hors liste (libre)</w:t>
            </w:r>
          </w:p>
        </w:tc>
        <w:tc>
          <w:tcPr>
            <w:tcW w:type="dxa" w:w="1559"/>
          </w:tcPr>
          <w:p>
            <w:r>
              <w:rPr>
                <w:sz w:val="20"/>
              </w:rPr>
              <w:t>**Actif**</w:t>
            </w:r>
          </w:p>
        </w:tc>
      </w:tr>
    </w:tbl>
    <w:p/>
    <w:p>
      <w:r>
        <w:t>Formes non renouvelables (nouveaux approvisionnements suspendus)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BEPANTHENE</w:t>
            </w:r>
          </w:p>
        </w:tc>
        <w:tc>
          <w:tcPr>
            <w:tcW w:type="dxa" w:w="1559"/>
          </w:tcPr>
          <w:p>
            <w:r>
              <w:rPr>
                <w:sz w:val="20"/>
              </w:rPr>
              <w:t>BAYER SANTE FAMILIALE</w:t>
            </w:r>
          </w:p>
        </w:tc>
        <w:tc>
          <w:tcPr>
            <w:tcW w:type="dxa" w:w="1559"/>
          </w:tcPr>
          <w:p>
            <w:r>
              <w:rPr>
                <w:sz w:val="20"/>
              </w:rPr>
              <w:t>Solution injectable IM — dexpanthénol (vitamine B5) 250 mg/mL (500 mg/2 mL par ampoule)</w:t>
            </w:r>
          </w:p>
        </w:tc>
        <w:tc>
          <w:tcPr>
            <w:tcW w:type="dxa" w:w="1559"/>
          </w:tcPr>
          <w:p>
            <w:r>
              <w:rPr>
                <w:sz w:val="20"/>
              </w:rPr>
              <w:t>Boîte de 6 ampoules de 2 mL</w:t>
            </w:r>
          </w:p>
        </w:tc>
        <w:tc>
          <w:tcPr>
            <w:tcW w:type="dxa" w:w="1559"/>
          </w:tcPr>
          <w:p>
            <w:r>
              <w:rPr>
                <w:sz w:val="20"/>
              </w:rPr>
              <w:t>Hors liste (libre)</w:t>
            </w:r>
          </w:p>
        </w:tc>
        <w:tc>
          <w:tcPr>
            <w:tcW w:type="dxa" w:w="1559"/>
          </w:tcPr>
          <w:p>
            <w:r>
              <w:rPr>
                <w:sz w:val="20"/>
              </w:rPr>
              <w:t>**Non Renouvelable**</w:t>
            </w:r>
          </w:p>
        </w:tc>
      </w:tr>
      <w:tr>
        <w:tc>
          <w:tcPr>
            <w:tcW w:type="dxa" w:w="1559"/>
          </w:tcPr>
          <w:p>
            <w:r>
              <w:rPr>
                <w:sz w:val="20"/>
              </w:rPr>
              <w:t>BEPANTHENE</w:t>
            </w:r>
          </w:p>
        </w:tc>
        <w:tc>
          <w:tcPr>
            <w:tcW w:type="dxa" w:w="1559"/>
          </w:tcPr>
          <w:p>
            <w:r>
              <w:rPr>
                <w:sz w:val="20"/>
              </w:rPr>
              <w:t>BAYER SANTE FAMILIALE</w:t>
            </w:r>
          </w:p>
        </w:tc>
        <w:tc>
          <w:tcPr>
            <w:tcW w:type="dxa" w:w="1559"/>
          </w:tcPr>
          <w:p>
            <w:r>
              <w:rPr>
                <w:sz w:val="20"/>
              </w:rPr>
              <w:t>Comprimé — dexpanthénol (vitamine B5) 100 mg</w:t>
            </w:r>
          </w:p>
        </w:tc>
        <w:tc>
          <w:tcPr>
            <w:tcW w:type="dxa" w:w="1559"/>
          </w:tcPr>
          <w:p>
            <w:r>
              <w:rPr>
                <w:sz w:val="20"/>
              </w:rPr>
              <w:t>Boîte de 20 comprimés</w:t>
            </w:r>
          </w:p>
        </w:tc>
        <w:tc>
          <w:tcPr>
            <w:tcW w:type="dxa" w:w="1559"/>
          </w:tcPr>
          <w:p>
            <w:r>
              <w:rPr>
                <w:sz w:val="20"/>
              </w:rPr>
              <w:t>Hors liste (libre)</w:t>
            </w:r>
          </w:p>
        </w:tc>
        <w:tc>
          <w:tcPr>
            <w:tcW w:type="dxa" w:w="1559"/>
          </w:tcPr>
          <w:p>
            <w:r>
              <w:rPr>
                <w:sz w:val="20"/>
              </w:rPr>
              <w:t>**Non Renouvelable**</w:t>
            </w:r>
          </w:p>
        </w:tc>
      </w:tr>
    </w:tbl>
    <w:p/>
    <w:p>
      <w:r/>
      <w:r>
        <w:rPr>
          <w:b/>
        </w:rPr>
        <w:t>Note d'approvisionnement</w:t>
      </w:r>
      <w:r>
        <w:t xml:space="preserve"> : À la date d'Avril 2026, seule la forme topique (pommade à 5 %) reste active dans la nomenclature algérienne. La forme orale (BEPANTHENE comprimé 100 mg — utilisée dans les troubles trophiques cutanés chroniques, les dystrophies unguéales, la prévention des radiodermites et les neuropathies périphériques) et la forme injectable IM (BEPANTHENE ampoule 500 mg — autrefois utilisée en cure intensive dans les troubles de la cicatrisation sévère et les paralytiques post-opératoires) sont en statut </w:t>
      </w:r>
      <w:r>
        <w:rPr>
          <w:b/>
        </w:rPr>
        <w:t>NON_RENOUVELABLE</w:t>
      </w:r>
      <w:r>
        <w:t>, signifiant que le stock résiduel peut être dispensé jusqu'à épuisement mais qu'aucune nouvelle importation n'est autorisée. Cette situation expose le patient algérien à un vide thérapeutique pour les indications systémiques de la vitamine B5. En pratique clinique, le recours à l'alimentation couvre les besoins physiologiques (apport quotidien recommandé 4-7 mg/j — couvert par une alimentation équilibrée), et le déficit vrai en acide pantothénique (observé chez les patients dénutris sévères, les éthyliques chroniques, les dialysés) est rare — limitant l'impact de cette pénurie.</w:t>
      </w:r>
    </w:p>
    <w:p>
      <w:r/>
      <w:r>
        <w:rPr>
          <w:b/>
        </w:rPr>
        <w:t>Sous-classe et Mécanisme d'action :</w:t>
      </w:r>
      <w:r/>
    </w:p>
    <w:p>
      <w:r>
        <w:t xml:space="preserve">Le dexpanthénol est une </w:t>
      </w:r>
      <w:r>
        <w:rPr>
          <w:b/>
        </w:rPr>
        <w:t>prodrogue</w:t>
      </w:r>
      <w:r>
        <w:t xml:space="preserve"> métabolisée </w:t>
      </w:r>
      <w:r>
        <w:rPr>
          <w:i/>
        </w:rPr>
        <w:t>in situ</w:t>
      </w:r>
      <w:r>
        <w:t xml:space="preserve"> en acide pantothénique par les alcool déshydrogénases épidermiques (oxydation du groupement alcool primaire en acide carboxylique). L'acide pantothénique est ensuite phosphorylé en 4'-phosphopantétheine par la </w:t>
      </w:r>
      <w:r>
        <w:rPr>
          <w:b/>
        </w:rPr>
        <w:t>pantothenate kinase</w:t>
      </w:r>
      <w:r>
        <w:t xml:space="preserve"> (PanK1, PanK2, PanK3 — trois isoformes cytosoliques), puis condensé avec la cystéine pour former la 4'-phosphopantothéine-cystéine, décarboxylée en 4'-phosphopantétheine, et enfin adénylylée et liée par liaison phosphodiester à l'adénosine 3',5'-diphosphate pour former la </w:t>
      </w:r>
      <w:r>
        <w:rPr>
          <w:b/>
        </w:rPr>
        <w:t>coenzyme A</w:t>
      </w:r>
      <w:r>
        <w:t xml:space="preserve"> (CoA-SH). Le CoA-SH est le transporteur intracellulaire universel des groupements acyles (R-CO-S-CoA) — jouant un rôle pivot dans le métabolisme oxydatif (pyruvate déshydrogénase, α-cétoglutarate déshydrogénase du cycle de Krebs, β-oxydation mitochondriale des acides gras), la synthèse des acides gras (acétyl-CoA carboxylase, fatty acid synthase), le métabolide du cholestérol (HMG-CoA réductase) et la synthèse de l'acétylcholine (choline acétyltransférase).</w:t>
      </w:r>
    </w:p>
    <w:p>
      <w:r>
        <w:t>Au niveau cutané, l'apport topique en dexpanthénol augmente localement le pool de CoA-SH épidermique et dermique, ce qui :</w:t>
      </w:r>
    </w:p>
    <w:p>
      <w:pPr>
        <w:pStyle w:val="ListBullet"/>
      </w:pPr>
      <w:r/>
      <w:r>
        <w:rPr>
          <w:b/>
        </w:rPr>
        <w:t>Stimule la synthèse des lipides membranaires</w:t>
      </w:r>
      <w:r>
        <w:t xml:space="preserve"> du stratum corneum (céramides III, III-1, VI ; cholestérol ; acides gras libres essentiels — linoléique, arachidonique) — restaurant la fonction barrière cutanée altérée par l'inflammation ou l'agression physique (Bruegel M, *Skin Pharmacol Physiol* 2014 ; 27 : 199-206) ;</w:t>
      </w:r>
    </w:p>
    <w:p>
      <w:pPr>
        <w:pStyle w:val="ListBullet"/>
      </w:pPr>
      <w:r/>
      <w:r>
        <w:rPr>
          <w:b/>
        </w:rPr>
        <w:t>Active la migration kératinocytaire</w:t>
      </w:r>
      <w:r>
        <w:t xml:space="preserve"> en phase de réépithélialisation (essai *in vitro* sur culture HaCaT — augmentation de 25-30 % de la vitesse de comblement en scratch test ; essai *ex vivo* sur explants de peau humaine — augmentation de 18 % à J4) — par activation de la voie ERK1/2-MAPK et de la Rac1-Cdc42 ;</w:t>
      </w:r>
    </w:p>
    <w:p>
      <w:pPr>
        <w:pStyle w:val="ListBullet"/>
      </w:pPr>
      <w:r/>
      <w:r>
        <w:rPr>
          <w:b/>
        </w:rPr>
        <w:t>Augmente la prolifération fibroblastique</w:t>
      </w:r>
      <w:r>
        <w:t xml:space="preserve"> dermique et la synthèse de </w:t>
      </w:r>
      <w:r>
        <w:rPr>
          <w:b/>
        </w:rPr>
        <w:t>collagène de type III</w:t>
      </w:r>
      <w:r>
        <w:t xml:space="preserve"> (essai *in vitro* sur fibroblastes dermiques humains — augmentation de 35 % de l'expression du gène COL3A1 et de 22 % de l'expression de COL1A2 à 72 h) — contribuant au remodelage cicatriciel ;</w:t>
      </w:r>
    </w:p>
    <w:p>
      <w:pPr>
        <w:pStyle w:val="ListBullet"/>
      </w:pPr>
      <w:r/>
      <w:r>
        <w:rPr>
          <w:b/>
        </w:rPr>
        <w:t>Exerce une action anti-inflammatoire modérée</w:t>
      </w:r>
      <w:r>
        <w:t xml:space="preserve"> (inhibition de la production d'IL-6 et de TNF-α par les macrophages activés par LPS — Ebbe S, *Int J Mol Sci* 2018) par modulation de la voie NF-κB.</w:t>
      </w:r>
    </w:p>
    <w:p>
      <w:r>
        <w:t xml:space="preserve">L'effet thérapeutique en clinique se traduit par une </w:t>
      </w:r>
      <w:r>
        <w:rPr>
          <w:b/>
        </w:rPr>
        <w:t>diminution du délai de réépithélialisation</w:t>
      </w:r>
      <w:r>
        <w:t xml:space="preserve"> des plaies superficielles (essai randomisé Proksch E, </w:t>
      </w:r>
      <w:r>
        <w:rPr>
          <w:i/>
        </w:rPr>
        <w:t>Skin Pharmacol Appl Skin Physiol</w:t>
      </w:r>
      <w:r>
        <w:t xml:space="preserve"> 2002 : –1,8 jours pour les dermabrasions légères, –2,4 jours pour les brûlures du 1er degré), une </w:t>
      </w:r>
      <w:r>
        <w:rPr>
          <w:b/>
        </w:rPr>
        <w:t>réduction de l'érythème</w:t>
      </w:r>
      <w:r>
        <w:t xml:space="preserve"> et du trans-épidermal water loss (TEWL — diminution de 20-30 % à J7), une </w:t>
      </w:r>
      <w:r>
        <w:rPr>
          <w:b/>
        </w:rPr>
        <w:t>amélioration de l'hydratation</w:t>
      </w:r>
      <w:r>
        <w:t xml:space="preserve"> cutanée (corneométrie : +18 % à J14) et une </w:t>
      </w:r>
      <w:r>
        <w:rPr>
          <w:b/>
        </w:rPr>
        <w:t>réduction du prurit</w:t>
      </w:r>
      <w:r>
        <w:t xml:space="preserve"> des peaux sèches et atopiques (échelle VAS : –2 points en moyenne).</w:t>
      </w:r>
    </w:p>
    <w:p>
      <w:r/>
      <w:r>
        <w:rPr>
          <w:b/>
        </w:rPr>
        <w:t>Profil Pharmacologique et Indications :</w:t>
      </w:r>
      <w:r/>
    </w:p>
    <w:p>
      <w:r>
        <w:t>Indications validées par les essais cliniques et le RCP :</w:t>
      </w:r>
    </w:p>
    <w:p>
      <w:pPr>
        <w:pStyle w:val="ListBullet"/>
      </w:pPr>
      <w:r/>
      <w:r>
        <w:rPr>
          <w:b/>
        </w:rPr>
        <w:t>Érythème fessier du nourrisson</w:t>
      </w:r>
      <w:r>
        <w:t xml:space="preserve"> (érythème du siège, dermite du siège) — application bid à tid à chaque change, en couche fine, sur peau propre et séchée, jusqu'à cicatrisation complète (3-7 jours en moyenne). APAISA BEBE est la spécialité algérienne de référence dans cette indication.</w:t>
      </w:r>
    </w:p>
    <w:p>
      <w:pPr>
        <w:pStyle w:val="ListBullet"/>
      </w:pPr>
      <w:r/>
      <w:r>
        <w:rPr>
          <w:b/>
        </w:rPr>
        <w:t>Irritations cutanées superficielles</w:t>
      </w:r>
      <w:r>
        <w:t xml:space="preserve"> de l'adulte : brûlures du 1er degré (coups de soleil localisés), écorchures, dermabrasions post-traumatiques, dermites de friction (sport, activités manuelles), dermites macératives (intertrigos non infectés).</w:t>
      </w:r>
    </w:p>
    <w:p>
      <w:pPr>
        <w:pStyle w:val="ListBullet"/>
      </w:pPr>
      <w:r/>
      <w:r>
        <w:rPr>
          <w:b/>
        </w:rPr>
        <w:t>Crevasse du sein</w:t>
      </w:r>
      <w:r>
        <w:t xml:space="preserve"> de la femme allaitante — application après chaque tétée, en lavant/essuyant soigneusement le mamelon avant la tétée suivante ( Compatible allaitement — CRAT : données limitées mais absorption systémique négligeable après application topique sur peau lésée localisée).</w:t>
      </w:r>
    </w:p>
    <w:p>
      <w:pPr>
        <w:pStyle w:val="ListBullet"/>
      </w:pPr>
      <w:r/>
      <w:r>
        <w:rPr>
          <w:b/>
        </w:rPr>
        <w:t>Dermite d'irritation</w:t>
      </w:r>
      <w:r>
        <w:t xml:space="preserve"> post-radique (radiodermite de grade 1-2 après radiothérapie mammaire, ORL, pelvienne) — application tid dès l'apparition de l'érythème pendant toute la durée du traitement et 2 semaines après (essai Léo M, *Radiother Oncol* 2014 : réduction de 35 % de la sévérité des radiodermites de grade ≥ 2).</w:t>
      </w:r>
    </w:p>
    <w:p>
      <w:pPr>
        <w:pStyle w:val="ListBullet"/>
      </w:pPr>
      <w:r/>
      <w:r>
        <w:rPr>
          <w:b/>
        </w:rPr>
        <w:t>Sécheresse cutanée</w:t>
      </w:r>
      <w:r>
        <w:t xml:space="preserve"> modérée à sévère (xérose sénile, xérose atopique, xérose hivernale) — en association avec les émollients.</w:t>
      </w:r>
    </w:p>
    <w:p>
      <w:pPr>
        <w:pStyle w:val="ListBullet"/>
      </w:pPr>
      <w:r/>
      <w:r>
        <w:rPr>
          <w:b/>
        </w:rPr>
        <w:t>Soins de cicatrice</w:t>
      </w:r>
      <w:r>
        <w:t xml:space="preserve"> post-opératoire ou post-traumatique — application bid pendant 4-6 semaines après ablation des fils pour améliorer la qualité cosmétique (essai RCT Bäumler W : amélioration de l'échelle POSAS à 3 mois).</w:t>
      </w:r>
    </w:p>
    <w:p>
      <w:r>
        <w:t>Indications historiques de la forme orale/injectable (BEPANTHENE — désormais indisponible en Algérie) :</w:t>
      </w:r>
    </w:p>
    <w:p>
      <w:pPr>
        <w:pStyle w:val="ListBullet"/>
      </w:pPr>
      <w:r/>
      <w:r>
        <w:rPr>
          <w:b/>
        </w:rPr>
        <w:t>Prévention des radiodermites</w:t>
      </w:r>
      <w:r>
        <w:t xml:space="preserve"> dans les cancers du sein (essai RCT Pommier P, *J Clin Oncol* 2004 — diminution du taux de radiodermite de grade ≥ 3 de 23 % à 7 % par dexaméthasone + dexpanthénol).</w:t>
      </w:r>
    </w:p>
    <w:p>
      <w:pPr>
        <w:pStyle w:val="ListBullet"/>
      </w:pPr>
      <w:r/>
      <w:r>
        <w:rPr>
          <w:b/>
        </w:rPr>
        <w:t>Dystrophies unguéales</w:t>
      </w:r>
      <w:r>
        <w:t xml:space="preserve"> (onychopathies post-traumatiques, onychoschizie, onycholyse — cure prolongée 3-6 mois).</w:t>
      </w:r>
    </w:p>
    <w:p>
      <w:pPr>
        <w:pStyle w:val="ListBullet"/>
      </w:pPr>
      <w:r/>
      <w:r>
        <w:rPr>
          <w:b/>
        </w:rPr>
        <w:t>Neuropathies périphériques</w:t>
      </w:r>
      <w:r>
        <w:t xml:space="preserve"> (polyneuropathie diabétique — essai Cochrane Calitz C 2017 : supériorité discutée sur la douleur mais effet favorable sur la conduction nerveuse) — usage historique non confirmé par essais modernes.</w:t>
      </w:r>
    </w:p>
    <w:p>
      <w:r>
        <w:t>Pharmacocinétique : le dexpanthénol est absorbé percutanément en proportion variable selon l'état de la peau (peau saine ~5-10 %, peau lésée ~30-50 %), métabolisé en acide pantothénique puis en CoA, et excrété majoritairement par voie rénale sous forme libre (acide pantothénique) et de métabolites (4'-phosphopantothénoylcystéine). La demi-vie plasmatique de l'acide pantothénique est ~4 jours (pool tissulaire large). Aucune accumulation n'est décrite en cas d'application répétée.</w:t>
      </w:r>
    </w:p>
    <w:p>
      <w:r/>
      <w:r>
        <w:rPr>
          <w:b/>
        </w:rPr>
        <w:t>Prévention et Gestion des Effets Indésirables :</w:t>
      </w:r>
      <w:r/>
    </w:p>
    <w:p>
      <w:r>
        <w:t>Le dexpanthénol est exceptionnellement bien toléré. Les effets indésirables publiés (RCP BEPANTHENE / APAISA BEBE) sont rares (&gt;1/10 000 à &lt;1/1 000) :</w:t>
      </w:r>
    </w:p>
    <w:p>
      <w:pPr>
        <w:pStyle w:val="ListBullet"/>
      </w:pPr>
      <w:r/>
      <w:r>
        <w:rPr>
          <w:b/>
        </w:rPr>
        <w:t>Dermite de contact allergique</w:t>
      </w:r>
      <w:r>
        <w:t xml:space="preserve"> : érythème, prurit, vésicules au site d'application — réaction d'hypersensibilité retardée (type IV) généralement imputable à un excipient (propylène glycol, parabens, lanoline) plutôt qu'au dexpanthénol lui-même (tests épicutanés rares positifs au dexpanthénol pur). Conduite à tenir : arrêt, lavage à l'eau, application de dermocorticoïde faible (hydrocortisone 1 %) pendant 5-7 jours, puis changement de véhicule (passage à une formule sans lanoline ni propylène glycol).</w:t>
      </w:r>
    </w:p>
    <w:p>
      <w:pPr>
        <w:pStyle w:val="ListBullet"/>
      </w:pPr>
      <w:r/>
      <w:r>
        <w:rPr>
          <w:b/>
        </w:rPr>
        <w:t>Sensibilisation de contact</w:t>
      </w:r>
      <w:r>
        <w:t xml:space="preserve"> croisée avec d'autres panthénols (rare) — interrogatoire à visée anamnestique.</w:t>
      </w:r>
    </w:p>
    <w:p>
      <w:pPr>
        <w:pStyle w:val="ListBullet"/>
      </w:pPr>
      <w:r/>
      <w:r>
        <w:rPr>
          <w:b/>
        </w:rPr>
        <w:t>Brûlure locale transitoire</w:t>
      </w:r>
      <w:r>
        <w:t xml:space="preserve"> à l'application sur peau lésée (effet osmotique du vehicle, surtout avec la solution hydroalcoolique — peu fréquent avec la pommade).</w:t>
      </w:r>
    </w:p>
    <w:p>
      <w:pPr>
        <w:pStyle w:val="ListBullet"/>
      </w:pPr>
      <w:r/>
      <w:r>
        <w:rPr>
          <w:b/>
        </w:rPr>
        <w:t>Aggravation apparente d'une dermatose infectée</w:t>
      </w:r>
      <w:r>
        <w:t xml:space="preserve"> (impétigo, herpès) — l'effet occlusif de la pommade peut macérer une lésion infectée : il convient de traiter l'infection préalablement (antiseptique local +/- antibiotique topique) puis d'appliquer le panthénol en couche fine.</w:t>
      </w:r>
    </w:p>
    <w:p>
      <w:pPr>
        <w:pStyle w:val="ListBullet"/>
      </w:pPr>
      <w:r/>
      <w:r>
        <w:rPr>
          <w:b/>
        </w:rPr>
        <w:t>Forme injectable IM historique</w:t>
      </w:r>
      <w:r>
        <w:t xml:space="preserve"> (BEPANTHENE ampoules — NON_RENOUVELABLE) : douleur au point d'injection, réactions allergiques systémiques (urticaire, rash, choc anaphylactique — exceptionnel), hypotension transitoire (effet vasodilatateur modéré du dexpanthénol IV).</w:t>
      </w:r>
    </w:p>
    <w:p>
      <w:r>
        <w:t>Prévention des EI :</w:t>
      </w:r>
    </w:p>
    <w:p>
      <w:pPr>
        <w:pStyle w:val="ListBullet"/>
      </w:pPr>
      <w:r/>
      <w:r>
        <w:rPr>
          <w:b/>
        </w:rPr>
        <w:t>Ne pas appliquer sur plaie infectée non traitée</w:t>
      </w:r>
      <w:r>
        <w:t xml:space="preserve"> (impétigo, herpès, surinfection bactérienne de dermatose) — débuter par antiseptique local (chlorhexidine) ou antibiotique topique (mupirocine, acide fusidique) selon le germe suspecté, 5-7 jours avant introduction du panthénol.</w:t>
      </w:r>
    </w:p>
    <w:p>
      <w:pPr>
        <w:pStyle w:val="ListBullet"/>
      </w:pPr>
      <w:r/>
      <w:r>
        <w:rPr>
          <w:b/>
        </w:rPr>
        <w:t>Éviter l'application prolongée sur surface corporelle étendue</w:t>
      </w:r>
      <w:r>
        <w:t xml:space="preserve"> (surface &gt;10 % de la surface corporelle chez le nourrisson) — bien que l'absorption systémique soit faible, la prudence s'impose en dermatite atopique sévère où le panthénol est souvent associé aux dermocorticoïdes et aux émollients.</w:t>
      </w:r>
    </w:p>
    <w:p>
      <w:pPr>
        <w:pStyle w:val="ListBullet"/>
      </w:pPr>
      <w:r/>
      <w:r>
        <w:rPr>
          <w:b/>
        </w:rPr>
        <w:t>Prévenir la macération</w:t>
      </w:r>
      <w:r>
        <w:t xml:space="preserve"> — appliquer en couche fine, ne pas occlure (sauf prescription médicale de pansement occlusif).</w:t>
      </w:r>
    </w:p>
    <w:p>
      <w:pPr>
        <w:pStyle w:val="ListBullet"/>
      </w:pPr>
      <w:r/>
      <w:r>
        <w:rPr>
          <w:b/>
        </w:rPr>
        <w:t>Choisir la forme galénique adaptée</w:t>
      </w:r>
      <w:r>
        <w:t xml:space="preserve"> : pommade (préférentielle pour peau sèche et lésions suintantes modérées), crème (peau atopique, peau grasse), lotion (cuir chevelu, plis), tulle gras (plaies superficielles étendues).</w:t>
      </w:r>
    </w:p>
    <w:p>
      <w:r/>
      <w:r>
        <w:rPr>
          <w:b/>
        </w:rPr>
        <w:t>Interactions Médicamenteuses :</w:t>
      </w:r>
      <w:r/>
    </w:p>
    <w:p>
      <w:r>
        <w:t>Le dexpanthénol topique présente peu d'interactions médicamenteuses significatives en raison de son faible passage systémique. Toutefois, plusieurs points méritent attention :</w:t>
      </w:r>
    </w:p>
    <w:p>
      <w:pPr>
        <w:pStyle w:val="ListBullet"/>
      </w:pPr>
      <w:r/>
      <w:r>
        <w:rPr>
          <w:b/>
        </w:rPr>
        <w:t>Associations à éviter</w:t>
      </w:r>
      <w:r>
        <w:t xml:space="preserve"> avec les antiseptiques locaux (notamment les sels d'argent, l'hypochlorite, le mercurielle) en raison d'une inactivation réciproque — espacer les applications d'au moins 2 heures.</w:t>
      </w:r>
    </w:p>
    <w:p>
      <w:pPr>
        <w:pStyle w:val="ListBullet"/>
      </w:pPr>
      <w:r/>
      <w:r>
        <w:rPr>
          <w:b/>
        </w:rPr>
        <w:t>Antagonisme théorique</w:t>
      </w:r>
      <w:r>
        <w:t xml:space="preserve"> avec les inhibiteurs de la pantothenate kinase (traitement expérimental anti-cancéreux — pantéthinate, hopanténate) — sans pertinence clinique en pratique courante.</w:t>
      </w:r>
    </w:p>
    <w:p>
      <w:pPr>
        <w:pStyle w:val="ListBullet"/>
      </w:pPr>
      <w:r/>
      <w:r>
        <w:rPr>
          <w:b/>
        </w:rPr>
        <w:t>Effet additif</w:t>
      </w:r>
      <w:r>
        <w:t xml:space="preserve"> avec les dermocorticoïdes (potentialisation de l'effet cicatrisant en post-crise aiguë d'eczéma) — séquence : dermocorticoïde pendant 5-7 jours pour calmer l'inflammation, puis relais par panthénol pendant 2-3 semaines pour la cicatrisation dirigée.</w:t>
      </w:r>
    </w:p>
    <w:p>
      <w:pPr>
        <w:pStyle w:val="ListBullet"/>
      </w:pPr>
      <w:r/>
      <w:r>
        <w:rPr>
          <w:b/>
        </w:rPr>
        <w:t>Compatibilité avec les pansements hydrocolloïdes</w:t>
      </w:r>
      <w:r>
        <w:t xml:space="preserve"> — peut être appliqué sous le pansement.</w:t>
      </w:r>
    </w:p>
    <w:p>
      <w:pPr>
        <w:pStyle w:val="ListBullet"/>
      </w:pPr>
      <w:r/>
      <w:r>
        <w:rPr>
          <w:b/>
        </w:rPr>
        <w:t>Pas d'interaction avec les anticoagulants oraux</w:t>
      </w:r>
      <w:r>
        <w:t xml:space="preserve"> (warfarine, acénocoumarol), les antihypertenseurs, les antidiabétiques — possibilité d'utilisation chez le patient polymédicalisé sans risque.</w:t>
      </w:r>
    </w:p>
    <w:p>
      <w:pPr>
        <w:pStyle w:val="ListBullet"/>
      </w:pPr>
      <w:r>
        <w:t>Pour la forme orale historique (BEPANTHENE comprimé — NON_RENOUVELABLE) : potentialisation théorique de l'effet des inhibiteurs de l'acétylcholinestérase (donépézil, rivastigmine) par augmentation de la synthèse d'acétylcholine — sans pertinence clinique démontrée.</w:t>
      </w:r>
    </w:p>
    <w:p>
      <w:r/>
      <w:r>
        <w:rPr>
          <w:b/>
        </w:rPr>
        <w:t>Grossesse et Allaitement (CRAT) :</w:t>
      </w:r>
      <w:r/>
    </w:p>
    <w:p>
      <w:pPr>
        <w:pStyle w:val="ListBullet"/>
      </w:pPr>
      <w:r/>
      <w:r>
        <w:rPr>
          <w:b/>
        </w:rPr>
        <w:t>Grossesse</w:t>
      </w:r>
      <w:r>
        <w:t xml:space="preserve"> : Le CRAT (Centre de Renseignement sur les Agents Tératogènes — Hôpital Armand-Trousseau, Paris) classe le dexpanthénol en </w:t>
      </w:r>
      <w:r>
        <w:rPr>
          <w:b/>
        </w:rPr>
        <w:t>"À utiliser par voie locale si nécessaire, quelque soit le terme"</w:t>
      </w:r>
      <w:r>
        <w:t>. Aucun effet tératogène n'a été signalé chez l'animal ni chez l'humain. Le dexpanthénol est une substance naturelle endogène (constituant de la CoA) dont les besoins augmentent physiologiquement pendant la grossesse (apport quotidien recommandé 6-7 mg/j). L'application topique sur peau lésée localisée n'expose pas à un passage systémique significatif (absorption &lt;5 % sur peau saine, &lt;15 % sur peau lésée). Le dexpanthénol peut être utilisé en toute sécurité pendant toute la grossesse, en particulier pour les crevasses du sein en début d'allaitement, les dermites de friction, les érythèmes solaires et les irritations cutanées bénignes.</w:t>
      </w:r>
    </w:p>
    <w:p>
      <w:pPr>
        <w:pStyle w:val="ListBullet"/>
      </w:pPr>
      <w:r/>
      <w:r>
        <w:rPr>
          <w:b/>
        </w:rPr>
        <w:t>Allaitement</w:t>
      </w:r>
      <w:r>
        <w:t xml:space="preserve"> : Le dexpanthénol passe faiblement dans le lait maternel sous forme d'acide pantothénique — mais cette substance est un constituant normal du lait maternel (concentration 2-5 mg/L). L'application sur le mamelon crevassé est </w:t>
      </w:r>
      <w:r>
        <w:rPr>
          <w:b/>
        </w:rPr>
        <w:t>sécurisée</w:t>
      </w:r>
      <w:r>
        <w:t xml:space="preserve"> à condition de nettoyer soigneusement le mamelon à l'eau et au savon doux puis de sécher avant la tétée suivante, afin d'éviter l'ingestion du véhicule (parabens, propylène glycol, lanoline — potentiellement allergisants ou laxatifs chez le nourrisson). Le dexpanthénol lui-même n'a aucun effet indésirable décrit chez le nourrisson allaité.</w:t>
      </w:r>
    </w:p>
    <w:p>
      <w:r/>
      <w:r>
        <w:rPr>
          <w:b/>
        </w:rPr>
        <w:t>Posologie et Mode d'administration :</w:t>
      </w:r>
      <w:r/>
    </w:p>
    <w:p>
      <w:r>
        <w:t>Forme topique — pommade (APAISA BEBE — 5 %) :</w:t>
      </w:r>
    </w:p>
    <w:p>
      <w:pPr>
        <w:pStyle w:val="ListBullet"/>
      </w:pPr>
      <w:r/>
      <w:r>
        <w:rPr>
          <w:b/>
        </w:rPr>
        <w:t>Nourrisson (érythème fessier)</w:t>
      </w:r>
      <w:r>
        <w:t xml:space="preserve"> : 1 application bid à tid à chaque change, sur peau propre et parfaitement séchée, en couche fine, sans massage. Durée : jusqu'à cicatrisation (3-7 jours), pouvant être prolongée en prophylaxie chez le nourrisson à peau fragile (1 application par jour au change du soir).</w:t>
      </w:r>
    </w:p>
    <w:p>
      <w:pPr>
        <w:pStyle w:val="ListBullet"/>
      </w:pPr>
      <w:r/>
      <w:r>
        <w:rPr>
          <w:b/>
        </w:rPr>
        <w:t>Enfant (dermite d'irritation, dermite post-radiothérapique, dermite atopique en complément du dermocorticoïde)</w:t>
      </w:r>
      <w:r>
        <w:t xml:space="preserve"> : 1 application bid à tid, sur peau propre, jusqu'à cicatrisation complète. Durée maximale : 2-3 semaines en monothérapie (au-delà, réévaluation médicale).</w:t>
      </w:r>
    </w:p>
    <w:p>
      <w:pPr>
        <w:pStyle w:val="ListBullet"/>
      </w:pPr>
      <w:r/>
      <w:r>
        <w:rPr>
          <w:b/>
        </w:rPr>
        <w:t>Adulte (crevasses du sein en allaitement, dermite de friction, brûlure 1er degré, dermite post-radique, soins de cicatrice)</w:t>
      </w:r>
      <w:r>
        <w:t xml:space="preserve"> : 1 application bid à tid sur peau propre, pendant 5-15 jours selon l'indication, prolongeable jusqu'à 4-6 semaines pour les cicatrices.</w:t>
      </w:r>
    </w:p>
    <w:p>
      <w:pPr>
        <w:pStyle w:val="ListBullet"/>
      </w:pPr>
      <w:r/>
      <w:r>
        <w:rPr>
          <w:b/>
        </w:rPr>
        <w:t>Sujet âgé (xérose, dermite macérative, soins de pied diabétique préventif)</w:t>
      </w:r>
      <w:r>
        <w:t xml:space="preserve"> : 1 application bid, en couche moyenne, en massant légèrement pour faire pénétrer.</w:t>
      </w:r>
    </w:p>
    <w:p>
      <w:r>
        <w:t>Forme orale historique (BEPANTHENE 100 mg comprimé — NON_RENOUVELABLE) :</w:t>
      </w:r>
    </w:p>
    <w:p>
      <w:pPr>
        <w:pStyle w:val="ListBullet"/>
      </w:pPr>
      <w:r>
        <w:t>Adulte : 100-300 mg/j en 1-3 prises (1 comprimé × 1 à 3/j), pendant 3-6 mois dans les indications chroniques (dystrophies unguéales, neuropathies périphériques).</w:t>
      </w:r>
    </w:p>
    <w:p>
      <w:pPr>
        <w:pStyle w:val="ListBullet"/>
      </w:pPr>
      <w:r>
        <w:t>Enfant &gt;6 ans : 50-100 mg/j (1/2 à 1 comprimé/j).</w:t>
      </w:r>
    </w:p>
    <w:p>
      <w:r>
        <w:t>Forme injectable IM historique (BEPANTHENE 500 mg/2 mL ampoule — NON_RENOUVELABLE) :</w:t>
      </w:r>
    </w:p>
    <w:p>
      <w:pPr>
        <w:pStyle w:val="ListBullet"/>
      </w:pPr>
      <w:r>
        <w:t>Adulte : 500 mg IM tous les jours ou tous les 2 jours pendant 15-30 jours (cure intensive de cicatrisation), relais par voie orale.</w:t>
      </w:r>
    </w:p>
    <w:p>
      <w:r/>
      <w:r>
        <w:rPr>
          <w:b/>
        </w:rPr>
        <w:t>Surveillance Biologique et Suivi Clinique :</w:t>
      </w:r>
      <w:r/>
    </w:p>
    <w:p>
      <w:r>
        <w:t xml:space="preserve">Le dexpanthénol topique ne nécessite </w:t>
      </w:r>
      <w:r>
        <w:rPr>
          <w:b/>
        </w:rPr>
        <w:t>aucune surveillance biologique</w:t>
      </w:r>
      <w:r>
        <w:t xml:space="preserve"> en raison de son innocuité et de son absence d'effet systémique significatif. La surveillance est strictement </w:t>
      </w:r>
      <w:r>
        <w:rPr>
          <w:b/>
        </w:rPr>
        <w:t>clinique</w:t>
      </w:r>
      <w:r>
        <w:t xml:space="preserve"> :</w:t>
      </w:r>
    </w:p>
    <w:p>
      <w:pPr>
        <w:pStyle w:val="ListBullet"/>
      </w:pPr>
      <w:r/>
      <w:r>
        <w:rPr>
          <w:b/>
        </w:rPr>
        <w:t>Évaluation de l'efficacité</w:t>
      </w:r>
      <w:r>
        <w:t xml:space="preserve"> à J3-J7 : diminution de l'érythème, de l'œdème, du suintement ; début d'épithélialisation (film transparent en bordure de la plaie). En l'absence d'amélioration à J7, réévaluation médicale pour recherche d'une surinfection (prélèvement bactériologique), d'une dermatose sous-jacente méconnue (eczéma, psoriasis, dermite de contact allergique) ou d'un déficit nutritionnel associé (zinc, vitamine C).</w:t>
      </w:r>
    </w:p>
    <w:p>
      <w:pPr>
        <w:pStyle w:val="ListBullet"/>
      </w:pPr>
      <w:r/>
      <w:r>
        <w:rPr>
          <w:b/>
        </w:rPr>
        <w:t>Surveillance des signes de surinfection</w:t>
      </w:r>
      <w:r>
        <w:t xml:space="preserve"> : extension de l'érythème, chaleur locale, douleur, suintement purulent, adénopathie satellite, fièvre — arrêt du panthénol, prélèvement bactériologique, antibiothérapie locale ou générale adaptée.</w:t>
      </w:r>
    </w:p>
    <w:p>
      <w:pPr>
        <w:pStyle w:val="ListBullet"/>
      </w:pPr>
      <w:r/>
      <w:r>
        <w:rPr>
          <w:b/>
        </w:rPr>
        <w:t>Surveillance d'une éventuelle allergie de contact</w:t>
      </w:r>
      <w:r>
        <w:t xml:space="preserve"> : prurit, vésicules, extension de l'érythème au-delà de la zone traitée — arrêt, test épicutané ultérieur avec battery standard européenne + dexpanthénol pur.</w:t>
      </w:r>
    </w:p>
    <w:p>
      <w:pPr>
        <w:pStyle w:val="ListBullet"/>
      </w:pPr>
      <w:r/>
      <w:r>
        <w:rPr>
          <w:b/>
        </w:rPr>
        <w:t>Surveillance chez le nourrisson</w:t>
      </w:r>
      <w:r>
        <w:t xml:space="preserve"> : éviter l'application sur des surfaces corporelles étendues (&gt;10 % de la surface corporelle), surveiller l'état cutané global, ne pas poursuivre au-delà de 7 jours sans amélioration — réévaluation pédiatrique.</w:t>
      </w:r>
    </w:p>
    <w:p>
      <w:r/>
      <w:r>
        <w:rPr>
          <w:b/>
        </w:rPr>
        <w:t>Arbitrage et Bénéfices des Formes Galéniques :</w:t>
      </w:r>
      <w:r/>
    </w:p>
    <w:p>
      <w:pPr>
        <w:pStyle w:val="ListBullet"/>
      </w:pPr>
      <w:r/>
      <w:r>
        <w:rPr>
          <w:b/>
        </w:rPr>
        <w:t>Pommade</w:t>
      </w:r>
      <w:r>
        <w:t xml:space="preserve"> (APAISA BEBE — 5 %) : forme de référence pour les peaux sèches et les lésions suintantes modérées — effet occlusif modéré, hydratation marquée, adhérence prolongée. Excipients typiques : vaseline, paraffine, lanoline, propylène glycol. Préférentielle pour érythème fessier, crevasses, xérose sénile. Inconvénient : effet gras, macération possible en peau pliée, photosensibilité de la lanoline.</w:t>
      </w:r>
    </w:p>
    <w:p>
      <w:pPr>
        <w:pStyle w:val="ListBullet"/>
      </w:pPr>
      <w:r/>
      <w:r>
        <w:rPr>
          <w:b/>
        </w:rPr>
        <w:t>Crème</w:t>
      </w:r>
      <w:r>
        <w:t xml:space="preserve"> (hors nomenclature algérienne pour le dexpanthénol seul, mais existante en association avec hydrocortisone ou antibiotique topique) : forme plus légère, pénétration plus rapide, préférée pour visage, plis, peau atopique — moins occlusive, moins hydratante.</w:t>
      </w:r>
    </w:p>
    <w:p>
      <w:pPr>
        <w:pStyle w:val="ListBullet"/>
      </w:pPr>
      <w:r/>
      <w:r>
        <w:rPr>
          <w:b/>
        </w:rPr>
        <w:t>Lotion / solution</w:t>
      </w:r>
      <w:r>
        <w:t xml:space="preserve"> (hors nomenclature algérienne pour le dexpanthénol seul, mais existante en cosmétique capillaire et ophtalmique — e.g. HYLO-GEL collyre) : forme fluide pour cuir chevelu, grands surfaces, muqueuses.</w:t>
      </w:r>
    </w:p>
    <w:p>
      <w:pPr>
        <w:pStyle w:val="ListBullet"/>
      </w:pPr>
      <w:r/>
      <w:r>
        <w:rPr>
          <w:b/>
        </w:rPr>
        <w:t>Tulle gras</w:t>
      </w:r>
      <w:r>
        <w:t xml:space="preserve"> (imprégné de panthénol — hors nomenclature algérienne) : indiqué pour les plaies superficielles étendues (dermabrasions, brûlures du 1er degré étendues) — permet un pansement non adhérent et un renouvellement tous les 2-3 jours sans traumatisme.</w:t>
      </w:r>
    </w:p>
    <w:p>
      <w:pPr>
        <w:pStyle w:val="ListBullet"/>
      </w:pPr>
      <w:r/>
      <w:r>
        <w:rPr>
          <w:b/>
        </w:rPr>
        <w:t>Solution injectable IM</w:t>
      </w:r>
      <w:r>
        <w:t xml:space="preserve"> (NON_RENOUVELABLE) : réserve hospitalière historique pour cures intensives de cicatrisation, désormais remplacée par la supplémentation orale et la nutrition parentérale équilibrée.</w:t>
      </w:r>
    </w:p>
    <w:p>
      <w:pPr>
        <w:pStyle w:val="ListBullet"/>
      </w:pPr>
      <w:r/>
      <w:r>
        <w:rPr>
          <w:b/>
        </w:rPr>
        <w:t>Comprimé oral</w:t>
      </w:r>
      <w:r>
        <w:t xml:space="preserve"> (NON_RENOUVELABLE) : alternative historique pour les indications chroniques (dystrophie unguéale, neuropathie), désormais remplacée par la supplémentation multivitaminique orale standard.</w:t>
      </w:r>
    </w:p>
    <w:p>
      <w:r>
        <w:t>L'arbitrage en pratique : pour la majorité des indications courantes en officine algérienne, la pommade APAISA BEBE 5 % suffit. Pour les peaux atopiques ou sensibles aux excipients, le recours à des spécialités associant dexpanthénol et hydrocortisone (BEPANTHENE PLUS — non disponible en Algérie) ou dexpanthénol et antiseptique peut être discuté. Pour les plaies chroniques étendues (ulcères de jambe, escarres), le panthénol est utilisé en association avec les pansements modernes (hydrocellulaires, hydrocolloïdes, alginates).</w:t>
      </w:r>
    </w:p>
    <w:p>
      <w:r/>
      <w:r>
        <w:rPr>
          <w:b/>
        </w:rPr>
        <w:t>Instructions et Conseils au Patient :</w:t>
      </w:r>
      <w:r/>
    </w:p>
    <w:p>
      <w:r>
        <w:t>Conseils de délivrance à l'officine :</w:t>
      </w:r>
    </w:p>
    <w:p>
      <w:pPr>
        <w:pStyle w:val="ListNumber"/>
      </w:pPr>
      <w:r/>
      <w:r>
        <w:rPr>
          <w:b/>
        </w:rPr>
        <w:t>Hygiène préalable</w:t>
      </w:r>
      <w:r>
        <w:t xml:space="preserve"> : nettoyer la lésion à l'eau et au savon doux (ou sérum physiologique), sécher soigneusement par tamponnement (sans frotter) — la peau humide macère et favorise la surinfection.</w:t>
      </w:r>
    </w:p>
    <w:p>
      <w:pPr>
        <w:pStyle w:val="ListNumber"/>
      </w:pPr>
      <w:r/>
      <w:r>
        <w:rPr>
          <w:b/>
        </w:rPr>
        <w:t>Mode d'application</w:t>
      </w:r>
      <w:r>
        <w:t xml:space="preserve"> : appliquer en couche fine (quantité de la taille d'un petit pois pour une zone de 5×5 cm), masser doucement pour faire pénétrer, ne pas occlure sauf prescription médicale (pansement).</w:t>
      </w:r>
    </w:p>
    <w:p>
      <w:pPr>
        <w:pStyle w:val="ListNumber"/>
      </w:pPr>
      <w:r/>
      <w:r>
        <w:rPr>
          <w:b/>
        </w:rPr>
        <w:t>Fréquence</w:t>
      </w:r>
      <w:r>
        <w:t xml:space="preserve"> : bid à tid selon l'indication, idéalement matin et soir après toilette, ou à chaque change pour le nourrisson.</w:t>
      </w:r>
    </w:p>
    <w:p>
      <w:pPr>
        <w:pStyle w:val="ListNumber"/>
      </w:pPr>
      <w:r/>
      <w:r>
        <w:rPr>
          <w:b/>
        </w:rPr>
        <w:t>Durée</w:t>
      </w:r>
      <w:r>
        <w:t xml:space="preserve"> : respecter la durée prescrite, ne pas prolonger au-delà de 2 semaines sans avis médinal.</w:t>
      </w:r>
    </w:p>
    <w:p>
      <w:pPr>
        <w:pStyle w:val="ListNumber"/>
      </w:pPr>
      <w:r/>
      <w:r>
        <w:rPr>
          <w:b/>
        </w:rPr>
        <w:t>Crevasses d'allaitement</w:t>
      </w:r>
      <w:r>
        <w:t xml:space="preserve"> : appliquer après chaque tétée, nettoyer soigneusement le mamelon à l'eau et au savon doux puis sécher avant la tétée suivante.</w:t>
      </w:r>
    </w:p>
    <w:p>
      <w:pPr>
        <w:pStyle w:val="ListNumber"/>
      </w:pPr>
      <w:r/>
      <w:r>
        <w:rPr>
          <w:b/>
        </w:rPr>
        <w:t>Conseils hygiéno-diététiques</w:t>
      </w:r>
      <w:r>
        <w:t xml:space="preserve"> : éviter les irritants (savons alcalins, gels douche parfumés, tissus synthétiques), privilégier coton et lin, hydratation orale (1,5-2 L/j), alimentation équilibrée (vitamines A, C, E, zinc).</w:t>
      </w:r>
    </w:p>
    <w:p>
      <w:pPr>
        <w:pStyle w:val="ListNumber"/>
      </w:pPr>
      <w:r/>
      <w:r>
        <w:rPr>
          <w:b/>
        </w:rPr>
        <w:t>Prévention des récidives</w:t>
      </w:r>
      <w:r>
        <w:t xml:space="preserve"> (érythème fessier) : change fréquent (≥ 6/j), laisser le siège à l'air libre 15-30 min/j, éviter les lingettes alcoolisées ou parfumées, utiliser des couches adaptées à la taille, éviter les talques (risque d'inhalation).</w:t>
      </w:r>
    </w:p>
    <w:p>
      <w:pPr>
        <w:pStyle w:val="ListNumber"/>
      </w:pPr>
      <w:r/>
      <w:r>
        <w:rPr>
          <w:b/>
        </w:rPr>
        <w:t>Signes d'alerte</w:t>
      </w:r>
      <w:r>
        <w:t xml:space="preserve"> : extension de l'érythème, fièvre, suintement purulent, douleur croissante — consulter un médecin.</w:t>
      </w:r>
    </w:p>
    <w:p>
      <w:pPr>
        <w:pStyle w:val="ListNumber"/>
      </w:pPr>
      <w:r/>
      <w:r>
        <w:rPr>
          <w:b/>
        </w:rPr>
        <w:t>Conservation</w:t>
      </w:r>
      <w:r>
        <w:t xml:space="preserve"> : tube fermé, à température &lt;25°C, à l'abri de la lumière — durée de conservation après ouverture : 6 mois (vérifier la date de péremption).</w:t>
      </w:r>
    </w:p>
    <w:p>
      <w:r/>
      <w:r>
        <w:rPr>
          <w:b/>
        </w:rPr>
        <w:t>Notes, Règles d'Or &amp; Pièges au Comptoir :</w:t>
      </w:r>
      <w:r/>
    </w:p>
    <w:p>
      <w:pPr>
        <w:pStyle w:val="ListBullet"/>
      </w:pPr>
      <w:r/>
      <w:r>
        <w:rPr>
          <w:b/>
        </w:rPr>
        <w:t>Règle d'or n°1</w:t>
      </w:r>
      <w:r>
        <w:t xml:space="preserve"> : Le dexpanthénol n'est pas un antiseptique ni un antibiotique — il ne traite pas l'infection. Ne pas appliquer sur une plaie infectée non traitée (impétigo, herpès, surinfection bactérienne).</w:t>
      </w:r>
    </w:p>
    <w:p>
      <w:pPr>
        <w:pStyle w:val="ListBullet"/>
      </w:pPr>
      <w:r/>
      <w:r>
        <w:rPr>
          <w:b/>
        </w:rPr>
        <w:t>Règle d'or n°2</w:t>
      </w:r>
      <w:r>
        <w:t xml:space="preserve"> : Ne pas appliquer en couche épaisse — l'effet occlusif favorise la macération. Une couche fine suffit.</w:t>
      </w:r>
    </w:p>
    <w:p>
      <w:pPr>
        <w:pStyle w:val="ListBullet"/>
      </w:pPr>
      <w:r/>
      <w:r>
        <w:rPr>
          <w:b/>
        </w:rPr>
        <w:t>Piège n°1</w:t>
      </w:r>
      <w:r>
        <w:t xml:space="preserve"> : La </w:t>
      </w:r>
      <w:r>
        <w:rPr>
          <w:b/>
        </w:rPr>
        <w:t>dermite de contact allergique</w:t>
      </w:r>
      <w:r>
        <w:t xml:space="preserve"> est possible même avec une substance réputée sûre comme le panthénol — suspecter en cas d'aggravation paradoxale ou d'extension de l'érythème au-delà de la zone traitée.</w:t>
      </w:r>
    </w:p>
    <w:p>
      <w:pPr>
        <w:pStyle w:val="ListBullet"/>
      </w:pPr>
      <w:r/>
      <w:r>
        <w:rPr>
          <w:b/>
        </w:rPr>
        <w:t>Piège n°2</w:t>
      </w:r>
      <w:r>
        <w:t xml:space="preserve"> : Ne pas confondre érythème fessier banal (rougeur des plis, traité par panthénol) et candidose du siège (érythème brillant avec satellites périphériques, requiring antifongique local type éconazole) — le panthénol seul ne traite pas la candidose.</w:t>
      </w:r>
    </w:p>
    <w:p>
      <w:pPr>
        <w:pStyle w:val="ListBullet"/>
      </w:pPr>
      <w:r/>
      <w:r>
        <w:rPr>
          <w:b/>
        </w:rPr>
        <w:t>Piège n°3</w:t>
      </w:r>
      <w:r>
        <w:t xml:space="preserve"> : Le panthénol n'est pas un substitut du dermocorticoïde dans l'eczéma aigu — il intervient en phase de cicatrisation post-crise, pas en phase inflammatoire aiguë.</w:t>
      </w:r>
    </w:p>
    <w:p>
      <w:pPr>
        <w:pStyle w:val="ListBullet"/>
      </w:pPr>
      <w:r/>
      <w:r>
        <w:rPr>
          <w:b/>
        </w:rPr>
        <w:t>Piège n°4</w:t>
      </w:r>
      <w:r>
        <w:t xml:space="preserve"> : Ne pas appliquer sur une brûlure du 2ᵉ degré étendue (phlyctènes) sans avis médical — risque de surinfection et de retard de cicatrisation dirigée.</w:t>
      </w:r>
    </w:p>
    <w:p>
      <w:pPr>
        <w:pStyle w:val="ListBullet"/>
      </w:pPr>
      <w:r/>
      <w:r>
        <w:rPr>
          <w:b/>
        </w:rPr>
        <w:t>Piège n°5</w:t>
      </w:r>
      <w:r>
        <w:t xml:space="preserve"> : Vérifier la composition de la spécialité — certaines formes associent panthénol et hydrocortisone (BEPANTHENE PLUS — non disponible) ou panthénol et antiseptique, qui ne sont pas équivalents.</w:t>
      </w:r>
    </w:p>
    <w:p>
      <w:pPr>
        <w:pStyle w:val="ListBullet"/>
      </w:pPr>
      <w:r/>
      <w:r>
        <w:rPr>
          <w:b/>
        </w:rPr>
        <w:t>Piège n°6</w:t>
      </w:r>
      <w:r>
        <w:t xml:space="preserve"> : Chez la femme enceinte, ne pas appliquer sur le sein en début de grossesse si allaitements antérieurs — la composition du mamelon peut être différente.</w:t>
      </w:r>
    </w:p>
    <w:p>
      <w:pPr>
        <w:pStyle w:val="ListBullet"/>
      </w:pPr>
      <w:r/>
      <w:r>
        <w:rPr>
          <w:b/>
        </w:rPr>
        <w:t>Piège n°7</w:t>
      </w:r>
      <w:r>
        <w:t xml:space="preserve"> : Ne pas conseiller l'automédication prolongée (&gt;2 semaines) sans avis médical — une lésion qui ne cicatrise pas doit être réévaluée (suspicion de lésion précancéreuse ou cancéreuse, de dermatose sous-jacente, de déficit nutritionnel).</w:t>
      </w:r>
    </w:p>
    <w:p>
      <w:pPr>
        <w:pStyle w:val="ListBullet"/>
      </w:pPr>
      <w:r/>
      <w:r>
        <w:rPr>
          <w:b/>
        </w:rPr>
        <w:t>Piège n°8</w:t>
      </w:r>
      <w:r>
        <w:t xml:space="preserve"> : Chez le nourrisson prématuré, éviter l'application sur grande surface — l'immaturité de la fonction barrière cutanée augmente l'absorption systémique des excipients (parabens, propylène glycol).</w:t>
      </w:r>
    </w:p>
    <w:p>
      <w:pPr>
        <w:pStyle w:val="ListBullet"/>
      </w:pPr>
      <w:r/>
      <w:r>
        <w:rPr>
          <w:b/>
        </w:rPr>
        <w:t>Conseil comptoir</w:t>
      </w:r>
      <w:r>
        <w:t xml:space="preserve"> : Toujours demander au patient quel type de lésion il veut traiter, depuis combien de temps, s'il a déjà utilisé d'autres produits, s'il est allergique — ne pas délivrer aveuglément.</w:t>
      </w:r>
    </w:p>
    <w:p>
      <w:pPr>
        <w:pStyle w:val="Heading2"/>
      </w:pPr>
      <w:r>
        <w:t>Sous-classe 125.2 — Cicatrisants / Phytothérapie — Centella asiatica (asiaticosides)</w:t>
      </w:r>
    </w:p>
    <w:p>
      <w:r>
        <w:t xml:space="preserve">La phytothérapie appliquée à la dermatologie occupe une place particulière dans la pharmacopée internationale : fruit d'un savoir empirique multimillénaire, elle bénéficie depuis les années 1990 d'une </w:t>
      </w:r>
      <w:r>
        <w:rPr>
          <w:b/>
        </w:rPr>
        <w:t>validation pharmacologique moderne</w:t>
      </w:r>
      <w:r>
        <w:t xml:space="preserve"> grâce à l'identification des principes actifs responsables des effets biologiques et à la conduite d'essais cliniques randomisés de qualité acceptable. Le </w:t>
      </w:r>
      <w:r>
        <w:rPr>
          <w:b/>
        </w:rPr>
        <w:t>Centella asiatica</w:t>
      </w:r>
      <w:r>
        <w:t xml:space="preserve"> (L.) Urban — également nommé Hydrocotyle asiatica, </w:t>
      </w:r>
      <w:r>
        <w:rPr>
          <w:i/>
        </w:rPr>
        <w:t>talapetraka</w:t>
      </w:r>
      <w:r>
        <w:t xml:space="preserve"> en malgache, </w:t>
      </w:r>
      <w:r>
        <w:rPr>
          <w:i/>
        </w:rPr>
        <w:t>gotu kola</w:t>
      </w:r>
      <w:r>
        <w:t xml:space="preserve"> en indien, </w:t>
      </w:r>
      <w:r>
        <w:rPr>
          <w:i/>
        </w:rPr>
        <w:t>pegagan</w:t>
      </w:r>
      <w:r>
        <w:t xml:space="preserve"> en indonésien — est une petite herbacée rampante de la famille des Apiacées (Ombellifères), originaire des régions tropicales et subtropicales (Madagascar, Inde, Indonésie, Sri Lanka, Afrique du Sud). Utilisée depuis plus de 2 000 ans en médecine ayurvédique (Inde), en médecine traditionnelle chinoise et en pharmacopée malgache pour ses propriétés cicatrisantes, anti-inflammatoires et veinotoniques, elle a fait l'objet d'un programme de recherche international depuis les travaux de la firme française Hoechst (Bâle) dans les années 1950 — d'où l'identification des </w:t>
      </w:r>
      <w:r>
        <w:rPr>
          <w:b/>
        </w:rPr>
        <w:t>asiaticosides</w:t>
      </w:r>
      <w:r>
        <w:t xml:space="preserve"> (asiaticoside, madécassoside, asiatic acid, madecassic acid) comme principes actifs responsables de l'activité cicatrisante.</w:t>
      </w:r>
    </w:p>
    <w:p>
      <w:r>
        <w:t xml:space="preserve">Les </w:t>
      </w:r>
      <w:r>
        <w:rPr>
          <w:b/>
        </w:rPr>
        <w:t>asiaticosides</w:t>
      </w:r>
      <w:r>
        <w:t xml:space="preserve"> sont des </w:t>
      </w:r>
      <w:r>
        <w:rPr>
          <w:b/>
        </w:rPr>
        <w:t>saponines triterpéniques pentacycliques</w:t>
      </w:r>
      <w:r>
        <w:t xml:space="preserve"> de la famille des </w:t>
      </w:r>
      <w:r>
        <w:rPr>
          <w:b/>
        </w:rPr>
        <w:t>ursanes</w:t>
      </w:r>
      <w:r>
        <w:t xml:space="preserve"> (asiaticoside C₄₈H₇₈O₁₉ ; masse molaire 959,12 g/mol), constitués d'un aglycone triterpénique (acide asiatique ou acide madécassique) lié par liaison O-glycosidique à un oligosaccharide (glucose-rhamnose-glucose pour l'asiaticoside ; glucose-rhamnose pour le madécassoside). Leur structure amphiphile (tête glycosidique hydrophile + squelette triterpénique lipophile) leur confère des propriétés tensioactives et une capacité d'interaction avec les membranes cellulaires — expliquant à la fois leur absorption percutanée et leurs multiples cibles biologiques.</w:t>
      </w:r>
    </w:p>
    <w:p>
      <w:r>
        <w:t>Les effets pharmacologiques documentés sont multiples :</w:t>
      </w:r>
    </w:p>
    <w:p>
      <w:pPr>
        <w:pStyle w:val="ListBullet"/>
      </w:pPr>
      <w:r/>
      <w:r>
        <w:rPr>
          <w:b/>
        </w:rPr>
        <w:t>Stimulation de la synthèse du collagène</w:t>
      </w:r>
      <w:r>
        <w:t xml:space="preserve"> : les asiaticosides augmentent l'expression des gènes </w:t>
      </w:r>
      <w:r>
        <w:rPr>
          <w:b/>
        </w:rPr>
        <w:t>COL1A1</w:t>
      </w:r>
      <w:r>
        <w:t xml:space="preserve"> (collagène I α1) et </w:t>
      </w:r>
      <w:r>
        <w:rPr>
          <w:b/>
        </w:rPr>
        <w:t>COL3A1</w:t>
      </w:r>
      <w:r>
        <w:t xml:space="preserve"> (collagène III α1) par les fibroblastes dermiques, via activation du </w:t>
      </w:r>
      <w:r>
        <w:rPr>
          <w:b/>
        </w:rPr>
        <w:t>TGF-β1</w:t>
      </w:r>
      <w:r>
        <w:t xml:space="preserve"> et de la voie de signalisation </w:t>
      </w:r>
      <w:r>
        <w:rPr>
          <w:b/>
        </w:rPr>
        <w:t>Smad 2/3</w:t>
      </w:r>
      <w:r>
        <w:t xml:space="preserve"> (Hong Y, *Phytomedicine* 2005 ; 12 : 708-716). Cette stimulation est dose-dépendante et s'accompagne d'une augmentation de l'activité de la </w:t>
      </w:r>
      <w:r>
        <w:rPr>
          <w:b/>
        </w:rPr>
        <w:t>proline hydroxylase</w:t>
      </w:r>
      <w:r>
        <w:t xml:space="preserve"> (enzyme-clé de la post-traduction du collagène) et de la </w:t>
      </w:r>
      <w:r>
        <w:rPr>
          <w:b/>
        </w:rPr>
        <w:t>lysyl oxydase</w:t>
      </w:r>
      <w:r>
        <w:t xml:space="preserve"> (réticulation des fibres de collagène).</w:t>
      </w:r>
    </w:p>
    <w:p>
      <w:pPr>
        <w:pStyle w:val="ListBullet"/>
      </w:pPr>
      <w:r/>
      <w:r>
        <w:rPr>
          <w:b/>
        </w:rPr>
        <w:t>Action anti-inflammatoire</w:t>
      </w:r>
      <w:r>
        <w:t xml:space="preserve"> : inhibition de la production de NO, de PGE2, de TNF-α et d'IL-6 par les macrophages activés — par inhibition de l'expression de la </w:t>
      </w:r>
      <w:r>
        <w:rPr>
          <w:b/>
        </w:rPr>
        <w:t>iNOS</w:t>
      </w:r>
      <w:r>
        <w:t xml:space="preserve"> (NO synthase inductible) et de la </w:t>
      </w:r>
      <w:r>
        <w:rPr>
          <w:b/>
        </w:rPr>
        <w:t>COX-2</w:t>
      </w:r>
      <w:r>
        <w:t xml:space="preserve">, et inhibition de la translocation nucléaire de </w:t>
      </w:r>
      <w:r>
        <w:rPr>
          <w:b/>
        </w:rPr>
        <w:t>NF-κB</w:t>
      </w:r>
      <w:r>
        <w:t xml:space="preserve"> (Jiang WL, *Inflammation* 2014).</w:t>
      </w:r>
    </w:p>
    <w:p>
      <w:pPr>
        <w:pStyle w:val="ListBullet"/>
      </w:pPr>
      <w:r/>
      <w:r>
        <w:rPr>
          <w:b/>
        </w:rPr>
        <w:t>Action antioxydante</w:t>
      </w:r>
      <w:r>
        <w:t xml:space="preserve"> : piégeage des ROS (radicaux hydroxyles, superoxydes), stimulation de la </w:t>
      </w:r>
      <w:r>
        <w:rPr>
          <w:b/>
        </w:rPr>
        <w:t>superoxyde dismutase</w:t>
      </w:r>
      <w:r>
        <w:t xml:space="preserve"> (SOD), de la </w:t>
      </w:r>
      <w:r>
        <w:rPr>
          <w:b/>
        </w:rPr>
        <w:t>catalase</w:t>
      </w:r>
      <w:r>
        <w:t xml:space="preserve"> et du </w:t>
      </w:r>
      <w:r>
        <w:rPr>
          <w:b/>
        </w:rPr>
        <w:t>glutathion peroxydase</w:t>
      </w:r>
      <w:r>
        <w:t xml:space="preserve"> — activité protectrice contre le stress oxydatif cutané induit par les UV (essai *in vitro* sur fibroblastes humains irradiés UVA — diminution de 40 % des cellules apoptotiques).</w:t>
      </w:r>
    </w:p>
    <w:p>
      <w:pPr>
        <w:pStyle w:val="ListBullet"/>
      </w:pPr>
      <w:r/>
      <w:r>
        <w:rPr>
          <w:b/>
        </w:rPr>
        <w:t>Stimulation de l'angiogenèse</w:t>
      </w:r>
      <w:r>
        <w:t xml:space="preserve"> : augmentation de l'expression du </w:t>
      </w:r>
      <w:r>
        <w:rPr>
          <w:b/>
        </w:rPr>
        <w:t>VEGF</w:t>
      </w:r>
      <w:r>
        <w:t xml:space="preserve"> et du </w:t>
      </w:r>
      <w:r>
        <w:rPr>
          <w:b/>
        </w:rPr>
        <w:t>b-FGF</w:t>
      </w:r>
      <w:r>
        <w:t xml:space="preserve"> dans les cellules endothéliales dermiques — favorisant la néovascularisation du tissu de granulation (Kuo YS, *Life Sci* 2010).</w:t>
      </w:r>
    </w:p>
    <w:p>
      <w:pPr>
        <w:pStyle w:val="ListBullet"/>
      </w:pPr>
      <w:r/>
      <w:r>
        <w:rPr>
          <w:b/>
        </w:rPr>
        <w:t>Action antimicrobienne modérée</w:t>
      </w:r>
      <w:r>
        <w:t xml:space="preserve"> : effet bactériostatique sur *Staphylococcus aureus*, *Pseudomonas aeruginosa* et *Streptococcus pyogenes* — concentation inhibitrice minimale (CMI) 50-100 µg/mL — partiellement expliquée par l'effet tensioactif des saponines sur la membrane bactérienne.</w:t>
      </w:r>
    </w:p>
    <w:p>
      <w:r>
        <w:t xml:space="preserve">Les indications cliniques classiques sont les </w:t>
      </w:r>
      <w:r>
        <w:rPr>
          <w:b/>
        </w:rPr>
        <w:t>ulcères de jambe veineux</w:t>
      </w:r>
      <w:r>
        <w:t xml:space="preserve"> (en complément de la compression élastique et des soins locaux), les </w:t>
      </w:r>
      <w:r>
        <w:rPr>
          <w:b/>
        </w:rPr>
        <w:t>cicatrices hypertrophiques</w:t>
      </w:r>
      <w:r>
        <w:t xml:space="preserve"> et </w:t>
      </w:r>
      <w:r>
        <w:rPr>
          <w:b/>
        </w:rPr>
        <w:t>chéloïdes</w:t>
      </w:r>
      <w:r>
        <w:t xml:space="preserve"> (en prophylaxie post-chirurgicale et post-brûlure), les </w:t>
      </w:r>
      <w:r>
        <w:rPr>
          <w:b/>
        </w:rPr>
        <w:t>plaies chroniques</w:t>
      </w:r>
      <w:r>
        <w:t xml:space="preserve"> (pied diabétique, escarres), la préparation à la chirurgie réparatrice, les </w:t>
      </w:r>
      <w:r>
        <w:rPr>
          <w:b/>
        </w:rPr>
        <w:t>vergetures</w:t>
      </w:r>
      <w:r>
        <w:t xml:space="preserve"> récentes (rouges) et la prévention des </w:t>
      </w:r>
      <w:r>
        <w:rPr>
          <w:b/>
        </w:rPr>
        <w:t>séquelles de brûlure</w:t>
      </w:r>
      <w:r>
        <w:t xml:space="preserve">. La phytothérapie est également traditionnellement prescrite par voie orale dans les insuffisances veineuses chroniques (jambes lourdes, varices) — où les extraits de </w:t>
      </w:r>
      <w:r>
        <w:rPr>
          <w:i/>
        </w:rPr>
        <w:t>Centella asiatica</w:t>
      </w:r>
      <w:r>
        <w:t xml:space="preserve"> agissent sur la paroi veineuse et lymphatique.</w:t>
      </w:r>
    </w:p>
    <w:p>
      <w:r>
        <w:t xml:space="preserve">En Algérie, le paysage commercial est dominé par la spécialité </w:t>
      </w:r>
      <w:r>
        <w:rPr>
          <w:b/>
        </w:rPr>
        <w:t>MADECOSID</w:t>
      </w:r>
      <w:r>
        <w:t xml:space="preserve"> (SPA Union Pharmaceutique Constantinoise Production) — poudre à 2 % (asiaticosides) en flacon de 2 g, statut ACTIF. Les spécialités historiques (ASIATICOSID, MADECASSOL, MADECASSOL TULLE GRAS) sont en statut NON_RENOUVELABLE ou RETRAIT — limitant l'accès à certaines formes galéniques (notamment le tulle gras, utile pour les plaies superficielles étendues).</w:t>
      </w:r>
    </w:p>
    <w:p>
      <w:r>
        <w:t xml:space="preserve">La sous-classe se distingue par sa </w:t>
      </w:r>
      <w:r>
        <w:rPr>
          <w:b/>
        </w:rPr>
        <w:t>tolérance globale bonne</w:t>
      </w:r>
      <w:r>
        <w:t xml:space="preserve"> (réactions d'hypersensibilité rares mais possibles), sa </w:t>
      </w:r>
      <w:r>
        <w:rPr>
          <w:b/>
        </w:rPr>
        <w:t>posologie locale simple</w:t>
      </w:r>
      <w:r>
        <w:t xml:space="preserve"> (1 application/jour sur peau propre) et son intégration dans une </w:t>
      </w:r>
      <w:r>
        <w:rPr>
          <w:b/>
        </w:rPr>
        <w:t>stratégie globale</w:t>
      </w:r>
      <w:r>
        <w:t xml:space="preserve"> de cicatrisation dirigée (compression veineuse, décharge des points d'appui, équilibration glycémique chez le diabétique). Son utilisation chez la femme enceinte et allaitante est possible en application locale sans risque significatif (données limitées mais effet systémique négligeable après application topique).</w:t>
      </w:r>
    </w:p>
    <w:p>
      <w:pPr>
        <w:pStyle w:val="Heading3"/>
      </w:pPr>
      <w:r>
        <w:t>2. DCI : Centella asiatica (asiaticosides)</w:t>
      </w:r>
    </w:p>
    <w:p>
      <w:r/>
      <w:r>
        <w:rPr>
          <w:b/>
        </w:rPr>
        <w:t>Liste des Catégories :</w:t>
      </w:r>
      <w:r>
        <w:t xml:space="preserve"> Cicatrisant cutané phytothérapique ; extrait titré de </w:t>
      </w:r>
      <w:r>
        <w:rPr>
          <w:i/>
        </w:rPr>
        <w:t>Centella asiatica</w:t>
      </w:r>
      <w:r>
        <w:t xml:space="preserve"> (L.) Urban (Apiacées/Ombellifères) ; triterpènes pentacycliques de la famille des ursanes (asiaticoside, madécassoside, acide asiatique, acide madécassique) ; stimulateur de la synthèse du collagène I et III par les fibroblastes dermiques (activation TGF-β1/Smad 2/3) ; agent anti-inflammatoire (inhibition iNOS, COX-2, NF-κB) ; antioxydant (piégeage des ROS, stimulation SOD-catalase-GPx) ; stimulateur de l'angiogenèse (VEGF, b-FGF) ; antimicrobien modéré (action tensioactive des saponines) ; médicament à prescription libre (hors liste des substances vénéneuses) ; voie topique dominante (pommade, crème, poudre, tulle gras) ; accès par voie orale dans les indications veineuses (gélules, comprimés) ; compatible avec la grossesse en application locale (données limitées) ; ATC C05BX (anti-hémorroïdaires et antivariqueux), D03AX (cicatrisants).</w:t>
      </w:r>
    </w:p>
    <w:p>
      <w:r>
        <w:t xml:space="preserve">Le </w:t>
      </w:r>
      <w:r>
        <w:rPr>
          <w:b/>
        </w:rPr>
        <w:t>Centella asiatica</w:t>
      </w:r>
      <w:r>
        <w:t xml:space="preserve"> est une plante rampante à feuilles orbiculaires réniformes (1-3 cm de diamètre, en éventail), dont les principes actifs sont concentrés dans les feuilles fraîches et séchées. L'extraction standardisée produit un extrait titré en asiaticosides (typiquement 40-100 % d'asiaticoside + madécassoside selon le procédé), commercialisé sous forme de </w:t>
      </w:r>
      <w:r>
        <w:rPr>
          <w:b/>
        </w:rPr>
        <w:t>poudre</w:t>
      </w:r>
      <w:r>
        <w:t xml:space="preserve"> (à diluer dans l'eau ou en application directe), de </w:t>
      </w:r>
      <w:r>
        <w:rPr>
          <w:b/>
        </w:rPr>
        <w:t>crème</w:t>
      </w:r>
      <w:r>
        <w:t xml:space="preserve"> (à 1 % d'asiaticoside), de </w:t>
      </w:r>
      <w:r>
        <w:rPr>
          <w:b/>
        </w:rPr>
        <w:t>pommade</w:t>
      </w:r>
      <w:r>
        <w:t xml:space="preserve"> et de </w:t>
      </w:r>
      <w:r>
        <w:rPr>
          <w:b/>
        </w:rPr>
        <w:t>tulle gras</w:t>
      </w:r>
      <w:r>
        <w:t xml:space="preserve"> (imprégné à 1 % d'extrait titré). Les formulations modernes associent souvent les quatre triterpènes (asiaticoside, madécassoside, acide asiatique, acide madécassique) selon un rapport optimal (TTA/TTF — titrated triterpenic acid fraction).</w:t>
      </w:r>
    </w:p>
    <w:p>
      <w:r/>
      <w:r>
        <w:rPr>
          <w:b/>
        </w:rPr>
        <w:t>Médicaments disponibles en Algérie (Marques, Laboratoires, Formes et Dosages) :</w:t>
      </w:r>
      <w:r/>
    </w:p>
    <w:p>
      <w:r>
        <w:t>Forme active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MADECOSID</w:t>
            </w:r>
          </w:p>
        </w:tc>
        <w:tc>
          <w:tcPr>
            <w:tcW w:type="dxa" w:w="1559"/>
          </w:tcPr>
          <w:p>
            <w:r>
              <w:rPr>
                <w:sz w:val="20"/>
              </w:rPr>
              <w:t>SPA UNION PHARMACEUTIQUE CONSTANTINOISE PRODUCTION (SUCP)</w:t>
            </w:r>
          </w:p>
        </w:tc>
        <w:tc>
          <w:tcPr>
            <w:tcW w:type="dxa" w:w="1559"/>
          </w:tcPr>
          <w:p>
            <w:r>
              <w:rPr>
                <w:sz w:val="20"/>
              </w:rPr>
              <w:t>Poudre pour application locale — asiaticosides (triterpènes de Centella asiatica) 2 %</w:t>
            </w:r>
          </w:p>
        </w:tc>
        <w:tc>
          <w:tcPr>
            <w:tcW w:type="dxa" w:w="1559"/>
          </w:tcPr>
          <w:p>
            <w:r>
              <w:rPr>
                <w:sz w:val="20"/>
              </w:rPr>
              <w:t>Flacon de 2 g</w:t>
            </w:r>
          </w:p>
        </w:tc>
        <w:tc>
          <w:tcPr>
            <w:tcW w:type="dxa" w:w="1559"/>
          </w:tcPr>
          <w:p>
            <w:r>
              <w:rPr>
                <w:sz w:val="20"/>
              </w:rPr>
              <w:t>Liste I</w:t>
            </w:r>
          </w:p>
        </w:tc>
        <w:tc>
          <w:tcPr>
            <w:tcW w:type="dxa" w:w="1559"/>
          </w:tcPr>
          <w:p>
            <w:r>
              <w:rPr>
                <w:sz w:val="20"/>
              </w:rPr>
              <w:t>**Actif**</w:t>
            </w:r>
          </w:p>
        </w:tc>
      </w:tr>
    </w:tbl>
    <w:p/>
    <w:p>
      <w:r>
        <w:t>Formes non renouvelables (nouveaux approvisionnements suspendus)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ASIATICOSID</w:t>
            </w:r>
          </w:p>
        </w:tc>
        <w:tc>
          <w:tcPr>
            <w:tcW w:type="dxa" w:w="1559"/>
          </w:tcPr>
          <w:p>
            <w:r>
              <w:rPr>
                <w:sz w:val="20"/>
              </w:rPr>
              <w:t>INDUSTRIA FARMACEUTICA NOVA ARGENTIA (NOVA ARGENTIA)</w:t>
            </w:r>
          </w:p>
        </w:tc>
        <w:tc>
          <w:tcPr>
            <w:tcW w:type="dxa" w:w="1559"/>
          </w:tcPr>
          <w:p>
            <w:r>
              <w:rPr>
                <w:sz w:val="20"/>
              </w:rPr>
              <w:t>Poudre pour application locale — extrait de Centella asiatica 2 % (0,02)</w:t>
            </w:r>
          </w:p>
        </w:tc>
        <w:tc>
          <w:tcPr>
            <w:tcW w:type="dxa" w:w="1559"/>
          </w:tcPr>
          <w:p>
            <w:r>
              <w:rPr>
                <w:sz w:val="20"/>
              </w:rPr>
              <w:t>Flacon poudreur de 2 g</w:t>
            </w:r>
          </w:p>
        </w:tc>
        <w:tc>
          <w:tcPr>
            <w:tcW w:type="dxa" w:w="1559"/>
          </w:tcPr>
          <w:p>
            <w:r>
              <w:rPr>
                <w:sz w:val="20"/>
              </w:rPr>
              <w:t>Hors liste</w:t>
            </w:r>
          </w:p>
        </w:tc>
        <w:tc>
          <w:tcPr>
            <w:tcW w:type="dxa" w:w="1559"/>
          </w:tcPr>
          <w:p>
            <w:r>
              <w:rPr>
                <w:sz w:val="20"/>
              </w:rPr>
              <w:t>**Non Renouvelable**</w:t>
            </w:r>
          </w:p>
        </w:tc>
      </w:tr>
      <w:tr>
        <w:tc>
          <w:tcPr>
            <w:tcW w:type="dxa" w:w="1559"/>
          </w:tcPr>
          <w:p>
            <w:r>
              <w:rPr>
                <w:sz w:val="20"/>
              </w:rPr>
              <w:t>MADECASSOL</w:t>
            </w:r>
          </w:p>
        </w:tc>
        <w:tc>
          <w:tcPr>
            <w:tcW w:type="dxa" w:w="1559"/>
          </w:tcPr>
          <w:p>
            <w:r>
              <w:rPr>
                <w:sz w:val="20"/>
              </w:rPr>
              <w:t>ROCHE NICHOLAS</w:t>
            </w:r>
          </w:p>
        </w:tc>
        <w:tc>
          <w:tcPr>
            <w:tcW w:type="dxa" w:w="1559"/>
          </w:tcPr>
          <w:p>
            <w:r>
              <w:rPr>
                <w:sz w:val="20"/>
              </w:rPr>
              <w:t>Poudre pour application locale — extrait de Centella asiatica 2 % (0,02)</w:t>
            </w:r>
          </w:p>
        </w:tc>
        <w:tc>
          <w:tcPr>
            <w:tcW w:type="dxa" w:w="1559"/>
          </w:tcPr>
          <w:p>
            <w:r>
              <w:rPr>
                <w:sz w:val="20"/>
              </w:rPr>
              <w:t>Flacon de 2 g</w:t>
            </w:r>
          </w:p>
        </w:tc>
        <w:tc>
          <w:tcPr>
            <w:tcW w:type="dxa" w:w="1559"/>
          </w:tcPr>
          <w:p>
            <w:r>
              <w:rPr>
                <w:sz w:val="20"/>
              </w:rPr>
              <w:t>Hors liste</w:t>
            </w:r>
          </w:p>
        </w:tc>
        <w:tc>
          <w:tcPr>
            <w:tcW w:type="dxa" w:w="1559"/>
          </w:tcPr>
          <w:p>
            <w:r>
              <w:rPr>
                <w:sz w:val="20"/>
              </w:rPr>
              <w:t>**Non Renouvelable**</w:t>
            </w:r>
          </w:p>
        </w:tc>
      </w:tr>
      <w:tr>
        <w:tc>
          <w:tcPr>
            <w:tcW w:type="dxa" w:w="1559"/>
          </w:tcPr>
          <w:p>
            <w:r>
              <w:rPr>
                <w:sz w:val="20"/>
              </w:rPr>
              <w:t>ASIATICOSID</w:t>
            </w:r>
          </w:p>
        </w:tc>
        <w:tc>
          <w:tcPr>
            <w:tcW w:type="dxa" w:w="1559"/>
          </w:tcPr>
          <w:p>
            <w:r>
              <w:rPr>
                <w:sz w:val="20"/>
              </w:rPr>
              <w:t>NOVA ARGENTIA</w:t>
            </w:r>
          </w:p>
        </w:tc>
        <w:tc>
          <w:tcPr>
            <w:tcW w:type="dxa" w:w="1559"/>
          </w:tcPr>
          <w:p>
            <w:r>
              <w:rPr>
                <w:sz w:val="20"/>
              </w:rPr>
              <w:t>Crème dermique — extrait de Centella asiatica 1 % (0,01)</w:t>
            </w:r>
          </w:p>
        </w:tc>
        <w:tc>
          <w:tcPr>
            <w:tcW w:type="dxa" w:w="1559"/>
          </w:tcPr>
          <w:p>
            <w:r>
              <w:rPr>
                <w:sz w:val="20"/>
              </w:rPr>
              <w:t>Tube de 10 g</w:t>
            </w:r>
          </w:p>
        </w:tc>
        <w:tc>
          <w:tcPr>
            <w:tcW w:type="dxa" w:w="1559"/>
          </w:tcPr>
          <w:p>
            <w:r>
              <w:rPr>
                <w:sz w:val="20"/>
              </w:rPr>
              <w:t>Hors liste</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MADECASSOL TULLE GRAS</w:t>
            </w:r>
          </w:p>
        </w:tc>
        <w:tc>
          <w:tcPr>
            <w:tcW w:type="dxa" w:w="1559"/>
          </w:tcPr>
          <w:p>
            <w:r>
              <w:rPr>
                <w:sz w:val="20"/>
              </w:rPr>
              <w:t>ROCHE NICHOLAS</w:t>
            </w:r>
          </w:p>
        </w:tc>
        <w:tc>
          <w:tcPr>
            <w:tcW w:type="dxa" w:w="1559"/>
          </w:tcPr>
          <w:p>
            <w:r>
              <w:rPr>
                <w:sz w:val="20"/>
              </w:rPr>
              <w:t>Tulle gras — extrait de Centella asiatica 1 % (0,01)</w:t>
            </w:r>
          </w:p>
        </w:tc>
        <w:tc>
          <w:tcPr>
            <w:tcW w:type="dxa" w:w="1559"/>
          </w:tcPr>
          <w:p>
            <w:r>
              <w:rPr>
                <w:sz w:val="20"/>
              </w:rPr>
              <w:t>Boîte de 5 tulles</w:t>
            </w:r>
          </w:p>
        </w:tc>
        <w:tc>
          <w:tcPr>
            <w:tcW w:type="dxa" w:w="1559"/>
          </w:tcPr>
          <w:p>
            <w:r>
              <w:rPr>
                <w:sz w:val="20"/>
              </w:rPr>
              <w:t>Hors liste</w:t>
            </w:r>
          </w:p>
        </w:tc>
        <w:tc>
          <w:tcPr>
            <w:tcW w:type="dxa" w:w="1559"/>
          </w:tcPr>
          <w:p>
            <w:r>
              <w:rPr>
                <w:sz w:val="20"/>
              </w:rPr>
              <w:t>**Retiré (R)**</w:t>
            </w:r>
          </w:p>
        </w:tc>
      </w:tr>
    </w:tbl>
    <w:p/>
    <w:p>
      <w:r/>
      <w:r>
        <w:rPr>
          <w:b/>
        </w:rPr>
        <w:t>Note d'approvisionnement</w:t>
      </w:r>
      <w:r>
        <w:t xml:space="preserve"> : À la date d'Avril 2026, seule la poudre MADECOSID (SUCP — Constantine) est active en Algérie. Les autres formes galéniques (crème 1 %, tulle gras) sont en statut NON_RENOUVELABLE ou RETRAIT, ce qui limite l'accès aux formes modernes et pratiques. Le tulle gras — historiquement utilisé pour les ulcères de jambe et les dermabrasions — n'a pas d'équivalent local et doit être remplacé par l'application de poudre sous pansement gras (type tulle gras ordinaire à la vaseline) ou de pansements hydrocellulaires modernes (non remboursés et coûteux). La production locale algérienne (SUCP — Constantine) garantit la disponibilité de la poudre mais son usage est moins pratique que la crème ou le tulle gras.</w:t>
      </w:r>
    </w:p>
    <w:p>
      <w:r/>
      <w:r>
        <w:rPr>
          <w:b/>
        </w:rPr>
        <w:t>Sous-classe et Mécanisme d'action :</w:t>
      </w:r>
      <w:r/>
    </w:p>
    <w:p>
      <w:r>
        <w:t xml:space="preserve">Le mécanisme d'action du </w:t>
      </w:r>
      <w:r>
        <w:rPr>
          <w:i/>
        </w:rPr>
        <w:t>Centella asiatica</w:t>
      </w:r>
      <w:r>
        <w:t xml:space="preserve"> sur la cicatrisation est </w:t>
      </w:r>
      <w:r>
        <w:rPr>
          <w:b/>
        </w:rPr>
        <w:t>pléiotropique</w:t>
      </w:r>
      <w:r>
        <w:t>, impliquant plusieurs voies moléculaires convergentes :</w:t>
      </w:r>
    </w:p>
    <w:p>
      <w:pPr>
        <w:pStyle w:val="ListNumber"/>
      </w:pPr>
      <w:r/>
      <w:r>
        <w:rPr>
          <w:b/>
        </w:rPr>
        <w:t>Stimulation de la synthèse du collagène</w:t>
      </w:r>
      <w:r>
        <w:t xml:space="preserve"> : les asiaticosides pénètrent la couche cornée (solubilisation par les saponines, log P ~3,5 — passage transépidermique facilité), atteignent le derme où ils sont internalisés par les </w:t>
      </w:r>
      <w:r>
        <w:rPr>
          <w:b/>
        </w:rPr>
        <w:t>fibroblastes dermiques</w:t>
      </w:r>
      <w:r>
        <w:t xml:space="preserve">. Ils activent le </w:t>
      </w:r>
      <w:r>
        <w:rPr>
          <w:b/>
        </w:rPr>
        <w:t>TGF-β1</w:t>
      </w:r>
      <w:r>
        <w:t xml:space="preserve"> (Transforming Growth Factor β1) qui se lie à son récepteur TβR1/TβR2, déclenchant la phosphorylation en cascade de </w:t>
      </w:r>
      <w:r>
        <w:rPr>
          <w:b/>
        </w:rPr>
        <w:t>Smad 2 et Smad 3</w:t>
      </w:r>
      <w:r>
        <w:t xml:space="preserve">, leur translocation nucléaire et la stimulation transcriptionnelle des gènes cibles : </w:t>
      </w:r>
      <w:r>
        <w:rPr>
          <w:b/>
        </w:rPr>
        <w:t>COL1A1</w:t>
      </w:r>
      <w:r>
        <w:t xml:space="preserve"> (collagène I α1), </w:t>
      </w:r>
      <w:r>
        <w:rPr>
          <w:b/>
        </w:rPr>
        <w:t>COL3A1</w:t>
      </w:r>
      <w:r>
        <w:t xml:space="preserve"> (collagène III α1), </w:t>
      </w:r>
      <w:r>
        <w:rPr>
          <w:b/>
        </w:rPr>
        <w:t>FN1</w:t>
      </w:r>
      <w:r>
        <w:t xml:space="preserve"> (fibronectine), </w:t>
      </w:r>
      <w:r>
        <w:rPr>
          <w:b/>
        </w:rPr>
        <w:t>ELN</w:t>
      </w:r>
      <w:r>
        <w:t xml:space="preserve"> (élastine). L'effet est dose-dépendant (maximum à 50 µg/mL en culture cellulaire) et s'accompagne d'une activation de la </w:t>
      </w:r>
      <w:r>
        <w:rPr>
          <w:b/>
        </w:rPr>
        <w:t>proline hydroxylase</w:t>
      </w:r>
      <w:r>
        <w:t xml:space="preserve"> (post-traduction du collagène : hydroxylation des résidus proline en hydroxyproline, indispensable à la stabilité de la triple hélice) et de la </w:t>
      </w:r>
      <w:r>
        <w:rPr>
          <w:b/>
        </w:rPr>
        <w:t>lysyl oxydase</w:t>
      </w:r>
      <w:r>
        <w:t xml:space="preserve"> (réticulation intermoléculaire des fibres de collagène — augmentation de la résistance mécanique de la matrice extracellulaire).</w:t>
      </w:r>
    </w:p>
    <w:p>
      <w:pPr>
        <w:pStyle w:val="ListNumber"/>
      </w:pPr>
      <w:r/>
      <w:r>
        <w:rPr>
          <w:b/>
        </w:rPr>
        <w:t>Inhibition de la dégradation matricielle</w:t>
      </w:r>
      <w:r>
        <w:t xml:space="preserve"> : les asiaticosides inhibent l'expression des </w:t>
      </w:r>
      <w:r>
        <w:rPr>
          <w:b/>
        </w:rPr>
        <w:t>MMP-1</w:t>
      </w:r>
      <w:r>
        <w:t xml:space="preserve"> (collagénase) et </w:t>
      </w:r>
      <w:r>
        <w:rPr>
          <w:b/>
        </w:rPr>
        <w:t>MMP-3</w:t>
      </w:r>
      <w:r>
        <w:t xml:space="preserve"> (stromélysine) par les fibroblastes et les kératinocytes — réduisant la protéolyse matricielle et préservant le collagène néosynthétisé.</w:t>
      </w:r>
    </w:p>
    <w:p>
      <w:pPr>
        <w:pStyle w:val="ListNumber"/>
      </w:pPr>
      <w:r/>
      <w:r>
        <w:rPr>
          <w:b/>
        </w:rPr>
        <w:t>Action anti-inflammatoire</w:t>
      </w:r>
      <w:r>
        <w:t xml:space="preserve"> : inhibition de la voie </w:t>
      </w:r>
      <w:r>
        <w:rPr>
          <w:b/>
        </w:rPr>
        <w:t>NF-κB</w:t>
      </w:r>
      <w:r>
        <w:t xml:space="preserve"> (translocation nucléaire de p65) → diminution de la transcription des gènes pro-inflammatoires (TNF-α, IL-1β, IL-6, COX-2, iNOS). Diminution de la production de </w:t>
      </w:r>
      <w:r>
        <w:rPr>
          <w:b/>
        </w:rPr>
        <w:t>PGE2</w:t>
      </w:r>
      <w:r>
        <w:t xml:space="preserve"> (prostaglandine E2 pro-inflammatoire) et de </w:t>
      </w:r>
      <w:r>
        <w:rPr>
          <w:b/>
        </w:rPr>
        <w:t>NO</w:t>
      </w:r>
      <w:r>
        <w:t xml:space="preserve"> (radical libre oxygéné) par les macrophages activés. Cet effet contribue à réduire l'inflammation chronique locale qui entretient la non-cicatrisation des plaies chroniques (ulcères de jambe, escarres).</w:t>
      </w:r>
    </w:p>
    <w:p>
      <w:pPr>
        <w:pStyle w:val="ListNumber"/>
      </w:pPr>
      <w:r/>
      <w:r>
        <w:rPr>
          <w:b/>
        </w:rPr>
        <w:t>Stimulation de l'angiogenèse</w:t>
      </w:r>
      <w:r>
        <w:t xml:space="preserve"> : les asiaticosides augmentent l'expression du </w:t>
      </w:r>
      <w:r>
        <w:rPr>
          <w:b/>
        </w:rPr>
        <w:t>VEGF</w:t>
      </w:r>
      <w:r>
        <w:t xml:space="preserve"> (Vascular Endothelial Growth Factor) et du </w:t>
      </w:r>
      <w:r>
        <w:rPr>
          <w:b/>
        </w:rPr>
        <w:t>b-FGF</w:t>
      </w:r>
      <w:r>
        <w:t xml:space="preserve"> (basic Fibroblast Growth Factor) par les fibroblastes et les cellules endothéliales — favorisant la prolifération et la migration des cellules endothéliales, la formation de tubes capillaires et la néovascularisation du tissu de granulation. Cette action est cruciale pour les plaies chroniques ischémiques (pied diabétique, artériopathie oblitérante des membres inférieurs).</w:t>
      </w:r>
    </w:p>
    <w:p>
      <w:pPr>
        <w:pStyle w:val="ListNumber"/>
      </w:pPr>
      <w:r/>
      <w:r>
        <w:rPr>
          <w:b/>
        </w:rPr>
        <w:t>Action antioxydante</w:t>
      </w:r>
      <w:r>
        <w:t xml:space="preserve"> : piégeage direct des </w:t>
      </w:r>
      <w:r>
        <w:rPr>
          <w:b/>
        </w:rPr>
        <w:t>ROS</w:t>
      </w:r>
      <w:r>
        <w:t xml:space="preserve"> (radicaux hydroxyles, superoxydes) par les groupements hydroxyles des triterpènes, et stimulation de la </w:t>
      </w:r>
      <w:r>
        <w:rPr>
          <w:b/>
        </w:rPr>
        <w:t>SOD</w:t>
      </w:r>
      <w:r>
        <w:t xml:space="preserve"> (superoxyde dismutase), de la </w:t>
      </w:r>
      <w:r>
        <w:rPr>
          <w:b/>
        </w:rPr>
        <w:t>catalase</w:t>
      </w:r>
      <w:r>
        <w:t xml:space="preserve"> et du </w:t>
      </w:r>
      <w:r>
        <w:rPr>
          <w:b/>
        </w:rPr>
        <w:t>glutathion peroxydase</w:t>
      </w:r>
      <w:r>
        <w:t>. Cette action réduit le stress oxydatif qui altère la cicatrisation (en particulier dans les plaies chroniques diabétiques).</w:t>
      </w:r>
    </w:p>
    <w:p>
      <w:pPr>
        <w:pStyle w:val="ListNumber"/>
      </w:pPr>
      <w:r/>
      <w:r>
        <w:rPr>
          <w:b/>
        </w:rPr>
        <w:t>Action antimicrobienne modérée</w:t>
      </w:r>
      <w:r>
        <w:t xml:space="preserve"> : effet tensioactif des saponines sur la membrane bactérienne — bactériostatique vis-à-vis de *S. aureus*, *P. aeruginosa*, *S. pyogenes* (CMI 50-100 µg/mL). Cette action est insuffisante à elle seule pour traiter une surinfection déclarée mais contribue à réduire l'inoculum microbien local.</w:t>
      </w:r>
    </w:p>
    <w:p>
      <w:r>
        <w:t xml:space="preserve">L'effet thérapeutique en clinique se traduit par une accélération de la </w:t>
      </w:r>
      <w:r>
        <w:rPr>
          <w:b/>
        </w:rPr>
        <w:t>réépithélialisation</w:t>
      </w:r>
      <w:r>
        <w:t xml:space="preserve"> (réduction du délai de fermeture de 30-40 % dans les ulcères veineux — essai randomizedcontrolled trial Sukomolput V, </w:t>
      </w:r>
      <w:r>
        <w:rPr>
          <w:i/>
        </w:rPr>
        <w:t>J Med Assoc Thai</w:t>
      </w:r>
      <w:r>
        <w:t xml:space="preserve"> 2009), une augmentation du </w:t>
      </w:r>
      <w:r>
        <w:rPr>
          <w:b/>
        </w:rPr>
        <w:t>taux de collagène</w:t>
      </w:r>
      <w:r>
        <w:t xml:space="preserve"> dans le tissu de granulation (biopsies : +35 % à J14 en concentration en hydroxyproline), une </w:t>
      </w:r>
      <w:r>
        <w:rPr>
          <w:b/>
        </w:rPr>
        <w:t>réduction de l'inflammation locale</w:t>
      </w:r>
      <w:r>
        <w:t xml:space="preserve"> (diminution de l'érythème, de l'œdème, du suintement) et une </w:t>
      </w:r>
      <w:r>
        <w:rPr>
          <w:b/>
        </w:rPr>
        <w:t>amélioration de la qualité cosmétique</w:t>
      </w:r>
      <w:r>
        <w:t xml:space="preserve"> de la cicatrice (réduction de l'indice POSAS à 3 mois — Patient and Observer Scar Assessment Scale).</w:t>
      </w:r>
    </w:p>
    <w:p>
      <w:r/>
      <w:r>
        <w:rPr>
          <w:b/>
        </w:rPr>
        <w:t>Profil Pharmacologique et Indications :</w:t>
      </w:r>
      <w:r/>
    </w:p>
    <w:p>
      <w:r>
        <w:t>Indications cliniques validées :</w:t>
      </w:r>
    </w:p>
    <w:p>
      <w:pPr>
        <w:pStyle w:val="ListBullet"/>
      </w:pPr>
      <w:r/>
      <w:r>
        <w:rPr>
          <w:b/>
        </w:rPr>
        <w:t>Ulcère de jambe veineux</w:t>
      </w:r>
      <w:r>
        <w:t xml:space="preserve"> (ulcère variqueux) — en complément de la </w:t>
      </w:r>
      <w:r>
        <w:rPr>
          <w:b/>
        </w:rPr>
        <w:t>compression élastique</w:t>
      </w:r>
      <w:r>
        <w:t xml:space="preserve"> (bande ou bas de contention — classe 2 ou 3 selon la sévérité) et des soins locaux (nettoyage, détersion, pansement adapté). Application quotidienne de poudre ou de crème sur l'ulcère propre, après détersion mécanique ou enzymatique. Essai RCT Suguna L, *J Wound Care* 2014 : augmentation de 47 % du taux de cicatrisation complète à 6 semaines vs placebo.</w:t>
      </w:r>
    </w:p>
    <w:p>
      <w:pPr>
        <w:pStyle w:val="ListBullet"/>
      </w:pPr>
      <w:r/>
      <w:r>
        <w:rPr>
          <w:b/>
        </w:rPr>
        <w:t>Ulcère artériel</w:t>
      </w:r>
      <w:r>
        <w:t xml:space="preserve"> (après revascularisation) et </w:t>
      </w:r>
      <w:r>
        <w:rPr>
          <w:b/>
        </w:rPr>
        <w:t>pied diabétique</w:t>
      </w:r>
      <w:r>
        <w:t xml:space="preserve"> neuropathique (sans ischémie sévère) — application locale en complément des soins.</w:t>
      </w:r>
    </w:p>
    <w:p>
      <w:pPr>
        <w:pStyle w:val="ListBullet"/>
      </w:pPr>
      <w:r/>
      <w:r>
        <w:rPr>
          <w:b/>
        </w:rPr>
        <w:t>Cicatrices hypertrophiques</w:t>
      </w:r>
      <w:r>
        <w:t xml:space="preserve"> et </w:t>
      </w:r>
      <w:r>
        <w:rPr>
          <w:b/>
        </w:rPr>
        <w:t>chéloïdes</w:t>
      </w:r>
      <w:r>
        <w:t xml:space="preserve"> — prophylaxie post-chirurgicale (application dès l'ablation des fils, pendant 3-6 mois) et traitement curatif (application prolongée 6-12 mois, éventuellement sous pansement de silicone). Essai RCT Widgerow AD, *Aesthet Surg J* 2010 : réduction de 35 % de l'épaisseur et de l'érythème des cicatrices hypertrophiques post-mammoplastie à 6 mois.</w:t>
      </w:r>
    </w:p>
    <w:p>
      <w:pPr>
        <w:pStyle w:val="ListBullet"/>
      </w:pPr>
      <w:r/>
      <w:r>
        <w:rPr>
          <w:b/>
        </w:rPr>
        <w:t>Brûlures du 2ᵉ degré superficiel</w:t>
      </w:r>
      <w:r>
        <w:t xml:space="preserve"> — application de crème ou de tulle gras après détersion des phlyctènes, en pansement renouvelé tous les 2-3 jours.</w:t>
      </w:r>
    </w:p>
    <w:p>
      <w:pPr>
        <w:pStyle w:val="ListBullet"/>
      </w:pPr>
      <w:r/>
      <w:r>
        <w:rPr>
          <w:b/>
        </w:rPr>
        <w:t>Dermabrasions post-traumatiques</w:t>
      </w:r>
      <w:r>
        <w:t xml:space="preserve"> et </w:t>
      </w:r>
      <w:r>
        <w:rPr>
          <w:b/>
        </w:rPr>
        <w:t>écorchures étendues</w:t>
      </w:r>
      <w:r>
        <w:t>.</w:t>
      </w:r>
    </w:p>
    <w:p>
      <w:pPr>
        <w:pStyle w:val="ListBullet"/>
      </w:pPr>
      <w:r/>
      <w:r>
        <w:rPr>
          <w:b/>
        </w:rPr>
        <w:t>Plaies chroniques</w:t>
      </w:r>
      <w:r>
        <w:t xml:space="preserve"> : escarres (en complément de la décharge), ulcères de pression, plaies diabétiques chroniques.</w:t>
      </w:r>
    </w:p>
    <w:p>
      <w:pPr>
        <w:pStyle w:val="ListBullet"/>
      </w:pPr>
      <w:r/>
      <w:r>
        <w:rPr>
          <w:b/>
        </w:rPr>
        <w:t>Prévention des vergetures</w:t>
      </w:r>
      <w:r>
        <w:t xml:space="preserve"> (stries distensae) — application pendant la grossesse à partir du 2ᵉ trimestre et en période d'adolescence ou de variation pondérale rapide (essai RCT Poohtridecha S, *J Cosmet Dermatol* 2017 — réduction de 50 % de la sévérité des vergetures avec application bid de crème au Centella asiatica 1 % vs placebo pendant 12 semaines).</w:t>
      </w:r>
    </w:p>
    <w:p>
      <w:pPr>
        <w:pStyle w:val="ListBullet"/>
      </w:pPr>
      <w:r/>
      <w:r>
        <w:rPr>
          <w:b/>
        </w:rPr>
        <w:t>Préparation à la chirurgie réparatrice</w:t>
      </w:r>
      <w:r>
        <w:t xml:space="preserve"> (greffes, lambeaux) — application 2-4 semaines avant intervention pour améliorer la qualité cutanée périlésionnelle.</w:t>
      </w:r>
    </w:p>
    <w:p>
      <w:pPr>
        <w:pStyle w:val="ListBullet"/>
      </w:pPr>
      <w:r/>
      <w:r>
        <w:rPr>
          <w:b/>
        </w:rPr>
        <w:t>Insuffisance veineuse chronique</w:t>
      </w:r>
      <w:r>
        <w:t xml:space="preserve"> (voie orale — spécialité indisponible en Algérie) : jambes lourdes, varices, œdèmes veineux, hémorroïdes. La voie orale agit sur le tonus veineux (augmentation de la contractilité des cellules musculaires lisses des veines, diminution de la perméabilité capillaire).</w:t>
      </w:r>
    </w:p>
    <w:p>
      <w:r>
        <w:t xml:space="preserve">Pharmacocinétique : les asiaticosides sont absorbés percutanément (log P ~3,5 ; PM 959 Da — absorption faible mais significative), métabolisés en </w:t>
      </w:r>
      <w:r>
        <w:rPr>
          <w:b/>
        </w:rPr>
        <w:t>acide asiatique</w:t>
      </w:r>
      <w:r>
        <w:t xml:space="preserve"> et </w:t>
      </w:r>
      <w:r>
        <w:rPr>
          <w:b/>
        </w:rPr>
        <w:t>acide madécassique</w:t>
      </w:r>
      <w:r>
        <w:t xml:space="preserve"> (hydrolyse enzymatique des liaisons glycosidiques par les glycosidases bactériennes et tissulaires), puis conjugués en glucuronides et excrétés par voie biliaire et rénale. La demi-vie plasmatique des métabolites est ~6-8 h. Aucune accumulation n'est décrite en cas d'application répétée.</w:t>
      </w:r>
    </w:p>
    <w:p>
      <w:r/>
      <w:r>
        <w:rPr>
          <w:b/>
        </w:rPr>
        <w:t>Prévention et Gestion des Effets Indésirables :</w:t>
      </w:r>
      <w:r/>
    </w:p>
    <w:p>
      <w:r>
        <w:t xml:space="preserve">Le </w:t>
      </w:r>
      <w:r>
        <w:rPr>
          <w:i/>
        </w:rPr>
        <w:t>Centella asiatica</w:t>
      </w:r>
      <w:r>
        <w:t xml:space="preserve"> est globalement bien toléré. Les effets indésirables publiés sont rares (&gt;1/10 000 à &lt;1/1 000) :</w:t>
      </w:r>
    </w:p>
    <w:p>
      <w:pPr>
        <w:pStyle w:val="ListBullet"/>
      </w:pPr>
      <w:r/>
      <w:r>
        <w:rPr>
          <w:b/>
        </w:rPr>
        <w:t>Dermite de contact allergique</w:t>
      </w:r>
      <w:r>
        <w:t xml:space="preserve"> : érythème, prurit, vésicules au site d'application — réaction d'hypersensibilité retardée (type IV) imputable aux asiaticosides ou aux excipients (lanoline, parabens, propylène glycol). Tests épicutanés positifs au *Centella asiatica* pur documentés (Romero I, *Contact Dermatitis* 2011 — 5 cas publiés). Conduite à tenir : arrêt, lavage à l'eau, dermocorticoïde faible (hydrocortisone 1 %) pendant 5-7 jours, puis alternative cicatrisante (panthénol).</w:t>
      </w:r>
    </w:p>
    <w:p>
      <w:pPr>
        <w:pStyle w:val="ListBullet"/>
      </w:pPr>
      <w:r/>
      <w:r>
        <w:rPr>
          <w:b/>
        </w:rPr>
        <w:t>Brûlure locale transitoire</w:t>
      </w:r>
      <w:r>
        <w:t xml:space="preserve"> à l'application sur plaie lésée (effet osmotique des saponines).</w:t>
      </w:r>
    </w:p>
    <w:p>
      <w:pPr>
        <w:pStyle w:val="ListBullet"/>
      </w:pPr>
      <w:r/>
      <w:r>
        <w:rPr>
          <w:b/>
        </w:rPr>
        <w:t>Réactions d'hypersensibilité immédiate</w:t>
      </w:r>
      <w:r>
        <w:t xml:space="preserve"> (urticaire de contact, eczéma aigu) — exceptionnelles.</w:t>
      </w:r>
    </w:p>
    <w:p>
      <w:pPr>
        <w:pStyle w:val="ListBullet"/>
      </w:pPr>
      <w:r/>
      <w:r>
        <w:rPr>
          <w:b/>
        </w:rPr>
        <w:t>Voie orale</w:t>
      </w:r>
      <w:r>
        <w:t xml:space="preserve"> : troubles digestifs (nausées, diarrhée, douleurs épigastriques), céphalées, somnolence (effet sédatif modéré — Historical reports).</w:t>
      </w:r>
    </w:p>
    <w:p>
      <w:pPr>
        <w:pStyle w:val="ListBullet"/>
      </w:pPr>
      <w:r/>
      <w:r>
        <w:rPr>
          <w:b/>
        </w:rPr>
        <w:t>Effet théorique sur la coagulation</w:t>
      </w:r>
      <w:r>
        <w:t xml:space="preserve"> : les asiaticosides peuvent inhiber l'agrégation plaquettaire *in vitro* — sans pertinence clinique significative en application locale, mais à surveiller en cas de traitement anticoagulant concomitant par voie orale systémique (warfarine, AOD) — espacer les prises.</w:t>
      </w:r>
    </w:p>
    <w:p>
      <w:r>
        <w:t>Prévention des EI :</w:t>
      </w:r>
    </w:p>
    <w:p>
      <w:pPr>
        <w:pStyle w:val="ListBullet"/>
      </w:pPr>
      <w:r/>
      <w:r>
        <w:rPr>
          <w:b/>
        </w:rPr>
        <w:t>Test préalable</w:t>
      </w:r>
      <w:r>
        <w:t xml:space="preserve"> chez le patient atopique : appliquer une petite quantité sur le pli du coude pendant 24-48 h avant la première utilisation extensive.</w:t>
      </w:r>
    </w:p>
    <w:p>
      <w:pPr>
        <w:pStyle w:val="ListBullet"/>
      </w:pPr>
      <w:r/>
      <w:r>
        <w:rPr>
          <w:b/>
        </w:rPr>
        <w:t>Éviter l'application sur plaie surinfectée</w:t>
      </w:r>
      <w:r>
        <w:t xml:space="preserve"> non traitée — débuter par antiseptique local ou antibiotique topique adapté, 5-7 jours avant introduction du *Centella asiatica*.</w:t>
      </w:r>
    </w:p>
    <w:p>
      <w:pPr>
        <w:pStyle w:val="ListBullet"/>
      </w:pPr>
      <w:r/>
      <w:r>
        <w:rPr>
          <w:b/>
        </w:rPr>
        <w:t>Ne pas appliquer sur surface corporelle étendue</w:t>
      </w:r>
      <w:r>
        <w:t xml:space="preserve"> (&gt;15 % de la surface corporelle) sans avis médical — risque de passage systémique non négligeable (log P ~3,5).</w:t>
      </w:r>
    </w:p>
    <w:p>
      <w:pPr>
        <w:pStyle w:val="ListBullet"/>
      </w:pPr>
      <w:r/>
      <w:r>
        <w:rPr>
          <w:b/>
        </w:rPr>
        <w:t>Surveillance de la plaie</w:t>
      </w:r>
      <w:r>
        <w:t xml:space="preserve"> : évaluation hebdomadaire de la surface, du fond (tissu de granulation vs nécrose vs fibrine), des berges (épithélialisation), de l'exsudat (séreuse vs purulent) — adaptar la fréquence des pansements.</w:t>
      </w:r>
    </w:p>
    <w:p>
      <w:pPr>
        <w:pStyle w:val="ListBullet"/>
      </w:pPr>
      <w:r/>
      <w:r>
        <w:rPr>
          <w:b/>
        </w:rPr>
        <w:t>Ne pas prolonger au-delà de 8 semaines sans amélioration documentée</w:t>
      </w:r>
      <w:r>
        <w:t xml:space="preserve"> — réévaluation médicale (biopsie de la plaie si suspicion de lésion précancéreuse ou cancéreuse type Marjolin).</w:t>
      </w:r>
    </w:p>
    <w:p>
      <w:r/>
      <w:r>
        <w:rPr>
          <w:b/>
        </w:rPr>
        <w:t>Interactions Médicamenteuses :</w:t>
      </w:r>
      <w:r/>
    </w:p>
    <w:p>
      <w:pPr>
        <w:pStyle w:val="ListBullet"/>
      </w:pPr>
      <w:r/>
      <w:r>
        <w:rPr>
          <w:b/>
        </w:rPr>
        <w:t>Anticoagulants oraux</w:t>
      </w:r>
      <w:r>
        <w:t xml:space="preserve"> (warfarine, acénocoumarol, fluindione, AOD) : potentialisation théorique de l'effet anticoagulant (asiaticosides inhibent l'agrégation plaquettaire *in vitro*) — surveillance de l'INR en cas d'application étendue.</w:t>
      </w:r>
    </w:p>
    <w:p>
      <w:pPr>
        <w:pStyle w:val="ListBullet"/>
      </w:pPr>
      <w:r/>
      <w:r>
        <w:rPr>
          <w:b/>
        </w:rPr>
        <w:t>Antiagrégants plaquettaires</w:t>
      </w:r>
      <w:r>
        <w:t xml:space="preserve"> (aspirine, clopidogrel, prasugrel, ticagrelor) : potentialisation théorique — espacer les prises, surveiller les signes de saignement.</w:t>
      </w:r>
    </w:p>
    <w:p>
      <w:pPr>
        <w:pStyle w:val="ListBullet"/>
      </w:pPr>
      <w:r/>
      <w:r>
        <w:rPr>
          <w:b/>
        </w:rPr>
        <w:t>AINS</w:t>
      </w:r>
      <w:r>
        <w:t xml:space="preserve"> (ibuprofène, kétoprofène, diclofénac) : potentialisation du risque hémorragique (effet additif sur l'agrégation plaquettaire).</w:t>
      </w:r>
    </w:p>
    <w:p>
      <w:pPr>
        <w:pStyle w:val="ListBullet"/>
      </w:pPr>
      <w:r/>
      <w:r>
        <w:rPr>
          <w:b/>
        </w:rPr>
        <w:t>Héparine et HBPM</w:t>
      </w:r>
      <w:r>
        <w:t xml:space="preserve"> : pas d'interaction cliniquement significative en application locale.</w:t>
      </w:r>
    </w:p>
    <w:p>
      <w:pPr>
        <w:pStyle w:val="ListBullet"/>
      </w:pPr>
      <w:r/>
      <w:r>
        <w:rPr>
          <w:b/>
        </w:rPr>
        <w:t>Dermocorticoïdes</w:t>
      </w:r>
      <w:r>
        <w:t xml:space="preserve"> : association synergique — le Centella asiatica peut être utilisé en relais du dermocorticoïde dans les dermatoses inflammatoires chroniques (eczéma, psoriasis).</w:t>
      </w:r>
    </w:p>
    <w:p>
      <w:pPr>
        <w:pStyle w:val="ListBullet"/>
      </w:pPr>
      <w:r/>
      <w:r>
        <w:rPr>
          <w:b/>
        </w:rPr>
        <w:t>Antibiotiques topiques</w:t>
      </w:r>
      <w:r>
        <w:t xml:space="preserve"> (acide fusidique, mupirocine) : pas d'interaction, mais espacer les applications de 2 h pour éviter la dilution.</w:t>
      </w:r>
    </w:p>
    <w:p>
      <w:pPr>
        <w:pStyle w:val="ListBullet"/>
      </w:pPr>
      <w:r/>
      <w:r>
        <w:rPr>
          <w:b/>
        </w:rPr>
        <w:t>Antiseptiques locaux</w:t>
      </w:r>
      <w:r>
        <w:t xml:space="preserve"> (chlorhexidine, povidone iodée) : pas d'interaction majeure, mais éviter l'application simultanée (espacer de 30 min).</w:t>
      </w:r>
    </w:p>
    <w:p>
      <w:pPr>
        <w:pStyle w:val="ListBullet"/>
      </w:pPr>
      <w:r/>
      <w:r>
        <w:rPr>
          <w:b/>
        </w:rPr>
        <w:t>Voie orale</w:t>
      </w:r>
      <w:r>
        <w:t xml:space="preserve"> : potentialisation théorique de l'effet des hypotenseurs (effet veinotonique), des diurétiques, des hypoglycémiants (effet modeste sur la glycémie).</w:t>
      </w:r>
    </w:p>
    <w:p>
      <w:r/>
      <w:r>
        <w:rPr>
          <w:b/>
        </w:rPr>
        <w:t>Grossesse et Allaitement (CRAT) :</w:t>
      </w:r>
      <w:r/>
    </w:p>
    <w:p>
      <w:pPr>
        <w:pStyle w:val="ListBullet"/>
      </w:pPr>
      <w:r/>
      <w:r>
        <w:rPr>
          <w:b/>
        </w:rPr>
        <w:t>Grossesse</w:t>
      </w:r>
      <w:r>
        <w:t xml:space="preserve"> : Le CRAT (Centre de Renseignement sur les Agents Tératogènes — Hôpital Armand-Trousseau, Paris) ne dispose pas de données spécifiques sur l'application topique du *Centella asiatica* pendant la grossesse, mais </w:t>
      </w:r>
      <w:r>
        <w:rPr>
          <w:b/>
        </w:rPr>
        <w:t>les données animales et humaines limitées ne suggèrent pas d'effet tératogène</w:t>
      </w:r>
      <w:r>
        <w:t xml:space="preserve">. L'application locale sur peau lésée localisée est considérée comme </w:t>
      </w:r>
      <w:r>
        <w:rPr>
          <w:b/>
        </w:rPr>
        <w:t>compatible avec la grossesse</w:t>
      </w:r>
      <w:r>
        <w:t>, en particulier pour les indications de prévention des vergetures (à partir du 2ᵉ trimestre) ou de cicatrisation post-opératoire. Par prudence, éviter l'application sur grande surface (&gt;15 % de la surface corporelle) et l'application pendant le 1ᵉʳ trimestre.</w:t>
      </w:r>
    </w:p>
    <w:p>
      <w:pPr>
        <w:pStyle w:val="ListBullet"/>
      </w:pPr>
      <w:r/>
      <w:r>
        <w:rPr>
          <w:b/>
        </w:rPr>
        <w:t>Allaitement</w:t>
      </w:r>
      <w:r>
        <w:t xml:space="preserve"> : L'application topique sur peau lésée localisée est compatible avec l'allaitement (absorption systémique négligeable). Éviter l'application sur le mamelon crevassé (préférence pour le panthénol). Pour la voie orale (spécialité non disponible en Algérie) : éviter par prudence en l'absence de données.</w:t>
      </w:r>
    </w:p>
    <w:p>
      <w:r/>
      <w:r>
        <w:rPr>
          <w:b/>
        </w:rPr>
        <w:t>Posologie et Mode d'administration :</w:t>
      </w:r>
      <w:r/>
    </w:p>
    <w:p>
      <w:r>
        <w:t>Forme topique — poudre (MADECOSID 2 %) :</w:t>
      </w:r>
    </w:p>
    <w:p>
      <w:pPr>
        <w:pStyle w:val="ListBullet"/>
      </w:pPr>
      <w:r/>
      <w:r>
        <w:rPr>
          <w:b/>
        </w:rPr>
        <w:t>Adulte</w:t>
      </w:r>
      <w:r>
        <w:t xml:space="preserve"> : 1 application/jour sur la plaie propre et détersionnée, en couche fine recouvrant toute la surface. Recouvrir d'un pansement non adhérent (tulle gras ordinaire, compresses) puis d'un pansement secondaire absorbant. Renouveler tous les 2-3 jours en moyenne, ou plus fréquemment si exsudat abondant.</w:t>
      </w:r>
    </w:p>
    <w:p>
      <w:pPr>
        <w:pStyle w:val="ListBullet"/>
      </w:pPr>
      <w:r/>
      <w:r>
        <w:rPr>
          <w:b/>
        </w:rPr>
        <w:t>Enfant &gt;3 ans</w:t>
      </w:r>
      <w:r>
        <w:t xml:space="preserve"> : posologie identique, sous surveillance médicale.</w:t>
      </w:r>
    </w:p>
    <w:p>
      <w:pPr>
        <w:pStyle w:val="ListBullet"/>
      </w:pPr>
      <w:r/>
      <w:r>
        <w:rPr>
          <w:b/>
        </w:rPr>
        <w:t>Nourrisson &lt;3 ans</w:t>
      </w:r>
      <w:r>
        <w:t xml:space="preserve"> : usage non recommandé en première intention (préférence pour le panthénol).</w:t>
      </w:r>
    </w:p>
    <w:p>
      <w:r>
        <w:t>Forme topique historique — crème 1 % (ASIATICOSID — NON_RENOUVELABLE) :</w:t>
      </w:r>
    </w:p>
    <w:p>
      <w:pPr>
        <w:pStyle w:val="ListBullet"/>
      </w:pPr>
      <w:r/>
      <w:r>
        <w:rPr>
          <w:b/>
        </w:rPr>
        <w:t>Adulte</w:t>
      </w:r>
      <w:r>
        <w:t xml:space="preserve"> : 1 application bid sur la cicatrice hypertrophique ou la plaie, en massage doux pour faire pénétrer.</w:t>
      </w:r>
    </w:p>
    <w:p>
      <w:pPr>
        <w:pStyle w:val="ListBullet"/>
      </w:pPr>
      <w:r/>
      <w:r>
        <w:rPr>
          <w:b/>
        </w:rPr>
        <w:t>Durée du traitement</w:t>
      </w:r>
      <w:r>
        <w:t xml:space="preserve"> : 3-6 mois pour les cicatrices hypertrophiques ; 6-12 mois pour les chéloïdes ; 4-8 semaines pour les ulcères veineux ; 2-3 semaines pour les brûlures du 2ᵉ degré superficiel.</w:t>
      </w:r>
    </w:p>
    <w:p>
      <w:r>
        <w:t>Forme topique historique — tulle gras 1 % (MADECASSOL TULLE GRAS — RETRAIT) :</w:t>
      </w:r>
    </w:p>
    <w:p>
      <w:pPr>
        <w:pStyle w:val="ListBullet"/>
      </w:pPr>
      <w:r/>
      <w:r>
        <w:rPr>
          <w:b/>
        </w:rPr>
        <w:t>Adulte</w:t>
      </w:r>
      <w:r>
        <w:t xml:space="preserve"> : application sur la plaie propre et détersionnée, recouverte d'un pansement absorbant secondaire. Renouvellement tous les 2-3 jours.</w:t>
      </w:r>
    </w:p>
    <w:p>
      <w:r>
        <w:t>Voie orale (spécialité non disponible en Algérie — référence : MADÉCASOL comprimés) :</w:t>
      </w:r>
    </w:p>
    <w:p>
      <w:pPr>
        <w:pStyle w:val="ListBullet"/>
      </w:pPr>
      <w:r/>
      <w:r>
        <w:rPr>
          <w:b/>
        </w:rPr>
        <w:t>Adulte</w:t>
      </w:r>
      <w:r>
        <w:t xml:space="preserve"> : 10-30 mg d'asiaticosides par jour (1-3 comprimés), pendant 4-8 semaines dans l'insuffisance veineuse chronique et les troubles trophiques.</w:t>
      </w:r>
    </w:p>
    <w:p>
      <w:r/>
      <w:r>
        <w:rPr>
          <w:b/>
        </w:rPr>
        <w:t>Surveillance Biologique et Suivi Clinique :</w:t>
      </w:r>
      <w:r/>
    </w:p>
    <w:p>
      <w:r>
        <w:t>La surveillance est essentiellement clinique :</w:t>
      </w:r>
    </w:p>
    <w:p>
      <w:pPr>
        <w:pStyle w:val="ListBullet"/>
      </w:pPr>
      <w:r/>
      <w:r>
        <w:rPr>
          <w:b/>
        </w:rPr>
        <w:t>Évaluation initiale</w:t>
      </w:r>
      <w:r>
        <w:t xml:space="preserve"> : type de plaie (aiguë vs chronique), surface (cm²), profondeur, fond (granulation vs nécrose vs fibrine), berges (épithélialisation), exsudat (sérome vs purulent), signes infectieux (érythème péri-lésionnel, chaleur, douleur, fièvre).</w:t>
      </w:r>
    </w:p>
    <w:p>
      <w:pPr>
        <w:pStyle w:val="ListBullet"/>
      </w:pPr>
      <w:r/>
      <w:r>
        <w:rPr>
          <w:b/>
        </w:rPr>
        <w:t>Suivi hebdomadaire</w:t>
      </w:r>
      <w:r>
        <w:t xml:space="preserve"> : photographies standardisées (si possible mesure planimétrique), mesure de la surface, évaluation de l'évolution. Une réduction de surface de 10-15 % par semaine est considérée comme satisfaisante (PUSH — Pressure Ulcer Scale for Healing).</w:t>
      </w:r>
    </w:p>
    <w:p>
      <w:pPr>
        <w:pStyle w:val="ListBullet"/>
      </w:pPr>
      <w:r/>
      <w:r>
        <w:rPr>
          <w:b/>
        </w:rPr>
        <w:t>Évaluation de l'efficacité</w:t>
      </w:r>
      <w:r>
        <w:t xml:space="preserve"> à J14-J21 : début de réépithélialisation en bordure (film blanc nacré), augmentation du tissu de granulation (rouge vif, granuleux), diminution de l'exsudat.</w:t>
      </w:r>
    </w:p>
    <w:p>
      <w:pPr>
        <w:pStyle w:val="ListBullet"/>
      </w:pPr>
      <w:r/>
      <w:r>
        <w:rPr>
          <w:b/>
        </w:rPr>
        <w:t>Réévaluation à 6-8 semaines en cas de non-cicatrisation</w:t>
      </w:r>
      <w:r>
        <w:t xml:space="preserve"> : biopsie de la plaie (recherche d'une transformation marjolienne — carcinome épidermoïde sur ulcère chronique), recherche d'une artériopathie associée (IPS — index de pression systolique), équilibration glycémique (HbA1c), statut nutritionnel (albumine, pré-albumine).</w:t>
      </w:r>
    </w:p>
    <w:p>
      <w:pPr>
        <w:pStyle w:val="ListBullet"/>
      </w:pPr>
      <w:r/>
      <w:r>
        <w:rPr>
          <w:b/>
        </w:rPr>
        <w:t>Surveillance des signes de surinfection</w:t>
      </w:r>
      <w:r>
        <w:t xml:space="preserve"> : prélèvement bactériologique en cas de suintement purulent, d'extension de l'érythème, de fièvre, d'adénopathie satellite — antibiothérapie adaptée (locale ou générale).</w:t>
      </w:r>
    </w:p>
    <w:p>
      <w:pPr>
        <w:pStyle w:val="ListBullet"/>
      </w:pPr>
      <w:r/>
      <w:r>
        <w:rPr>
          <w:b/>
        </w:rPr>
        <w:t>Surveillance de l'allergie</w:t>
      </w:r>
      <w:r>
        <w:t xml:space="preserve"> : en cas de prurit, érythème étendu, vésicules — arrêt et test épicutané ultérieur.</w:t>
      </w:r>
    </w:p>
    <w:p>
      <w:pPr>
        <w:pStyle w:val="ListBullet"/>
      </w:pPr>
      <w:r/>
      <w:r>
        <w:rPr>
          <w:b/>
        </w:rPr>
        <w:t>Pas de surveillance biologique systématique</w:t>
      </w:r>
      <w:r>
        <w:t xml:space="preserve"> en application locale.</w:t>
      </w:r>
    </w:p>
    <w:p>
      <w:r/>
      <w:r>
        <w:rPr>
          <w:b/>
        </w:rPr>
        <w:t>Arbitrage et Bénéfices des Formes Galéniques :</w:t>
      </w:r>
      <w:r/>
    </w:p>
    <w:p>
      <w:pPr>
        <w:pStyle w:val="ListBullet"/>
      </w:pPr>
      <w:r/>
      <w:r>
        <w:rPr>
          <w:b/>
        </w:rPr>
        <w:t>Poudre</w:t>
      </w:r>
      <w:r>
        <w:t xml:space="preserve"> (MADECOSID 2 %) : forme active disponible en Algérie, pratique pour plaies suintantes et exsudatives (absorption du liquide), économique, conservation longue. Inconvénient : adhésion aux pansements, nécessité d'un pansement secondaire, moins adaptée aux cicatrices sèches.</w:t>
      </w:r>
    </w:p>
    <w:p>
      <w:pPr>
        <w:pStyle w:val="ListBullet"/>
      </w:pPr>
      <w:r/>
      <w:r>
        <w:rPr>
          <w:b/>
        </w:rPr>
        <w:t>Crème</w:t>
      </w:r>
      <w:r>
        <w:t xml:space="preserve"> (ASIATICOSID 1 % — NON_RENOUVELABLE) : forme pratique pour cicatrices hypertrophiques, peaux sèches, vergetures — pénétration rapide, facile à masser. Inconvénient : excipients possiblement allergisants (propylène glycol, parabens), moins absorbante.</w:t>
      </w:r>
    </w:p>
    <w:p>
      <w:pPr>
        <w:pStyle w:val="ListBullet"/>
      </w:pPr>
      <w:r/>
      <w:r>
        <w:rPr>
          <w:b/>
        </w:rPr>
        <w:t>Tulle gras</w:t>
      </w:r>
      <w:r>
        <w:t xml:space="preserve"> (MADECASSOL TULLE GRAS — RETRAIT) : forme de référence pour plaies superficielles étendues (dermabrasions, brûlures), non adhérent (changement indolore), imprégnation continue. Inconvénient : indisponible en Algérie, à remplacer par tulle gras ordinaire à la vaseline + application de poudre MADECOSID.</w:t>
      </w:r>
    </w:p>
    <w:p>
      <w:pPr>
        <w:pStyle w:val="ListBullet"/>
      </w:pPr>
      <w:r/>
      <w:r>
        <w:rPr>
          <w:b/>
        </w:rPr>
        <w:t>Forme orale</w:t>
      </w:r>
      <w:r>
        <w:t xml:space="preserve"> (comprimés — non disponible en Algérie) : indiquée pour l'insuffisance veineuse chronique, à substituer par les extraits de vigne rouge (Vitis vinifera), de marron d'Inde (Aesculus hippocastanum) ou de ginkgo (Ginkgo biloba) disponibles en officine.</w:t>
      </w:r>
    </w:p>
    <w:p>
      <w:pPr>
        <w:pStyle w:val="ListBullet"/>
      </w:pPr>
      <w:r/>
      <w:r>
        <w:rPr>
          <w:b/>
        </w:rPr>
        <w:t>Pansements modernes</w:t>
      </w:r>
      <w:r>
        <w:t xml:space="preserve"> (hydrocolloïdes, hydrocellulaires, alginates) : peuvent être associés au *Centella asiatica* (application de poudre sous le pansement).</w:t>
      </w:r>
    </w:p>
    <w:p>
      <w:r>
        <w:t xml:space="preserve">L'arbitrage en pratique : pour les plaies aiguës récentes (brûlures, dermabrasions, plaies post-opératoires), préférer la poudre sous pansement gras. Pour les cicatrices hypertrophiques et chéloïdes, préférer la crème (si disponible) ou la poudre en application bid avec massage. Pour les ulcères chroniques, intégrer le </w:t>
      </w:r>
      <w:r>
        <w:rPr>
          <w:i/>
        </w:rPr>
        <w:t>Centella asiatica</w:t>
      </w:r>
      <w:r>
        <w:t xml:space="preserve"> dans une stratégie globale (compression veineuse, détersion, pansements modernes, équilibration des comorbidités).</w:t>
      </w:r>
    </w:p>
    <w:p>
      <w:r/>
      <w:r>
        <w:rPr>
          <w:b/>
        </w:rPr>
        <w:t>Instructions et Conseils au Patient :</w:t>
      </w:r>
      <w:r/>
    </w:p>
    <w:p>
      <w:pPr>
        <w:pStyle w:val="ListNumber"/>
      </w:pPr>
      <w:r/>
      <w:r>
        <w:rPr>
          <w:b/>
        </w:rPr>
        <w:t>Nettoyage de la plaie</w:t>
      </w:r>
      <w:r>
        <w:t xml:space="preserve"> : avant chaque application, nettoyer la plaie au sérum physiologique ou à l'eau et au savon doux, sécher par tamponnement (sans frotter). Éviter les antiseptiques colorés (éosine, bleu de méthylène) qui masquent l'évolution.</w:t>
      </w:r>
    </w:p>
    <w:p>
      <w:pPr>
        <w:pStyle w:val="ListNumber"/>
      </w:pPr>
      <w:r/>
      <w:r>
        <w:rPr>
          <w:b/>
        </w:rPr>
        <w:t>Application de la poudre</w:t>
      </w:r>
      <w:r>
        <w:t xml:space="preserve"> : saupoudrer en couche fine sur toute la surface de la plaie (1 application/jour ou tous les 2 jours selon l'exsudat). Éviter l'épaisseur excessive (risque de macération).</w:t>
      </w:r>
    </w:p>
    <w:p>
      <w:pPr>
        <w:pStyle w:val="ListNumber"/>
      </w:pPr>
      <w:r/>
      <w:r>
        <w:rPr>
          <w:b/>
        </w:rPr>
        <w:t>Pansement</w:t>
      </w:r>
      <w:r>
        <w:t xml:space="preserve"> : recouvrir d'un tulle gras ordinaire (non adhérent), puis de compresses stériles, puis d'un bandage cohésif ou d'une bande de contention (selon l'indication). Renouveler tous les 2-3 jours en moyenne, ou plus fréquemment si exsudat abondant.</w:t>
      </w:r>
    </w:p>
    <w:p>
      <w:pPr>
        <w:pStyle w:val="ListNumber"/>
      </w:pPr>
      <w:r/>
      <w:r>
        <w:rPr>
          <w:b/>
        </w:rPr>
        <w:t>Compression veineuse</w:t>
      </w:r>
      <w:r>
        <w:t xml:space="preserve"> (ulcère de jambe) : obligatoire en complément — bande ou bas de contention classe 2 (18-24 mmHg) ou classe 3 (25-35 mmHg) selon la sévérité et la tolérance. Ne pas appliquer en cas d'IPS &lt;0,6 (artériopathie sévère).</w:t>
      </w:r>
    </w:p>
    <w:p>
      <w:pPr>
        <w:pStyle w:val="ListNumber"/>
      </w:pPr>
      <w:r/>
      <w:r>
        <w:rPr>
          <w:b/>
        </w:rPr>
        <w:t>Hygiène de vie</w:t>
      </w:r>
      <w:r>
        <w:t xml:space="preserve"> : arrêt du tabac (facteur majeur de retard de cicatrisation), alimentation équilibrée riche en protéines (1,2-1,5 g/kg/j) et en vitamine C, hydratation orale (1,5-2 L/j), marche quotidienne (30 min) pour activer la pompe veineuse.</w:t>
      </w:r>
    </w:p>
    <w:p>
      <w:pPr>
        <w:pStyle w:val="ListNumber"/>
      </w:pPr>
      <w:r/>
      <w:r>
        <w:rPr>
          <w:b/>
        </w:rPr>
        <w:t>Surveillance</w:t>
      </w:r>
      <w:r>
        <w:t xml:space="preserve"> : consulter un médecin en cas de douleur croissante, d'extension de l'érythème, de fièvre, de suintement purulent, ou d'absence d'amélioration après 4-6 semaines.</w:t>
      </w:r>
    </w:p>
    <w:p>
      <w:pPr>
        <w:pStyle w:val="ListNumber"/>
      </w:pPr>
      <w:r/>
      <w:r>
        <w:rPr>
          <w:b/>
        </w:rPr>
        <w:t>Cicatrice hypertrophique</w:t>
      </w:r>
      <w:r>
        <w:t xml:space="preserve"> : masser la cicatrice 5-10 min/jour avec la poudre ou la crème, pendant 3-6 mois, pour assouplir et améliorer l'aspect esthétique.</w:t>
      </w:r>
    </w:p>
    <w:p>
      <w:pPr>
        <w:pStyle w:val="ListNumber"/>
      </w:pPr>
      <w:r/>
      <w:r>
        <w:rPr>
          <w:b/>
        </w:rPr>
        <w:t>Conservation</w:t>
      </w:r>
      <w:r>
        <w:t xml:space="preserve"> : flacon fermé, à température &lt;25°C, à l'abri de la lumière et de l'humidité — durée de conservation après ouverture : 6 mois (vérifier la date de péremption).</w:t>
      </w:r>
    </w:p>
    <w:p>
      <w:r/>
      <w:r>
        <w:rPr>
          <w:b/>
        </w:rPr>
        <w:t>Notes, Règles d'Or &amp; Pièges au Comptoir :</w:t>
      </w:r>
      <w:r/>
    </w:p>
    <w:p>
      <w:pPr>
        <w:pStyle w:val="ListBullet"/>
      </w:pPr>
      <w:r/>
      <w:r>
        <w:rPr>
          <w:b/>
        </w:rPr>
        <w:t>Règle d'or n°1</w:t>
      </w:r>
      <w:r>
        <w:t xml:space="preserve"> : Le *Centella asiatica* est un </w:t>
      </w:r>
      <w:r>
        <w:rPr>
          <w:b/>
        </w:rPr>
        <w:t>cicatrisant d'appoint</w:t>
      </w:r>
      <w:r>
        <w:t>, pas un traitement antiseptique ni antibiotique — il doit toujours s'intégrer dans une stratégie globale (compression veineuse, détersion, pansements, traitement des comorbidités).</w:t>
      </w:r>
    </w:p>
    <w:p>
      <w:pPr>
        <w:pStyle w:val="ListBullet"/>
      </w:pPr>
      <w:r/>
      <w:r>
        <w:rPr>
          <w:b/>
        </w:rPr>
        <w:t>Règle d'or n°2</w:t>
      </w:r>
      <w:r>
        <w:t xml:space="preserve"> : Pour les ulcères de jambe, </w:t>
      </w:r>
      <w:r>
        <w:rPr>
          <w:b/>
        </w:rPr>
        <w:t>la compression élastique est le traitement de fond</w:t>
      </w:r>
      <w:r>
        <w:t xml:space="preserve"> — le *Centella asiatica* est un adjuvant.</w:t>
      </w:r>
    </w:p>
    <w:p>
      <w:pPr>
        <w:pStyle w:val="ListBullet"/>
      </w:pPr>
      <w:r/>
      <w:r>
        <w:rPr>
          <w:b/>
        </w:rPr>
        <w:t>Piège n°1</w:t>
      </w:r>
      <w:r>
        <w:t xml:space="preserve"> : Ne pas appliquer sur une plaie infectée non traitée (impétigo, surinfection bactérienne, herpès).</w:t>
      </w:r>
    </w:p>
    <w:p>
      <w:pPr>
        <w:pStyle w:val="ListBullet"/>
      </w:pPr>
      <w:r/>
      <w:r>
        <w:rPr>
          <w:b/>
        </w:rPr>
        <w:t>Piège n°2</w:t>
      </w:r>
      <w:r>
        <w:t xml:space="preserve"> : Ne pas appliquer sur un ulcère artériel sans avis médical (ischemia sous-jacente — risque d'aggravation de l'ischémie).</w:t>
      </w:r>
    </w:p>
    <w:p>
      <w:pPr>
        <w:pStyle w:val="ListBullet"/>
      </w:pPr>
      <w:r/>
      <w:r>
        <w:rPr>
          <w:b/>
        </w:rPr>
        <w:t>Piège n°3</w:t>
      </w:r>
      <w:r>
        <w:t xml:space="preserve"> : </w:t>
      </w:r>
      <w:r>
        <w:rPr>
          <w:b/>
        </w:rPr>
        <w:t>Dermite de contact allergique</w:t>
      </w:r>
      <w:r>
        <w:t xml:space="preserve"> possible, même avec une plante réputée sûre — suspecter en cas d'aggravation paradoxale.</w:t>
      </w:r>
    </w:p>
    <w:p>
      <w:pPr>
        <w:pStyle w:val="ListBullet"/>
      </w:pPr>
      <w:r/>
      <w:r>
        <w:rPr>
          <w:b/>
        </w:rPr>
        <w:t>Piège n°4</w:t>
      </w:r>
      <w:r>
        <w:t xml:space="preserve"> : Ne pas confondre </w:t>
      </w:r>
      <w:r>
        <w:rPr>
          <w:b/>
        </w:rPr>
        <w:t>asiaticosides</w:t>
      </w:r>
      <w:r>
        <w:t xml:space="preserve"> (extrait titré) et </w:t>
      </w:r>
      <w:r>
        <w:rPr>
          <w:b/>
        </w:rPr>
        <w:t>extrait brut de Centella asiatica</w:t>
      </w:r>
      <w:r>
        <w:t xml:space="preserve"> — la concentration en principes actifs varie selon les spécialités.</w:t>
      </w:r>
    </w:p>
    <w:p>
      <w:pPr>
        <w:pStyle w:val="ListBullet"/>
      </w:pPr>
      <w:r/>
      <w:r>
        <w:rPr>
          <w:b/>
        </w:rPr>
        <w:t>Piège n°5</w:t>
      </w:r>
      <w:r>
        <w:t xml:space="preserve"> : Ne pas prolonger au-delà de 8 semaines sans amélioration documentée — réévaluation médicale impérative (biopsie pour écarter une transformation marjolienne).</w:t>
      </w:r>
    </w:p>
    <w:p>
      <w:pPr>
        <w:pStyle w:val="ListBullet"/>
      </w:pPr>
      <w:r/>
      <w:r>
        <w:rPr>
          <w:b/>
        </w:rPr>
        <w:t>Piège n°6</w:t>
      </w:r>
      <w:r>
        <w:t xml:space="preserve"> : Vérifier la composition de la spécialité — certaines formes associent *Centella asiatica* et antibiotique ou dermocorticoïde.</w:t>
      </w:r>
    </w:p>
    <w:p>
      <w:pPr>
        <w:pStyle w:val="ListBullet"/>
      </w:pPr>
      <w:r/>
      <w:r>
        <w:rPr>
          <w:b/>
        </w:rPr>
        <w:t>Piège n°7</w:t>
      </w:r>
      <w:r>
        <w:t xml:space="preserve"> : Chez la femme enceinte, éviter l'application sur grande surface pendant le 1ᵉʳ trimestre par prudence.</w:t>
      </w:r>
    </w:p>
    <w:p>
      <w:pPr>
        <w:pStyle w:val="ListBullet"/>
      </w:pPr>
      <w:r/>
      <w:r>
        <w:rPr>
          <w:b/>
        </w:rPr>
        <w:t>Piège n°8</w:t>
      </w:r>
      <w:r>
        <w:t xml:space="preserve"> : Ne pas substituer la poudre à un pansement moderne (hydrocolloïde, hydrocellulaire) si le patient est sous pansement dirigé — adapter la stratégie.</w:t>
      </w:r>
    </w:p>
    <w:p>
      <w:pPr>
        <w:pStyle w:val="ListBullet"/>
      </w:pPr>
      <w:r/>
      <w:r>
        <w:rPr>
          <w:b/>
        </w:rPr>
        <w:t>Conseil comptoir</w:t>
      </w:r>
      <w:r>
        <w:t xml:space="preserve"> : Demander au patient le type de plaie (aiguë vs chronique), la durée d'évolution, le statut vasculaire (IPS, varices), le statut glycémique (diabète), les traitements associés (compression, pansements) — ne pas délivrer aveuglément.</w:t>
      </w:r>
    </w:p>
    <w:p>
      <w:pPr>
        <w:pStyle w:val="Heading2"/>
      </w:pPr>
      <w:r>
        <w:t>Sous-classe 125.3 — Cicatrisants / Héparinoïdes — Héparine, HBPM, héparinoïdes apparentés</w:t>
      </w:r>
    </w:p>
    <w:p>
      <w:r>
        <w:t xml:space="preserve">Les </w:t>
      </w:r>
      <w:r>
        <w:rPr>
          <w:b/>
        </w:rPr>
        <w:t>héparinoïdes</w:t>
      </w:r>
      <w:r>
        <w:t xml:space="preserve"> regroupent un ensemble de polysaccharides sulfatés apparentés à l'</w:t>
      </w:r>
      <w:r>
        <w:rPr>
          <w:b/>
        </w:rPr>
        <w:t>héparine</w:t>
      </w:r>
      <w:r>
        <w:t xml:space="preserve"> naturelle, dont ils partagent les propriétés biologiques fondamentales : liaison à l'</w:t>
      </w:r>
      <w:r>
        <w:rPr>
          <w:b/>
        </w:rPr>
        <w:t>antithrombine III</w:t>
      </w:r>
      <w:r>
        <w:t xml:space="preserve"> (inhibition du facteur Xa et de la thrombine), activation de la </w:t>
      </w:r>
      <w:r>
        <w:rPr>
          <w:b/>
        </w:rPr>
        <w:t>libération de lipoprotéine lipase</w:t>
      </w:r>
      <w:r>
        <w:t xml:space="preserve"> (clarification des chylomicrons), inhibition de la </w:t>
      </w:r>
      <w:r>
        <w:rPr>
          <w:b/>
        </w:rPr>
        <w:t>prolifération des cellules musculaires lisses vasculaires</w:t>
      </w:r>
      <w:r>
        <w:t xml:space="preserve">, action </w:t>
      </w:r>
      <w:r>
        <w:rPr>
          <w:b/>
        </w:rPr>
        <w:t>anti-inflammatoire</w:t>
      </w:r>
      <w:r>
        <w:t xml:space="preserve"> (inhibition de la sécrétion de TNF-α par les macrophages, inhibition du complément) et action </w:t>
      </w:r>
      <w:r>
        <w:rPr>
          <w:b/>
        </w:rPr>
        <w:t>anti-angiogénique</w:t>
      </w:r>
      <w:r>
        <w:t xml:space="preserve"> modérée. Si la majorité des héparines et HBPM sont administrées par voie </w:t>
      </w:r>
      <w:r>
        <w:rPr>
          <w:b/>
        </w:rPr>
        <w:t>injectable sous-cutanée ou intraveineuse</w:t>
      </w:r>
      <w:r>
        <w:t xml:space="preserve"> dans l'indication princeps de la prévention et du traitement des thromboses veineuses profondes (TVP) et de l'embolie pulmonaire (EP), certaines formes </w:t>
      </w:r>
      <w:r>
        <w:rPr>
          <w:b/>
        </w:rPr>
        <w:t>topiques</w:t>
      </w:r>
      <w:r>
        <w:t xml:space="preserve"> (gel, pommade, crème, patch) sont utilisées en dermatologie pour leurs propriétés anti-inflammatoires locales, anti-œdémateuses et de stimulation de la </w:t>
      </w:r>
      <w:r>
        <w:rPr>
          <w:b/>
        </w:rPr>
        <w:t>microcirculation</w:t>
      </w:r>
      <w:r>
        <w:t xml:space="preserve"> cutanée dans les indications suivantes : hématomes post-traumatiques, contusions, entorses, œdèmes localisés, insuffisance veineuse chronique, varices, hémorroïdes, ulcères de jambe veineux (en complément de la compression), séquelles post-thrombotiques, cicatrices hypertrophiques, vergetures.</w:t>
      </w:r>
    </w:p>
    <w:p>
      <w:r>
        <w:t xml:space="preserve">La nomenclature algérienne (Avril 2026) — détaillée dans le fichier source de ce chapitre — recense l'ensemble des </w:t>
      </w:r>
      <w:r>
        <w:rPr>
          <w:b/>
        </w:rPr>
        <w:t>héparines non fractionnées (HNF)</w:t>
      </w:r>
      <w:r>
        <w:t xml:space="preserve"> et </w:t>
      </w:r>
      <w:r>
        <w:rPr>
          <w:b/>
        </w:rPr>
        <w:t>héparines de bas poids moléculaire (HBPM)</w:t>
      </w:r>
      <w:r>
        <w:t xml:space="preserve"> disponibles sur le marché : </w:t>
      </w:r>
      <w:r>
        <w:rPr>
          <w:b/>
        </w:rPr>
        <w:t>héparine sodique</w:t>
      </w:r>
      <w:r>
        <w:t xml:space="preserve"> injectable IV/SC (NEVPARIN — Gensenta ; HEPARINE SODIQUE — LEO ; HIKMA HEPARINE — Hikma ; DIOPARINE collyre — Novartis), </w:t>
      </w:r>
      <w:r>
        <w:rPr>
          <w:b/>
        </w:rPr>
        <w:t>héparinate de calcium</w:t>
      </w:r>
      <w:r>
        <w:t xml:space="preserve"> SC (HEPARINE CALCIQUE — LEO), </w:t>
      </w:r>
      <w:r>
        <w:rPr>
          <w:b/>
        </w:rPr>
        <w:t>énoxaparine sodique</w:t>
      </w:r>
      <w:r>
        <w:t xml:space="preserve"> (LOVENOX — Sanofi ; LOMOH — Emcure ; THERANOX — Biothera ; VARENOX — Frater Razes), </w:t>
      </w:r>
      <w:r>
        <w:rPr>
          <w:b/>
        </w:rPr>
        <w:t>nadroparine calcique</w:t>
      </w:r>
      <w:r>
        <w:t xml:space="preserve"> (FRAXIPARINE — Aspen/GlaxoSmithKline ; FRAXODI — GlaxoSmithKline). L'ensemble de ces spécialités sont à visée </w:t>
      </w:r>
      <w:r>
        <w:rPr>
          <w:b/>
        </w:rPr>
        <w:t>anticoagulante systémique</w:t>
      </w:r>
      <w:r>
        <w:t xml:space="preserve"> par voie parentérale, et ne sont pas des formes topiques. Les spécialités véritablement topiques (type Lasonil® — héparinoïde + diméthylsulfoxyde + allantoïne, ou Hirudoïd® — sulodéxide en gel) </w:t>
      </w:r>
      <w:r>
        <w:rPr>
          <w:b/>
        </w:rPr>
        <w:t>ne sont pas inscrites dans la nomenclature algérienne</w:t>
      </w:r>
      <w:r>
        <w:t xml:space="preserve"> à la date d'Avril 2026 — ce qui constitue un vide thérapeutique significatif pour les indications dermatologiques de cette classe.</w:t>
      </w:r>
    </w:p>
    <w:p>
      <w:r>
        <w:t>Toutefois, l'analyse pharmacologique des héparines et HBPM en usage systémique permet de comprendre l'effet pharmacologique de cette classe dans les contextes de cicatrisation et de microcirculation cutanée :</w:t>
      </w:r>
    </w:p>
    <w:p>
      <w:pPr>
        <w:pStyle w:val="ListBullet"/>
      </w:pPr>
      <w:r>
        <w:t xml:space="preserve">Les </w:t>
      </w:r>
      <w:r>
        <w:rPr>
          <w:b/>
        </w:rPr>
        <w:t>HBPM</w:t>
      </w:r>
      <w:r>
        <w:t xml:space="preserve"> administrées par voie SC à doses curatives ou préventives exercent un effet bénéfique sur la </w:t>
      </w:r>
      <w:r>
        <w:rPr>
          <w:b/>
        </w:rPr>
        <w:t>microcirculation</w:t>
      </w:r>
      <w:r>
        <w:t xml:space="preserve"> veineuse et lymphatique — réduisant l'œdème et l'inflammation périlésionnelle dans les ulcères veineux (essai RCT Stacey M, *Lancet* 1994 : augmentation de 30 % du taux de cicatrisation à 12 semaines avec HBPM vs placebo, en complément de la compression).</w:t>
      </w:r>
    </w:p>
    <w:p>
      <w:pPr>
        <w:pStyle w:val="ListBullet"/>
      </w:pPr>
      <w:r>
        <w:t xml:space="preserve">Les </w:t>
      </w:r>
      <w:r>
        <w:rPr>
          <w:b/>
        </w:rPr>
        <w:t>glycosaminoglycanes</w:t>
      </w:r>
      <w:r>
        <w:t xml:space="preserve"> apparentés (sulodéxide, danaparoïde, pentosane polysulfate) sont disponibles en Europe par voie orale et injectable dans les indications d'artériopathie oblitérante des membres inférieurs (AOMI) au stade II, d'insuffisance veineuse chronique, de neuropathie diabétique — mais ne sont pas inscrits dans la nomenclature algérienne.</w:t>
      </w:r>
    </w:p>
    <w:p>
      <w:r>
        <w:t xml:space="preserve">L'effet </w:t>
      </w:r>
      <w:r>
        <w:rPr>
          <w:b/>
        </w:rPr>
        <w:t>anti-inflammatoire</w:t>
      </w:r>
      <w:r>
        <w:t xml:space="preserve"> des héparinoïdes en application topique est documenté pour les formes européennes : inhibition de la libération d'histamine par les mastocytes, inhibition de la cascade du complément, inhibition de la sécrétion de TNF-α et d'IL-1 par les macrophages. L'effet </w:t>
      </w:r>
      <w:r>
        <w:rPr>
          <w:b/>
        </w:rPr>
        <w:t>pro-cicatrisant</w:t>
      </w:r>
      <w:r>
        <w:t xml:space="preserve"> implique la stimulation de la </w:t>
      </w:r>
      <w:r>
        <w:rPr>
          <w:b/>
        </w:rPr>
        <w:t>migration des fibroblastes</w:t>
      </w:r>
      <w:r>
        <w:t xml:space="preserve"> et de la </w:t>
      </w:r>
      <w:r>
        <w:rPr>
          <w:b/>
        </w:rPr>
        <w:t>synthèse de l'acide hyaluronique</w:t>
      </w:r>
      <w:r>
        <w:t xml:space="preserve"> (composant majeur de la matrice extracellulaire dermique). L'effet </w:t>
      </w:r>
      <w:r>
        <w:rPr>
          <w:b/>
        </w:rPr>
        <w:t>anti-œdémateux</w:t>
      </w:r>
      <w:r>
        <w:t xml:space="preserve"> implique l'activation de la lipoprotéine lipase endothéliale et la réduction de la perméabilité capillaire.</w:t>
      </w:r>
    </w:p>
    <w:p>
      <w:r>
        <w:t xml:space="preserve">La sous-classe se distingue par sa </w:t>
      </w:r>
      <w:r>
        <w:rPr>
          <w:b/>
        </w:rPr>
        <w:t>bonne tolérance locale</w:t>
      </w:r>
      <w:r>
        <w:t xml:space="preserve"> (réactions allergiques rares), son </w:t>
      </w:r>
      <w:r>
        <w:rPr>
          <w:b/>
        </w:rPr>
        <w:t>innocuité systémique</w:t>
      </w:r>
      <w:r>
        <w:t xml:space="preserve"> en application topique (pas d'effet anticoagulant systémique significatif), mais aussi par les </w:t>
      </w:r>
      <w:r>
        <w:rPr>
          <w:b/>
        </w:rPr>
        <w:t>limites d'usage</w:t>
      </w:r>
      <w:r>
        <w:t xml:space="preserve"> liées à l'indisponibilité des formes topiques en Algérie. Le pharmacien d'officine algérien se trouve ainsi en première ligne pour informer le patient sur les alternatives (Centella asiatica, panthénol, pansements modernes) et pour orienter vers le médecin en cas de plaie chronique nécessitant une prise en charge globale.</w:t>
      </w:r>
    </w:p>
    <w:p>
      <w:pPr>
        <w:pStyle w:val="Heading3"/>
      </w:pPr>
      <w:r>
        <w:t>3. DCI : Héparinoïdes topiques (HNF, HBPM, héparinoïdes apparentés)</w:t>
      </w:r>
    </w:p>
    <w:p>
      <w:r/>
      <w:r>
        <w:rPr>
          <w:b/>
        </w:rPr>
        <w:t>Liste des Catégories :</w:t>
      </w:r>
      <w:r>
        <w:t xml:space="preserve"> Polysaccharides sulfatés apparentés à l'héparine — glycosaminoglycanes (GAG) ; inhibiteurs indirects de la coagulation (potentialisation de l'antithrombine III — inhibition facteur Xa et thrombine) ; activateurs de la lipoprotéine lipase endothéliale ; agents anti-inflammatoires (inhibition TNF-α, IL-1, complément) ; agents anti-œdémateux (réduction de la perméabilité capillaire) ; stimulateurs de la microcirculation cutanée et lymphatique ; activateurs de la migration fibroblastique et de la synthèse d'acide hyaluronique ; indication principale systémique : prévention et traitement des thromboses veineuses profondes (TVP) et embolie pulmonaire (EP) — voie SC/IV ; indication dermatologique (topique — hors nomenclature algérienne) : hématomes, contusions, œdèmes localisés, insuffisance veineuse, ulcères de jambe, hémorroïdes, cicatrices hypertrophiques ; Liste I (voie injectable) ; ATC B01AB01 (héparine non fractionnée), B01AB05 (énoxaparine), B01AB06 (nadroparine), B01AB11 (daltéparine), B01AB10 (danaparoïde), C05BA (héparinoïdes pour usage topique).</w:t>
      </w:r>
    </w:p>
    <w:p>
      <w:r>
        <w:t xml:space="preserve">Les </w:t>
      </w:r>
      <w:r>
        <w:rPr>
          <w:b/>
        </w:rPr>
        <w:t>héparinoïdes</w:t>
      </w:r>
      <w:r>
        <w:t xml:space="preserve"> constituent une famille chimique hétérogène de polysaccharides sulfatés, classés selon leur poids moléculaire et leur mode d'obtention :</w:t>
      </w:r>
    </w:p>
    <w:p>
      <w:pPr>
        <w:pStyle w:val="ListBullet"/>
      </w:pPr>
      <w:r/>
      <w:r>
        <w:rPr>
          <w:b/>
        </w:rPr>
        <w:t>Héparine non fractionnée (HNF)</w:t>
      </w:r>
      <w:r>
        <w:t xml:space="preserve"> : chaînes de polysaccharides sulfatés de poids moléculaire 5 000-30 000 Da, extraite de la muqueuse intestinale de porc (héparine porcine) ou de poumon de bœuf (aujourd'hui abandonnée — risque de MPI). Activité anti-IIa et anti-Xa équivalentes (rapport 1:1). Demi-vie courte (60-90 min IV).</w:t>
      </w:r>
    </w:p>
    <w:p>
      <w:pPr>
        <w:pStyle w:val="ListBullet"/>
      </w:pPr>
      <w:r/>
      <w:r>
        <w:rPr>
          <w:b/>
        </w:rPr>
        <w:t>Héparines de bas poids moléculaire (HBPM)</w:t>
      </w:r>
      <w:r>
        <w:t xml:space="preserve"> : fragments d'héparine de 4 000-6 500 Da, obtenus par dépolymérisation (nitrate, alcalin, enzymatique). Rapport anti-Xa/anti-IIa &gt;1 (2:1 à 4:1). Demi-vie longue (4-6 h SC). Moins de monitoring nécessaire.</w:t>
      </w:r>
    </w:p>
    <w:p>
      <w:pPr>
        <w:pStyle w:val="ListBullet"/>
      </w:pPr>
      <w:r/>
      <w:r>
        <w:rPr>
          <w:b/>
        </w:rPr>
        <w:t>Héparinoïdes de synthèse</w:t>
      </w:r>
      <w:r>
        <w:t xml:space="preserve"> : danaparoïde sodique (organe-10172 — mélange de glycosaminoglycuronanes sulfatés extraits de la muqueuse intestinale de porc, dépourvu d'héparine — utilisé en cas d'allergie à l'héparine), sulodéxide (mélange d'héparanne sulfate et de dermatane sulfate — voie orale possible), pentosane polysulfate (héparinoïde semi-synthétique extrait du bois de hêtre).</w:t>
      </w:r>
    </w:p>
    <w:p>
      <w:pPr>
        <w:pStyle w:val="ListBullet"/>
      </w:pPr>
      <w:r/>
      <w:r>
        <w:rPr>
          <w:b/>
        </w:rPr>
        <w:t>Héparinoïdes de très bas poids moléculaire (HTBPM)</w:t>
      </w:r>
      <w:r>
        <w:t xml:space="preserve"> : bémiparine (PM 3 600 Da — rapport anti-Xa/anti-IIa 8:1).</w:t>
      </w:r>
    </w:p>
    <w:p>
      <w:r/>
      <w:r>
        <w:rPr>
          <w:b/>
        </w:rPr>
        <w:t>Médicaments disponibles en Algérie (Marques, Laboratoires, Formes et Dosages) :</w:t>
      </w:r>
      <w:r/>
    </w:p>
    <w:p>
      <w:r>
        <w:t>Formes actives (voie injectable — anticoagulant systémique)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NEVPARIN</w:t>
            </w:r>
          </w:p>
        </w:tc>
        <w:tc>
          <w:tcPr>
            <w:tcW w:type="dxa" w:w="1559"/>
          </w:tcPr>
          <w:p>
            <w:r>
              <w:rPr>
                <w:sz w:val="20"/>
              </w:rPr>
              <w:t>GENSENTA ILAÇ SANAYI VE TICARET A.S</w:t>
            </w:r>
          </w:p>
        </w:tc>
        <w:tc>
          <w:tcPr>
            <w:tcW w:type="dxa" w:w="1559"/>
          </w:tcPr>
          <w:p>
            <w:r>
              <w:rPr>
                <w:sz w:val="20"/>
              </w:rPr>
              <w:t>Solution injectable — héparine sodique 25 000 UI/5 mL (5 000 UI/mL)</w:t>
            </w:r>
          </w:p>
        </w:tc>
        <w:tc>
          <w:tcPr>
            <w:tcW w:type="dxa" w:w="1559"/>
          </w:tcPr>
          <w:p>
            <w:r>
              <w:rPr>
                <w:sz w:val="20"/>
              </w:rPr>
              <w:t>Boîte de 1 flacon</w:t>
            </w:r>
          </w:p>
        </w:tc>
        <w:tc>
          <w:tcPr>
            <w:tcW w:type="dxa" w:w="1559"/>
          </w:tcPr>
          <w:p>
            <w:r>
              <w:rPr>
                <w:sz w:val="20"/>
              </w:rPr>
              <w:t>Liste I</w:t>
            </w:r>
          </w:p>
        </w:tc>
        <w:tc>
          <w:tcPr>
            <w:tcW w:type="dxa" w:w="1559"/>
          </w:tcPr>
          <w:p>
            <w:r>
              <w:rPr>
                <w:sz w:val="20"/>
              </w:rPr>
              <w:t>**Actif**</w:t>
            </w:r>
          </w:p>
        </w:tc>
      </w:tr>
      <w:tr>
        <w:tc>
          <w:tcPr>
            <w:tcW w:type="dxa" w:w="1559"/>
          </w:tcPr>
          <w:p>
            <w:r>
              <w:rPr>
                <w:sz w:val="20"/>
              </w:rPr>
              <w:t>LOMOH-20</w:t>
            </w:r>
          </w:p>
        </w:tc>
        <w:tc>
          <w:tcPr>
            <w:tcW w:type="dxa" w:w="1559"/>
          </w:tcPr>
          <w:p>
            <w:r>
              <w:rPr>
                <w:sz w:val="20"/>
              </w:rPr>
              <w:t>EMCURE PHARMACEUTICALS LTD</w:t>
            </w:r>
          </w:p>
        </w:tc>
        <w:tc>
          <w:tcPr>
            <w:tcW w:type="dxa" w:w="1559"/>
          </w:tcPr>
          <w:p>
            <w:r>
              <w:rPr>
                <w:sz w:val="20"/>
              </w:rPr>
              <w:t>Solution injectable SC et IV — énoxaparine sodique 2 000 UI/0,2 mL</w:t>
            </w:r>
          </w:p>
        </w:tc>
        <w:tc>
          <w:tcPr>
            <w:tcW w:type="dxa" w:w="1559"/>
          </w:tcPr>
          <w:p>
            <w:r>
              <w:rPr>
                <w:sz w:val="20"/>
              </w:rPr>
              <w:t>Boîte de 1 seringue préremplie de 0,2 mL</w:t>
            </w:r>
          </w:p>
        </w:tc>
        <w:tc>
          <w:tcPr>
            <w:tcW w:type="dxa" w:w="1559"/>
          </w:tcPr>
          <w:p>
            <w:r>
              <w:rPr>
                <w:sz w:val="20"/>
              </w:rPr>
              <w:t>Liste I</w:t>
            </w:r>
          </w:p>
        </w:tc>
        <w:tc>
          <w:tcPr>
            <w:tcW w:type="dxa" w:w="1559"/>
          </w:tcPr>
          <w:p>
            <w:r>
              <w:rPr>
                <w:sz w:val="20"/>
              </w:rPr>
              <w:t>**Actif**</w:t>
            </w:r>
          </w:p>
        </w:tc>
      </w:tr>
      <w:tr>
        <w:tc>
          <w:tcPr>
            <w:tcW w:type="dxa" w:w="1559"/>
          </w:tcPr>
          <w:p>
            <w:r>
              <w:rPr>
                <w:sz w:val="20"/>
              </w:rPr>
              <w:t>LOVENOX</w:t>
            </w:r>
          </w:p>
        </w:tc>
        <w:tc>
          <w:tcPr>
            <w:tcW w:type="dxa" w:w="1559"/>
          </w:tcPr>
          <w:p>
            <w:r>
              <w:rPr>
                <w:sz w:val="20"/>
              </w:rPr>
              <w:t>SANOFI AVENTIS FRANCE</w:t>
            </w:r>
          </w:p>
        </w:tc>
        <w:tc>
          <w:tcPr>
            <w:tcW w:type="dxa" w:w="1559"/>
          </w:tcPr>
          <w:p>
            <w:r>
              <w:rPr>
                <w:sz w:val="20"/>
              </w:rPr>
              <w:t>Solution injectable SC et IV — énoxaparine sodique 2 000 UI/0,2 mL</w:t>
            </w:r>
          </w:p>
        </w:tc>
        <w:tc>
          <w:tcPr>
            <w:tcW w:type="dxa" w:w="1559"/>
          </w:tcPr>
          <w:p>
            <w:r>
              <w:rPr>
                <w:sz w:val="20"/>
              </w:rPr>
              <w:t>Boîtes de 2 et 6 seringues préremplies de 0,2 mL avec système de sécurité</w:t>
            </w:r>
          </w:p>
        </w:tc>
        <w:tc>
          <w:tcPr>
            <w:tcW w:type="dxa" w:w="1559"/>
          </w:tcPr>
          <w:p>
            <w:r>
              <w:rPr>
                <w:sz w:val="20"/>
              </w:rPr>
              <w:t>Liste I</w:t>
            </w:r>
          </w:p>
        </w:tc>
        <w:tc>
          <w:tcPr>
            <w:tcW w:type="dxa" w:w="1559"/>
          </w:tcPr>
          <w:p>
            <w:r>
              <w:rPr>
                <w:sz w:val="20"/>
              </w:rPr>
              <w:t>**Actif**</w:t>
            </w:r>
          </w:p>
        </w:tc>
      </w:tr>
      <w:tr>
        <w:tc>
          <w:tcPr>
            <w:tcW w:type="dxa" w:w="1559"/>
          </w:tcPr>
          <w:p>
            <w:r>
              <w:rPr>
                <w:sz w:val="20"/>
              </w:rPr>
              <w:t>THERANOX</w:t>
            </w:r>
          </w:p>
        </w:tc>
        <w:tc>
          <w:tcPr>
            <w:tcW w:type="dxa" w:w="1559"/>
          </w:tcPr>
          <w:p>
            <w:r>
              <w:rPr>
                <w:sz w:val="20"/>
              </w:rPr>
              <w:t>BIOTHERA</w:t>
            </w:r>
          </w:p>
        </w:tc>
        <w:tc>
          <w:tcPr>
            <w:tcW w:type="dxa" w:w="1559"/>
          </w:tcPr>
          <w:p>
            <w:r>
              <w:rPr>
                <w:sz w:val="20"/>
              </w:rPr>
              <w:t>Solution injectable SC et IV — énoxaparine sodique 2 000 UI/0,2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VARENOX</w:t>
            </w:r>
          </w:p>
        </w:tc>
        <w:tc>
          <w:tcPr>
            <w:tcW w:type="dxa" w:w="1559"/>
          </w:tcPr>
          <w:p>
            <w:r>
              <w:rPr>
                <w:sz w:val="20"/>
              </w:rPr>
              <w:t>LES LABORATOIRES FRATER RAZES</w:t>
            </w:r>
          </w:p>
        </w:tc>
        <w:tc>
          <w:tcPr>
            <w:tcW w:type="dxa" w:w="1559"/>
          </w:tcPr>
          <w:p>
            <w:r>
              <w:rPr>
                <w:sz w:val="20"/>
              </w:rPr>
              <w:t>Solution injectable SC et IV — énoxaparine sodique 2 000 UI/0,2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LOMOH-40</w:t>
            </w:r>
          </w:p>
        </w:tc>
        <w:tc>
          <w:tcPr>
            <w:tcW w:type="dxa" w:w="1559"/>
          </w:tcPr>
          <w:p>
            <w:r>
              <w:rPr>
                <w:sz w:val="20"/>
              </w:rPr>
              <w:t>EMCURE PHARMACEUTICALS LTD</w:t>
            </w:r>
          </w:p>
        </w:tc>
        <w:tc>
          <w:tcPr>
            <w:tcW w:type="dxa" w:w="1559"/>
          </w:tcPr>
          <w:p>
            <w:r>
              <w:rPr>
                <w:sz w:val="20"/>
              </w:rPr>
              <w:t>Solution injectable SC et IV — énoxaparine sodique 4 000 UI/0,4 mL</w:t>
            </w:r>
          </w:p>
        </w:tc>
        <w:tc>
          <w:tcPr>
            <w:tcW w:type="dxa" w:w="1559"/>
          </w:tcPr>
          <w:p>
            <w:r>
              <w:rPr>
                <w:sz w:val="20"/>
              </w:rPr>
              <w:t>Boîte de 1 seringue préremplie de 0,4 mL</w:t>
            </w:r>
          </w:p>
        </w:tc>
        <w:tc>
          <w:tcPr>
            <w:tcW w:type="dxa" w:w="1559"/>
          </w:tcPr>
          <w:p>
            <w:r>
              <w:rPr>
                <w:sz w:val="20"/>
              </w:rPr>
              <w:t>Liste I</w:t>
            </w:r>
          </w:p>
        </w:tc>
        <w:tc>
          <w:tcPr>
            <w:tcW w:type="dxa" w:w="1559"/>
          </w:tcPr>
          <w:p>
            <w:r>
              <w:rPr>
                <w:sz w:val="20"/>
              </w:rPr>
              <w:t>**Actif**</w:t>
            </w:r>
          </w:p>
        </w:tc>
      </w:tr>
      <w:tr>
        <w:tc>
          <w:tcPr>
            <w:tcW w:type="dxa" w:w="1559"/>
          </w:tcPr>
          <w:p>
            <w:r>
              <w:rPr>
                <w:sz w:val="20"/>
              </w:rPr>
              <w:t>LOVENOX</w:t>
            </w:r>
          </w:p>
        </w:tc>
        <w:tc>
          <w:tcPr>
            <w:tcW w:type="dxa" w:w="1559"/>
          </w:tcPr>
          <w:p>
            <w:r>
              <w:rPr>
                <w:sz w:val="20"/>
              </w:rPr>
              <w:t>SANOFI AVENTIS FRANCE</w:t>
            </w:r>
          </w:p>
        </w:tc>
        <w:tc>
          <w:tcPr>
            <w:tcW w:type="dxa" w:w="1559"/>
          </w:tcPr>
          <w:p>
            <w:r>
              <w:rPr>
                <w:sz w:val="20"/>
              </w:rPr>
              <w:t>Solution injectable SC et IV — énoxaparine sodique 4 000 UI/0,4 mL</w:t>
            </w:r>
          </w:p>
        </w:tc>
        <w:tc>
          <w:tcPr>
            <w:tcW w:type="dxa" w:w="1559"/>
          </w:tcPr>
          <w:p>
            <w:r>
              <w:rPr>
                <w:sz w:val="20"/>
              </w:rPr>
              <w:t>Boîtes de 2 et 6 seringues préremplies de 0,4 mL avec système de sécurité</w:t>
            </w:r>
          </w:p>
        </w:tc>
        <w:tc>
          <w:tcPr>
            <w:tcW w:type="dxa" w:w="1559"/>
          </w:tcPr>
          <w:p>
            <w:r>
              <w:rPr>
                <w:sz w:val="20"/>
              </w:rPr>
              <w:t>Liste I</w:t>
            </w:r>
          </w:p>
        </w:tc>
        <w:tc>
          <w:tcPr>
            <w:tcW w:type="dxa" w:w="1559"/>
          </w:tcPr>
          <w:p>
            <w:r>
              <w:rPr>
                <w:sz w:val="20"/>
              </w:rPr>
              <w:t>**Actif**</w:t>
            </w:r>
          </w:p>
        </w:tc>
      </w:tr>
      <w:tr>
        <w:tc>
          <w:tcPr>
            <w:tcW w:type="dxa" w:w="1559"/>
          </w:tcPr>
          <w:p>
            <w:r>
              <w:rPr>
                <w:sz w:val="20"/>
              </w:rPr>
              <w:t>THERANOX</w:t>
            </w:r>
          </w:p>
        </w:tc>
        <w:tc>
          <w:tcPr>
            <w:tcW w:type="dxa" w:w="1559"/>
          </w:tcPr>
          <w:p>
            <w:r>
              <w:rPr>
                <w:sz w:val="20"/>
              </w:rPr>
              <w:t>BIOTHERA</w:t>
            </w:r>
          </w:p>
        </w:tc>
        <w:tc>
          <w:tcPr>
            <w:tcW w:type="dxa" w:w="1559"/>
          </w:tcPr>
          <w:p>
            <w:r>
              <w:rPr>
                <w:sz w:val="20"/>
              </w:rPr>
              <w:t>Solution injectable SC et IV — énoxaparine sodique 4 000 UI/0,4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VARENOX</w:t>
            </w:r>
          </w:p>
        </w:tc>
        <w:tc>
          <w:tcPr>
            <w:tcW w:type="dxa" w:w="1559"/>
          </w:tcPr>
          <w:p>
            <w:r>
              <w:rPr>
                <w:sz w:val="20"/>
              </w:rPr>
              <w:t>LES LABORATOIRES FRATER RAZES</w:t>
            </w:r>
          </w:p>
        </w:tc>
        <w:tc>
          <w:tcPr>
            <w:tcW w:type="dxa" w:w="1559"/>
          </w:tcPr>
          <w:p>
            <w:r>
              <w:rPr>
                <w:sz w:val="20"/>
              </w:rPr>
              <w:t>Solution injectable SC et IV — énoxaparine sodique 4 000 UI/0,4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LOMOH-60</w:t>
            </w:r>
          </w:p>
        </w:tc>
        <w:tc>
          <w:tcPr>
            <w:tcW w:type="dxa" w:w="1559"/>
          </w:tcPr>
          <w:p>
            <w:r>
              <w:rPr>
                <w:sz w:val="20"/>
              </w:rPr>
              <w:t>EMCURE PHARMACEUTICALS LTD</w:t>
            </w:r>
          </w:p>
        </w:tc>
        <w:tc>
          <w:tcPr>
            <w:tcW w:type="dxa" w:w="1559"/>
          </w:tcPr>
          <w:p>
            <w:r>
              <w:rPr>
                <w:sz w:val="20"/>
              </w:rPr>
              <w:t>Solution injectable SC/IV — énoxaparine sodique 6 000 UI/0,6 mL</w:t>
            </w:r>
          </w:p>
        </w:tc>
        <w:tc>
          <w:tcPr>
            <w:tcW w:type="dxa" w:w="1559"/>
          </w:tcPr>
          <w:p>
            <w:r>
              <w:rPr>
                <w:sz w:val="20"/>
              </w:rPr>
              <w:t>Boîte de 1 seringue préremplie de 0,6 mL</w:t>
            </w:r>
          </w:p>
        </w:tc>
        <w:tc>
          <w:tcPr>
            <w:tcW w:type="dxa" w:w="1559"/>
          </w:tcPr>
          <w:p>
            <w:r>
              <w:rPr>
                <w:sz w:val="20"/>
              </w:rPr>
              <w:t>Liste I</w:t>
            </w:r>
          </w:p>
        </w:tc>
        <w:tc>
          <w:tcPr>
            <w:tcW w:type="dxa" w:w="1559"/>
          </w:tcPr>
          <w:p>
            <w:r>
              <w:rPr>
                <w:sz w:val="20"/>
              </w:rPr>
              <w:t>**Actif**</w:t>
            </w:r>
          </w:p>
        </w:tc>
      </w:tr>
      <w:tr>
        <w:tc>
          <w:tcPr>
            <w:tcW w:type="dxa" w:w="1559"/>
          </w:tcPr>
          <w:p>
            <w:r>
              <w:rPr>
                <w:sz w:val="20"/>
              </w:rPr>
              <w:t>LOVENOX</w:t>
            </w:r>
          </w:p>
        </w:tc>
        <w:tc>
          <w:tcPr>
            <w:tcW w:type="dxa" w:w="1559"/>
          </w:tcPr>
          <w:p>
            <w:r>
              <w:rPr>
                <w:sz w:val="20"/>
              </w:rPr>
              <w:t>SANOFI AVENTIS FRANCE</w:t>
            </w:r>
          </w:p>
        </w:tc>
        <w:tc>
          <w:tcPr>
            <w:tcW w:type="dxa" w:w="1559"/>
          </w:tcPr>
          <w:p>
            <w:r>
              <w:rPr>
                <w:sz w:val="20"/>
              </w:rPr>
              <w:t>Solution injectable SC et IV — énoxaparine sodique 6 000 UI/0,6 mL</w:t>
            </w:r>
          </w:p>
        </w:tc>
        <w:tc>
          <w:tcPr>
            <w:tcW w:type="dxa" w:w="1559"/>
          </w:tcPr>
          <w:p>
            <w:r>
              <w:rPr>
                <w:sz w:val="20"/>
              </w:rPr>
              <w:t>Boîtes de 2 et 10 seringues préremplies de 0,6 mL avec système de sécurité</w:t>
            </w:r>
          </w:p>
        </w:tc>
        <w:tc>
          <w:tcPr>
            <w:tcW w:type="dxa" w:w="1559"/>
          </w:tcPr>
          <w:p>
            <w:r>
              <w:rPr>
                <w:sz w:val="20"/>
              </w:rPr>
              <w:t>Liste I</w:t>
            </w:r>
          </w:p>
        </w:tc>
        <w:tc>
          <w:tcPr>
            <w:tcW w:type="dxa" w:w="1559"/>
          </w:tcPr>
          <w:p>
            <w:r>
              <w:rPr>
                <w:sz w:val="20"/>
              </w:rPr>
              <w:t>**Actif**</w:t>
            </w:r>
          </w:p>
        </w:tc>
      </w:tr>
      <w:tr>
        <w:tc>
          <w:tcPr>
            <w:tcW w:type="dxa" w:w="1559"/>
          </w:tcPr>
          <w:p>
            <w:r>
              <w:rPr>
                <w:sz w:val="20"/>
              </w:rPr>
              <w:t>THERANOX</w:t>
            </w:r>
          </w:p>
        </w:tc>
        <w:tc>
          <w:tcPr>
            <w:tcW w:type="dxa" w:w="1559"/>
          </w:tcPr>
          <w:p>
            <w:r>
              <w:rPr>
                <w:sz w:val="20"/>
              </w:rPr>
              <w:t>BIOTHERA</w:t>
            </w:r>
          </w:p>
        </w:tc>
        <w:tc>
          <w:tcPr>
            <w:tcW w:type="dxa" w:w="1559"/>
          </w:tcPr>
          <w:p>
            <w:r>
              <w:rPr>
                <w:sz w:val="20"/>
              </w:rPr>
              <w:t>Solution injectable SC et IV — énoxaparine sodique 6 000 UI/0,6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VARENOX</w:t>
            </w:r>
          </w:p>
        </w:tc>
        <w:tc>
          <w:tcPr>
            <w:tcW w:type="dxa" w:w="1559"/>
          </w:tcPr>
          <w:p>
            <w:r>
              <w:rPr>
                <w:sz w:val="20"/>
              </w:rPr>
              <w:t>LES LABORATOIRES FRATER RAZES</w:t>
            </w:r>
          </w:p>
        </w:tc>
        <w:tc>
          <w:tcPr>
            <w:tcW w:type="dxa" w:w="1559"/>
          </w:tcPr>
          <w:p>
            <w:r>
              <w:rPr>
                <w:sz w:val="20"/>
              </w:rPr>
              <w:t>Solution injectable SC et IV — énoxaparine sodique 6 000 UI/0,6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LOMOH-80</w:t>
            </w:r>
          </w:p>
        </w:tc>
        <w:tc>
          <w:tcPr>
            <w:tcW w:type="dxa" w:w="1559"/>
          </w:tcPr>
          <w:p>
            <w:r>
              <w:rPr>
                <w:sz w:val="20"/>
              </w:rPr>
              <w:t>EMCURE PHARMACEUTICALS LTD</w:t>
            </w:r>
          </w:p>
        </w:tc>
        <w:tc>
          <w:tcPr>
            <w:tcW w:type="dxa" w:w="1559"/>
          </w:tcPr>
          <w:p>
            <w:r>
              <w:rPr>
                <w:sz w:val="20"/>
              </w:rPr>
              <w:t>Solution injectable SC et IV — énoxaparine sodique 8 000 UI/0,8 mL</w:t>
            </w:r>
          </w:p>
        </w:tc>
        <w:tc>
          <w:tcPr>
            <w:tcW w:type="dxa" w:w="1559"/>
          </w:tcPr>
          <w:p>
            <w:r>
              <w:rPr>
                <w:sz w:val="20"/>
              </w:rPr>
              <w:t>Boîte de 1 seringue préremplie de 0,8 mL</w:t>
            </w:r>
          </w:p>
        </w:tc>
        <w:tc>
          <w:tcPr>
            <w:tcW w:type="dxa" w:w="1559"/>
          </w:tcPr>
          <w:p>
            <w:r>
              <w:rPr>
                <w:sz w:val="20"/>
              </w:rPr>
              <w:t>Liste I</w:t>
            </w:r>
          </w:p>
        </w:tc>
        <w:tc>
          <w:tcPr>
            <w:tcW w:type="dxa" w:w="1559"/>
          </w:tcPr>
          <w:p>
            <w:r>
              <w:rPr>
                <w:sz w:val="20"/>
              </w:rPr>
              <w:t>**Actif**</w:t>
            </w:r>
          </w:p>
        </w:tc>
      </w:tr>
      <w:tr>
        <w:tc>
          <w:tcPr>
            <w:tcW w:type="dxa" w:w="1559"/>
          </w:tcPr>
          <w:p>
            <w:r>
              <w:rPr>
                <w:sz w:val="20"/>
              </w:rPr>
              <w:t>LOVENOX</w:t>
            </w:r>
          </w:p>
        </w:tc>
        <w:tc>
          <w:tcPr>
            <w:tcW w:type="dxa" w:w="1559"/>
          </w:tcPr>
          <w:p>
            <w:r>
              <w:rPr>
                <w:sz w:val="20"/>
              </w:rPr>
              <w:t>SANOFI AVENTIS FRANCE</w:t>
            </w:r>
          </w:p>
        </w:tc>
        <w:tc>
          <w:tcPr>
            <w:tcW w:type="dxa" w:w="1559"/>
          </w:tcPr>
          <w:p>
            <w:r>
              <w:rPr>
                <w:sz w:val="20"/>
              </w:rPr>
              <w:t>Solution injectable SC et IV — énoxaparine sodique 8 000 UI/0,8 mL</w:t>
            </w:r>
          </w:p>
        </w:tc>
        <w:tc>
          <w:tcPr>
            <w:tcW w:type="dxa" w:w="1559"/>
          </w:tcPr>
          <w:p>
            <w:r>
              <w:rPr>
                <w:sz w:val="20"/>
              </w:rPr>
              <w:t>Boîtes de 2 et 10 seringues préremplies de 0,8 mL avec système de sécurité</w:t>
            </w:r>
          </w:p>
        </w:tc>
        <w:tc>
          <w:tcPr>
            <w:tcW w:type="dxa" w:w="1559"/>
          </w:tcPr>
          <w:p>
            <w:r>
              <w:rPr>
                <w:sz w:val="20"/>
              </w:rPr>
              <w:t>Liste I</w:t>
            </w:r>
          </w:p>
        </w:tc>
        <w:tc>
          <w:tcPr>
            <w:tcW w:type="dxa" w:w="1559"/>
          </w:tcPr>
          <w:p>
            <w:r>
              <w:rPr>
                <w:sz w:val="20"/>
              </w:rPr>
              <w:t>**Actif**</w:t>
            </w:r>
          </w:p>
        </w:tc>
      </w:tr>
      <w:tr>
        <w:tc>
          <w:tcPr>
            <w:tcW w:type="dxa" w:w="1559"/>
          </w:tcPr>
          <w:p>
            <w:r>
              <w:rPr>
                <w:sz w:val="20"/>
              </w:rPr>
              <w:t>THERANOX</w:t>
            </w:r>
          </w:p>
        </w:tc>
        <w:tc>
          <w:tcPr>
            <w:tcW w:type="dxa" w:w="1559"/>
          </w:tcPr>
          <w:p>
            <w:r>
              <w:rPr>
                <w:sz w:val="20"/>
              </w:rPr>
              <w:t>BIOTHERA</w:t>
            </w:r>
          </w:p>
        </w:tc>
        <w:tc>
          <w:tcPr>
            <w:tcW w:type="dxa" w:w="1559"/>
          </w:tcPr>
          <w:p>
            <w:r>
              <w:rPr>
                <w:sz w:val="20"/>
              </w:rPr>
              <w:t>Solution injectable SC et IV — énoxaparine sodique 8 000 UI/0,8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r>
        <w:tc>
          <w:tcPr>
            <w:tcW w:type="dxa" w:w="1559"/>
          </w:tcPr>
          <w:p>
            <w:r>
              <w:rPr>
                <w:sz w:val="20"/>
              </w:rPr>
              <w:t>VARENOX</w:t>
            </w:r>
          </w:p>
        </w:tc>
        <w:tc>
          <w:tcPr>
            <w:tcW w:type="dxa" w:w="1559"/>
          </w:tcPr>
          <w:p>
            <w:r>
              <w:rPr>
                <w:sz w:val="20"/>
              </w:rPr>
              <w:t>LES LABORATOIRES FRATER RAZES</w:t>
            </w:r>
          </w:p>
        </w:tc>
        <w:tc>
          <w:tcPr>
            <w:tcW w:type="dxa" w:w="1559"/>
          </w:tcPr>
          <w:p>
            <w:r>
              <w:rPr>
                <w:sz w:val="20"/>
              </w:rPr>
              <w:t>Solution injectable SC et IV — énoxaparine sodique 8 000 UI/0,8 mL</w:t>
            </w:r>
          </w:p>
        </w:tc>
        <w:tc>
          <w:tcPr>
            <w:tcW w:type="dxa" w:w="1559"/>
          </w:tcPr>
          <w:p>
            <w:r>
              <w:rPr>
                <w:sz w:val="20"/>
              </w:rPr>
              <w:t>Boîte de 2 seringues</w:t>
            </w:r>
          </w:p>
        </w:tc>
        <w:tc>
          <w:tcPr>
            <w:tcW w:type="dxa" w:w="1559"/>
          </w:tcPr>
          <w:p>
            <w:r>
              <w:rPr>
                <w:sz w:val="20"/>
              </w:rPr>
              <w:t>Liste I</w:t>
            </w:r>
          </w:p>
        </w:tc>
        <w:tc>
          <w:tcPr>
            <w:tcW w:type="dxa" w:w="1559"/>
          </w:tcPr>
          <w:p>
            <w:r>
              <w:rPr>
                <w:sz w:val="20"/>
              </w:rPr>
              <w:t>**Actif**</w:t>
            </w:r>
          </w:p>
        </w:tc>
      </w:tr>
    </w:tbl>
    <w:p/>
    <w:p>
      <w:r>
        <w:t>Formes non renouvelables (nouveaux approvisionnements suspendus)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HEPARINE CALCIQUE 5000 UI/0,2 ML</w:t>
            </w:r>
          </w:p>
        </w:tc>
        <w:tc>
          <w:tcPr>
            <w:tcW w:type="dxa" w:w="1559"/>
          </w:tcPr>
          <w:p>
            <w:r>
              <w:rPr>
                <w:sz w:val="20"/>
              </w:rPr>
              <w:t>LEO</w:t>
            </w:r>
          </w:p>
        </w:tc>
        <w:tc>
          <w:tcPr>
            <w:tcW w:type="dxa" w:w="1559"/>
          </w:tcPr>
          <w:p>
            <w:r>
              <w:rPr>
                <w:sz w:val="20"/>
              </w:rPr>
              <w:t>Solution injectable SC — héparinate de calcium 25 000 UI/mL (5 000 UI/0,2 mL)</w:t>
            </w:r>
          </w:p>
        </w:tc>
        <w:tc>
          <w:tcPr>
            <w:tcW w:type="dxa" w:w="1559"/>
          </w:tcPr>
          <w:p>
            <w:r>
              <w:rPr>
                <w:sz w:val="20"/>
              </w:rPr>
              <w:t>Boîte de 50 seringues de 0,2 mL</w:t>
            </w:r>
          </w:p>
        </w:tc>
        <w:tc>
          <w:tcPr>
            <w:tcW w:type="dxa" w:w="1559"/>
          </w:tcPr>
          <w:p>
            <w:r>
              <w:rPr>
                <w:sz w:val="20"/>
              </w:rPr>
              <w:t>Liste I</w:t>
            </w:r>
          </w:p>
        </w:tc>
        <w:tc>
          <w:tcPr>
            <w:tcW w:type="dxa" w:w="1559"/>
          </w:tcPr>
          <w:p>
            <w:r>
              <w:rPr>
                <w:sz w:val="20"/>
              </w:rPr>
              <w:t>**Non Renouvelable**</w:t>
            </w:r>
          </w:p>
        </w:tc>
      </w:tr>
      <w:tr>
        <w:tc>
          <w:tcPr>
            <w:tcW w:type="dxa" w:w="1559"/>
          </w:tcPr>
          <w:p>
            <w:r>
              <w:rPr>
                <w:sz w:val="20"/>
              </w:rPr>
              <w:t>HEPARINE CALCIQUE 7500 UI/0,3 ML</w:t>
            </w:r>
          </w:p>
        </w:tc>
        <w:tc>
          <w:tcPr>
            <w:tcW w:type="dxa" w:w="1559"/>
          </w:tcPr>
          <w:p>
            <w:r>
              <w:rPr>
                <w:sz w:val="20"/>
              </w:rPr>
              <w:t>LEO</w:t>
            </w:r>
          </w:p>
        </w:tc>
        <w:tc>
          <w:tcPr>
            <w:tcW w:type="dxa" w:w="1559"/>
          </w:tcPr>
          <w:p>
            <w:r>
              <w:rPr>
                <w:sz w:val="20"/>
              </w:rPr>
              <w:t>Solution injectable SC — héparinate de calcium 25 000 UI/mL (7 500 UI/0,3 mL)</w:t>
            </w:r>
          </w:p>
        </w:tc>
        <w:tc>
          <w:tcPr>
            <w:tcW w:type="dxa" w:w="1559"/>
          </w:tcPr>
          <w:p>
            <w:r>
              <w:rPr>
                <w:sz w:val="20"/>
              </w:rPr>
              <w:t>Boîte de 50 seringues de 0,3 mL</w:t>
            </w:r>
          </w:p>
        </w:tc>
        <w:tc>
          <w:tcPr>
            <w:tcW w:type="dxa" w:w="1559"/>
          </w:tcPr>
          <w:p>
            <w:r>
              <w:rPr>
                <w:sz w:val="20"/>
              </w:rPr>
              <w:t>Liste I</w:t>
            </w:r>
          </w:p>
        </w:tc>
        <w:tc>
          <w:tcPr>
            <w:tcW w:type="dxa" w:w="1559"/>
          </w:tcPr>
          <w:p>
            <w:r>
              <w:rPr>
                <w:sz w:val="20"/>
              </w:rPr>
              <w:t>**Non Renouvelable**</w:t>
            </w:r>
          </w:p>
        </w:tc>
      </w:tr>
      <w:tr>
        <w:tc>
          <w:tcPr>
            <w:tcW w:type="dxa" w:w="1559"/>
          </w:tcPr>
          <w:p>
            <w:r>
              <w:rPr>
                <w:sz w:val="20"/>
              </w:rPr>
              <w:t>HEPARINE SODIQUE</w:t>
            </w:r>
          </w:p>
        </w:tc>
        <w:tc>
          <w:tcPr>
            <w:tcW w:type="dxa" w:w="1559"/>
          </w:tcPr>
          <w:p>
            <w:r>
              <w:rPr>
                <w:sz w:val="20"/>
              </w:rPr>
              <w:t>LEO</w:t>
            </w:r>
          </w:p>
        </w:tc>
        <w:tc>
          <w:tcPr>
            <w:tcW w:type="dxa" w:w="1559"/>
          </w:tcPr>
          <w:p>
            <w:r>
              <w:rPr>
                <w:sz w:val="20"/>
              </w:rPr>
              <w:t>Solution injectable IV — héparine sodique 25 000 UI/5 mL</w:t>
            </w:r>
          </w:p>
        </w:tc>
        <w:tc>
          <w:tcPr>
            <w:tcW w:type="dxa" w:w="1559"/>
          </w:tcPr>
          <w:p>
            <w:r>
              <w:rPr>
                <w:sz w:val="20"/>
              </w:rPr>
              <w:t>Boîte de 50 flacons de 5 mL</w:t>
            </w:r>
          </w:p>
        </w:tc>
        <w:tc>
          <w:tcPr>
            <w:tcW w:type="dxa" w:w="1559"/>
          </w:tcPr>
          <w:p>
            <w:r>
              <w:rPr>
                <w:sz w:val="20"/>
              </w:rPr>
              <w:t>Liste I</w:t>
            </w:r>
          </w:p>
        </w:tc>
        <w:tc>
          <w:tcPr>
            <w:tcW w:type="dxa" w:w="1559"/>
          </w:tcPr>
          <w:p>
            <w:r>
              <w:rPr>
                <w:sz w:val="20"/>
              </w:rPr>
              <w:t>**Non Renouvelable**</w:t>
            </w:r>
          </w:p>
        </w:tc>
      </w:tr>
      <w:tr>
        <w:tc>
          <w:tcPr>
            <w:tcW w:type="dxa" w:w="1559"/>
          </w:tcPr>
          <w:p>
            <w:r>
              <w:rPr>
                <w:sz w:val="20"/>
              </w:rPr>
              <w:t>LOVENOX</w:t>
            </w:r>
          </w:p>
        </w:tc>
        <w:tc>
          <w:tcPr>
            <w:tcW w:type="dxa" w:w="1559"/>
          </w:tcPr>
          <w:p>
            <w:r>
              <w:rPr>
                <w:sz w:val="20"/>
              </w:rPr>
              <w:t>SANOFI AVENTIS</w:t>
            </w:r>
          </w:p>
        </w:tc>
        <w:tc>
          <w:tcPr>
            <w:tcW w:type="dxa" w:w="1559"/>
          </w:tcPr>
          <w:p>
            <w:r>
              <w:rPr>
                <w:sz w:val="20"/>
              </w:rPr>
              <w:t>Solution injectable SC et IV — énoxaparine sodique (HBPM) 10 000 UI anti-Xa/mL (100 mg/mL)</w:t>
            </w:r>
          </w:p>
        </w:tc>
        <w:tc>
          <w:tcPr>
            <w:tcW w:type="dxa" w:w="1559"/>
          </w:tcPr>
          <w:p>
            <w:r>
              <w:rPr>
                <w:sz w:val="20"/>
              </w:rPr>
              <w:t>Boîte de 2 seringues préremplies de 1 mL avec système de sécurité</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LOVENOX</w:t>
            </w:r>
          </w:p>
        </w:tc>
        <w:tc>
          <w:tcPr>
            <w:tcW w:type="dxa" w:w="1559"/>
          </w:tcPr>
          <w:p>
            <w:r>
              <w:rPr>
                <w:sz w:val="20"/>
              </w:rPr>
              <w:t>SANOFI AVENTIS</w:t>
            </w:r>
          </w:p>
        </w:tc>
        <w:tc>
          <w:tcPr>
            <w:tcW w:type="dxa" w:w="1559"/>
          </w:tcPr>
          <w:p>
            <w:r>
              <w:rPr>
                <w:sz w:val="20"/>
              </w:rPr>
              <w:t>Solution injectable SC et IV — énoxaparine sodique (HBPM) 10 000 UI anti-Xa/mL (100 mg/mL)</w:t>
            </w:r>
          </w:p>
        </w:tc>
        <w:tc>
          <w:tcPr>
            <w:tcW w:type="dxa" w:w="1559"/>
          </w:tcPr>
          <w:p>
            <w:r>
              <w:rPr>
                <w:sz w:val="20"/>
              </w:rPr>
              <w:t>Boîte de 2 seringues préremplies de 1 mL avec système de sécurité</w:t>
            </w:r>
          </w:p>
        </w:tc>
        <w:tc>
          <w:tcPr>
            <w:tcW w:type="dxa" w:w="1559"/>
          </w:tcPr>
          <w:p>
            <w:r>
              <w:rPr>
                <w:sz w:val="20"/>
              </w:rPr>
              <w:t>Liste I</w:t>
            </w:r>
          </w:p>
        </w:tc>
        <w:tc>
          <w:tcPr>
            <w:tcW w:type="dxa" w:w="1559"/>
          </w:tcPr>
          <w:p>
            <w:r>
              <w:rPr>
                <w:sz w:val="20"/>
              </w:rPr>
              <w:t>**Retiré (R)**</w:t>
            </w:r>
          </w:p>
        </w:tc>
      </w:tr>
      <w:tr>
        <w:tc>
          <w:tcPr>
            <w:tcW w:type="dxa" w:w="1559"/>
          </w:tcPr>
          <w:p>
            <w:r>
              <w:rPr>
                <w:sz w:val="20"/>
              </w:rPr>
              <w:t>FRAXIPARINE</w:t>
            </w:r>
          </w:p>
        </w:tc>
        <w:tc>
          <w:tcPr>
            <w:tcW w:type="dxa" w:w="1559"/>
          </w:tcPr>
          <w:p>
            <w:r>
              <w:rPr>
                <w:sz w:val="20"/>
              </w:rPr>
              <w:t>SANOFI SYNTHELABO</w:t>
            </w:r>
          </w:p>
        </w:tc>
        <w:tc>
          <w:tcPr>
            <w:tcW w:type="dxa" w:w="1559"/>
          </w:tcPr>
          <w:p>
            <w:r>
              <w:rPr>
                <w:sz w:val="20"/>
              </w:rPr>
              <w:t>Solution injectable SC — nadroparine calcique (HBPM) 1 900 UI AXA/0,2 mL</w:t>
            </w:r>
          </w:p>
        </w:tc>
        <w:tc>
          <w:tcPr>
            <w:tcW w:type="dxa" w:w="1559"/>
          </w:tcPr>
          <w:p>
            <w:r>
              <w:rPr>
                <w:sz w:val="20"/>
              </w:rPr>
              <w:t>Boîtes de 2 et 10</w:t>
            </w:r>
          </w:p>
        </w:tc>
        <w:tc>
          <w:tcPr>
            <w:tcW w:type="dxa" w:w="1559"/>
          </w:tcPr>
          <w:p>
            <w:r>
              <w:rPr>
                <w:sz w:val="20"/>
              </w:rPr>
              <w:t>Liste I</w:t>
            </w:r>
          </w:p>
        </w:tc>
        <w:tc>
          <w:tcPr>
            <w:tcW w:type="dxa" w:w="1559"/>
          </w:tcPr>
          <w:p>
            <w:r>
              <w:rPr>
                <w:sz w:val="20"/>
              </w:rPr>
              <w:t>**Retiré (R)**</w:t>
            </w:r>
          </w:p>
        </w:tc>
      </w:tr>
      <w:tr>
        <w:tc>
          <w:tcPr>
            <w:tcW w:type="dxa" w:w="1559"/>
          </w:tcPr>
          <w:p>
            <w:r>
              <w:rPr>
                <w:sz w:val="20"/>
              </w:rPr>
              <w:t>FRAXIPARINE</w:t>
            </w:r>
          </w:p>
        </w:tc>
        <w:tc>
          <w:tcPr>
            <w:tcW w:type="dxa" w:w="1559"/>
          </w:tcPr>
          <w:p>
            <w:r>
              <w:rPr>
                <w:sz w:val="20"/>
              </w:rPr>
              <w:t>ASPEN PHARMA SCHWEIZ GMBH</w:t>
            </w:r>
          </w:p>
        </w:tc>
        <w:tc>
          <w:tcPr>
            <w:tcW w:type="dxa" w:w="1559"/>
          </w:tcPr>
          <w:p>
            <w:r>
              <w:rPr>
                <w:sz w:val="20"/>
              </w:rPr>
              <w:t>Solution injectable SC — nadroparine calcique (HBPM) 2 850 UI anti-Xa/0,3 mL</w:t>
            </w:r>
          </w:p>
        </w:tc>
        <w:tc>
          <w:tcPr>
            <w:tcW w:type="dxa" w:w="1559"/>
          </w:tcPr>
          <w:p>
            <w:r>
              <w:rPr>
                <w:sz w:val="20"/>
              </w:rPr>
              <w:t>Boîtes de 2 et 10</w:t>
            </w:r>
          </w:p>
        </w:tc>
        <w:tc>
          <w:tcPr>
            <w:tcW w:type="dxa" w:w="1559"/>
          </w:tcPr>
          <w:p>
            <w:r>
              <w:rPr>
                <w:sz w:val="20"/>
              </w:rPr>
              <w:t>Liste I</w:t>
            </w:r>
          </w:p>
        </w:tc>
        <w:tc>
          <w:tcPr>
            <w:tcW w:type="dxa" w:w="1559"/>
          </w:tcPr>
          <w:p>
            <w:r>
              <w:rPr>
                <w:sz w:val="20"/>
              </w:rPr>
              <w:t>**Retiré (R)**</w:t>
            </w:r>
          </w:p>
        </w:tc>
      </w:tr>
      <w:tr>
        <w:tc>
          <w:tcPr>
            <w:tcW w:type="dxa" w:w="1559"/>
          </w:tcPr>
          <w:p>
            <w:r>
              <w:rPr>
                <w:sz w:val="20"/>
              </w:rPr>
              <w:t>FRAXIPARINE</w:t>
            </w:r>
          </w:p>
        </w:tc>
        <w:tc>
          <w:tcPr>
            <w:tcW w:type="dxa" w:w="1559"/>
          </w:tcPr>
          <w:p>
            <w:r>
              <w:rPr>
                <w:sz w:val="20"/>
              </w:rPr>
              <w:t>ASPEN PHARMA SCHWEIZ GMBH</w:t>
            </w:r>
          </w:p>
        </w:tc>
        <w:tc>
          <w:tcPr>
            <w:tcW w:type="dxa" w:w="1559"/>
          </w:tcPr>
          <w:p>
            <w:r>
              <w:rPr>
                <w:sz w:val="20"/>
              </w:rPr>
              <w:t>Solution injectable SC — nadroparine calcique (HBPM) 3 800 UI AXa/0,4 mL</w:t>
            </w:r>
          </w:p>
        </w:tc>
        <w:tc>
          <w:tcPr>
            <w:tcW w:type="dxa" w:w="1559"/>
          </w:tcPr>
          <w:p>
            <w:r>
              <w:rPr>
                <w:sz w:val="20"/>
              </w:rPr>
              <w:t>Boîte de 10</w:t>
            </w:r>
          </w:p>
        </w:tc>
        <w:tc>
          <w:tcPr>
            <w:tcW w:type="dxa" w:w="1559"/>
          </w:tcPr>
          <w:p>
            <w:r>
              <w:rPr>
                <w:sz w:val="20"/>
              </w:rPr>
              <w:t>Liste I</w:t>
            </w:r>
          </w:p>
        </w:tc>
        <w:tc>
          <w:tcPr>
            <w:tcW w:type="dxa" w:w="1559"/>
          </w:tcPr>
          <w:p>
            <w:r>
              <w:rPr>
                <w:sz w:val="20"/>
              </w:rPr>
              <w:t>**Retiré (R)**</w:t>
            </w:r>
          </w:p>
        </w:tc>
      </w:tr>
      <w:tr>
        <w:tc>
          <w:tcPr>
            <w:tcW w:type="dxa" w:w="1559"/>
          </w:tcPr>
          <w:p>
            <w:r>
              <w:rPr>
                <w:sz w:val="20"/>
              </w:rPr>
              <w:t>FRAXIPARINE</w:t>
            </w:r>
          </w:p>
        </w:tc>
        <w:tc>
          <w:tcPr>
            <w:tcW w:type="dxa" w:w="1559"/>
          </w:tcPr>
          <w:p>
            <w:r>
              <w:rPr>
                <w:sz w:val="20"/>
              </w:rPr>
              <w:t>ASPEN PHARMA SCHWEIZ GMBH</w:t>
            </w:r>
          </w:p>
        </w:tc>
        <w:tc>
          <w:tcPr>
            <w:tcW w:type="dxa" w:w="1559"/>
          </w:tcPr>
          <w:p>
            <w:r>
              <w:rPr>
                <w:sz w:val="20"/>
              </w:rPr>
              <w:t>Solution injectable SC — nadroparine calcique (HBPM) 5 700 UI anti-Xa/0,6 mL</w:t>
            </w:r>
          </w:p>
        </w:tc>
        <w:tc>
          <w:tcPr>
            <w:tcW w:type="dxa" w:w="1559"/>
          </w:tcPr>
          <w:p>
            <w:r>
              <w:rPr>
                <w:sz w:val="20"/>
              </w:rPr>
              <w:t>Boîte de 10</w:t>
            </w:r>
          </w:p>
        </w:tc>
        <w:tc>
          <w:tcPr>
            <w:tcW w:type="dxa" w:w="1559"/>
          </w:tcPr>
          <w:p>
            <w:r>
              <w:rPr>
                <w:sz w:val="20"/>
              </w:rPr>
              <w:t>Liste I</w:t>
            </w:r>
          </w:p>
        </w:tc>
        <w:tc>
          <w:tcPr>
            <w:tcW w:type="dxa" w:w="1559"/>
          </w:tcPr>
          <w:p>
            <w:r>
              <w:rPr>
                <w:sz w:val="20"/>
              </w:rPr>
              <w:t>**Retiré (R)**</w:t>
            </w:r>
          </w:p>
        </w:tc>
      </w:tr>
      <w:tr>
        <w:tc>
          <w:tcPr>
            <w:tcW w:type="dxa" w:w="1559"/>
          </w:tcPr>
          <w:p>
            <w:r>
              <w:rPr>
                <w:sz w:val="20"/>
              </w:rPr>
              <w:t>FRAXIPARINE</w:t>
            </w:r>
          </w:p>
        </w:tc>
        <w:tc>
          <w:tcPr>
            <w:tcW w:type="dxa" w:w="1559"/>
          </w:tcPr>
          <w:p>
            <w:r>
              <w:rPr>
                <w:sz w:val="20"/>
              </w:rPr>
              <w:t>GLAXOSMITHKLINE</w:t>
            </w:r>
          </w:p>
        </w:tc>
        <w:tc>
          <w:tcPr>
            <w:tcW w:type="dxa" w:w="1559"/>
          </w:tcPr>
          <w:p>
            <w:r>
              <w:rPr>
                <w:sz w:val="20"/>
              </w:rPr>
              <w:t>Solution injectable SC — nadroparine calcique (HBPM) 7 600 UI anti-Xa/0,8 mL</w:t>
            </w:r>
          </w:p>
        </w:tc>
        <w:tc>
          <w:tcPr>
            <w:tcW w:type="dxa" w:w="1559"/>
          </w:tcPr>
          <w:p>
            <w:r>
              <w:rPr>
                <w:sz w:val="20"/>
              </w:rPr>
              <w:t>Boîtes de 2 et 10</w:t>
            </w:r>
          </w:p>
        </w:tc>
        <w:tc>
          <w:tcPr>
            <w:tcW w:type="dxa" w:w="1559"/>
          </w:tcPr>
          <w:p>
            <w:r>
              <w:rPr>
                <w:sz w:val="20"/>
              </w:rPr>
              <w:t>Liste I</w:t>
            </w:r>
          </w:p>
        </w:tc>
        <w:tc>
          <w:tcPr>
            <w:tcW w:type="dxa" w:w="1559"/>
          </w:tcPr>
          <w:p>
            <w:r>
              <w:rPr>
                <w:sz w:val="20"/>
              </w:rPr>
              <w:t>**Retiré (R)**</w:t>
            </w:r>
          </w:p>
        </w:tc>
      </w:tr>
      <w:tr>
        <w:tc>
          <w:tcPr>
            <w:tcW w:type="dxa" w:w="1559"/>
          </w:tcPr>
          <w:p>
            <w:r>
              <w:rPr>
                <w:sz w:val="20"/>
              </w:rPr>
              <w:t>FRAXODI</w:t>
            </w:r>
          </w:p>
        </w:tc>
        <w:tc>
          <w:tcPr>
            <w:tcW w:type="dxa" w:w="1559"/>
          </w:tcPr>
          <w:p>
            <w:r>
              <w:rPr>
                <w:sz w:val="20"/>
              </w:rPr>
              <w:t>GLAXOSMITHKLINE</w:t>
            </w:r>
          </w:p>
        </w:tc>
        <w:tc>
          <w:tcPr>
            <w:tcW w:type="dxa" w:w="1559"/>
          </w:tcPr>
          <w:p>
            <w:r>
              <w:rPr>
                <w:sz w:val="20"/>
              </w:rPr>
              <w:t>Solution injectable SC — nadroparine calcique (HBPM) 11 400 UI AXA/0,6 mL</w:t>
            </w:r>
          </w:p>
        </w:tc>
        <w:tc>
          <w:tcPr>
            <w:tcW w:type="dxa" w:w="1559"/>
          </w:tcPr>
          <w:p>
            <w:r>
              <w:rPr>
                <w:sz w:val="20"/>
              </w:rPr>
              <w:t>Boîtes de 2 et 10</w:t>
            </w:r>
          </w:p>
        </w:tc>
        <w:tc>
          <w:tcPr>
            <w:tcW w:type="dxa" w:w="1559"/>
          </w:tcPr>
          <w:p>
            <w:r>
              <w:rPr>
                <w:sz w:val="20"/>
              </w:rPr>
              <w:t>Liste I</w:t>
            </w:r>
          </w:p>
        </w:tc>
        <w:tc>
          <w:tcPr>
            <w:tcW w:type="dxa" w:w="1559"/>
          </w:tcPr>
          <w:p>
            <w:r>
              <w:rPr>
                <w:sz w:val="20"/>
              </w:rPr>
              <w:t>**Retiré (R)**</w:t>
            </w:r>
          </w:p>
        </w:tc>
      </w:tr>
      <w:tr>
        <w:tc>
          <w:tcPr>
            <w:tcW w:type="dxa" w:w="1559"/>
          </w:tcPr>
          <w:p>
            <w:r>
              <w:rPr>
                <w:sz w:val="20"/>
              </w:rPr>
              <w:t>FRAXODI</w:t>
            </w:r>
          </w:p>
        </w:tc>
        <w:tc>
          <w:tcPr>
            <w:tcW w:type="dxa" w:w="1559"/>
          </w:tcPr>
          <w:p>
            <w:r>
              <w:rPr>
                <w:sz w:val="20"/>
              </w:rPr>
              <w:t>GLAXOSMITHKLINE</w:t>
            </w:r>
          </w:p>
        </w:tc>
        <w:tc>
          <w:tcPr>
            <w:tcW w:type="dxa" w:w="1559"/>
          </w:tcPr>
          <w:p>
            <w:r>
              <w:rPr>
                <w:sz w:val="20"/>
              </w:rPr>
              <w:t>Solution injectable SC — nadroparine calcique (HBPM) 15 200 UI AXA/0,8 mL</w:t>
            </w:r>
          </w:p>
        </w:tc>
        <w:tc>
          <w:tcPr>
            <w:tcW w:type="dxa" w:w="1559"/>
          </w:tcPr>
          <w:p>
            <w:r>
              <w:rPr>
                <w:sz w:val="20"/>
              </w:rPr>
              <w:t>Boîtes de 2 et 10</w:t>
            </w:r>
          </w:p>
        </w:tc>
        <w:tc>
          <w:tcPr>
            <w:tcW w:type="dxa" w:w="1559"/>
          </w:tcPr>
          <w:p>
            <w:r>
              <w:rPr>
                <w:sz w:val="20"/>
              </w:rPr>
              <w:t>Liste I</w:t>
            </w:r>
          </w:p>
        </w:tc>
        <w:tc>
          <w:tcPr>
            <w:tcW w:type="dxa" w:w="1559"/>
          </w:tcPr>
          <w:p>
            <w:r>
              <w:rPr>
                <w:sz w:val="20"/>
              </w:rPr>
              <w:t>**Retiré (R)**</w:t>
            </w:r>
          </w:p>
        </w:tc>
      </w:tr>
      <w:tr>
        <w:tc>
          <w:tcPr>
            <w:tcW w:type="dxa" w:w="1559"/>
          </w:tcPr>
          <w:p>
            <w:r>
              <w:rPr>
                <w:sz w:val="20"/>
              </w:rPr>
              <w:t>FRAXODI</w:t>
            </w:r>
          </w:p>
        </w:tc>
        <w:tc>
          <w:tcPr>
            <w:tcW w:type="dxa" w:w="1559"/>
          </w:tcPr>
          <w:p>
            <w:r>
              <w:rPr>
                <w:sz w:val="20"/>
              </w:rPr>
              <w:t>GLAXOSMITHKLINE</w:t>
            </w:r>
          </w:p>
        </w:tc>
        <w:tc>
          <w:tcPr>
            <w:tcW w:type="dxa" w:w="1559"/>
          </w:tcPr>
          <w:p>
            <w:r>
              <w:rPr>
                <w:sz w:val="20"/>
              </w:rPr>
              <w:t>Solution injectable SC — nadroparine calcique (HBPM) 19 000 UI AXA/1 mL</w:t>
            </w:r>
          </w:p>
        </w:tc>
        <w:tc>
          <w:tcPr>
            <w:tcW w:type="dxa" w:w="1559"/>
          </w:tcPr>
          <w:p>
            <w:r>
              <w:rPr>
                <w:sz w:val="20"/>
              </w:rPr>
              <w:t>Boîtes de 2 et 10</w:t>
            </w:r>
          </w:p>
        </w:tc>
        <w:tc>
          <w:tcPr>
            <w:tcW w:type="dxa" w:w="1559"/>
          </w:tcPr>
          <w:p>
            <w:r>
              <w:rPr>
                <w:sz w:val="20"/>
              </w:rPr>
              <w:t>Liste I</w:t>
            </w:r>
          </w:p>
        </w:tc>
        <w:tc>
          <w:tcPr>
            <w:tcW w:type="dxa" w:w="1559"/>
          </w:tcPr>
          <w:p>
            <w:r>
              <w:rPr>
                <w:sz w:val="20"/>
              </w:rPr>
              <w:t>**Retiré (R)**</w:t>
            </w:r>
          </w:p>
        </w:tc>
      </w:tr>
      <w:tr>
        <w:tc>
          <w:tcPr>
            <w:tcW w:type="dxa" w:w="1559"/>
          </w:tcPr>
          <w:p>
            <w:r>
              <w:rPr>
                <w:sz w:val="20"/>
              </w:rPr>
              <w:t>HIKMA HEPARINE</w:t>
            </w:r>
          </w:p>
        </w:tc>
        <w:tc>
          <w:tcPr>
            <w:tcW w:type="dxa" w:w="1559"/>
          </w:tcPr>
          <w:p>
            <w:r>
              <w:rPr>
                <w:sz w:val="20"/>
              </w:rPr>
              <w:t>HIKMA PHARMACEUTICALS</w:t>
            </w:r>
          </w:p>
        </w:tc>
        <w:tc>
          <w:tcPr>
            <w:tcW w:type="dxa" w:w="1559"/>
          </w:tcPr>
          <w:p>
            <w:r>
              <w:rPr>
                <w:sz w:val="20"/>
              </w:rPr>
              <w:t>Solution injectable IV/SC — héparine sodique 25 000 UI/mL (125 000 UI/5 mL)</w:t>
            </w:r>
          </w:p>
        </w:tc>
        <w:tc>
          <w:tcPr>
            <w:tcW w:type="dxa" w:w="1559"/>
          </w:tcPr>
          <w:p>
            <w:r>
              <w:rPr>
                <w:sz w:val="20"/>
              </w:rPr>
              <w:t>Boîte de 10 flacons de 5 mL</w:t>
            </w:r>
          </w:p>
        </w:tc>
        <w:tc>
          <w:tcPr>
            <w:tcW w:type="dxa" w:w="1559"/>
          </w:tcPr>
          <w:p>
            <w:r>
              <w:rPr>
                <w:sz w:val="20"/>
              </w:rPr>
              <w:t>Liste I</w:t>
            </w:r>
          </w:p>
        </w:tc>
        <w:tc>
          <w:tcPr>
            <w:tcW w:type="dxa" w:w="1559"/>
          </w:tcPr>
          <w:p>
            <w:r>
              <w:rPr>
                <w:sz w:val="20"/>
              </w:rPr>
              <w:t>**Retiré (R)**</w:t>
            </w:r>
          </w:p>
        </w:tc>
      </w:tr>
      <w:tr>
        <w:tc>
          <w:tcPr>
            <w:tcW w:type="dxa" w:w="1559"/>
          </w:tcPr>
          <w:p>
            <w:r>
              <w:rPr>
                <w:sz w:val="20"/>
              </w:rPr>
              <w:t>DIOPARINE</w:t>
            </w:r>
          </w:p>
        </w:tc>
        <w:tc>
          <w:tcPr>
            <w:tcW w:type="dxa" w:w="1559"/>
          </w:tcPr>
          <w:p>
            <w:r>
              <w:rPr>
                <w:sz w:val="20"/>
              </w:rPr>
              <w:t>NOVARTIS PHARMA S.A.</w:t>
            </w:r>
          </w:p>
        </w:tc>
        <w:tc>
          <w:tcPr>
            <w:tcW w:type="dxa" w:w="1559"/>
          </w:tcPr>
          <w:p>
            <w:r>
              <w:rPr>
                <w:sz w:val="20"/>
              </w:rPr>
              <w:t>Collyre — iodohéparinate de sodium 150 000 UI</w:t>
            </w:r>
          </w:p>
        </w:tc>
        <w:tc>
          <w:tcPr>
            <w:tcW w:type="dxa" w:w="1559"/>
          </w:tcPr>
          <w:p>
            <w:r>
              <w:rPr>
                <w:sz w:val="20"/>
              </w:rPr>
              <w:t>Flacon de 5 mL</w:t>
            </w:r>
          </w:p>
        </w:tc>
        <w:tc>
          <w:tcPr>
            <w:tcW w:type="dxa" w:w="1559"/>
          </w:tcPr>
          <w:p>
            <w:r>
              <w:rPr>
                <w:sz w:val="20"/>
              </w:rPr>
              <w:t>Liste I</w:t>
            </w:r>
          </w:p>
        </w:tc>
        <w:tc>
          <w:tcPr>
            <w:tcW w:type="dxa" w:w="1559"/>
          </w:tcPr>
          <w:p>
            <w:r>
              <w:rPr>
                <w:sz w:val="20"/>
              </w:rPr>
              <w:t>**Retiré (R)**</w:t>
            </w:r>
          </w:p>
        </w:tc>
      </w:tr>
    </w:tbl>
    <w:p/>
    <w:p>
      <w:r/>
      <w:r>
        <w:rPr>
          <w:b/>
        </w:rPr>
        <w:t>Note critique d'approvisionnement et de classement</w:t>
      </w:r>
      <w:r>
        <w:t xml:space="preserve"> : L'ensemble des spécialités listées ci-dessus sont à </w:t>
      </w:r>
      <w:r>
        <w:rPr>
          <w:b/>
        </w:rPr>
        <w:t>voie injectable</w:t>
      </w:r>
      <w:r>
        <w:t xml:space="preserve"> (SC ou IV) et à vise anticoagulante systémique, à l'exception de DIOPARINE (collyre — iodohéparinate de sodium, retiré). </w:t>
      </w:r>
      <w:r>
        <w:rPr>
          <w:b/>
        </w:rPr>
        <w:t>Aucune forme véritablement topique</w:t>
      </w:r>
      <w:r>
        <w:t xml:space="preserve"> (gel, pommade, crème, patch d'héparinoïde pour application cutanée — type Lasonil®, Hirudoïd®, Aesculoïd®) n'est inscrite dans la nomenclature algérienne à la date d'Avril 2026 — ce qui constitue un </w:t>
      </w:r>
      <w:r>
        <w:rPr>
          <w:b/>
        </w:rPr>
        <w:t>vide thérapeutique notable</w:t>
      </w:r>
      <w:r>
        <w:t xml:space="preserve"> pour les indications dermatologiques de cette classe (hématomes, contusions, œdèmes localisés, insuffisance veineuse, ulcères de jambe, hémorroïdes). Le pharmacien d'officine algérien doit informer le patient de cette indisponibilité et proposer des alternatives : panthénol pour la cicatrisation, </w:t>
      </w:r>
      <w:r>
        <w:rPr>
          <w:i/>
        </w:rPr>
        <w:t>Centella asiatica</w:t>
      </w:r>
      <w:r>
        <w:t xml:space="preserve"> pour les ulcères veineux, AINS topiques (kétoprofène, diclofèneac) pour les contusions et entorses, veinotoniques oraux (Diosmine, Troxérutine — disponibles en Algérie) pour l'insuffisance veineuse.</w:t>
      </w:r>
    </w:p>
    <w:p>
      <w:r/>
      <w:r>
        <w:rPr>
          <w:b/>
        </w:rPr>
        <w:t>Sous-classe et Mécanisme d'action :</w:t>
      </w:r>
      <w:r/>
    </w:p>
    <w:p>
      <w:r>
        <w:t xml:space="preserve">Les héparines et héparinoïdes sont des </w:t>
      </w:r>
      <w:r>
        <w:rPr>
          <w:b/>
        </w:rPr>
        <w:t>glycosaminoglycanes (GAG)</w:t>
      </w:r>
      <w:r>
        <w:t xml:space="preserve"> sulfatés linéaires composés d'unités répétitives d'acide uronique (acide L-iduronique ou D-glucuronique) lié à un sucre aminé (D-glucosamine ou D-galactosamine), avec des groupements sulfate (N-sulfate, O-sulfate) en positions variables. La séquence spécifique </w:t>
      </w:r>
      <w:r>
        <w:rPr>
          <w:b/>
        </w:rPr>
        <w:t>pentasaccharidique</w:t>
      </w:r>
      <w:r>
        <w:t xml:space="preserve"> (comportant un résidu 3-O-sulfate sur le glucosamine central) est responsable de la </w:t>
      </w:r>
      <w:r>
        <w:rPr>
          <w:b/>
        </w:rPr>
        <w:t>liaison à l'antithrombine III</w:t>
      </w:r>
      <w:r>
        <w:t xml:space="preserve"> (AT-III) — conformationnel changeant l'AT-III en un inhibiteur rapide du facteur Xa (et accessoirement de la thrombine, facteur IIa, si la chaîne d'héparine contient au moins 18 sucres — permettant la formation du complexe ternaire héparine-AT-thrombine).</w:t>
      </w:r>
    </w:p>
    <w:p>
      <w:r>
        <w:t>Au-delà de l'effet anticoagulant — pertinent en usage systémique mais non pertinent en application topique — les héparinoïdes exercent en application locale plusieurs effets biologiques significatifs pour la dermatologie :</w:t>
      </w:r>
    </w:p>
    <w:p>
      <w:pPr>
        <w:pStyle w:val="ListNumber"/>
      </w:pPr>
      <w:r/>
      <w:r>
        <w:rPr>
          <w:b/>
        </w:rPr>
        <w:t>Action anti-inflammatoire</w:t>
      </w:r>
      <w:r>
        <w:t xml:space="preserve"> : inhibition de la sécrétion de </w:t>
      </w:r>
      <w:r>
        <w:rPr>
          <w:b/>
        </w:rPr>
        <w:t>TNF-α</w:t>
      </w:r>
      <w:r>
        <w:t xml:space="preserve"> et d'</w:t>
      </w:r>
      <w:r>
        <w:rPr>
          <w:b/>
        </w:rPr>
        <w:t>IL-1β</w:t>
      </w:r>
      <w:r>
        <w:t xml:space="preserve"> par les macrophages activés ; inhibition de la cascade du </w:t>
      </w:r>
      <w:r>
        <w:rPr>
          <w:b/>
        </w:rPr>
        <w:t>complément</w:t>
      </w:r>
      <w:r>
        <w:t xml:space="preserve"> (binding de la C1q, inhibition de la formation du complexe d'attaque membranaire C5b-9) ; inhibition de la </w:t>
      </w:r>
      <w:r>
        <w:rPr>
          <w:b/>
        </w:rPr>
        <w:t>sélectine P</w:t>
      </w:r>
      <w:r>
        <w:t xml:space="preserve"> endothéliale (réduisant l'adhésion des leucocytes) ; inhibition de la libération d'</w:t>
      </w:r>
      <w:r>
        <w:rPr>
          <w:b/>
        </w:rPr>
        <w:t>histamine</w:t>
      </w:r>
      <w:r>
        <w:t xml:space="preserve"> par les mastocytes.</w:t>
      </w:r>
    </w:p>
    <w:p>
      <w:pPr>
        <w:pStyle w:val="ListNumber"/>
      </w:pPr>
      <w:r/>
      <w:r>
        <w:rPr>
          <w:b/>
        </w:rPr>
        <w:t>Action anti-œdémateuse</w:t>
      </w:r>
      <w:r>
        <w:t xml:space="preserve"> : activation de la </w:t>
      </w:r>
      <w:r>
        <w:rPr>
          <w:b/>
        </w:rPr>
        <w:t>lipoprotéine lipase</w:t>
      </w:r>
      <w:r>
        <w:t xml:space="preserve"> endothéliale (clarification des chylomicrons et des VLDL) ; réduction de la </w:t>
      </w:r>
      <w:r>
        <w:rPr>
          <w:b/>
        </w:rPr>
        <w:t>perméabilité capillaire</w:t>
      </w:r>
      <w:r>
        <w:t xml:space="preserve"> (stabilisation de la jonction endothéliale) ; activation du drainage lymphatique.</w:t>
      </w:r>
    </w:p>
    <w:p>
      <w:pPr>
        <w:pStyle w:val="ListNumber"/>
      </w:pPr>
      <w:r/>
      <w:r>
        <w:rPr>
          <w:b/>
        </w:rPr>
        <w:t>Action pro-cicatrisante</w:t>
      </w:r>
      <w:r>
        <w:t xml:space="preserve"> : stimulation de la </w:t>
      </w:r>
      <w:r>
        <w:rPr>
          <w:b/>
        </w:rPr>
        <w:t>migration des fibroblastes</w:t>
      </w:r>
      <w:r>
        <w:t xml:space="preserve"> dermiques (effet dose-dépendant *in vitro* — maximum à 5-10 UI/mL) ; stimulation de la synthèse d'</w:t>
      </w:r>
      <w:r>
        <w:rPr>
          <w:b/>
        </w:rPr>
        <w:t>acide hyaluronique</w:t>
      </w:r>
      <w:r>
        <w:t xml:space="preserve"> par les fibroblastes (composant majeur de la matrice extracellulaire dermique, augmentant l'hydratation et la plasticité cutanée) ; stimulation de la </w:t>
      </w:r>
      <w:r>
        <w:rPr>
          <w:b/>
        </w:rPr>
        <w:t>synthèse de collagène III</w:t>
      </w:r>
      <w:r>
        <w:t xml:space="preserve"> (collagène de la phase initiale de cicatrisation, plus fin et plus souple que le collagène I mature) ; inhibition de la </w:t>
      </w:r>
      <w:r>
        <w:rPr>
          <w:b/>
        </w:rPr>
        <w:t>prolifération des cellules musculaires lisses vasculaires</w:t>
      </w:r>
      <w:r>
        <w:t xml:space="preserve"> (prévention de la resténose post-angioplastie — contexte cardiologique, non pertinent en dermatologie).</w:t>
      </w:r>
    </w:p>
    <w:p>
      <w:pPr>
        <w:pStyle w:val="ListNumber"/>
      </w:pPr>
      <w:r/>
      <w:r>
        <w:rPr>
          <w:b/>
        </w:rPr>
        <w:t>Action anti-angiogénique modérée</w:t>
      </w:r>
      <w:r>
        <w:t xml:space="preserve"> : inhibition de la </w:t>
      </w:r>
      <w:r>
        <w:rPr>
          <w:b/>
        </w:rPr>
        <w:t>néovascularisation</w:t>
      </w:r>
      <w:r>
        <w:t xml:space="preserve"> induite par le b-FGF et le VEGF — effet paradoxal (la cicatrisation nécessite une angiogenèse contrôlée, mais l'excès d'angiogenèse favorise les cicatrices hypertrophiques et chéloïdes).</w:t>
      </w:r>
    </w:p>
    <w:p>
      <w:pPr>
        <w:pStyle w:val="ListNumber"/>
      </w:pPr>
      <w:r/>
      <w:r>
        <w:rPr>
          <w:b/>
        </w:rPr>
        <w:t>Action anti-thrombotique locale</w:t>
      </w:r>
      <w:r>
        <w:t xml:space="preserve"> : prévention de la </w:t>
      </w:r>
      <w:r>
        <w:rPr>
          <w:b/>
        </w:rPr>
        <w:t>microthrombose</w:t>
      </w:r>
      <w:r>
        <w:t xml:space="preserve"> veineuse profonde dans les ulcères de jambe veineux (en complément de la compression élastique).</w:t>
      </w:r>
    </w:p>
    <w:p>
      <w:r>
        <w:t xml:space="preserve">L'effet thérapeutique en clinique se traduit par une </w:t>
      </w:r>
      <w:r>
        <w:rPr>
          <w:b/>
        </w:rPr>
        <w:t>réduction de l'œdème</w:t>
      </w:r>
      <w:r>
        <w:t xml:space="preserve"> post-traumatique, une </w:t>
      </w:r>
      <w:r>
        <w:rPr>
          <w:b/>
        </w:rPr>
        <w:t>diminution de l'inflammation locale</w:t>
      </w:r>
      <w:r>
        <w:t xml:space="preserve"> (érythème, douleur, chaleur), une </w:t>
      </w:r>
      <w:r>
        <w:rPr>
          <w:b/>
        </w:rPr>
        <w:t>accélération de la résorption des hématomes</w:t>
      </w:r>
      <w:r>
        <w:t xml:space="preserve"> (effet fibrinolytique modéré), une </w:t>
      </w:r>
      <w:r>
        <w:rPr>
          <w:b/>
        </w:rPr>
        <w:t>amélioration de la microcirculation</w:t>
      </w:r>
      <w:r>
        <w:t xml:space="preserve"> veineuse et lymphatique (essai RCT Loche F, </w:t>
      </w:r>
      <w:r>
        <w:rPr>
          <w:i/>
        </w:rPr>
        <w:t>J Mal Vasc</w:t>
      </w:r>
      <w:r>
        <w:t xml:space="preserve"> 1999 — supériorité du gel d'héparine vs placebo sur l'induration des hématomes à J7), et une </w:t>
      </w:r>
      <w:r>
        <w:rPr>
          <w:b/>
        </w:rPr>
        <w:t>amélioration du taux de cicatrisation des ulcères veineux</w:t>
      </w:r>
      <w:r>
        <w:t xml:space="preserve"> en complément de la compression (essai RCT Stacey M, </w:t>
      </w:r>
      <w:r>
        <w:rPr>
          <w:i/>
        </w:rPr>
        <w:t>Lancet</w:t>
      </w:r>
      <w:r>
        <w:t xml:space="preserve"> 1994 — augmentation de 30 % du taux de cicatrisation à 12 semaines avec HBPM à dose prophylactique vs placebo).</w:t>
      </w:r>
    </w:p>
    <w:p>
      <w:r/>
      <w:r>
        <w:rPr>
          <w:b/>
        </w:rPr>
        <w:t>Profil Pharmacologique et Indications :</w:t>
      </w:r>
      <w:r/>
    </w:p>
    <w:p>
      <w:r>
        <w:t xml:space="preserve">Indications cliniques validées pour les formes </w:t>
      </w:r>
      <w:r>
        <w:rPr>
          <w:b/>
        </w:rPr>
        <w:t>injectables</w:t>
      </w:r>
      <w:r>
        <w:t xml:space="preserve"> (disponibles en Algérie) — anticoagulothérapie systémique :</w:t>
      </w:r>
    </w:p>
    <w:p>
      <w:pPr>
        <w:pStyle w:val="ListBullet"/>
      </w:pPr>
      <w:r/>
      <w:r>
        <w:rPr>
          <w:b/>
        </w:rPr>
        <w:t>Prévention de la maladie thromboembolique veineuse (MTEV)</w:t>
      </w:r>
      <w:r>
        <w:t xml:space="preserve"> en chirurgie : énoxaparine 4 000 UI SC la veille au soir de l'intervention puis 1 fois/jour pendant 7-10 jours (chirurgie orthopédique majeure : hanche, genou — prolongation 35 jours ; chirurgie générale : 7-10 jours). Nadroparine, daltéparine : schémas similaires à doses adaptées au poids.</w:t>
      </w:r>
    </w:p>
    <w:p>
      <w:pPr>
        <w:pStyle w:val="ListBullet"/>
      </w:pPr>
      <w:r/>
      <w:r>
        <w:rPr>
          <w:b/>
        </w:rPr>
        <w:t>Prévention de la MTEV en médecine</w:t>
      </w:r>
      <w:r>
        <w:t xml:space="preserve"> : énoxaparine 4 000 UI SC/j pendant 6-14 jours chez le patient immobilisé (insuffisance cardiaque NYHA III-IV, pneumopathie aiguë, infection sévère, cancer évolutif).</w:t>
      </w:r>
    </w:p>
    <w:p>
      <w:pPr>
        <w:pStyle w:val="ListBullet"/>
      </w:pPr>
      <w:r/>
      <w:r>
        <w:rPr>
          <w:b/>
        </w:rPr>
        <w:t>Traitement curatif de la TVP et de l'EP non massive</w:t>
      </w:r>
      <w:r>
        <w:t xml:space="preserve"> : énoxaparine 100 UI/kg SC bid (soit 1 mg/kg bid) ou 150 UI/kg SC/j en une injection (à l'EU : 1,5 mg/kg/j en une injection — schéma simplifié) pendant 5-7 jours en relais par AVK (chevauchement 5 jours + INR cible 2-3 pendant 2 jours consécutifs).</w:t>
      </w:r>
    </w:p>
    <w:p>
      <w:pPr>
        <w:pStyle w:val="ListBullet"/>
      </w:pPr>
      <w:r/>
      <w:r>
        <w:rPr>
          <w:b/>
        </w:rPr>
        <w:t>Syndrome coronarien aigu (SCA)</w:t>
      </w:r>
      <w:r>
        <w:t xml:space="preserve"> : énoxaparine 100 UI/kg SC bid (STEMI, NSTEMI) — relais par anticoagulant oral (AOD ou AVK) selon le contexte.</w:t>
      </w:r>
    </w:p>
    <w:p>
      <w:pPr>
        <w:pStyle w:val="ListBullet"/>
      </w:pPr>
      <w:r/>
      <w:r>
        <w:rPr>
          <w:b/>
        </w:rPr>
        <w:t>Prévention de la thrombose de la grossesse</w:t>
      </w:r>
      <w:r>
        <w:t xml:space="preserve"> (syndrome des antiphospholipides, antécédent de TVP) : héparine calcique 5 000 UI SC bid ou énoxaparine 4 000 UI SC/j pendant la grossesse puis 6 semaines post-partum.</w:t>
      </w:r>
    </w:p>
    <w:p>
      <w:pPr>
        <w:pStyle w:val="ListBullet"/>
      </w:pPr>
      <w:r/>
      <w:r>
        <w:rPr>
          <w:b/>
        </w:rPr>
        <w:t>Hémodialyse</w:t>
      </w:r>
      <w:r>
        <w:t xml:space="preserve"> : héparine non fractionnée IV en bolus puis perfusion continue (500-1 500 UI/h).</w:t>
      </w:r>
    </w:p>
    <w:p>
      <w:pPr>
        <w:pStyle w:val="ListBullet"/>
      </w:pPr>
      <w:r/>
      <w:r>
        <w:rPr>
          <w:b/>
        </w:rPr>
        <w:t>Cathéter veineux central</w:t>
      </w:r>
      <w:r>
        <w:t xml:space="preserve"> : verrou d'héparine (100 UI/mL) pour prévention de la thrombose du cathéter.</w:t>
      </w:r>
    </w:p>
    <w:p>
      <w:r>
        <w:t xml:space="preserve">Indications cliniques pour les formes </w:t>
      </w:r>
      <w:r>
        <w:rPr>
          <w:b/>
        </w:rPr>
        <w:t>topiques</w:t>
      </w:r>
      <w:r>
        <w:t xml:space="preserve"> (NON disponibles en Algérie — références européennes : Lasonil®, Hirudoïd®) :</w:t>
      </w:r>
    </w:p>
    <w:p>
      <w:pPr>
        <w:pStyle w:val="ListBullet"/>
      </w:pPr>
      <w:r/>
      <w:r>
        <w:rPr>
          <w:b/>
        </w:rPr>
        <w:t>Hématomes</w:t>
      </w:r>
      <w:r>
        <w:t xml:space="preserve"> post-traumatiques (contusion, choc, ecchymose) — application bid de gel pendant 5-10 jours.</w:t>
      </w:r>
    </w:p>
    <w:p>
      <w:pPr>
        <w:pStyle w:val="ListBullet"/>
      </w:pPr>
      <w:r/>
      <w:r>
        <w:rPr>
          <w:b/>
        </w:rPr>
        <w:t>Entorses bénignes</w:t>
      </w:r>
      <w:r>
        <w:t>, claquages musculaires — application bid pendant 5-7 jours.</w:t>
      </w:r>
    </w:p>
    <w:p>
      <w:pPr>
        <w:pStyle w:val="ListBullet"/>
      </w:pPr>
      <w:r/>
      <w:r>
        <w:rPr>
          <w:b/>
        </w:rPr>
        <w:t>Œdèmes localisés</w:t>
      </w:r>
      <w:r>
        <w:t xml:space="preserve"> post-opératoires (post-chirurgie esthétique, post-phlébectomie) — application bid pendant 7-15 jours.</w:t>
      </w:r>
    </w:p>
    <w:p>
      <w:pPr>
        <w:pStyle w:val="ListBullet"/>
      </w:pPr>
      <w:r/>
      <w:r>
        <w:rPr>
          <w:b/>
        </w:rPr>
        <w:t>Insuffisance veineuse chronique</w:t>
      </w:r>
      <w:r>
        <w:t xml:space="preserve"> — application bid de gel ou de pommade sur les jambes.</w:t>
      </w:r>
    </w:p>
    <w:p>
      <w:pPr>
        <w:pStyle w:val="ListBullet"/>
      </w:pPr>
      <w:r/>
      <w:r>
        <w:rPr>
          <w:b/>
        </w:rPr>
        <w:t>Ulcères de jambe veineux</w:t>
      </w:r>
      <w:r>
        <w:t xml:space="preserve"> — application locale sous pansement en complément de la compression élastique.</w:t>
      </w:r>
    </w:p>
    <w:p>
      <w:pPr>
        <w:pStyle w:val="ListBullet"/>
      </w:pPr>
      <w:r/>
      <w:r>
        <w:rPr>
          <w:b/>
        </w:rPr>
        <w:t>Hémorroïdes</w:t>
      </w:r>
      <w:r>
        <w:t xml:space="preserve"> externes et internes — suppositoires et crème rectale.</w:t>
      </w:r>
    </w:p>
    <w:p>
      <w:pPr>
        <w:pStyle w:val="ListBullet"/>
      </w:pPr>
      <w:r/>
      <w:r>
        <w:rPr>
          <w:b/>
        </w:rPr>
        <w:t>Cicatrices hypertrophiques</w:t>
      </w:r>
      <w:r>
        <w:t xml:space="preserve"> et chéloïdes — application bid de gel pendant 3-6 mois.</w:t>
      </w:r>
    </w:p>
    <w:p>
      <w:r>
        <w:t>Pharmacocinétique (voie injectable) : les héparines et HBPM sont absorbées par voie SC avec une biodisponibilité de 90-100 % (HBPM) ou 30-50 % (HNF). La demi-vie plasmatique est de 60-90 min pour l'HNF IV, 2-3 h pour l'HNF SC, 4-6 h pour les HBPM SC. L'élimination est principalement rénal (risque d'accumulation en insuffisance rénale — contre-indication relative ou dosage adapté). Le passage transplacentaire est nul (héparine et HBPM ne franchissent pas la barrière placentaire — d'où leur usage pendant la grossesse). Le passage dans le lait maternel est nul.</w:t>
      </w:r>
    </w:p>
    <w:p>
      <w:r/>
      <w:r>
        <w:rPr>
          <w:b/>
        </w:rPr>
        <w:t>Prévention et Gestion des Effets Indésirables :</w:t>
      </w:r>
      <w:r/>
    </w:p>
    <w:p>
      <w:r>
        <w:t xml:space="preserve">Pour les formes </w:t>
      </w:r>
      <w:r>
        <w:rPr>
          <w:b/>
        </w:rPr>
        <w:t>injectables</w:t>
      </w:r>
      <w:r>
        <w:t xml:space="preserve"> (pertinentes pour le pharmacien d'officine en raison de la délivrance et du suivi des patients sous anticoagulothérapie) :</w:t>
      </w:r>
    </w:p>
    <w:p>
      <w:pPr>
        <w:pStyle w:val="ListBullet"/>
      </w:pPr>
      <w:r/>
      <w:r>
        <w:rPr>
          <w:b/>
        </w:rPr>
        <w:t>Hémorragie</w:t>
      </w:r>
      <w:r>
        <w:t xml:space="preserve"> (effet indésirable principal — incidence 2-5 % par an en traitement curatif) : saignement au point d'injection (ecchymose, hématome), saignement gastro-intestinal (méléna, hématémèse), saignement urogénital (hématurie, ménorragie), saignement cérébral (HIC — 0,5-1 % par an, souvent grave). Prévention : respect des contre-indications (chirurgie récente, ulcère gastro-duodénal actif, hémophilie, thrombopénie &lt;50 G/L), surveillance de la numération plaquettaire (HNF : tous les 2 jours de J4 à J21 — risque de thrombopénie induite par l'héparine TIH ; HBPM : NFS/Plaquettes 2 fois par semaine pendant 1 mois), surveillance de l'horaire des injections, éducation du patient aux signes d'alerte (saignement prolongé, ecchymoses extensives, méléna, céphalée brutale).</w:t>
      </w:r>
    </w:p>
    <w:p>
      <w:pPr>
        <w:pStyle w:val="ListBullet"/>
      </w:pPr>
      <w:r/>
      <w:r>
        <w:rPr>
          <w:b/>
        </w:rPr>
        <w:t>Thrombopénie induite par l'héparine (TIH)</w:t>
      </w:r>
      <w:r>
        <w:t xml:space="preserve"> : complication rare (HNF : 1-3 % des patients ; HBPM : 0,1-0,5 %) mais grave — apparition entre J5 et J21 (ou J1-3 si exposition antérieure récente &lt;100 jours) d'une thrombopénie &gt;50 % de la valeur initiale, avec ou sans thrombose nouvelle (TVP, EP, thrombose artérielle, nécrose cutanée au point d'injection). Mécanisme : auto-anticorps IgG anti-complexe PF4-héparine activant les plaquettes via le récepteur FcγRIIa. Conduite à tenir : </w:t>
      </w:r>
      <w:r>
        <w:rPr>
          <w:b/>
        </w:rPr>
        <w:t>arrêt immédiat de toute héparine</w:t>
      </w:r>
      <w:r>
        <w:t xml:space="preserve"> (HNF, HBPM), substitution par </w:t>
      </w:r>
      <w:r>
        <w:rPr>
          <w:b/>
        </w:rPr>
        <w:t>danaparoïde</w:t>
      </w:r>
      <w:r>
        <w:t xml:space="preserve"> ou </w:t>
      </w:r>
      <w:r>
        <w:rPr>
          <w:b/>
        </w:rPr>
        <w:t>argatroban</w:t>
      </w:r>
      <w:r>
        <w:t xml:space="preserve"> (indisponibles en Algérie) ou </w:t>
      </w:r>
      <w:r>
        <w:rPr>
          <w:b/>
        </w:rPr>
        <w:t>fondaparinux</w:t>
      </w:r>
      <w:r>
        <w:t xml:space="preserve"> (indisponible en Algérie), surveillance plaquettaire quotidienne. Diagnostic : test d'aggrégation plaquettaire, test ELISA anti-PF4.</w:t>
      </w:r>
    </w:p>
    <w:p>
      <w:pPr>
        <w:pStyle w:val="ListBullet"/>
      </w:pPr>
      <w:r/>
      <w:r>
        <w:rPr>
          <w:b/>
        </w:rPr>
        <w:t>Ostéoporose</w:t>
      </w:r>
      <w:r>
        <w:t xml:space="preserve"> (traitement prolongé &gt;3 mois) : perte osseuse, fractures vertébrales — mécanisme mal élucidé (action sur les ostéoclastes). Prévention : supplémentation calcium-vitamine D, surveillance ostéodensitométrique en cas de traitement prolongé.</w:t>
      </w:r>
    </w:p>
    <w:p>
      <w:pPr>
        <w:pStyle w:val="ListBullet"/>
      </w:pPr>
      <w:r/>
      <w:r>
        <w:rPr>
          <w:b/>
        </w:rPr>
        <w:t>Hypersensibilité immédiate</w:t>
      </w:r>
      <w:r>
        <w:t xml:space="preserve"> (anaphylaxie) — rare.</w:t>
      </w:r>
    </w:p>
    <w:p>
      <w:pPr>
        <w:pStyle w:val="ListBullet"/>
      </w:pPr>
      <w:r/>
      <w:r>
        <w:rPr>
          <w:b/>
        </w:rPr>
        <w:t>Nécrose cutanée</w:t>
      </w:r>
      <w:r>
        <w:t xml:space="preserve"> au point d'injection — complication grave (TIH vasculaire), imposant l'arrêt immédiat de l'héparine.</w:t>
      </w:r>
    </w:p>
    <w:p>
      <w:pPr>
        <w:pStyle w:val="ListBullet"/>
      </w:pPr>
      <w:r/>
      <w:r>
        <w:rPr>
          <w:b/>
        </w:rPr>
        <w:t>Hyperkaliémie</w:t>
      </w:r>
      <w:r>
        <w:t xml:space="preserve"> (inhibition de la synthèse d'aldostérone) — surveillance ionogramme en cas de traitement prolongé.</w:t>
      </w:r>
    </w:p>
    <w:p>
      <w:r>
        <w:t xml:space="preserve">Pour les formes </w:t>
      </w:r>
      <w:r>
        <w:rPr>
          <w:b/>
        </w:rPr>
        <w:t>topiques</w:t>
      </w:r>
      <w:r>
        <w:t xml:space="preserve"> (référence européenne — non disponibles en Algérie) :</w:t>
      </w:r>
    </w:p>
    <w:p>
      <w:pPr>
        <w:pStyle w:val="ListBullet"/>
      </w:pPr>
      <w:r/>
      <w:r>
        <w:rPr>
          <w:b/>
        </w:rPr>
        <w:t>Dermite de contact allergique</w:t>
      </w:r>
      <w:r>
        <w:t xml:space="preserve"> — rare, imputable aux excipients ou à l'héparinoïde lui-même.</w:t>
      </w:r>
    </w:p>
    <w:p>
      <w:pPr>
        <w:pStyle w:val="ListBullet"/>
      </w:pPr>
      <w:r/>
      <w:r>
        <w:rPr>
          <w:b/>
        </w:rPr>
        <w:t>Brûlure locale transitoire</w:t>
      </w:r>
      <w:r>
        <w:t xml:space="preserve"> à l'application (effet osmotique).</w:t>
      </w:r>
    </w:p>
    <w:p>
      <w:pPr>
        <w:pStyle w:val="ListBullet"/>
      </w:pPr>
      <w:r/>
      <w:r>
        <w:rPr>
          <w:b/>
        </w:rPr>
        <w:t>Passage systémique négligeable</w:t>
      </w:r>
      <w:r>
        <w:t xml:space="preserve"> en application locale — pas d'effet anticoagulant systémique significatif.</w:t>
      </w:r>
    </w:p>
    <w:p>
      <w:r/>
      <w:r>
        <w:rPr>
          <w:b/>
        </w:rPr>
        <w:t>Interactions Médicamenteuses :</w:t>
      </w:r>
      <w:r/>
    </w:p>
    <w:p>
      <w:r>
        <w:t xml:space="preserve">Pour les formes </w:t>
      </w:r>
      <w:r>
        <w:rPr>
          <w:b/>
        </w:rPr>
        <w:t>injectables</w:t>
      </w:r>
      <w:r>
        <w:t xml:space="preserve"> :</w:t>
      </w:r>
    </w:p>
    <w:p>
      <w:pPr>
        <w:pStyle w:val="ListBullet"/>
      </w:pPr>
      <w:r/>
      <w:r>
        <w:rPr>
          <w:b/>
        </w:rPr>
        <w:t>AVK</w:t>
      </w:r>
      <w:r>
        <w:t xml:space="preserve"> (warfarine, acénocoumarol, fluindione) : potentialisation majeure de l'effet anticoagulant (chevauchement 5 jours en relais HBPM → AVK).</w:t>
      </w:r>
    </w:p>
    <w:p>
      <w:pPr>
        <w:pStyle w:val="ListBullet"/>
      </w:pPr>
      <w:r/>
      <w:r>
        <w:rPr>
          <w:b/>
        </w:rPr>
        <w:t>AOD</w:t>
      </w:r>
      <w:r>
        <w:t xml:space="preserve"> (rivaroxaban, apixaban, dabigatran, edoxaban) : association généralement contre-indiquée (risque hémorragique majeur).</w:t>
      </w:r>
    </w:p>
    <w:p>
      <w:pPr>
        <w:pStyle w:val="ListBullet"/>
      </w:pPr>
      <w:r/>
      <w:r>
        <w:rPr>
          <w:b/>
        </w:rPr>
        <w:t>Antiagrégants plaquettaires</w:t>
      </w:r>
      <w:r>
        <w:t xml:space="preserve"> (aspirine, clopidogrel, prasugrel, ticagrelor) : potentialisation du risque hémorragique.</w:t>
      </w:r>
    </w:p>
    <w:p>
      <w:pPr>
        <w:pStyle w:val="ListBullet"/>
      </w:pPr>
      <w:r/>
      <w:r>
        <w:rPr>
          <w:b/>
        </w:rPr>
        <w:t>AINS</w:t>
      </w:r>
      <w:r>
        <w:t xml:space="preserve"> (ibuprofène, kétoprofène, diclofènac) : augmentation du risque hémorragique (gastro-intestinal et cutanéo-muqueux).</w:t>
      </w:r>
    </w:p>
    <w:p>
      <w:pPr>
        <w:pStyle w:val="ListBullet"/>
      </w:pPr>
      <w:r/>
      <w:r>
        <w:rPr>
          <w:b/>
        </w:rPr>
        <w:t>Antibiotiques</w:t>
      </w:r>
      <w:r>
        <w:t xml:space="preserve"> : interférence avec la flore intestinale productrice de vitamine K (céphalosporines, pénicillines à large spectre) → potentialisation de l'effet des AVK.</w:t>
      </w:r>
    </w:p>
    <w:p>
      <w:pPr>
        <w:pStyle w:val="ListBullet"/>
      </w:pPr>
      <w:r/>
      <w:r>
        <w:rPr>
          <w:b/>
        </w:rPr>
        <w:t>Nitroglycérine</w:t>
      </w:r>
      <w:r>
        <w:t xml:space="preserve"> (voie IV) : antagonisme de l'effet de l'héparine (interaction ancienne — surveillance TCA).</w:t>
      </w:r>
    </w:p>
    <w:p>
      <w:pPr>
        <w:pStyle w:val="ListBullet"/>
      </w:pPr>
      <w:r/>
      <w:r>
        <w:rPr>
          <w:b/>
        </w:rPr>
        <w:t>Digoxine</w:t>
      </w:r>
      <w:r>
        <w:t xml:space="preserve"> : interaction discutée.</w:t>
      </w:r>
    </w:p>
    <w:p>
      <w:pPr>
        <w:pStyle w:val="ListBullet"/>
      </w:pPr>
      <w:r/>
      <w:r>
        <w:rPr>
          <w:b/>
        </w:rPr>
        <w:t>Inhibiteurs de l'enzyme de conversion</w:t>
      </w:r>
      <w:r>
        <w:t xml:space="preserve"> et antagonistes des récepteurs de l'angiotensine II : hyperkaliémie additive.</w:t>
      </w:r>
    </w:p>
    <w:p>
      <w:pPr>
        <w:pStyle w:val="ListBullet"/>
      </w:pPr>
      <w:r/>
      <w:r>
        <w:rPr>
          <w:b/>
        </w:rPr>
        <w:t>Alcool</w:t>
      </w:r>
      <w:r>
        <w:t xml:space="preserve"> : augmentation du risque hémorragique (action sur la fonction plaquettaire et la coagulation hépatique).</w:t>
      </w:r>
    </w:p>
    <w:p>
      <w:r>
        <w:t xml:space="preserve">Pour les formes </w:t>
      </w:r>
      <w:r>
        <w:rPr>
          <w:b/>
        </w:rPr>
        <w:t>topiques</w:t>
      </w:r>
      <w:r>
        <w:t xml:space="preserve"> (référence européenne) :</w:t>
      </w:r>
    </w:p>
    <w:p>
      <w:pPr>
        <w:pStyle w:val="ListBullet"/>
      </w:pPr>
      <w:r>
        <w:t>Pas d'interaction cliniquement significative en application locale.</w:t>
      </w:r>
    </w:p>
    <w:p>
      <w:r/>
      <w:r>
        <w:rPr>
          <w:b/>
        </w:rPr>
        <w:t>Grossesse et Allaitement (CRAT) :</w:t>
      </w:r>
      <w:r/>
    </w:p>
    <w:p>
      <w:pPr>
        <w:pStyle w:val="ListBullet"/>
      </w:pPr>
      <w:r/>
      <w:r>
        <w:rPr>
          <w:b/>
        </w:rPr>
        <w:t>Grossesse</w:t>
      </w:r>
      <w:r>
        <w:t xml:space="preserve"> : Les héparines et HBPM sont </w:t>
      </w:r>
      <w:r>
        <w:rPr>
          <w:b/>
        </w:rPr>
        <w:t>les anticoagulants de référence pendant la grossesse</w:t>
      </w:r>
      <w:r>
        <w:t xml:space="preserve"> (CRAT : "À utiliser si nécessaire, quelque soit le terme"). Elles ne franchissent pas la barrière placentaire (gros polysaccharide — pas de passage transplacentaire passif), n'ont pas d'effet tératogène documenté, et sont utilisées dans le traitement de la maladie thromboembolique veineuse gravidique, des syndromes des antiphospholipides, des antécédents de thrombose veineuse, en prévention de la récidive de perte fœtale à répétition, et dans les cardiopathies maternofœtales avec valve mécanique (en alternative ou association aux AVK). Précautions : éviter l'HNF en première intention (risque d'ostéoporose plus élevé en cas de traitement prolongé &gt;3 mois — préférence pour les HBPM), surveiller la numération plaquettaire (TIH plus rare pendant la grossesse mais possible). L'allaitement est autorisé sous héparine/HBPM (pas de passage dans le lait maternel — poids moléculaire élevé).</w:t>
      </w:r>
    </w:p>
    <w:p>
      <w:pPr>
        <w:pStyle w:val="ListBullet"/>
      </w:pPr>
      <w:r/>
      <w:r>
        <w:rPr>
          <w:b/>
        </w:rPr>
        <w:t>Topique</w:t>
      </w:r>
      <w:r>
        <w:t xml:space="preserve"> : Les héparinoïdes topiques (Lasonil, Hirudoïd) sont compatibles avec la grossesse en application locale sur surface restreinte (données limitées mais absorption systémique négligeable).</w:t>
      </w:r>
    </w:p>
    <w:p>
      <w:r/>
      <w:r>
        <w:rPr>
          <w:b/>
        </w:rPr>
        <w:t>Posologie et Mode d'administration :</w:t>
      </w:r>
      <w:r/>
    </w:p>
    <w:p>
      <w:r>
        <w:t>Forme injectable SC (HBPM — énoxaparine) — posologie standard de l'adulte :</w:t>
      </w:r>
    </w:p>
    <w:p>
      <w:pPr>
        <w:pStyle w:val="ListBullet"/>
      </w:pPr>
      <w:r/>
      <w:r>
        <w:rPr>
          <w:b/>
        </w:rPr>
        <w:t>Prévention MTEV en chirurgie générale</w:t>
      </w:r>
      <w:r>
        <w:t xml:space="preserve"> : 4 000 UI SC/j (1 injection/jour), début 12 h avant l'intervention, pendant 7-10 jours.</w:t>
      </w:r>
    </w:p>
    <w:p>
      <w:pPr>
        <w:pStyle w:val="ListBullet"/>
      </w:pPr>
      <w:r/>
      <w:r>
        <w:rPr>
          <w:b/>
        </w:rPr>
        <w:t>Prévention MTEV en chirurgie orthopédique majeure (hanche, genou)</w:t>
      </w:r>
      <w:r>
        <w:t xml:space="preserve"> : 4 000 UI SC/j pendant 35 jours.</w:t>
      </w:r>
    </w:p>
    <w:p>
      <w:pPr>
        <w:pStyle w:val="ListBullet"/>
      </w:pPr>
      <w:r/>
      <w:r>
        <w:rPr>
          <w:b/>
        </w:rPr>
        <w:t>Prévention MTEV en médecine</w:t>
      </w:r>
      <w:r>
        <w:t xml:space="preserve"> : 4 000 UI SC/j pendant 6-14 jours.</w:t>
      </w:r>
    </w:p>
    <w:p>
      <w:pPr>
        <w:pStyle w:val="ListBullet"/>
      </w:pPr>
      <w:r/>
      <w:r>
        <w:rPr>
          <w:b/>
        </w:rPr>
        <w:t>Traitement curatif TVP/EP</w:t>
      </w:r>
      <w:r>
        <w:t xml:space="preserve"> : 100 UI/kg SC bid (soit 1 mg/kg bid) — schéma européen : 1,5 mg/kg/j en 1 injection.</w:t>
      </w:r>
    </w:p>
    <w:p>
      <w:pPr>
        <w:pStyle w:val="ListBullet"/>
      </w:pPr>
      <w:r/>
      <w:r>
        <w:rPr>
          <w:b/>
        </w:rPr>
        <w:t>Syndrome coronarien aigu</w:t>
      </w:r>
      <w:r>
        <w:t xml:space="preserve"> : 100 UI/kg SC bid pendant 2-8 jours (selon stratégie).</w:t>
      </w:r>
    </w:p>
    <w:p>
      <w:pPr>
        <w:pStyle w:val="ListBullet"/>
      </w:pPr>
      <w:r/>
      <w:r>
        <w:rPr>
          <w:b/>
        </w:rPr>
        <w:t>Insuffisance rénale sévère (Clcr &lt;30 mL/min)</w:t>
      </w:r>
      <w:r>
        <w:t xml:space="preserve"> : diviser la dose par 2 (2 000 UI SC/j en prévention, 1 mg/kg/j en traitement curatif en 1 injection).</w:t>
      </w:r>
    </w:p>
    <w:p>
      <w:r>
        <w:t>Forme injectable IV (HNF — héparine sodique) :</w:t>
      </w:r>
    </w:p>
    <w:p>
      <w:pPr>
        <w:pStyle w:val="ListBullet"/>
      </w:pPr>
      <w:r/>
      <w:r>
        <w:rPr>
          <w:b/>
        </w:rPr>
        <w:t>Traitement curatif TVP/EP</w:t>
      </w:r>
      <w:r>
        <w:t xml:space="preserve"> : bolus 80 UI/kg IV, puis perfusion continue 18 UI/kg/h (adaptation selon TCA — cible 1,5-2,5 × témoin).</w:t>
      </w:r>
    </w:p>
    <w:p>
      <w:pPr>
        <w:pStyle w:val="ListBullet"/>
      </w:pPr>
      <w:r/>
      <w:r>
        <w:rPr>
          <w:b/>
        </w:rPr>
        <w:t>Syndrome coronarien aigu</w:t>
      </w:r>
      <w:r>
        <w:t xml:space="preserve"> : bolus 60-70 UI/kg IV, puis perfusion 12-15 UI/kg/h.</w:t>
      </w:r>
    </w:p>
    <w:p>
      <w:pPr>
        <w:pStyle w:val="ListBullet"/>
      </w:pPr>
      <w:r/>
      <w:r>
        <w:rPr>
          <w:b/>
        </w:rPr>
        <w:t>Hémodialyse</w:t>
      </w:r>
      <w:r>
        <w:t xml:space="preserve"> : 50-100 UI/kg IV en bolus.</w:t>
      </w:r>
    </w:p>
    <w:p>
      <w:r>
        <w:t>Mode d'administration SC : pincer le pli cutané (abdomen, face antéro-externe de la cuisse, bras), introduire l'aiguille perpendiculairement, injecter lentement, maintenir le pli pendant 10 s, ne pas masser le point d'injection (risque d'hématome). Alterner les points d'injection (gauche/droite, abdomen/cuisse/bras).</w:t>
      </w:r>
    </w:p>
    <w:p>
      <w:r>
        <w:t>Forme topique (NON disponible en Algérie — référence européenne) :</w:t>
      </w:r>
    </w:p>
    <w:p>
      <w:pPr>
        <w:pStyle w:val="ListBullet"/>
      </w:pPr>
      <w:r/>
      <w:r>
        <w:rPr>
          <w:b/>
        </w:rPr>
        <w:t>Adulte</w:t>
      </w:r>
      <w:r>
        <w:t xml:space="preserve"> : 1 application bid à tid de gel ou de pommade sur la zone à traiter, en massage doux pour faire pénétrer, pendant 5-10 jours (hématomes) ou 3-6 mois (cicatrices hypertrophiques).</w:t>
      </w:r>
    </w:p>
    <w:p>
      <w:r/>
      <w:r>
        <w:rPr>
          <w:b/>
        </w:rPr>
        <w:t>Surveillance Biologique et Suivi Clinique :</w:t>
      </w:r>
      <w:r/>
    </w:p>
    <w:p>
      <w:r>
        <w:t xml:space="preserve">Pour les formes </w:t>
      </w:r>
      <w:r>
        <w:rPr>
          <w:b/>
        </w:rPr>
        <w:t>injectables</w:t>
      </w:r>
      <w:r>
        <w:t xml:space="preserve"> :</w:t>
      </w:r>
    </w:p>
    <w:p>
      <w:pPr>
        <w:pStyle w:val="ListBullet"/>
      </w:pPr>
      <w:r/>
      <w:r>
        <w:rPr>
          <w:b/>
        </w:rPr>
        <w:t>Numération plaquettaire</w:t>
      </w:r>
      <w:r>
        <w:t xml:space="preserve"> : à J0 (valeur de référence), puis tous les 2 jours de J4 à J21 (HNF) ou 2 fois/semaine pendant 1 mois (HBPM) — recherche de TIH (thrombopénie &lt;50 % de la valeur initiale ou &lt;100 G/L).</w:t>
      </w:r>
    </w:p>
    <w:p>
      <w:pPr>
        <w:pStyle w:val="ListBullet"/>
      </w:pPr>
      <w:r/>
      <w:r>
        <w:rPr>
          <w:b/>
        </w:rPr>
        <w:t>Hémogramme complet</w:t>
      </w:r>
      <w:r>
        <w:t xml:space="preserve"> : hebdomadaire en traitement curatif, mensuel en traitement préventif prolongé.</w:t>
      </w:r>
    </w:p>
    <w:p>
      <w:pPr>
        <w:pStyle w:val="ListBullet"/>
      </w:pPr>
      <w:r/>
      <w:r>
        <w:rPr>
          <w:b/>
        </w:rPr>
        <w:t>TCA</w:t>
      </w:r>
      <w:r>
        <w:t xml:space="preserve"> (HNF IV — traitement curatif) : objectif 1,5-2,5 × témoin, mesure à J0 puis 6 h après début, puis 1 fois/jour.</w:t>
      </w:r>
    </w:p>
    <w:p>
      <w:pPr>
        <w:pStyle w:val="ListBullet"/>
      </w:pPr>
      <w:r/>
      <w:r>
        <w:rPr>
          <w:b/>
        </w:rPr>
        <w:t>Anti-Xa</w:t>
      </w:r>
      <w:r>
        <w:t xml:space="preserve"> (HBPM — en cas d'insuffisance rénale, grossesse, obésité &gt;120 kg, enfant &lt;5 ans) : objectif 0,5-1 UI/mL (traitement curatif) ou 0,2-0,5 UI/mL (préventif), prélèvement 4 h après injection SC.</w:t>
      </w:r>
    </w:p>
    <w:p>
      <w:pPr>
        <w:pStyle w:val="ListBullet"/>
      </w:pPr>
      <w:r/>
      <w:r>
        <w:rPr>
          <w:b/>
        </w:rPr>
        <w:t>Ionogramme sanguin</w:t>
      </w:r>
      <w:r>
        <w:t xml:space="preserve"> (en cas de traitement prolongé &gt;1 mois) : surveillance de la kaliémie.</w:t>
      </w:r>
    </w:p>
    <w:p>
      <w:pPr>
        <w:pStyle w:val="ListBullet"/>
      </w:pPr>
      <w:r/>
      <w:r>
        <w:rPr>
          <w:b/>
        </w:rPr>
        <w:t>Fonction rénale</w:t>
      </w:r>
      <w:r>
        <w:t xml:space="preserve"> (créatinine, clairance) : à J0 puis 1 fois/mois — adaptation posologique en cas d'insuffisance rénale.</w:t>
      </w:r>
    </w:p>
    <w:p>
      <w:pPr>
        <w:pStyle w:val="ListBullet"/>
      </w:pPr>
      <w:r/>
      <w:r>
        <w:rPr>
          <w:b/>
        </w:rPr>
        <w:t>Surveillance clinique des signes hémorragiques</w:t>
      </w:r>
      <w:r>
        <w:t xml:space="preserve"> : ecchymoses, hématomes, saignement gingival, méléna, hématémèse, hématurie, céphalée brutale (suspicion HIC).</w:t>
      </w:r>
    </w:p>
    <w:p>
      <w:pPr>
        <w:pStyle w:val="ListBullet"/>
      </w:pPr>
      <w:r/>
      <w:r>
        <w:rPr>
          <w:b/>
        </w:rPr>
        <w:t>Surveillance des signes de TIH</w:t>
      </w:r>
      <w:r>
        <w:t xml:space="preserve"> : thrombopénie brutale entre J5 et J21, thrombose nouvelle (TVP, EP, thrombose artérielle, nécrose cutanée).</w:t>
      </w:r>
    </w:p>
    <w:p>
      <w:r>
        <w:t xml:space="preserve">Pour les formes </w:t>
      </w:r>
      <w:r>
        <w:rPr>
          <w:b/>
        </w:rPr>
        <w:t>topiques</w:t>
      </w:r>
      <w:r>
        <w:t xml:space="preserve"> : pas de surveillance biologique nécessaire en application locale.</w:t>
      </w:r>
    </w:p>
    <w:p>
      <w:r/>
      <w:r>
        <w:rPr>
          <w:b/>
        </w:rPr>
        <w:t>Arbitrage et Bénéfices des Formes Galéniques :</w:t>
      </w:r>
      <w:r/>
    </w:p>
    <w:p>
      <w:r>
        <w:t xml:space="preserve">Pour les formes </w:t>
      </w:r>
      <w:r>
        <w:rPr>
          <w:b/>
        </w:rPr>
        <w:t>injectables</w:t>
      </w:r>
      <w:r>
        <w:t xml:space="preserve"> :</w:t>
      </w:r>
    </w:p>
    <w:p>
      <w:pPr>
        <w:pStyle w:val="ListBullet"/>
      </w:pPr>
      <w:r/>
      <w:r>
        <w:rPr>
          <w:b/>
        </w:rPr>
        <w:t>HBPM (énoxaparine, nadroparine)</w:t>
      </w:r>
      <w:r>
        <w:t xml:space="preserve"> : préférentielles en 1ère intention en raison de la simplicité d'administration (1 injection SC/j en préventif, 2 injections en curatif), de l'absence de monitoring biologique systématique, de la meilleure biodisponibilité SC, de la moindre incidence de TIH et d'ostéoporose. Inconvénients : coût plus élevé, élimination rénale (contre-indication relative en insuffisance rénale sévère), pas d'antidote spécifique (protamine neutralise l'anti-IIa mais seulement partiellement l'anti-Xa des HBPM).</w:t>
      </w:r>
    </w:p>
    <w:p>
      <w:pPr>
        <w:pStyle w:val="ListBullet"/>
      </w:pPr>
      <w:r/>
      <w:r>
        <w:rPr>
          <w:b/>
        </w:rPr>
        <w:t>HNF (héparine sodique)</w:t>
      </w:r>
      <w:r>
        <w:t xml:space="preserve"> : réservée à l'urgence (TVP/EP massive, syndrome coronarien aigu, chirurgie urgente chez l'insuffisant rénal), à l'insuffisance rénale sévère (Clcr &lt;30 mL/min — surveillance TCA), aux patients à haut risque hémorragique (demi-vie courte, réversibilité par protamine). Inconvénients : monitoring TCA indispensable, risque de TIH et d'ostéoporose plus élevé.</w:t>
      </w:r>
    </w:p>
    <w:p>
      <w:pPr>
        <w:pStyle w:val="ListBullet"/>
      </w:pPr>
      <w:r/>
      <w:r>
        <w:rPr>
          <w:b/>
        </w:rPr>
        <w:t>HNF calcique</w:t>
      </w:r>
      <w:r>
        <w:t xml:space="preserve"> (héparinate de calcium — voie SC) : ancienne forme, à demi-vie plus longue et effet anticoagulant plus stable — moins utilisée aujourd'hui.</w:t>
      </w:r>
    </w:p>
    <w:p>
      <w:r>
        <w:t xml:space="preserve">Pour les formes </w:t>
      </w:r>
      <w:r>
        <w:rPr>
          <w:b/>
        </w:rPr>
        <w:t>topiques</w:t>
      </w:r>
      <w:r>
        <w:t xml:space="preserve"> (NON disponibles en Algérie) :</w:t>
      </w:r>
    </w:p>
    <w:p>
      <w:pPr>
        <w:pStyle w:val="ListBullet"/>
      </w:pPr>
      <w:r/>
      <w:r>
        <w:rPr>
          <w:b/>
        </w:rPr>
        <w:t>Gel</w:t>
      </w:r>
      <w:r>
        <w:t xml:space="preserve"> : forme de référence pour les hématomes et contusions (pénétration rapide, effet rafraîchissant, non gras).</w:t>
      </w:r>
    </w:p>
    <w:p>
      <w:pPr>
        <w:pStyle w:val="ListBullet"/>
      </w:pPr>
      <w:r/>
      <w:r>
        <w:rPr>
          <w:b/>
        </w:rPr>
        <w:t>Pommade</w:t>
      </w:r>
      <w:r>
        <w:t xml:space="preserve"> : forme préférée pour peau sèche, cicatrices hypertrophiques, ulcères de jambe.</w:t>
      </w:r>
    </w:p>
    <w:p>
      <w:pPr>
        <w:pStyle w:val="ListBullet"/>
      </w:pPr>
      <w:r/>
      <w:r>
        <w:rPr>
          <w:b/>
        </w:rPr>
        <w:t>Crème rectale et suppositoires</w:t>
      </w:r>
      <w:r>
        <w:t xml:space="preserve"> : pour les hémorroïdes.</w:t>
      </w:r>
    </w:p>
    <w:p>
      <w:r/>
      <w:r>
        <w:rPr>
          <w:b/>
        </w:rPr>
        <w:t>Instructions et Conseils au Patient :</w:t>
      </w:r>
      <w:r/>
    </w:p>
    <w:p>
      <w:r>
        <w:t xml:space="preserve">Pour les formes </w:t>
      </w:r>
      <w:r>
        <w:rPr>
          <w:b/>
        </w:rPr>
        <w:t>injectables</w:t>
      </w:r>
      <w:r>
        <w:t xml:space="preserve"> (à l'officine — délivrance et éducation thérapeutique) :</w:t>
      </w:r>
    </w:p>
    <w:p>
      <w:pPr>
        <w:pStyle w:val="ListNumber"/>
      </w:pPr>
      <w:r/>
      <w:r>
        <w:rPr>
          <w:b/>
        </w:rPr>
        <w:t>Apprentissage de l'injection SC</w:t>
      </w:r>
      <w:r>
        <w:t xml:space="preserve"> : démonstration par le pharmacien ou l'infirmier, alternance des points d'injection (gauche/droite, abdomen/cuisse/bras), technique du pli cutané, ne pas masser après injection.</w:t>
      </w:r>
    </w:p>
    <w:p>
      <w:pPr>
        <w:pStyle w:val="ListNumber"/>
      </w:pPr>
      <w:r/>
      <w:r>
        <w:rPr>
          <w:b/>
        </w:rPr>
        <w:t>Respect des horaires</w:t>
      </w:r>
      <w:r>
        <w:t xml:space="preserve"> : injection à heure fixe (le soir de préférence pour la prévention).</w:t>
      </w:r>
    </w:p>
    <w:p>
      <w:pPr>
        <w:pStyle w:val="ListNumber"/>
      </w:pPr>
      <w:r/>
      <w:r>
        <w:rPr>
          <w:b/>
        </w:rPr>
        <w:t>Surveillance des signes hémorragiques</w:t>
      </w:r>
      <w:r>
        <w:t xml:space="preserve"> : ecchymoses, hématomes, saignement prolongé, méléna, hématémèse, hématurie, céphalée brutale — consulter en urgence.</w:t>
      </w:r>
    </w:p>
    <w:p>
      <w:pPr>
        <w:pStyle w:val="ListNumber"/>
      </w:pPr>
      <w:r/>
      <w:r>
        <w:rPr>
          <w:b/>
        </w:rPr>
        <w:t>Surveillance plaquettaire</w:t>
      </w:r>
      <w:r>
        <w:t xml:space="preserve"> : ne pas oublier la prise de sang prévue (J0, puis 2-3 fois/semaine pendant le premier mois).</w:t>
      </w:r>
    </w:p>
    <w:p>
      <w:pPr>
        <w:pStyle w:val="ListNumber"/>
      </w:pPr>
      <w:r/>
      <w:r>
        <w:rPr>
          <w:b/>
        </w:rPr>
        <w:t>Grossesse</w:t>
      </w:r>
      <w:r>
        <w:t xml:space="preserve"> : poursuite de l'héparine/HBPM pendant toute la grossesse et 6 semaines post-partum — surveillance mensuelle.</w:t>
      </w:r>
    </w:p>
    <w:p>
      <w:pPr>
        <w:pStyle w:val="ListNumber"/>
      </w:pPr>
      <w:r/>
      <w:r>
        <w:rPr>
          <w:b/>
        </w:rPr>
        <w:t>Anticoagulo-orale associée (relais AVK)</w:t>
      </w:r>
      <w:r>
        <w:t xml:space="preserve"> : ne pas arrêter l'HBPM avant d'avoir atteint l'INR cible (2-3) pendant 2 jours consécutifs.</w:t>
      </w:r>
    </w:p>
    <w:p>
      <w:pPr>
        <w:pStyle w:val="ListNumber"/>
      </w:pPr>
      <w:r/>
      <w:r>
        <w:rPr>
          <w:b/>
        </w:rPr>
        <w:t>Procédures invasives</w:t>
      </w:r>
      <w:r>
        <w:t xml:space="preserve"> : prévenir le médecin ou le chirurgien de tout soin dentaire (extractions), examen endoscopique, chirurgie programmée — arrêt de l'HBPM 12-24 h avant (selon le geste).</w:t>
      </w:r>
    </w:p>
    <w:p>
      <w:pPr>
        <w:pStyle w:val="ListNumber"/>
      </w:pPr>
      <w:r/>
      <w:r>
        <w:rPr>
          <w:b/>
        </w:rPr>
        <w:t>Carnet de suivi anticoagulant</w:t>
      </w:r>
      <w:r>
        <w:t xml:space="preserve"> : à jour, à présenter à chaque consultation médicale, biologique, dentaire, chirurgicale.</w:t>
      </w:r>
    </w:p>
    <w:p>
      <w:pPr>
        <w:pStyle w:val="ListNumber"/>
      </w:pPr>
      <w:r/>
      <w:r>
        <w:rPr>
          <w:b/>
        </w:rPr>
        <w:t>Conservation</w:t>
      </w:r>
      <w:r>
        <w:t xml:space="preserve"> : à température &lt;25°C (HBPM), à conserver au réfrigérateur (HNF si prolongation).</w:t>
      </w:r>
    </w:p>
    <w:p>
      <w:r>
        <w:t xml:space="preserve">Pour les formes </w:t>
      </w:r>
      <w:r>
        <w:rPr>
          <w:b/>
        </w:rPr>
        <w:t>topiques</w:t>
      </w:r>
      <w:r>
        <w:t xml:space="preserve"> (information du patient algérien) :</w:t>
      </w:r>
    </w:p>
    <w:p>
      <w:pPr>
        <w:pStyle w:val="ListBullet"/>
      </w:pPr>
      <w:r>
        <w:t>Informer le patient de l'indisponibilité des héparinoïdes topiques en Algérie.</w:t>
      </w:r>
    </w:p>
    <w:p>
      <w:pPr>
        <w:pStyle w:val="ListBullet"/>
      </w:pPr>
      <w:r>
        <w:t>Proposer des alternatives : AINS topiques (kétoprofène en gel — KETUM, FASTUM), panthénol, *Centella asiatica* selon l'indication.</w:t>
      </w:r>
    </w:p>
    <w:p>
      <w:r/>
      <w:r>
        <w:rPr>
          <w:b/>
        </w:rPr>
        <w:t>Notes, Règles d'Or &amp; Pièges au Comptoir :</w:t>
      </w:r>
      <w:r/>
    </w:p>
    <w:p>
      <w:pPr>
        <w:pStyle w:val="ListBullet"/>
      </w:pPr>
      <w:r/>
      <w:r>
        <w:rPr>
          <w:b/>
        </w:rPr>
        <w:t>Règle d'or n°1</w:t>
      </w:r>
      <w:r>
        <w:t xml:space="preserve"> : Les héparines et HBPM injectables sont des </w:t>
      </w:r>
      <w:r>
        <w:rPr>
          <w:b/>
        </w:rPr>
        <w:t>anticoagulants systémiques</w:t>
      </w:r>
      <w:r>
        <w:t xml:space="preserve"> à risque hémorragique majeur — ne pas confondre avec les formes topiques (indisponibles en Algérie).</w:t>
      </w:r>
    </w:p>
    <w:p>
      <w:pPr>
        <w:pStyle w:val="ListBullet"/>
      </w:pPr>
      <w:r/>
      <w:r>
        <w:rPr>
          <w:b/>
        </w:rPr>
        <w:t>Règle d'or n°2</w:t>
      </w:r>
      <w:r>
        <w:t xml:space="preserve"> : Ne jamais substituer une HBPM par une autre sans avis médical (les HBPM ne sont pas équivalentes entre elles — énoxaparine, nadroparine, daltéparine ont des demi-vies, des rapports anti-Xa/anti-IIa et des posologies différents).</w:t>
      </w:r>
    </w:p>
    <w:p>
      <w:pPr>
        <w:pStyle w:val="ListBullet"/>
      </w:pPr>
      <w:r/>
      <w:r>
        <w:rPr>
          <w:b/>
        </w:rPr>
        <w:t>Règle d'or n°3</w:t>
      </w:r>
      <w:r>
        <w:t xml:space="preserve"> : Toujours vérifier la </w:t>
      </w:r>
      <w:r>
        <w:rPr>
          <w:b/>
        </w:rPr>
        <w:t>numération plaquettaire</w:t>
      </w:r>
      <w:r>
        <w:t xml:space="preserve"> récente avant de délivrer une HBPM (risque de TIH si plaquettes &lt;150 G/L ou en baisse).</w:t>
      </w:r>
    </w:p>
    <w:p>
      <w:pPr>
        <w:pStyle w:val="ListBullet"/>
      </w:pPr>
      <w:r/>
      <w:r>
        <w:rPr>
          <w:b/>
        </w:rPr>
        <w:t>Piège n°1</w:t>
      </w:r>
      <w:r>
        <w:t xml:space="preserve"> : Le risque de </w:t>
      </w:r>
      <w:r>
        <w:rPr>
          <w:b/>
        </w:rPr>
        <w:t>TIH (thrombopénie induite par l'héparine)</w:t>
      </w:r>
      <w:r>
        <w:t xml:space="preserve"> doit être présent à l'esprit — arrêt immédiat en cas de chute plaquettaire &gt;50 % ou &lt;100 G/L.</w:t>
      </w:r>
    </w:p>
    <w:p>
      <w:pPr>
        <w:pStyle w:val="ListBullet"/>
      </w:pPr>
      <w:r/>
      <w:r>
        <w:rPr>
          <w:b/>
        </w:rPr>
        <w:t>Piège n°2</w:t>
      </w:r>
      <w:r>
        <w:t xml:space="preserve"> : Ne pas oublier l'</w:t>
      </w:r>
      <w:r>
        <w:rPr>
          <w:b/>
        </w:rPr>
        <w:t>adaptation posologique en insuffisance rénale</w:t>
      </w:r>
      <w:r>
        <w:t xml:space="preserve"> (Clcr &lt;30 mL/min — dose divisée par 2 pour les HBPM).</w:t>
      </w:r>
    </w:p>
    <w:p>
      <w:pPr>
        <w:pStyle w:val="ListBullet"/>
      </w:pPr>
      <w:r/>
      <w:r>
        <w:rPr>
          <w:b/>
        </w:rPr>
        <w:t>Piège n°3</w:t>
      </w:r>
      <w:r>
        <w:t xml:space="preserve"> : Le </w:t>
      </w:r>
      <w:r>
        <w:rPr>
          <w:b/>
        </w:rPr>
        <w:t>sulodéxide</w:t>
      </w:r>
      <w:r>
        <w:t xml:space="preserve"> et le </w:t>
      </w:r>
      <w:r>
        <w:rPr>
          <w:b/>
        </w:rPr>
        <w:t>danaparoïde</w:t>
      </w:r>
      <w:r>
        <w:t xml:space="preserve"> (alternatives en cas de TIH) ne sont pas disponibles en Algérie — adresser le patient en milieu hospitalier spécialisé.</w:t>
      </w:r>
    </w:p>
    <w:p>
      <w:pPr>
        <w:pStyle w:val="ListBullet"/>
      </w:pPr>
      <w:r/>
      <w:r>
        <w:rPr>
          <w:b/>
        </w:rPr>
        <w:t>Piège n°4</w:t>
      </w:r>
      <w:r>
        <w:t xml:space="preserve"> : Ne pas appliquer d'héparine topique (indisponible en Algérie) sur une plaie infectée ou une plaie hémorragique — risque de surinfection et de saignement.</w:t>
      </w:r>
    </w:p>
    <w:p>
      <w:pPr>
        <w:pStyle w:val="ListBullet"/>
      </w:pPr>
      <w:r/>
      <w:r>
        <w:rPr>
          <w:b/>
        </w:rPr>
        <w:t>Piège n°5</w:t>
      </w:r>
      <w:r>
        <w:t xml:space="preserve"> : Les </w:t>
      </w:r>
      <w:r>
        <w:rPr>
          <w:b/>
        </w:rPr>
        <w:t>AINS topiques</w:t>
      </w:r>
      <w:r>
        <w:t xml:space="preserve"> (kétoprofène, diclofènac) en application concomitante avec une HBPM injectable augmentent le risque hémorragique cutané.</w:t>
      </w:r>
    </w:p>
    <w:p>
      <w:pPr>
        <w:pStyle w:val="ListBullet"/>
      </w:pPr>
      <w:r/>
      <w:r>
        <w:rPr>
          <w:b/>
        </w:rPr>
        <w:t>Piège n°6</w:t>
      </w:r>
      <w:r>
        <w:t xml:space="preserve"> : Chez la femme enceinte, l'héparine est l'anticoagulant de référence — ne pas substituer par AVK (tératogène) ni par AOD (données insuffisantes).</w:t>
      </w:r>
    </w:p>
    <w:p>
      <w:pPr>
        <w:pStyle w:val="ListBullet"/>
      </w:pPr>
      <w:r/>
      <w:r>
        <w:rPr>
          <w:b/>
        </w:rPr>
        <w:t>Piège n°7</w:t>
      </w:r>
      <w:r>
        <w:t xml:space="preserve"> : Toujours vérifier la </w:t>
      </w:r>
      <w:r>
        <w:rPr>
          <w:b/>
        </w:rPr>
        <w:t>grossesse éventuelle</w:t>
      </w:r>
      <w:r>
        <w:t xml:space="preserve"> avant de délivrer une HBPM à une femme en âge de procréer (prescription large — y compris en contraception).</w:t>
      </w:r>
    </w:p>
    <w:p>
      <w:pPr>
        <w:pStyle w:val="ListBullet"/>
      </w:pPr>
      <w:r/>
      <w:r>
        <w:rPr>
          <w:b/>
        </w:rPr>
        <w:t>Piège n°8</w:t>
      </w:r>
      <w:r>
        <w:t xml:space="preserve"> : Ne jamais substituer une spécialité d'HBPM par une autre (les HBPM ne sont pas équivalentes — énoxaparine 100 UI/kg ≠ nadroparine 86 UI/kg).</w:t>
      </w:r>
    </w:p>
    <w:p>
      <w:pPr>
        <w:pStyle w:val="ListBullet"/>
      </w:pPr>
      <w:r/>
      <w:r>
        <w:rPr>
          <w:b/>
        </w:rPr>
        <w:t>Conseil comptoir</w:t>
      </w:r>
      <w:r>
        <w:t xml:space="preserve"> : Toujours vérifier la prescription (DCI, dosage, fréquence, durée), la numération plaquettaire récente, la fonction rénale, les traitements associés (AINS, antiagrégants, AVK, AOD), et le statut gravidique — délivrance encadrée.</w:t>
      </w:r>
    </w:p>
    <w:p>
      <w:pPr>
        <w:pStyle w:val="Heading2"/>
      </w:pPr>
      <w:r>
        <w:t>Sous-classe 125.4 — Antiprurigineux / Counter-irritants — Camphre + associations</w:t>
      </w:r>
    </w:p>
    <w:p>
      <w:r>
        <w:t xml:space="preserve">Les </w:t>
      </w:r>
      <w:r>
        <w:rPr>
          <w:b/>
        </w:rPr>
        <w:t>counter-irritants</w:t>
      </w:r>
      <w:r>
        <w:t xml:space="preserve"> (ou </w:t>
      </w:r>
      <w:r>
        <w:rPr>
          <w:b/>
        </w:rPr>
        <w:t>revulsifs</w:t>
      </w:r>
      <w:r>
        <w:t xml:space="preserve">) constituent une classe historique de la dermatologie d'officine, héritée de la pharmacopée européenne du XVIIIᵉ siècle : ils désignent des substances appliquées sur la peau pour produire une irritation locale modérée (sensation de chaleur, de froid, de picotement, de rougeur) qui, en stimulant les terminaisons sensitives, masque ou détourne la perception douloureuse ou prurigineuse sous-jacente. Le concept remonte aux travaux de John Brown (1735-1788) sur la médecine "brunienne" (théorie de la stimulation) et fut particulièrement développé par les pharmaciens français du XIXᵉ siècle dans les </w:t>
      </w:r>
      <w:r>
        <w:rPr>
          <w:b/>
        </w:rPr>
        <w:t>liniments</w:t>
      </w:r>
      <w:r>
        <w:t xml:space="preserve">, </w:t>
      </w:r>
      <w:r>
        <w:rPr>
          <w:b/>
        </w:rPr>
        <w:t>baumes</w:t>
      </w:r>
      <w:r>
        <w:t xml:space="preserve"> et </w:t>
      </w:r>
      <w:r>
        <w:rPr>
          <w:b/>
        </w:rPr>
        <w:t>onguents</w:t>
      </w:r>
      <w:r>
        <w:t xml:space="preserve"> de la pharmacopée codifiée.</w:t>
      </w:r>
    </w:p>
    <w:p>
      <w:r>
        <w:t xml:space="preserve">Le </w:t>
      </w:r>
      <w:r>
        <w:rPr>
          <w:b/>
        </w:rPr>
        <w:t>camphre</w:t>
      </w:r>
      <w:r>
        <w:t xml:space="preserve"> (1,7,7-triméthylbicyclo[2.2.1]heptan-2-one, C₁₀H₁₆O) en est le représentant le plus illustre. Ce </w:t>
      </w:r>
      <w:r>
        <w:rPr>
          <w:b/>
        </w:rPr>
        <w:t>terpénoïde bicyclique monocétone</w:t>
      </w:r>
      <w:r>
        <w:t xml:space="preserve"> est extrait historiquement du bois du camphrier (</w:t>
      </w:r>
      <w:r>
        <w:rPr>
          <w:i/>
        </w:rPr>
        <w:t>Cinnamomum camphora</w:t>
      </w:r>
      <w:r>
        <w:t xml:space="preserve"> T. Nees &amp; Eberm. — Lauracée), grand arbre persistant originaire d'Asie orientale (Chine, Japon, Taïwan) et introduit dans les régions tropicales (Madagascar, Indonésie). La production moderne procède par synthèse chimique à partir du pinène (terpène de l'essence de térébenthine) ou par hémi-synthèse à partir du linalol. Le camphre naturel est </w:t>
      </w:r>
      <w:r>
        <w:rPr>
          <w:b/>
        </w:rPr>
        <w:t>lévogyre</w:t>
      </w:r>
      <w:r>
        <w:t xml:space="preserve"> (D-(−)-camphre), le camphre synthétique est </w:t>
      </w:r>
      <w:r>
        <w:rPr>
          <w:b/>
        </w:rPr>
        <w:t>racémique</w:t>
      </w:r>
      <w:r>
        <w:t xml:space="preserve"> (mélange D et L — activité pharmacologique identique).</w:t>
      </w:r>
    </w:p>
    <w:p>
      <w:r>
        <w:t>Le camphre exerce par application cutanée plusieurs effets pharmacologiques :</w:t>
      </w:r>
    </w:p>
    <w:p>
      <w:pPr>
        <w:pStyle w:val="ListBullet"/>
      </w:pPr>
      <w:r/>
      <w:r>
        <w:rPr>
          <w:b/>
        </w:rPr>
        <w:t>Vasodilatation locale</w:t>
      </w:r>
      <w:r>
        <w:t xml:space="preserve"> (effet principal — stimulation des terminaisons sensitives cutanées → libération locale de substance P et de calcitonin gene-related peptide (CGRP) → vasodilatation neurogène → érythème modéré → sensation de chaleur) ;</w:t>
      </w:r>
    </w:p>
    <w:p>
      <w:pPr>
        <w:pStyle w:val="ListBullet"/>
      </w:pPr>
      <w:r/>
      <w:r>
        <w:rPr>
          <w:b/>
        </w:rPr>
        <w:t>Action contre-irritante</w:t>
      </w:r>
      <w:r>
        <w:t xml:space="preserve"> (masquage du prurit ou de la douleur sous-jacente par la sensation nouvelle thermique) ;</w:t>
      </w:r>
    </w:p>
    <w:p>
      <w:pPr>
        <w:pStyle w:val="ListBullet"/>
      </w:pPr>
      <w:r/>
      <w:r>
        <w:rPr>
          <w:b/>
        </w:rPr>
        <w:t>Action antiprurigineuse modeste</w:t>
      </w:r>
      <w:r>
        <w:t xml:space="preserve"> (effet direct sur les terminaisons nerveuses sensitives) ;</w:t>
      </w:r>
    </w:p>
    <w:p>
      <w:pPr>
        <w:pStyle w:val="ListBullet"/>
      </w:pPr>
      <w:r/>
      <w:r>
        <w:rPr>
          <w:b/>
        </w:rPr>
        <w:t>Action légèrement analgésique</w:t>
      </w:r>
      <w:r>
        <w:t xml:space="preserve"> par stimulation des récepteurs TRPV3 et TRPM8 (thermosensibilité) et activation des canaux potassiques ;</w:t>
      </w:r>
    </w:p>
    <w:p>
      <w:pPr>
        <w:pStyle w:val="ListBullet"/>
      </w:pPr>
      <w:r/>
      <w:r>
        <w:rPr>
          <w:b/>
        </w:rPr>
        <w:t>Effet expectorant</w:t>
      </w:r>
      <w:r>
        <w:t xml:space="preserve"> (en inhalation — stimule la sécrétion bronchique) ;</w:t>
      </w:r>
    </w:p>
    <w:p>
      <w:pPr>
        <w:pStyle w:val="ListBullet"/>
      </w:pPr>
      <w:r/>
      <w:r>
        <w:rPr>
          <w:b/>
        </w:rPr>
        <w:t>Effet rubéfiant</w:t>
      </w:r>
      <w:r>
        <w:t xml:space="preserve"> (érythème, augmentation de la perfusion locale — utilisé en association avec le menthol, l'eucalyptol, le gaïacol, la créosote dans des suppositoires antitussifs) ;</w:t>
      </w:r>
    </w:p>
    <w:p>
      <w:pPr>
        <w:pStyle w:val="ListBullet"/>
      </w:pPr>
      <w:r/>
      <w:r>
        <w:rPr>
          <w:b/>
        </w:rPr>
        <w:t>Toxicité neurologique centrale</w:t>
      </w:r>
      <w:r>
        <w:t xml:space="preserve"> en cas d'ingestion ou d'application étendue (convulsions, coma, dépression respiratoire) — contre-indication majeure chez le nourrisson et le jeune enfant.</w:t>
      </w:r>
    </w:p>
    <w:p>
      <w:r>
        <w:t>Le camphre est traditionnellement combiné en Algérie à l'</w:t>
      </w:r>
      <w:r>
        <w:rPr>
          <w:b/>
        </w:rPr>
        <w:t>eucalyptol</w:t>
      </w:r>
      <w:r>
        <w:t xml:space="preserve"> (1,8-cinéole), au </w:t>
      </w:r>
      <w:r>
        <w:rPr>
          <w:b/>
        </w:rPr>
        <w:t>gaïacol</w:t>
      </w:r>
      <w:r>
        <w:t xml:space="preserve"> (et son ester, le gaïacol glycolate d'éthyle), à la </w:t>
      </w:r>
      <w:r>
        <w:rPr>
          <w:b/>
        </w:rPr>
        <w:t>créosote</w:t>
      </w:r>
      <w:r>
        <w:t xml:space="preserve"> (mélange de phénols et de guaiacols issus de la distillation du bois de hêtre), et à l'</w:t>
      </w:r>
      <w:r>
        <w:rPr>
          <w:b/>
        </w:rPr>
        <w:t>amyléine chlorhydrate</w:t>
      </w:r>
      <w:r>
        <w:t xml:space="preserve"> (anesthésique local de surface) dans des associations officinales héritées de la pharmacopée française du XIXᵉ siècle (CAMPHOBIOTIC ADULTE / ENFANT — suppositoires à visee antitussive et contre-irritante des voies respiratoires). La forme pure (LATENDRA — pommade dermatique à 4 %) est indiquée dans les douleurs musculaires, les névralgies, les prurits localisés et les affections des voies respiratoires hautes (en friction).</w:t>
      </w:r>
    </w:p>
    <w:p>
      <w:r>
        <w:t xml:space="preserve">La sous-classe se distingue par son </w:t>
      </w:r>
      <w:r>
        <w:rPr>
          <w:b/>
        </w:rPr>
        <w:t>utilisation majoritairement symptomatique</w:t>
      </w:r>
      <w:r>
        <w:t xml:space="preserve"> (traitement de courte durée — 5-7 jours en moyenne), son </w:t>
      </w:r>
      <w:r>
        <w:rPr>
          <w:b/>
        </w:rPr>
        <w:t>innocuité relative</w:t>
      </w:r>
      <w:r>
        <w:t xml:space="preserve"> en application localisée chez l'adulte, mais surtout par ses </w:t>
      </w:r>
      <w:r>
        <w:rPr>
          <w:b/>
        </w:rPr>
        <w:t>risques pédiatriques majeurs</w:t>
      </w:r>
      <w:r>
        <w:t xml:space="preserve"> en cas d'ingestion accidentelle (toxicité neurologique — convulsions, coma) ou d'application étendue (absorption systémique significative). Le pharmacien d'officine joue un rôle clé dans l'éducation des familles sur la conservation sécurisée des suppositoires et pommades camphrées hors de portée des enfants, et sur les contre-indications pédiatriques (&lt;2 ans pour les suppositoires camphrés).</w:t>
      </w:r>
    </w:p>
    <w:p>
      <w:pPr>
        <w:pStyle w:val="Heading3"/>
      </w:pPr>
      <w:r>
        <w:t>4. DCI : Camphre + associations (counter-irritants)</w:t>
      </w:r>
    </w:p>
    <w:p>
      <w:r/>
      <w:r>
        <w:rPr>
          <w:b/>
        </w:rPr>
        <w:t>Liste des Catégories :</w:t>
      </w:r>
      <w:r>
        <w:t xml:space="preserve"> Counter-irritant cutané (revulsif) ; terpénoïde bicyclique monocétone (1,7,7-triméthylbicyclo[2.2.1]heptan-2-one) ; vasodilatateur local (stimulation des terminaisons sensitives, libération de substance P et de CGRP, vasodilatation neurogène) ; agent contre-irritant (masquage du prurit et de la douleur par signal thermique nouveau) ; antiprurigineux modeste (action directe sur les terminaisons nerveuses sensitives) ; expectorant (en inhalation) ; rubéfiant (érythème, augmentation de la perfusion locale) ; substance à toxicité neurologique centrale (convulsions, coma, dépression respiratoire) en cas d'ingestion ou d'application étendue ; contre-indication absolue chez le nourrisson &lt;2 ans ; prescription libre (non inscrite au tableau des substances vénéneuses) ; ATC M02AX (contre-irritants topiques), R05X (antitussifs et expectorants en association).</w:t>
      </w:r>
    </w:p>
    <w:p>
      <w:r>
        <w:t xml:space="preserve">Le </w:t>
      </w:r>
      <w:r>
        <w:rPr>
          <w:b/>
        </w:rPr>
        <w:t>camphre</w:t>
      </w:r>
      <w:r>
        <w:t xml:space="preserve"> (syn. : 2-bornanone, gum camphor, camphre du Japon) est un solide cristallin blanc, translucide, à odeur pénétrante caractéristique (aromatique, mentholée), de saveur piquante puis refroidissante. Sa formule chimique est C₁₀H₁₆O (masse molaire 152,23 g/mol), température de fusion 175-180°C, température d'ébullition 204°C, sublimation à température ambiante (propriété notable — les cristaux se subliment à l'air libre, d'où la conservation en flacons hermétiques). Le camphre est </w:t>
      </w:r>
      <w:r>
        <w:rPr>
          <w:b/>
        </w:rPr>
        <w:t>peu soluble dans l'eau</w:t>
      </w:r>
      <w:r>
        <w:t xml:space="preserve"> (1,2 g/L), </w:t>
      </w:r>
      <w:r>
        <w:rPr>
          <w:b/>
        </w:rPr>
        <w:t>soluble dans l'alcool</w:t>
      </w:r>
      <w:r>
        <w:t xml:space="preserve"> (200 g/L), l'éther, le chloroforme, les huiles grasses (50-100 g/L). Cette liposolubilité explique son absorption percutanée et son passage systémique possible.</w:t>
      </w:r>
    </w:p>
    <w:p>
      <w:r/>
      <w:r>
        <w:rPr>
          <w:b/>
        </w:rPr>
        <w:t>Médicaments disponibles en Algérie (Marques, Laboratoires, Formes et Dosages) :</w:t>
      </w:r>
      <w:r/>
    </w:p>
    <w:p>
      <w:r>
        <w:t>Forme active (topique)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LATENDRA</w:t>
            </w:r>
          </w:p>
        </w:tc>
        <w:tc>
          <w:tcPr>
            <w:tcW w:type="dxa" w:w="1559"/>
          </w:tcPr>
          <w:p>
            <w:r>
              <w:rPr>
                <w:sz w:val="20"/>
              </w:rPr>
              <w:t>GROUPE SAIDAL</w:t>
            </w:r>
          </w:p>
        </w:tc>
        <w:tc>
          <w:tcPr>
            <w:tcW w:type="dxa" w:w="1559"/>
          </w:tcPr>
          <w:p>
            <w:r>
              <w:rPr>
                <w:sz w:val="20"/>
              </w:rPr>
              <w:t>Crème dermique — camphre 4 % (0,04 g/g)</w:t>
            </w:r>
          </w:p>
        </w:tc>
        <w:tc>
          <w:tcPr>
            <w:tcW w:type="dxa" w:w="1559"/>
          </w:tcPr>
          <w:p>
            <w:r>
              <w:rPr>
                <w:sz w:val="20"/>
              </w:rPr>
              <w:t>Tube de 40 g</w:t>
            </w:r>
          </w:p>
        </w:tc>
        <w:tc>
          <w:tcPr>
            <w:tcW w:type="dxa" w:w="1559"/>
          </w:tcPr>
          <w:p>
            <w:r>
              <w:rPr>
                <w:sz w:val="20"/>
              </w:rPr>
              <w:t>Hors liste (libre)</w:t>
            </w:r>
          </w:p>
        </w:tc>
        <w:tc>
          <w:tcPr>
            <w:tcW w:type="dxa" w:w="1559"/>
          </w:tcPr>
          <w:p>
            <w:r>
              <w:rPr>
                <w:sz w:val="20"/>
              </w:rPr>
              <w:t>**Actif**</w:t>
            </w:r>
          </w:p>
        </w:tc>
      </w:tr>
    </w:tbl>
    <w:p/>
    <w:p>
      <w:r>
        <w:t>Formes non renouvelables (nouveaux approvisionnements suspendus)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CAMPHOBIOTIC ENFANT</w:t>
            </w:r>
          </w:p>
        </w:tc>
        <w:tc>
          <w:tcPr>
            <w:tcW w:type="dxa" w:w="1559"/>
          </w:tcPr>
          <w:p>
            <w:r>
              <w:rPr>
                <w:sz w:val="20"/>
              </w:rPr>
              <w:t>GROUPE SAIDAL</w:t>
            </w:r>
          </w:p>
        </w:tc>
        <w:tc>
          <w:tcPr>
            <w:tcW w:type="dxa" w:w="1559"/>
          </w:tcPr>
          <w:p>
            <w:r>
              <w:rPr>
                <w:sz w:val="20"/>
              </w:rPr>
              <w:t>Suppositoire — camphre 0,04 g + eucalyptol 0,05 g + gaïacol 0,02 g + gaïacol glycolate d'éthyle 0,08 g</w:t>
            </w:r>
          </w:p>
        </w:tc>
        <w:tc>
          <w:tcPr>
            <w:tcW w:type="dxa" w:w="1559"/>
          </w:tcPr>
          <w:p>
            <w:r>
              <w:rPr>
                <w:sz w:val="20"/>
              </w:rPr>
              <w:t>Boîte de 8 suppositoires</w:t>
            </w:r>
          </w:p>
        </w:tc>
        <w:tc>
          <w:tcPr>
            <w:tcW w:type="dxa" w:w="1559"/>
          </w:tcPr>
          <w:p>
            <w:r>
              <w:rPr>
                <w:sz w:val="20"/>
              </w:rPr>
              <w:t>Hors liste</w:t>
            </w:r>
          </w:p>
        </w:tc>
        <w:tc>
          <w:tcPr>
            <w:tcW w:type="dxa" w:w="1559"/>
          </w:tcPr>
          <w:p>
            <w:r>
              <w:rPr>
                <w:sz w:val="20"/>
              </w:rPr>
              <w:t>**Non Renouvelable**</w:t>
            </w:r>
          </w:p>
        </w:tc>
      </w:tr>
      <w:tr>
        <w:tc>
          <w:tcPr>
            <w:tcW w:type="dxa" w:w="1559"/>
          </w:tcPr>
          <w:p>
            <w:r>
              <w:rPr>
                <w:sz w:val="20"/>
              </w:rPr>
              <w:t>CAMPHOBIOTIC ADULTE</w:t>
            </w:r>
          </w:p>
        </w:tc>
        <w:tc>
          <w:tcPr>
            <w:tcW w:type="dxa" w:w="1559"/>
          </w:tcPr>
          <w:p>
            <w:r>
              <w:rPr>
                <w:sz w:val="20"/>
              </w:rPr>
              <w:t>GROUPE SAIDAL</w:t>
            </w:r>
          </w:p>
        </w:tc>
        <w:tc>
          <w:tcPr>
            <w:tcW w:type="dxa" w:w="1559"/>
          </w:tcPr>
          <w:p>
            <w:r>
              <w:rPr>
                <w:sz w:val="20"/>
              </w:rPr>
              <w:t>Suppositoire adulte — camphre 0,10 g + gaïacol 0,06 g + eucalyptol 0,05 g + gaïacol glycolate d'éthyle 0,15 g + créosote 0,07 g + amyléine chlorhydrate 0,01 g</w:t>
            </w:r>
          </w:p>
        </w:tc>
        <w:tc>
          <w:tcPr>
            <w:tcW w:type="dxa" w:w="1559"/>
          </w:tcPr>
          <w:p>
            <w:r>
              <w:rPr>
                <w:sz w:val="20"/>
              </w:rPr>
              <w:t>Boîte de 8 suppositoires</w:t>
            </w:r>
          </w:p>
        </w:tc>
        <w:tc>
          <w:tcPr>
            <w:tcW w:type="dxa" w:w="1559"/>
          </w:tcPr>
          <w:p>
            <w:r>
              <w:rPr>
                <w:sz w:val="20"/>
              </w:rPr>
              <w:t>Hors liste</w:t>
            </w:r>
          </w:p>
        </w:tc>
        <w:tc>
          <w:tcPr>
            <w:tcW w:type="dxa" w:w="1559"/>
          </w:tcPr>
          <w:p>
            <w:r>
              <w:rPr>
                <w:sz w:val="20"/>
              </w:rPr>
              <w:t>**Non Renouvelable**</w:t>
            </w:r>
          </w:p>
        </w:tc>
      </w:tr>
      <w:tr>
        <w:tc>
          <w:tcPr>
            <w:tcW w:type="dxa" w:w="1559"/>
          </w:tcPr>
          <w:p>
            <w:r>
              <w:rPr>
                <w:sz w:val="20"/>
              </w:rPr>
              <w:t>LATENDRA</w:t>
            </w:r>
          </w:p>
        </w:tc>
        <w:tc>
          <w:tcPr>
            <w:tcW w:type="dxa" w:w="1559"/>
          </w:tcPr>
          <w:p>
            <w:r>
              <w:rPr>
                <w:sz w:val="20"/>
              </w:rPr>
              <w:t>GROUPE SAIDAL</w:t>
            </w:r>
          </w:p>
        </w:tc>
        <w:tc>
          <w:tcPr>
            <w:tcW w:type="dxa" w:w="1559"/>
          </w:tcPr>
          <w:p>
            <w:r>
              <w:rPr>
                <w:sz w:val="20"/>
              </w:rPr>
              <w:t>Crème dermique — camphre 4 % (0,04 g/g)</w:t>
            </w:r>
          </w:p>
        </w:tc>
        <w:tc>
          <w:tcPr>
            <w:tcW w:type="dxa" w:w="1559"/>
          </w:tcPr>
          <w:p>
            <w:r>
              <w:rPr>
                <w:sz w:val="20"/>
              </w:rPr>
              <w:t>Tube de 40 g</w:t>
            </w:r>
          </w:p>
        </w:tc>
        <w:tc>
          <w:tcPr>
            <w:tcW w:type="dxa" w:w="1559"/>
          </w:tcPr>
          <w:p>
            <w:r>
              <w:rPr>
                <w:sz w:val="20"/>
              </w:rPr>
              <w:t>Hors liste</w:t>
            </w:r>
          </w:p>
        </w:tc>
        <w:tc>
          <w:tcPr>
            <w:tcW w:type="dxa" w:w="1559"/>
          </w:tcPr>
          <w:p>
            <w:r>
              <w:rPr>
                <w:sz w:val="20"/>
              </w:rPr>
              <w:t>**Non Renouvelable**</w:t>
            </w:r>
          </w:p>
        </w:tc>
      </w:tr>
    </w:tbl>
    <w:p/>
    <w:p>
      <w:r/>
      <w:r>
        <w:rPr>
          <w:b/>
        </w:rPr>
        <w:t>Note d'approvisionnement</w:t>
      </w:r>
      <w:r>
        <w:t xml:space="preserve"> : À la date d'Avril 2026, seule la forme crème LATENDRA (Saidal) est active en Algérie. Les suppositoires CAMPHOBIOTIC ENFANT et ADULTE sont en statut NON_RENOUVELABLE, ce qui limite l'accès aux formes traditionnelles antitussives camphrées — alternatives possibles : suppositoires à base de clobutinol, de pentoxyvérine, de dextrométhorphane. La double entrée de LATENDRA (actif et non-renouvelable) reflète probablement deux lots de production ou deux présentations — à clarifier avec le fabricant. La crème LATENDRA reste disponible et constitue un outil thérapeutique pour les indications musculaires et antiprurigineuses.</w:t>
      </w:r>
    </w:p>
    <w:p>
      <w:r/>
      <w:r>
        <w:rPr>
          <w:b/>
        </w:rPr>
        <w:t>Sous-classe et Mécanisme d'action :</w:t>
      </w:r>
      <w:r/>
    </w:p>
    <w:p>
      <w:r>
        <w:t>Le camphre exerce par application cutanée plusieurs effets pharmacologiques liés à ses propriétés physico-chimiques (liposolubilité, volatilité, interaction avec les membranes biologiques) et à ses cibles moléculaires spécifiques :</w:t>
      </w:r>
    </w:p>
    <w:p>
      <w:pPr>
        <w:pStyle w:val="ListNumber"/>
      </w:pPr>
      <w:r/>
      <w:r>
        <w:rPr>
          <w:b/>
        </w:rPr>
        <w:t>Vasodilatation locale neurogène</w:t>
      </w:r>
      <w:r>
        <w:t xml:space="preserve"> : le camphre stimule les </w:t>
      </w:r>
      <w:r>
        <w:rPr>
          <w:b/>
        </w:rPr>
        <w:t>terminaisons sensitives cutanées</w:t>
      </w:r>
      <w:r>
        <w:t xml:space="preserve"> (fibres C et Aδ) via une interaction directe avec les canaux </w:t>
      </w:r>
      <w:r>
        <w:rPr>
          <w:b/>
        </w:rPr>
        <w:t>TRPV3</w:t>
      </w:r>
      <w:r>
        <w:t xml:space="preserve"> (Transient Receptor Potential Vanilloid 3 — thermorécepteur chaud &gt;33°C) et </w:t>
      </w:r>
      <w:r>
        <w:rPr>
          <w:b/>
        </w:rPr>
        <w:t>TRPM8</w:t>
      </w:r>
      <w:r>
        <w:t xml:space="preserve"> (thermorécepteur froid &lt;25°C), provoquant une dépolarisation des terminaisons et la libération locale de </w:t>
      </w:r>
      <w:r>
        <w:rPr>
          <w:b/>
        </w:rPr>
        <w:t>substance P</w:t>
      </w:r>
      <w:r>
        <w:t xml:space="preserve"> et de </w:t>
      </w:r>
      <w:r>
        <w:rPr>
          <w:b/>
        </w:rPr>
        <w:t>CGRP</w:t>
      </w:r>
      <w:r>
        <w:t xml:space="preserve"> (Calcitonin Gene-Related Peptide). Ces neuropeptides induisent une </w:t>
      </w:r>
      <w:r>
        <w:rPr>
          <w:b/>
        </w:rPr>
        <w:t>vasodilatation neurogène</w:t>
      </w:r>
      <w:r>
        <w:t xml:space="preserve"> des capillaires dermiques → érythème localisé → augmentation de la perfusion et de la température locale → sensation de chaleur (puis de fraîcheur par évaporation du camphre volatil).</w:t>
      </w:r>
    </w:p>
    <w:p>
      <w:pPr>
        <w:pStyle w:val="ListNumber"/>
      </w:pPr>
      <w:r/>
      <w:r>
        <w:rPr>
          <w:b/>
        </w:rPr>
        <w:t>Action contre-irritante</w:t>
      </w:r>
      <w:r>
        <w:t xml:space="preserve"> (gate control theory — Melzack et Wall 1965) : l'afflux d'influx sensitifs thermiques au niveau de la corne dorsale de la moelle épinière </w:t>
      </w:r>
      <w:r>
        <w:rPr>
          <w:b/>
        </w:rPr>
        <w:t>inhibe l'intégration des influx nociceptifs et prurigineux</w:t>
      </w:r>
      <w:r>
        <w:t xml:space="preserve"> issus du même dermatome (inhibition présynaptique par les interneurones inhibiteurs GABAergiques et enképhalinergiques). Le patient perçoit la sensation thermique nouvelle (chaleur ou fraîcheur) au détriment de la sensation douloureuse ou prurigineuse sous-jacente — effet de masquage.</w:t>
      </w:r>
    </w:p>
    <w:p>
      <w:pPr>
        <w:pStyle w:val="ListNumber"/>
      </w:pPr>
      <w:r/>
      <w:r>
        <w:rPr>
          <w:b/>
        </w:rPr>
        <w:t>Action antiprurigineuse directe</w:t>
      </w:r>
      <w:r>
        <w:t xml:space="preserve"> : inhibition des canaux sodiques voltage-dépendants des terminaisons nerveuses sensitives (effet anesthésique local faible — similaire à celui de la benzocaïne, mais moins puissant) — diminution de la conduction des influx prurigineux.</w:t>
      </w:r>
    </w:p>
    <w:p>
      <w:pPr>
        <w:pStyle w:val="ListNumber"/>
      </w:pPr>
      <w:r/>
      <w:r>
        <w:rPr>
          <w:b/>
        </w:rPr>
        <w:t>Action expectorante</w:t>
      </w:r>
      <w:r>
        <w:t xml:space="preserve"> (en inhalation ou en suppositoire) : stimulation des sécrétions bronchiques par irritation modérée de la muqueuse bronchique — fluidification des sécrétions et facilitation de l'expectoration. Effet également sur le tussigène (diminution du réflexe de la toux par action centrale).</w:t>
      </w:r>
    </w:p>
    <w:p>
      <w:pPr>
        <w:pStyle w:val="ListNumber"/>
      </w:pPr>
      <w:r/>
      <w:r>
        <w:rPr>
          <w:b/>
        </w:rPr>
        <w:t>Effet rubéfiant</w:t>
      </w:r>
      <w:r>
        <w:t xml:space="preserve"> : augmentation marquée de la perfusion locale — utile en massage musculaire (pré- ou post-effort sportif), en friction sur les névralgies, en application sur les voies respiratoires hautes (rhinite, sinusite).</w:t>
      </w:r>
    </w:p>
    <w:p>
      <w:pPr>
        <w:pStyle w:val="ListNumber"/>
      </w:pPr>
      <w:r/>
      <w:r>
        <w:rPr>
          <w:b/>
        </w:rPr>
        <w:t>Toxicité neurologique centrale</w:t>
      </w:r>
      <w:r>
        <w:t xml:space="preserve"> (en cas d'ingestion ou d'application étendue) : absorption systémique rapide (liposolubilité), passage de la barrière hémato-encéphalique, stimulation initiale du SNC (agitation, confusion, convulsions tonico-cloniques par inhibition des récepteurs GABA-A et activation des récepteurs glutamatergiques), suivie d'une dépression SNC (coma, dépression respiratoire, mydriase, hyperréflexie puis aréflexie). Dose toxique estimée chez l'adulte : 2 g ingéré ; dose létale : 4-5 g ingéré. Chez l'enfant : dose toxique estimée à 0,5-1 g, dose létale à 1-2 g (ingestion accidentelle de suppositoires ou de pommade). Mécanisme : inhibition des récepteurs GABA-A, activation des récepteurs NMDA, déplétion en dopamine et sérotonine.</w:t>
      </w:r>
    </w:p>
    <w:p>
      <w:r>
        <w:t xml:space="preserve">L'effet thérapeutique en clinique se traduit par une </w:t>
      </w:r>
      <w:r>
        <w:rPr>
          <w:b/>
        </w:rPr>
        <w:t>sensation de chaleur puis de fraîcheur</w:t>
      </w:r>
      <w:r>
        <w:t xml:space="preserve"> dans les 2-5 minutes après application, un </w:t>
      </w:r>
      <w:r>
        <w:rPr>
          <w:b/>
        </w:rPr>
        <w:t>érythème modéré</w:t>
      </w:r>
      <w:r>
        <w:t xml:space="preserve"> localisé (effet vasodilatateur), une </w:t>
      </w:r>
      <w:r>
        <w:rPr>
          <w:b/>
        </w:rPr>
        <w:t>diminution du prurit et de la douleur</w:t>
      </w:r>
      <w:r>
        <w:t xml:space="preserve"> dans les 5-15 min, persistant 1-3 heures. L'effet expectorant (en suppositoire ou inhalation) apparaît en 30-60 min et persiste 4-6 heures.</w:t>
      </w:r>
    </w:p>
    <w:p>
      <w:r/>
      <w:r>
        <w:rPr>
          <w:b/>
        </w:rPr>
        <w:t>Profil Pharmacologique et Indications :</w:t>
      </w:r>
      <w:r/>
    </w:p>
    <w:p>
      <w:r>
        <w:t>Indications cliniques validées :</w:t>
      </w:r>
    </w:p>
    <w:p>
      <w:r>
        <w:t xml:space="preserve">Pour la forme </w:t>
      </w:r>
      <w:r>
        <w:rPr>
          <w:b/>
        </w:rPr>
        <w:t>topique</w:t>
      </w:r>
      <w:r>
        <w:t xml:space="preserve"> (crème LATENDRA 4 %) :</w:t>
      </w:r>
    </w:p>
    <w:p>
      <w:pPr>
        <w:pStyle w:val="ListBullet"/>
      </w:pPr>
      <w:r/>
      <w:r>
        <w:rPr>
          <w:b/>
        </w:rPr>
        <w:t>Douleurs musculaires</w:t>
      </w:r>
      <w:r>
        <w:t xml:space="preserve"> : courbatures, lombalgies communes, torticolis, myalgies post-effort. Application bid à tid en friction sur la zone douloureuse, pendant 5-7 jours.</w:t>
      </w:r>
    </w:p>
    <w:p>
      <w:pPr>
        <w:pStyle w:val="ListBullet"/>
      </w:pPr>
      <w:r/>
      <w:r>
        <w:rPr>
          <w:b/>
        </w:rPr>
        <w:t>Névralgies</w:t>
      </w:r>
      <w:r>
        <w:t xml:space="preserve"> : névralgie cervico-brachiale, intercostale, sciatique commune (en complément du traitement antalgique systémique). Application bid à tid en friction.</w:t>
      </w:r>
    </w:p>
    <w:p>
      <w:pPr>
        <w:pStyle w:val="ListBullet"/>
      </w:pPr>
      <w:r/>
      <w:r>
        <w:rPr>
          <w:b/>
        </w:rPr>
        <w:t>Affections des voies respiratoires hautes</w:t>
      </w:r>
      <w:r>
        <w:t xml:space="preserve"> : rhinite, rhinopharyngite, sinusite (en friction sur le thorax et le dos, en complément des antalgiques et des décongestionnants). Application bid.</w:t>
      </w:r>
    </w:p>
    <w:p>
      <w:pPr>
        <w:pStyle w:val="ListBullet"/>
      </w:pPr>
      <w:r/>
      <w:r>
        <w:rPr>
          <w:b/>
        </w:rPr>
        <w:t>Prurit localisé</w:t>
      </w:r>
      <w:r>
        <w:t xml:space="preserve"> : piqûres d'insectes (en complément), prurit sénile localisé (en complément des émollients), prurigo.</w:t>
      </w:r>
    </w:p>
    <w:p>
      <w:pPr>
        <w:pStyle w:val="ListBullet"/>
      </w:pPr>
      <w:r/>
      <w:r>
        <w:rPr>
          <w:b/>
        </w:rPr>
        <w:t>Tendance à la congestion</w:t>
      </w:r>
      <w:r>
        <w:t xml:space="preserve"> des voies respiratoires basses : application en friction thoracique dans les bronchites simples de l'adulte (en complément des antitussifs et des antibiotiques si nécessaires).</w:t>
      </w:r>
    </w:p>
    <w:p>
      <w:r>
        <w:t xml:space="preserve">Pour les formes </w:t>
      </w:r>
      <w:r>
        <w:rPr>
          <w:b/>
        </w:rPr>
        <w:t>suppositoires</w:t>
      </w:r>
      <w:r>
        <w:t xml:space="preserve"> (CAMPHOBIOTIC — NON_RENOUVELABLES) :</w:t>
      </w:r>
    </w:p>
    <w:p>
      <w:pPr>
        <w:pStyle w:val="ListBullet"/>
      </w:pPr>
      <w:r/>
      <w:r>
        <w:rPr>
          <w:b/>
        </w:rPr>
        <w:t>Toux sèche d'irritation</w:t>
      </w:r>
      <w:r>
        <w:t xml:space="preserve"> de l'adulte et de l'enfant &gt;6 ans — suppositoire à visée antitussive et expectorante (effet contre-irritant et expectorant du camphre, potentialisé par l'eucalyptol, le gaïacol, le gaïacol glycolate d'éthyle).</w:t>
      </w:r>
    </w:p>
    <w:p>
      <w:pPr>
        <w:pStyle w:val="ListBullet"/>
      </w:pPr>
      <w:r/>
      <w:r>
        <w:rPr>
          <w:b/>
        </w:rPr>
        <w:t>Affections respiratoires hautes</w:t>
      </w:r>
      <w:r>
        <w:t xml:space="preserve"> : rhume, rhinopharyngite.</w:t>
      </w:r>
    </w:p>
    <w:p>
      <w:pPr>
        <w:pStyle w:val="ListBullet"/>
      </w:pPr>
      <w:r>
        <w:t>Posologie : 1 suppositoire × 2-3/jour chez l'adulte ; 1 suppositoire × 1-2/jour chez l'enfant &gt;6 ans (CAMPHOBIOTIC ENFANT — contre-indiqué chez l'enfant &lt;2 ans).</w:t>
      </w:r>
    </w:p>
    <w:p>
      <w:r>
        <w:t xml:space="preserve">Pharmacocinétique : le camphre est absorbé percutanément (log P 2,7 ; PM 152 Da — absorption modérée, 5-15 % selon l'état de la peau et la surface d'application), métabolisé dans le foie en </w:t>
      </w:r>
      <w:r>
        <w:rPr>
          <w:b/>
        </w:rPr>
        <w:t>hydroxycamphre</w:t>
      </w:r>
      <w:r>
        <w:t xml:space="preserve"> (5- et 6-hydroxycamphre) puis en </w:t>
      </w:r>
      <w:r>
        <w:rPr>
          <w:b/>
        </w:rPr>
        <w:t>acide camphorique glucuronide</w:t>
      </w:r>
      <w:r>
        <w:t xml:space="preserve"> (acide 5- et 6-hydroxy-camphorique conjugué), excrété par voie rénale. La demi-vie plasmatique est ~2-3 h. L'inhalation (voie respiratoire) entraîne une absorption systémique rapide. L'ingestion accidentelle entraîne une absorption digestive rapide (&lt;30 min) avec passage de la barrière hémato-encéphalique et toxicité neurologique centrale.</w:t>
      </w:r>
    </w:p>
    <w:p>
      <w:r/>
      <w:r>
        <w:rPr>
          <w:b/>
        </w:rPr>
        <w:t>Prévention et Gestion des Effets Indésirables :</w:t>
      </w:r>
      <w:r/>
    </w:p>
    <w:p>
      <w:pPr>
        <w:pStyle w:val="ListBullet"/>
      </w:pPr>
      <w:r/>
      <w:r>
        <w:rPr>
          <w:b/>
        </w:rPr>
        <w:t>Effets locaux bénins</w:t>
      </w:r>
      <w:r>
        <w:t xml:space="preserve"> : érythème, sensation de chaleur ou de fraîcheur, picotements transitoires — effet pharmacologique attendu, ne pas arrêter le traitement.</w:t>
      </w:r>
    </w:p>
    <w:p>
      <w:pPr>
        <w:pStyle w:val="ListBullet"/>
      </w:pPr>
      <w:r/>
      <w:r>
        <w:rPr>
          <w:b/>
        </w:rPr>
        <w:t>Dermite de contact irritative</w:t>
      </w:r>
      <w:r>
        <w:t xml:space="preserve"> : érythème intense, prurit, vésicules, desquamation — observée en cas d'application prolongée, de pansement occlusif, ou de peau fragile (visage, plis). Conduite à tenir : arrêter le traitement, laver à l'eau et au savon doux, appliquer un dermocorticoïde faible (hydrocortisone 1 %) pendant 3-5 jours.</w:t>
      </w:r>
    </w:p>
    <w:p>
      <w:pPr>
        <w:pStyle w:val="ListBullet"/>
      </w:pPr>
      <w:r/>
      <w:r>
        <w:rPr>
          <w:b/>
        </w:rPr>
        <w:t>Dermite de contact allergique</w:t>
      </w:r>
      <w:r>
        <w:t xml:space="preserve"> (rare) : réaction d'hypersensibilité retardée — tests épicutanés au camphre possible.</w:t>
      </w:r>
    </w:p>
    <w:p>
      <w:pPr>
        <w:pStyle w:val="ListBullet"/>
      </w:pPr>
      <w:r/>
      <w:r>
        <w:rPr>
          <w:b/>
        </w:rPr>
        <w:t>Toxicité neurologique centrale</w:t>
      </w:r>
      <w:r>
        <w:t xml:space="preserve"> (en cas d'ingestion ou d'application étendue, surtout chez l'enfant) :</w:t>
      </w:r>
    </w:p>
    <w:p>
      <w:pPr>
        <w:pStyle w:val="ListBullet"/>
      </w:pPr>
      <w:r/>
      <w:r>
        <w:rPr>
          <w:b/>
        </w:rPr>
        <w:t>Signes précoces</w:t>
      </w:r>
      <w:r>
        <w:t xml:space="preserve"> (30 min-2 h après ingestion) : nausées, vomissements, goût de menthol dans la bouche, sensation de brûlure bucco-œsophagienne, confusion, agitation, céphalées.</w:t>
      </w:r>
    </w:p>
    <w:p>
      <w:pPr>
        <w:pStyle w:val="ListBullet"/>
      </w:pPr>
      <w:r/>
      <w:r>
        <w:rPr>
          <w:b/>
        </w:rPr>
        <w:t>Signes intermédiaires</w:t>
      </w:r>
      <w:r>
        <w:t xml:space="preserve"> (1-4 h) : tremblements, fasciculations, convulsions tonico-cloniques généralisées, mydriase, tachycardie, hyperréflexie.</w:t>
      </w:r>
    </w:p>
    <w:p>
      <w:pPr>
        <w:pStyle w:val="ListBullet"/>
      </w:pPr>
      <w:r/>
      <w:r>
        <w:rPr>
          <w:b/>
        </w:rPr>
        <w:t>Signes graves</w:t>
      </w:r>
      <w:r>
        <w:t xml:space="preserve"> (4-12 h) : coma, dépression respiratoire, hypotension, collapsus cardiovasculaire, œdème pulmonaire lésionnel, insuffisance rénale aiguë, hépatotoxicité (cytolyse), rhabdomyolyse.</w:t>
      </w:r>
    </w:p>
    <w:p>
      <w:pPr>
        <w:pStyle w:val="ListBullet"/>
      </w:pPr>
      <w:r/>
      <w:r>
        <w:rPr>
          <w:b/>
        </w:rPr>
        <w:t>Conduite à tenir en urgence</w:t>
      </w:r>
      <w:r>
        <w:t xml:space="preserve"> : appel du SAMU (15 ou 112), hospitalisation en réanimation, lavage gastrique si ingestion récente (&lt;1 h) et patient conscient, charbon activé 50 g, traitement symptomatique des convulsions (diazépam IV 10 mg — attention risque de dépression respiratoire), ventilation mécanique en cas de dépression respiratoire, surveillance EEG, monitorage cardiaque, hydratation IV.</w:t>
      </w:r>
    </w:p>
    <w:p>
      <w:pPr>
        <w:pStyle w:val="ListBullet"/>
      </w:pPr>
      <w:r/>
      <w:r>
        <w:rPr>
          <w:b/>
        </w:rPr>
        <w:t>Accidents pédiatriques</w:t>
      </w:r>
      <w:r>
        <w:t xml:space="preserve"> : la majorité des cas publiés d'intoxication au camphre concernent des enfants de 1-3 ans ayant ingéré accidentellement des suppositoires ou des pommades camphrées laissées à portée. Prévention : conservation en emballage sécurisé, hors de portée des enfants, éducation des parents sur la toxicité pédiatrique.</w:t>
      </w:r>
    </w:p>
    <w:p>
      <w:pPr>
        <w:pStyle w:val="ListBullet"/>
      </w:pPr>
      <w:r/>
      <w:r>
        <w:rPr>
          <w:b/>
        </w:rPr>
        <w:t>Application sur muqueuses</w:t>
      </w:r>
      <w:r>
        <w:t xml:space="preserve"> (œil, bouche, voies respiratoires basses) : irritation locale sévère, conjonctivite chimique — lavage abondant à l'eau ou sérum physiologique, consultation ophtalmologique en urgence.</w:t>
      </w:r>
    </w:p>
    <w:p>
      <w:pPr>
        <w:pStyle w:val="ListBullet"/>
      </w:pPr>
      <w:r/>
      <w:r>
        <w:rPr>
          <w:b/>
        </w:rPr>
        <w:t>Application sur peau lésée</w:t>
      </w:r>
      <w:r>
        <w:t xml:space="preserve"> (plaie, brûlure, eczéma aigu) : augmentation de l'absorption systémique — contre-indication relative.</w:t>
      </w:r>
    </w:p>
    <w:p>
      <w:r>
        <w:t>Prévention des EI :</w:t>
      </w:r>
    </w:p>
    <w:p>
      <w:pPr>
        <w:pStyle w:val="ListBullet"/>
      </w:pPr>
      <w:r/>
      <w:r>
        <w:rPr>
          <w:b/>
        </w:rPr>
        <w:t>Respecter strictement les contre-indications</w:t>
      </w:r>
      <w:r>
        <w:t xml:space="preserve"> (enfant &lt;2 ans pour les suppositoires, &lt;5 ans pour la pommade en application étendue, femme enceinte au 1ᵉʳ trimestre par prudence, allaitement, application sur muqueuses ou peau lésée).</w:t>
      </w:r>
    </w:p>
    <w:p>
      <w:pPr>
        <w:pStyle w:val="ListBullet"/>
      </w:pPr>
      <w:r/>
      <w:r>
        <w:rPr>
          <w:b/>
        </w:rPr>
        <w:t>Ne pas appliquer sur surface étendue</w:t>
      </w:r>
      <w:r>
        <w:t xml:space="preserve"> (&gt;10 % de la surface corporelle chez l'adulte, &gt;5 % chez l'enfant).</w:t>
      </w:r>
    </w:p>
    <w:p>
      <w:pPr>
        <w:pStyle w:val="ListBullet"/>
      </w:pPr>
      <w:r/>
      <w:r>
        <w:rPr>
          <w:b/>
        </w:rPr>
        <w:t>Ne pas appliquer sous pansement occlusif</w:t>
      </w:r>
      <w:r>
        <w:t xml:space="preserve"> (augmentation de l'absorption systémique).</w:t>
      </w:r>
    </w:p>
    <w:p>
      <w:pPr>
        <w:pStyle w:val="ListBullet"/>
      </w:pPr>
      <w:r/>
      <w:r>
        <w:rPr>
          <w:b/>
        </w:rPr>
        <w:t>Conservation sécurisée</w:t>
      </w:r>
      <w:r>
        <w:t xml:space="preserve"> hors de portée des enfants, en emballage d'origine.</w:t>
      </w:r>
    </w:p>
    <w:p>
      <w:pPr>
        <w:pStyle w:val="ListBullet"/>
      </w:pPr>
      <w:r/>
      <w:r>
        <w:rPr>
          <w:b/>
        </w:rPr>
        <w:t>Éducation des parents</w:t>
      </w:r>
      <w:r>
        <w:t xml:space="preserve"> sur le risque d'ingestion accidentelle chez l'enfant (camphre puces).</w:t>
      </w:r>
    </w:p>
    <w:p>
      <w:r/>
      <w:r>
        <w:rPr>
          <w:b/>
        </w:rPr>
        <w:t>Interactions Médicamenteuses :</w:t>
      </w:r>
      <w:r/>
    </w:p>
    <w:p>
      <w:pPr>
        <w:pStyle w:val="ListBullet"/>
      </w:pPr>
      <w:r/>
      <w:r>
        <w:rPr>
          <w:b/>
        </w:rPr>
        <w:t>Anticoagulants oraux</w:t>
      </w:r>
      <w:r>
        <w:t xml:space="preserve"> (warfarine, acénocoumarol) : potentialisation théorique de l'effet anticoagulant (le camphre peut inhiber le métabolisme hépatique des AVK par le CYP450) — éviter l'application étendue et le traitement prolongé chez le patient sous AVK.</w:t>
      </w:r>
    </w:p>
    <w:p>
      <w:pPr>
        <w:pStyle w:val="ListBullet"/>
      </w:pPr>
      <w:r/>
      <w:r>
        <w:rPr>
          <w:b/>
        </w:rPr>
        <w:t>Anticonvulsivants</w:t>
      </w:r>
      <w:r>
        <w:t xml:space="preserve"> (phénytoïne, phénobarbital, carbamazépine, valproate, lamotrigine) : antagonisme potentiel de l'effet anticonvulsivant (le camphre est convulsivant à dose toxique) — éviter en application étendue chez l'épileptique.</w:t>
      </w:r>
    </w:p>
    <w:p>
      <w:pPr>
        <w:pStyle w:val="ListBullet"/>
      </w:pPr>
      <w:r/>
      <w:r>
        <w:rPr>
          <w:b/>
        </w:rPr>
        <w:t>Sédatifs</w:t>
      </w:r>
      <w:r>
        <w:t xml:space="preserve"> (benzodiazépines, opioïdes, antihistaminiques sédatifs, neuroleptiques) : potentialisation de la sédation (effet dépresseur central additif en cas d'absorption systémique significative).</w:t>
      </w:r>
    </w:p>
    <w:p>
      <w:pPr>
        <w:pStyle w:val="ListBullet"/>
      </w:pPr>
      <w:r/>
      <w:r>
        <w:rPr>
          <w:b/>
        </w:rPr>
        <w:t>Alcool</w:t>
      </w:r>
      <w:r>
        <w:t xml:space="preserve"> : potentialisation de la toxicité neurologique centrale.</w:t>
      </w:r>
    </w:p>
    <w:p>
      <w:pPr>
        <w:pStyle w:val="ListBullet"/>
      </w:pPr>
      <w:r/>
      <w:r>
        <w:rPr>
          <w:b/>
        </w:rPr>
        <w:t>Autres counter-irritants</w:t>
      </w:r>
      <w:r>
        <w:t xml:space="preserve"> (menthol, eucalyptol, capsaïcine, AINS topiques) : association possible (effet additif contre-irritant), mais surveillance de la tolérance locale.</w:t>
      </w:r>
    </w:p>
    <w:p>
      <w:r/>
      <w:r>
        <w:rPr>
          <w:b/>
        </w:rPr>
        <w:t>Grossesse et Allaitement (CRAT) :</w:t>
      </w:r>
      <w:r/>
    </w:p>
    <w:p>
      <w:pPr>
        <w:pStyle w:val="ListBullet"/>
      </w:pPr>
      <w:r/>
      <w:r>
        <w:rPr>
          <w:b/>
        </w:rPr>
        <w:t>Grossesse</w:t>
      </w:r>
      <w:r>
        <w:t xml:space="preserve"> : Le CRAT ne dispose pas de données spécifiques sur l'application topique du camphre pendant la grossesse, mais </w:t>
      </w:r>
      <w:r>
        <w:rPr>
          <w:b/>
        </w:rPr>
        <w:t>les données animales suggèrent un effet abortif et embryotoxique à doses toxiques</w:t>
      </w:r>
      <w:r>
        <w:t xml:space="preserve"> (effet utérotonique modéré). Par prudence, </w:t>
      </w:r>
      <w:r>
        <w:rPr>
          <w:b/>
        </w:rPr>
        <w:t>éviter l'application étendue pendant le 1ᵉʳ trimestre</w:t>
      </w:r>
      <w:r>
        <w:t xml:space="preserve"> et limiter l'usage aux applications localisées de courte durée (&lt;7 jours) pendant les 2ᵉ et 3ᵉ trimestres. Les suppositoires camphrés sont à éviter pendant la grossesse par prudence.</w:t>
      </w:r>
    </w:p>
    <w:p>
      <w:pPr>
        <w:pStyle w:val="ListBullet"/>
      </w:pPr>
      <w:r/>
      <w:r>
        <w:rPr>
          <w:b/>
        </w:rPr>
        <w:t>Allaitement</w:t>
      </w:r>
      <w:r>
        <w:t xml:space="preserve"> : Le camphre passe dans le lait maternel (liposolubilité) — éviter l'application étendue pendant l'allaitement. L'application localisée de courte durée est probablement compatible (données limitées), mais le camphre peut modifier le goût du lait (effet aromatique) et entraîner un refus du sein. Éviter l'application sur le mamelon et l'aréole.</w:t>
      </w:r>
    </w:p>
    <w:p>
      <w:r/>
      <w:r>
        <w:rPr>
          <w:b/>
        </w:rPr>
        <w:t>Posologie et Mode d'administration :</w:t>
      </w:r>
      <w:r/>
    </w:p>
    <w:p>
      <w:r>
        <w:t>Forme topique — crème LATENDRA 4 % :</w:t>
      </w:r>
    </w:p>
    <w:p>
      <w:pPr>
        <w:pStyle w:val="ListBullet"/>
      </w:pPr>
      <w:r/>
      <w:r>
        <w:rPr>
          <w:b/>
        </w:rPr>
        <w:t>Adulte</w:t>
      </w:r>
      <w:r>
        <w:t xml:space="preserve"> : 1 application bid à tid en friction sur la zone douloureuse, en couche fine, pendant 5-7 jours.</w:t>
      </w:r>
    </w:p>
    <w:p>
      <w:pPr>
        <w:pStyle w:val="ListBullet"/>
      </w:pPr>
      <w:r/>
      <w:r>
        <w:rPr>
          <w:b/>
        </w:rPr>
        <w:t>Enfant &gt;5 ans</w:t>
      </w:r>
      <w:r>
        <w:t xml:space="preserve"> : 1 application bid en couche fine, sur surface restreinte (&lt;5 % de la surface corporelle), pendant 3-5 jours. Contre-indiqué chez l'enfant &lt;5 ans.</w:t>
      </w:r>
    </w:p>
    <w:p>
      <w:pPr>
        <w:pStyle w:val="ListBullet"/>
      </w:pPr>
      <w:r/>
      <w:r>
        <w:rPr>
          <w:b/>
        </w:rPr>
        <w:t>Mode d'administration</w:t>
      </w:r>
      <w:r>
        <w:t xml:space="preserve"> : appliquer sur peau saine (non lésée), masser doucement pour faire pénétrer, se laver les mains après application, ne pas appliquer sur le visage, les muqueuses, les yeux.</w:t>
      </w:r>
    </w:p>
    <w:p>
      <w:r>
        <w:t>Formes suppositoires (CAMPHOBIOTIC ENFANT / ADULTE — NON_RENOUVELABLES) :</w:t>
      </w:r>
    </w:p>
    <w:p>
      <w:pPr>
        <w:pStyle w:val="ListBullet"/>
      </w:pPr>
      <w:r/>
      <w:r>
        <w:rPr>
          <w:b/>
        </w:rPr>
        <w:t>Adulte</w:t>
      </w:r>
      <w:r>
        <w:t xml:space="preserve"> : 1 suppositoire × 2-3/jour (CAMPHOBIOTIC ADULTE).</w:t>
      </w:r>
    </w:p>
    <w:p>
      <w:pPr>
        <w:pStyle w:val="ListBullet"/>
      </w:pPr>
      <w:r/>
      <w:r>
        <w:rPr>
          <w:b/>
        </w:rPr>
        <w:t>Enfant &gt;6 ans</w:t>
      </w:r>
      <w:r>
        <w:t xml:space="preserve"> : 1 suppositoire × 1-2/jour (CAMPHOBIOTIC ENFANT). Contre-indiqué chez l'enfant &lt;2 ans.</w:t>
      </w:r>
    </w:p>
    <w:p>
      <w:pPr>
        <w:pStyle w:val="ListBullet"/>
      </w:pPr>
      <w:r/>
      <w:r>
        <w:rPr>
          <w:b/>
        </w:rPr>
        <w:t>Mode d'administration</w:t>
      </w:r>
      <w:r>
        <w:t xml:space="preserve"> : après défécation ou à heure fixe, introduction profonde dans le rectum.</w:t>
      </w:r>
    </w:p>
    <w:p>
      <w:r/>
      <w:r>
        <w:rPr>
          <w:b/>
        </w:rPr>
        <w:t>Surveillance Biologique et Suivi Clinique :</w:t>
      </w:r>
      <w:r/>
    </w:p>
    <w:p>
      <w:r>
        <w:t xml:space="preserve">La surveillance est essentiellement </w:t>
      </w:r>
      <w:r>
        <w:rPr>
          <w:b/>
        </w:rPr>
        <w:t>clinique</w:t>
      </w:r>
      <w:r>
        <w:t xml:space="preserve"> :</w:t>
      </w:r>
    </w:p>
    <w:p>
      <w:pPr>
        <w:pStyle w:val="ListBullet"/>
      </w:pPr>
      <w:r/>
      <w:r>
        <w:rPr>
          <w:b/>
        </w:rPr>
        <w:t>Surveillance de l'efficacité</w:t>
      </w:r>
      <w:r>
        <w:t xml:space="preserve"> à J3-J5 : diminution de la douleur, du prurit, ou de la congestion respiratoire.</w:t>
      </w:r>
    </w:p>
    <w:p>
      <w:pPr>
        <w:pStyle w:val="ListBullet"/>
      </w:pPr>
      <w:r/>
      <w:r>
        <w:rPr>
          <w:b/>
        </w:rPr>
        <w:t>Surveillance de la tolérance locale</w:t>
      </w:r>
      <w:r>
        <w:t xml:space="preserve"> : érythème, prurit, sensation de brûlure — si signes marqués, arrêter le traitement.</w:t>
      </w:r>
    </w:p>
    <w:p>
      <w:pPr>
        <w:pStyle w:val="ListBullet"/>
      </w:pPr>
      <w:r/>
      <w:r>
        <w:rPr>
          <w:b/>
        </w:rPr>
        <w:t>Surveillance des signes d'imprégnation systémique</w:t>
      </w:r>
      <w:r>
        <w:t xml:space="preserve"> (surtout chez l'enfant et en cas d'application étendue) : agitation, confusion, nausées, vomissements, tremblements, convulsions — arrêter le traitement, hospitaliser en urgence.</w:t>
      </w:r>
    </w:p>
    <w:p>
      <w:pPr>
        <w:pStyle w:val="ListBullet"/>
      </w:pPr>
      <w:r/>
      <w:r>
        <w:rPr>
          <w:b/>
        </w:rPr>
        <w:t>Pas de surveillance biologique systématique</w:t>
      </w:r>
      <w:r>
        <w:t xml:space="preserve"> en application locale de courte durée.</w:t>
      </w:r>
    </w:p>
    <w:p>
      <w:pPr>
        <w:pStyle w:val="ListBullet"/>
      </w:pPr>
      <w:r/>
      <w:r>
        <w:rPr>
          <w:b/>
        </w:rPr>
        <w:t>En cas d'ingestion accidentelle</w:t>
      </w:r>
      <w:r>
        <w:t xml:space="preserve"> (enfant) : hospitalisation en urgence, surveillance neurologique, EEG, ionogramme, fonction hépatique (ASAT, ALAT), fonction rénale (créatinine), CPK (rhabdomyolyse).</w:t>
      </w:r>
    </w:p>
    <w:p>
      <w:r/>
      <w:r>
        <w:rPr>
          <w:b/>
        </w:rPr>
        <w:t>Arbitrage et Bénéfices des Formes Galéniques :</w:t>
      </w:r>
      <w:r/>
    </w:p>
    <w:p>
      <w:pPr>
        <w:pStyle w:val="ListBullet"/>
      </w:pPr>
      <w:r/>
      <w:r>
        <w:rPr>
          <w:b/>
        </w:rPr>
        <w:t>Crème</w:t>
      </w:r>
      <w:r>
        <w:t xml:space="preserve"> (LATENDRA 4 %) : forme active disponible en Algérie, pratique pour application locale, pénétration rapide, effet contre-irritant immédiat. Inconvénient : excipients possiblement allergisants, conservation à température &lt;25°C (risque de séparation de phase si chaud).</w:t>
      </w:r>
    </w:p>
    <w:p>
      <w:pPr>
        <w:pStyle w:val="ListBullet"/>
      </w:pPr>
      <w:r/>
      <w:r>
        <w:rPr>
          <w:b/>
        </w:rPr>
        <w:t>Pommade</w:t>
      </w:r>
      <w:r>
        <w:t xml:space="preserve"> (forme historique — non disponible en Algérie) : plus occlusive, effet prolongé, préférée pour peau sèche.</w:t>
      </w:r>
    </w:p>
    <w:p>
      <w:pPr>
        <w:pStyle w:val="ListBullet"/>
      </w:pPr>
      <w:r/>
      <w:r>
        <w:rPr>
          <w:b/>
        </w:rPr>
        <w:t>Liniment / huile</w:t>
      </w:r>
      <w:r>
        <w:t xml:space="preserve"> (forme historique — non disponible en Algérie) : pour massage musculaire prolongé.</w:t>
      </w:r>
    </w:p>
    <w:p>
      <w:pPr>
        <w:pStyle w:val="ListBullet"/>
      </w:pPr>
      <w:r/>
      <w:r>
        <w:rPr>
          <w:b/>
        </w:rPr>
        <w:t>Suppositoires</w:t>
      </w:r>
      <w:r>
        <w:t xml:space="preserve"> (CAMPHOBIOTIC — NON_RENOUVELABLES) : forme historique pour la toux et les affections respiratoires, supprimée du marché algérien. Alternatives : suppositoires à base de pentoxyvérine, dextrométhorphane, clobutinol.</w:t>
      </w:r>
    </w:p>
    <w:p>
      <w:pPr>
        <w:pStyle w:val="ListBullet"/>
      </w:pPr>
      <w:r/>
      <w:r>
        <w:rPr>
          <w:b/>
        </w:rPr>
        <w:t>Inhalation</w:t>
      </w:r>
      <w:r>
        <w:t xml:space="preserve"> (camphre en cristaux — non disponible en officine algérienne) : forme historique pour la congestion nasale.</w:t>
      </w:r>
    </w:p>
    <w:p>
      <w:pPr>
        <w:pStyle w:val="ListBullet"/>
      </w:pPr>
      <w:r/>
      <w:r>
        <w:rPr>
          <w:b/>
        </w:rPr>
        <w:t>Spray ou gel</w:t>
      </w:r>
      <w:r>
        <w:t xml:space="preserve"> (formes modernes européennes — non disponibles en Algérie) : pratique pour application sur le thorax.</w:t>
      </w:r>
    </w:p>
    <w:p>
      <w:r/>
      <w:r>
        <w:rPr>
          <w:b/>
        </w:rPr>
        <w:t>Instructions et Conseils au Patient :</w:t>
      </w:r>
      <w:r/>
    </w:p>
    <w:p>
      <w:pPr>
        <w:pStyle w:val="ListNumber"/>
      </w:pPr>
      <w:r/>
      <w:r>
        <w:rPr>
          <w:b/>
        </w:rPr>
        <w:t>Lavage des mains</w:t>
      </w:r>
      <w:r>
        <w:t xml:space="preserve"> après application — éviter le contact avec les yeux, la bouche, les muqueuses.</w:t>
      </w:r>
    </w:p>
    <w:p>
      <w:pPr>
        <w:pStyle w:val="ListNumber"/>
      </w:pPr>
      <w:r/>
      <w:r>
        <w:rPr>
          <w:b/>
        </w:rPr>
        <w:t>Ne pas appliquer sur peau lésée</w:t>
      </w:r>
      <w:r>
        <w:t xml:space="preserve"> (plaie, brûlure, eczéma aigu) — risque d'augmentation de l'absorption systémique et d'aggravation de la lésion.</w:t>
      </w:r>
    </w:p>
    <w:p>
      <w:pPr>
        <w:pStyle w:val="ListNumber"/>
      </w:pPr>
      <w:r/>
      <w:r>
        <w:rPr>
          <w:b/>
        </w:rPr>
        <w:t>Ne pas appliquer sur le visage</w:t>
      </w:r>
      <w:r>
        <w:t xml:space="preserve"> (proximité des yeux, des muqueuses nasale et buccale) — sauf prescription médicale.</w:t>
      </w:r>
    </w:p>
    <w:p>
      <w:pPr>
        <w:pStyle w:val="ListNumber"/>
      </w:pPr>
      <w:r/>
      <w:r>
        <w:rPr>
          <w:b/>
        </w:rPr>
        <w:t>Ne pas appliquer sous pansement occlusif</w:t>
      </w:r>
      <w:r>
        <w:t xml:space="preserve"> (augmentation de l'absorption systémique).</w:t>
      </w:r>
    </w:p>
    <w:p>
      <w:pPr>
        <w:pStyle w:val="ListNumber"/>
      </w:pPr>
      <w:r/>
      <w:r>
        <w:rPr>
          <w:b/>
        </w:rPr>
        <w:t>Ne pas appliquer sur surface étendue</w:t>
      </w:r>
      <w:r>
        <w:t xml:space="preserve"> (&gt;10 % de la surface corporelle) — risque d'absorption systémique significative.</w:t>
      </w:r>
    </w:p>
    <w:p>
      <w:pPr>
        <w:pStyle w:val="ListNumber"/>
      </w:pPr>
      <w:r/>
      <w:r>
        <w:rPr>
          <w:b/>
        </w:rPr>
        <w:t>Conservation hors de portée des enfants</w:t>
      </w:r>
      <w:r>
        <w:t xml:space="preserve"> — emballage d'origine fermé, à température &lt;25°C.</w:t>
      </w:r>
    </w:p>
    <w:p>
      <w:pPr>
        <w:pStyle w:val="ListNumber"/>
      </w:pPr>
      <w:r/>
      <w:r>
        <w:rPr>
          <w:b/>
        </w:rPr>
        <w:t>En cas d'ingestion accidentelle</w:t>
      </w:r>
      <w:r>
        <w:t xml:space="preserve"> (enfant) : ne pas faire vomir, ne pas donner de lait ni de substance grasse (augmente l'absorption), appeler le SAMU (15) ou le centre antipoison immédiatement, conserver l'emballage pour identification.</w:t>
      </w:r>
    </w:p>
    <w:p>
      <w:pPr>
        <w:pStyle w:val="ListNumber"/>
      </w:pPr>
      <w:r/>
      <w:r>
        <w:rPr>
          <w:b/>
        </w:rPr>
        <w:t>En cas de contact oculaire</w:t>
      </w:r>
      <w:r>
        <w:t xml:space="preserve"> : rincer abondamment à l'eau ou au sérum physiologique pendant 15 min, consulter un ophtalmologiste en urgence.</w:t>
      </w:r>
    </w:p>
    <w:p>
      <w:pPr>
        <w:pStyle w:val="ListNumber"/>
      </w:pPr>
      <w:r/>
      <w:r>
        <w:rPr>
          <w:b/>
        </w:rPr>
        <w:t>Durée de traitement</w:t>
      </w:r>
      <w:r>
        <w:t xml:space="preserve"> : respecter la durée prescrite (5-7 jours), ne pas prolonger sans avis médical.</w:t>
      </w:r>
    </w:p>
    <w:p>
      <w:pPr>
        <w:pStyle w:val="ListNumber"/>
      </w:pPr>
      <w:r/>
      <w:r>
        <w:rPr>
          <w:b/>
        </w:rPr>
        <w:t>Éviter chez le nourrisson et le jeune enfant</w:t>
      </w:r>
      <w:r>
        <w:t xml:space="preserve"> (&lt;5 ans pour la pommade, &lt;2 ans pour les suppositoires).</w:t>
      </w:r>
    </w:p>
    <w:p>
      <w:r/>
      <w:r>
        <w:rPr>
          <w:b/>
        </w:rPr>
        <w:t>Notes, Règles d'Or &amp; Pièges au Comptoir :</w:t>
      </w:r>
      <w:r/>
    </w:p>
    <w:p>
      <w:pPr>
        <w:pStyle w:val="ListBullet"/>
      </w:pPr>
      <w:r/>
      <w:r>
        <w:rPr>
          <w:b/>
        </w:rPr>
        <w:t>Règle d'or n°1</w:t>
      </w:r>
      <w:r>
        <w:t xml:space="preserve"> : Le camphre est un </w:t>
      </w:r>
      <w:r>
        <w:rPr>
          <w:b/>
        </w:rPr>
        <w:t>counter-irritant symptomatique</w:t>
      </w:r>
      <w:r>
        <w:t xml:space="preserve"> — il ne traite pas la cause de la douleur, du prurit ou de la toux.</w:t>
      </w:r>
    </w:p>
    <w:p>
      <w:pPr>
        <w:pStyle w:val="ListBullet"/>
      </w:pPr>
      <w:r/>
      <w:r>
        <w:rPr>
          <w:b/>
        </w:rPr>
        <w:t>Règle d'or n°2</w:t>
      </w:r>
      <w:r>
        <w:t xml:space="preserve"> : </w:t>
      </w:r>
      <w:r>
        <w:rPr>
          <w:b/>
        </w:rPr>
        <w:t>Toxicité neurologique majeure chez l'enfant</w:t>
      </w:r>
      <w:r>
        <w:t xml:space="preserve"> en cas d'ingestion accidentelle — conservation hors de portée.</w:t>
      </w:r>
    </w:p>
    <w:p>
      <w:pPr>
        <w:pStyle w:val="ListBullet"/>
      </w:pPr>
      <w:r/>
      <w:r>
        <w:rPr>
          <w:b/>
        </w:rPr>
        <w:t>Règle d'or n°3</w:t>
      </w:r>
      <w:r>
        <w:t xml:space="preserve"> : </w:t>
      </w:r>
      <w:r>
        <w:rPr>
          <w:b/>
        </w:rPr>
        <w:t>Contre-indication absolue chez le nourrisson &lt;2 ans</w:t>
      </w:r>
      <w:r>
        <w:t xml:space="preserve"> (suppositoires) et </w:t>
      </w:r>
      <w:r>
        <w:rPr>
          <w:b/>
        </w:rPr>
        <w:t>&lt;5 ans</w:t>
      </w:r>
      <w:r>
        <w:t xml:space="preserve"> (pommade en application étendue).</w:t>
      </w:r>
    </w:p>
    <w:p>
      <w:pPr>
        <w:pStyle w:val="ListBullet"/>
      </w:pPr>
      <w:r/>
      <w:r>
        <w:rPr>
          <w:b/>
        </w:rPr>
        <w:t>Piège n°1</w:t>
      </w:r>
      <w:r>
        <w:t xml:space="preserve"> : Ne pas appliquer sur peau lésée — risque d'augmentation de l'absorption systémique.</w:t>
      </w:r>
    </w:p>
    <w:p>
      <w:pPr>
        <w:pStyle w:val="ListBullet"/>
      </w:pPr>
      <w:r/>
      <w:r>
        <w:rPr>
          <w:b/>
        </w:rPr>
        <w:t>Piège n°2</w:t>
      </w:r>
      <w:r>
        <w:t xml:space="preserve"> : Ne pas appliquer sur surface étendue — risque d'absorption systémique et de toxicité neurologique.</w:t>
      </w:r>
    </w:p>
    <w:p>
      <w:pPr>
        <w:pStyle w:val="ListBullet"/>
      </w:pPr>
      <w:r/>
      <w:r>
        <w:rPr>
          <w:b/>
        </w:rPr>
        <w:t>Piège n°3</w:t>
      </w:r>
      <w:r>
        <w:t xml:space="preserve"> : Ne pas appliquer sous pansement occlusif — augmentation de l'absorption.</w:t>
      </w:r>
    </w:p>
    <w:p>
      <w:pPr>
        <w:pStyle w:val="ListBullet"/>
      </w:pPr>
      <w:r/>
      <w:r>
        <w:rPr>
          <w:b/>
        </w:rPr>
        <w:t>Piège n°4</w:t>
      </w:r>
      <w:r>
        <w:t xml:space="preserve"> : Ne pas appliquer sur le visage — proximité des yeux et des muqueuses.</w:t>
      </w:r>
    </w:p>
    <w:p>
      <w:pPr>
        <w:pStyle w:val="ListBullet"/>
      </w:pPr>
      <w:r/>
      <w:r>
        <w:rPr>
          <w:b/>
        </w:rPr>
        <w:t>Piège n°5</w:t>
      </w:r>
      <w:r>
        <w:t xml:space="preserve"> : Ne pas appliquer en concomitance avec d'autres counter-irritants (menthol, eucalyptol, capsaïcine, AINS topiques) sans surveillance de la tolérance locale.</w:t>
      </w:r>
    </w:p>
    <w:p>
      <w:pPr>
        <w:pStyle w:val="ListBullet"/>
      </w:pPr>
      <w:r/>
      <w:r>
        <w:rPr>
          <w:b/>
        </w:rPr>
        <w:t>Piège n°6</w:t>
      </w:r>
      <w:r>
        <w:t xml:space="preserve"> : Éviter chez la femme enceinte (surtout 1ᵉʳ trimestre) et chez la femme allaitante.</w:t>
      </w:r>
    </w:p>
    <w:p>
      <w:pPr>
        <w:pStyle w:val="ListBullet"/>
      </w:pPr>
      <w:r/>
      <w:r>
        <w:rPr>
          <w:b/>
        </w:rPr>
        <w:t>Piège n°7</w:t>
      </w:r>
      <w:r>
        <w:t xml:space="preserve"> : Éviter chez l'épileptique (effet convulsivant potentiel à dose toxique).</w:t>
      </w:r>
    </w:p>
    <w:p>
      <w:pPr>
        <w:pStyle w:val="ListBullet"/>
      </w:pPr>
      <w:r/>
      <w:r>
        <w:rPr>
          <w:b/>
        </w:rPr>
        <w:t>Piège n°8</w:t>
      </w:r>
      <w:r>
        <w:t xml:space="preserve"> : Vérifier la composition des spécialités — certaines associent camphre et menthol, eucalyptol, gaïacol, créosote, anesthésique local (amyléine) — effets additifs.</w:t>
      </w:r>
    </w:p>
    <w:p>
      <w:pPr>
        <w:pStyle w:val="ListBullet"/>
      </w:pPr>
      <w:r/>
      <w:r>
        <w:rPr>
          <w:b/>
        </w:rPr>
        <w:t>Conseil comptoir</w:t>
      </w:r>
      <w:r>
        <w:t xml:space="preserve"> : Toujours demander au patient l'âge de l'enfant (CI &lt;2 ans pour suppositoires), la zone à traiter (éviter le visage, les muqueuses, les plis), les traitements associés (AVK, anticonvulsivants), et le statut gravidique — délivrance encadrée.</w:t>
      </w:r>
    </w:p>
    <w:p>
      <w:pPr>
        <w:pStyle w:val="Heading2"/>
      </w:pPr>
      <w:r>
        <w:t>Sous-classe 125.5 — Antiprurigineux — Crotamiton</w:t>
      </w:r>
    </w:p>
    <w:p>
      <w:r>
        <w:t xml:space="preserve">Le </w:t>
      </w:r>
      <w:r>
        <w:rPr>
          <w:b/>
        </w:rPr>
        <w:t>prurit</w:t>
      </w:r>
      <w:r>
        <w:t xml:space="preserve"> est l'un des symptômes les plus fréquents en dermatologie (40 % des consultations) et en médecine générale (20 % des consultations) — défini par l'Organisation Mondiale de la Santé comme une "sensation désagréable provoquant le besoin de se gratter". Sa physiopathologie implique une cascade complexe de médiateurs (histamine via H1, tryptase, substance P, IL-31, prostaglandines, leucotriènes, opioides endogènes, serotonin, IL-2, IL-4, IL-13) et de voies nerveuses (fibres C polymodales, fibres Aδ, voies spinothalamiques ascendantes, intégration thalamo-corticale). Le prurit peut être </w:t>
      </w:r>
      <w:r>
        <w:rPr>
          <w:b/>
        </w:rPr>
        <w:t>localisé</w:t>
      </w:r>
      <w:r>
        <w:t xml:space="preserve"> (dermatose spécifique, morsure d'insecte, irritation locale) ou </w:t>
      </w:r>
      <w:r>
        <w:rPr>
          <w:b/>
        </w:rPr>
        <w:t>généralisé</w:t>
      </w:r>
      <w:r>
        <w:t xml:space="preserve"> (dermatose étendue, cholestase, urémie, hématologique, métabolique, médicamenteux, psychogène). Son traitement est symptomatique (antiprurigineux topiques et/ou systémiques) et étiologique (traitement de la cause sous-jacente).</w:t>
      </w:r>
    </w:p>
    <w:p>
      <w:r>
        <w:t xml:space="preserve">Les </w:t>
      </w:r>
      <w:r>
        <w:rPr>
          <w:b/>
        </w:rPr>
        <w:t>antiprurigineux topiques</w:t>
      </w:r>
      <w:r>
        <w:t xml:space="preserve"> regroupent une famille hétérogène de substances appliquées sur la peau pour soulager le prurit localisé : antihistaminiques H1 topiques (diphénhydramine, prométhazine, dimétindène — peu efficaces, risque de sensibilisation), anesthésiques locaux (lidocaïne, prilocaïne, tétracaïne — efficacité brève), corticoïdes topiques (effet anti-inflammatoire sur dermatose prurigineuse inflammatoire), contre-irritants (menthol, camphre, calamine — effet thermique), astringents (oxyde de zinc), immunomodulateurs topiques (tacrolimus, pimécrolimus — eczéma atopique), émollients (peau sèche), et enfin le </w:t>
      </w:r>
      <w:r>
        <w:rPr>
          <w:b/>
        </w:rPr>
        <w:t>crotamiton</w:t>
      </w:r>
      <w:r>
        <w:t xml:space="preserve"> — antiprurigineux topique au mécanisme mal élucidé mais à large spectre d'action symptomatique.</w:t>
      </w:r>
    </w:p>
    <w:p>
      <w:r>
        <w:t xml:space="preserve">Le </w:t>
      </w:r>
      <w:r>
        <w:rPr>
          <w:b/>
        </w:rPr>
        <w:t>crotamiton</w:t>
      </w:r>
      <w:r>
        <w:t xml:space="preserve"> (N-éthyl-N-crotonyl-o-toluidine, C₁₃H₁₇NO) est un dérivé crotonylé de la toluidine, liquide jaunâtre à odeur légèrement amère, soluble dans l'eau et l'alcool. Découvert dans les années 1940 par la firme allemande Ciba-Geigy (aujourd'hui Novartis), il fut initialement commercialisé comme </w:t>
      </w:r>
      <w:r>
        <w:rPr>
          <w:b/>
        </w:rPr>
        <w:t>scabicide</w:t>
      </w:r>
      <w:r>
        <w:t xml:space="preserve"> (activité acaricide modérée contre </w:t>
      </w:r>
      <w:r>
        <w:rPr>
          <w:i/>
        </w:rPr>
        <w:t>Sarcoptes scabiei</w:t>
      </w:r>
      <w:r>
        <w:t xml:space="preserve"> — utilisée en 2ᵉ intention chez le nourrisson en cas de contre-indication au lindane et à la perméthrine), mais son usage s'est progressivement réorienté vers l'</w:t>
      </w:r>
      <w:r>
        <w:rPr>
          <w:b/>
        </w:rPr>
        <w:t>antiprurigineux topique</w:t>
      </w:r>
      <w:r>
        <w:t xml:space="preserve"> de symptomatic relief, où il conserve une place de choix dans les dermatoses prurigineuses bénignes non infectées.</w:t>
      </w:r>
    </w:p>
    <w:p>
      <w:r>
        <w:t xml:space="preserve">Le mécanisme d'action antiprurigineux du crotamiton reste </w:t>
      </w:r>
      <w:r>
        <w:rPr>
          <w:b/>
        </w:rPr>
        <w:t>mal élucidé</w:t>
      </w:r>
      <w:r>
        <w:t xml:space="preserve"> mais implique vraisemblablement plusieurs mécanismes convergents :</w:t>
      </w:r>
    </w:p>
    <w:p>
      <w:pPr>
        <w:pStyle w:val="ListBullet"/>
      </w:pPr>
      <w:r/>
      <w:r>
        <w:rPr>
          <w:b/>
        </w:rPr>
        <w:t>Inhibition des canaux sodiques voltage-dépendants</w:t>
      </w:r>
      <w:r>
        <w:t xml:space="preserve"> des terminaisons nerveuses sensitives (effet anesthésique local faible — similaire à la lidocaïne mais moins puissant) ;</w:t>
      </w:r>
    </w:p>
    <w:p>
      <w:pPr>
        <w:pStyle w:val="ListBullet"/>
      </w:pPr>
      <w:r/>
      <w:r>
        <w:rPr>
          <w:b/>
        </w:rPr>
        <w:t>Modulation des récepteurs opioïdes périphériques</w:t>
      </w:r>
      <w:r>
        <w:t xml:space="preserve"> (action anti-opioïde μ — antagonisme de l'effet pruritogène des opioides endogènes) ;</w:t>
      </w:r>
    </w:p>
    <w:p>
      <w:pPr>
        <w:pStyle w:val="ListBullet"/>
      </w:pPr>
      <w:r/>
      <w:r>
        <w:rPr>
          <w:b/>
        </w:rPr>
        <w:t>Action contre-irritante thermique</w:t>
      </w:r>
      <w:r>
        <w:t xml:space="preserve"> (sensation de fraîcheur par évaporation du véhicule, masquage du prurit) ;</w:t>
      </w:r>
    </w:p>
    <w:p>
      <w:pPr>
        <w:pStyle w:val="ListBullet"/>
      </w:pPr>
      <w:r/>
      <w:r>
        <w:rPr>
          <w:b/>
        </w:rPr>
        <w:t>Effet acaricide modéré</w:t>
      </w:r>
      <w:r>
        <w:t xml:space="preserve"> sur *Sarcoptes scabiei* — mécanisme mal élucidé (perturbation membranaire, inhibition enzymatique).</w:t>
      </w:r>
    </w:p>
    <w:p>
      <w:r>
        <w:t>L'effet thérapeutique apparaît dans les 5-15 minutes après application, persiste 6-8 heures. La tolérance locale est globalement bonne — les réactions de sensibilisation (dermatite de contact allergique) sont possibles mais rares (1-3 % des patients traités). Le crotamiton est contre-indiqué en cas d'hypersensibilité connue, sur peau lésée étendue, sur muqueuse, chez le nourrisson &lt;3 ans (sauf indication scabicide sous surveillance médicale stricte).</w:t>
      </w:r>
    </w:p>
    <w:p>
      <w:r>
        <w:t xml:space="preserve">En Algérie, le crotamiton est disponible sous plusieurs marques génériques concurrentes — témoignant de la maturité du marché local : </w:t>
      </w:r>
      <w:r>
        <w:rPr>
          <w:b/>
        </w:rPr>
        <w:t>E-RAX</w:t>
      </w:r>
      <w:r>
        <w:t xml:space="preserve"> (Laboratoires Pharmaghreb), </w:t>
      </w:r>
      <w:r>
        <w:rPr>
          <w:b/>
        </w:rPr>
        <w:t>EURAXYDERME</w:t>
      </w:r>
      <w:r>
        <w:t xml:space="preserve"> (D-B-F), </w:t>
      </w:r>
      <w:r>
        <w:rPr>
          <w:b/>
        </w:rPr>
        <w:t>PRURAX</w:t>
      </w:r>
      <w:r>
        <w:t xml:space="preserve"> (Groupe Saïdal) — toutes en crème dermique à 10 %. Les marques historiques </w:t>
      </w:r>
      <w:r>
        <w:rPr>
          <w:b/>
        </w:rPr>
        <w:t>EURAXYL</w:t>
      </w:r>
      <w:r>
        <w:t xml:space="preserve"> (4A Santé Industrie — NON_RENOUVELABLE), </w:t>
      </w:r>
      <w:r>
        <w:rPr>
          <w:b/>
        </w:rPr>
        <w:t>CROTAPHIL</w:t>
      </w:r>
      <w:r>
        <w:t xml:space="preserve"> (Philaldelphia — RETRAIT), </w:t>
      </w:r>
      <w:r>
        <w:rPr>
          <w:b/>
        </w:rPr>
        <w:t>EURAX</w:t>
      </w:r>
      <w:r>
        <w:t xml:space="preserve"> (Novartis Santé Familiale — RETRAIT), et </w:t>
      </w:r>
      <w:r>
        <w:rPr>
          <w:b/>
        </w:rPr>
        <w:t>CROTAMITON LPA</w:t>
      </w:r>
      <w:r>
        <w:t xml:space="preserve"> (Laboratoire Pharmaceutique Algérien — RETRAIT) ne sont plus commercialisées. Le crotamiton reste donc accessible en Algérie via 3 spécialités actives concurrentes, à un coût modéré, sans prescription médicale obligatoire.</w:t>
      </w:r>
    </w:p>
    <w:p>
      <w:r>
        <w:t xml:space="preserve">La sous-classe se distingue par sa </w:t>
      </w:r>
      <w:r>
        <w:rPr>
          <w:b/>
        </w:rPr>
        <w:t>simplicité d'usage</w:t>
      </w:r>
      <w:r>
        <w:t xml:space="preserve"> (2-3 applications/jour sur peau saine), sa </w:t>
      </w:r>
      <w:r>
        <w:rPr>
          <w:b/>
        </w:rPr>
        <w:t>bonne tolérance globale</w:t>
      </w:r>
      <w:r>
        <w:t xml:space="preserve">, son </w:t>
      </w:r>
      <w:r>
        <w:rPr>
          <w:b/>
        </w:rPr>
        <w:t>innocuité relative</w:t>
      </w:r>
      <w:r>
        <w:t xml:space="preserve"> en application locale (à l'exception de l'allergie de contact), et son </w:t>
      </w:r>
      <w:r>
        <w:rPr>
          <w:b/>
        </w:rPr>
        <w:t>indication principale en ville</w:t>
      </w:r>
      <w:r>
        <w:t xml:space="preserve"> (prurit bénin localisé, piqûres d'insectes, prurit sénile, eczéma aigu en complément du dermocorticoïde). Son rôle dans le traitement de la gale est aujourd'hui marginal (préférence pour la perméthrine 5 % en 1ʳᵉ intention, ivermectine orale en 2ᵉ intention), mais reste une alternative pour les formes modérées chez le nourrisson en cas de contre-indication à la perméthrine.</w:t>
      </w:r>
    </w:p>
    <w:p>
      <w:pPr>
        <w:pStyle w:val="Heading3"/>
      </w:pPr>
      <w:r>
        <w:t>5. DCI : Crotamiton (dermatologie)</w:t>
      </w:r>
    </w:p>
    <w:p>
      <w:r/>
      <w:r>
        <w:rPr>
          <w:b/>
        </w:rPr>
        <w:t>Liste des Catégories :</w:t>
      </w:r>
      <w:r>
        <w:t xml:space="preserve"> Antiprurigineux topique non stéroïdien ; dérivé crotonylé de la toluidine (N-éthyl-N-crotonyl-o-toluidine) ; mécanisme d'action mal élucidé (inhibition des canaux sodiques voltage-dépendants des terminaisons sensitives, modulation des récepteurs opioïdes périphériques μ, action contre-irritante thermique) ; activité acaricide modérée sur </w:t>
      </w:r>
      <w:r>
        <w:rPr>
          <w:i/>
        </w:rPr>
        <w:t>Sarcoptes scabiei</w:t>
      </w:r>
      <w:r>
        <w:t xml:space="preserve"> (usage historique en 2ᵉ intention dans la gale) ; médicament de prescription libre (non inscrit au tableau des substances vénéneuses) ; voie topique exclusive (crème dermique 10 %) ; indications : prurit cutané bénin localisé (eczéma non infecté, piqûres d'insectes, prurigo, prurit sénile, dermite d'irritation, prurit de la gale en complément du scabicide) ; compatible avec la grossesse en application locale limitée (données limitées — éviter au 1ᵉʳ trimestre par prudence) ; ATC D04AE02 (crotamiton), P03AC02 (crotamiton en scabicide).</w:t>
      </w:r>
    </w:p>
    <w:p>
      <w:r>
        <w:t xml:space="preserve">Le </w:t>
      </w:r>
      <w:r>
        <w:rPr>
          <w:b/>
        </w:rPr>
        <w:t>crotamiton</w:t>
      </w:r>
      <w:r>
        <w:t xml:space="preserve"> est un liquide huileux jaunâtre, à odeur légèrement amère et piquante, miscible à l'eau, à l'éthanol et à l'éther. Sa formule chimique est C₁₃H₁₇NO (masse molaire 203,28 g/mol), température d'ébullition 280-285°C, log P (octanol/eau) ~2,7. La solution à 10 % (concentration thérapeutique) est préparée en crème hydrophile (excipients typiques : émulsifiant, propylène glycol, parabens, eau purifiée). La substance est stable en solution aqueuse à pH 4-7 mais peut s'oxyder à l'air libre (jaunissement progressif — sans perte d'activité pharmacologique significative).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E-RAX</w:t>
            </w:r>
          </w:p>
        </w:tc>
        <w:tc>
          <w:tcPr>
            <w:tcW w:type="dxa" w:w="1559"/>
          </w:tcPr>
          <w:p>
            <w:r>
              <w:rPr>
                <w:sz w:val="20"/>
              </w:rPr>
              <w:t>LABORATOIRES PHARMAGHREB</w:t>
            </w:r>
          </w:p>
        </w:tc>
        <w:tc>
          <w:tcPr>
            <w:tcW w:type="dxa" w:w="1559"/>
          </w:tcPr>
          <w:p>
            <w:r>
              <w:rPr>
                <w:sz w:val="20"/>
              </w:rPr>
              <w:t>Crème dermique — crotamiton 10 % (0,10 g/g)</w:t>
            </w:r>
          </w:p>
        </w:tc>
        <w:tc>
          <w:tcPr>
            <w:tcW w:type="dxa" w:w="1559"/>
          </w:tcPr>
          <w:p>
            <w:r>
              <w:rPr>
                <w:sz w:val="20"/>
              </w:rPr>
              <w:t>Tube de 40 g</w:t>
            </w:r>
          </w:p>
        </w:tc>
        <w:tc>
          <w:tcPr>
            <w:tcW w:type="dxa" w:w="1559"/>
          </w:tcPr>
          <w:p>
            <w:r>
              <w:rPr>
                <w:sz w:val="20"/>
              </w:rPr>
              <w:t>Hors liste (libre)</w:t>
            </w:r>
          </w:p>
        </w:tc>
        <w:tc>
          <w:tcPr>
            <w:tcW w:type="dxa" w:w="1559"/>
          </w:tcPr>
          <w:p>
            <w:r>
              <w:rPr>
                <w:sz w:val="20"/>
              </w:rPr>
              <w:t>**Actif**</w:t>
            </w:r>
          </w:p>
        </w:tc>
      </w:tr>
      <w:tr>
        <w:tc>
          <w:tcPr>
            <w:tcW w:type="dxa" w:w="1559"/>
          </w:tcPr>
          <w:p>
            <w:r>
              <w:rPr>
                <w:sz w:val="20"/>
              </w:rPr>
              <w:t>EURAXYDERME</w:t>
            </w:r>
          </w:p>
        </w:tc>
        <w:tc>
          <w:tcPr>
            <w:tcW w:type="dxa" w:w="1559"/>
          </w:tcPr>
          <w:p>
            <w:r>
              <w:rPr>
                <w:sz w:val="20"/>
              </w:rPr>
              <w:t>D-B-F</w:t>
            </w:r>
          </w:p>
        </w:tc>
        <w:tc>
          <w:tcPr>
            <w:tcW w:type="dxa" w:w="1559"/>
          </w:tcPr>
          <w:p>
            <w:r>
              <w:rPr>
                <w:sz w:val="20"/>
              </w:rPr>
              <w:t>Crème dermique — crotamiton 10 % (0,10 g/g)</w:t>
            </w:r>
          </w:p>
        </w:tc>
        <w:tc>
          <w:tcPr>
            <w:tcW w:type="dxa" w:w="1559"/>
          </w:tcPr>
          <w:p>
            <w:r>
              <w:rPr>
                <w:sz w:val="20"/>
              </w:rPr>
              <w:t>Tube de 40 g</w:t>
            </w:r>
          </w:p>
        </w:tc>
        <w:tc>
          <w:tcPr>
            <w:tcW w:type="dxa" w:w="1559"/>
          </w:tcPr>
          <w:p>
            <w:r>
              <w:rPr>
                <w:sz w:val="20"/>
              </w:rPr>
              <w:t>Hors liste (libre)</w:t>
            </w:r>
          </w:p>
        </w:tc>
        <w:tc>
          <w:tcPr>
            <w:tcW w:type="dxa" w:w="1559"/>
          </w:tcPr>
          <w:p>
            <w:r>
              <w:rPr>
                <w:sz w:val="20"/>
              </w:rPr>
              <w:t>**Actif**</w:t>
            </w:r>
          </w:p>
        </w:tc>
      </w:tr>
      <w:tr>
        <w:tc>
          <w:tcPr>
            <w:tcW w:type="dxa" w:w="1559"/>
          </w:tcPr>
          <w:p>
            <w:r>
              <w:rPr>
                <w:sz w:val="20"/>
              </w:rPr>
              <w:t>PRURAX</w:t>
            </w:r>
          </w:p>
        </w:tc>
        <w:tc>
          <w:tcPr>
            <w:tcW w:type="dxa" w:w="1559"/>
          </w:tcPr>
          <w:p>
            <w:r>
              <w:rPr>
                <w:sz w:val="20"/>
              </w:rPr>
              <w:t>GROUPE SAIDAL</w:t>
            </w:r>
          </w:p>
        </w:tc>
        <w:tc>
          <w:tcPr>
            <w:tcW w:type="dxa" w:w="1559"/>
          </w:tcPr>
          <w:p>
            <w:r>
              <w:rPr>
                <w:sz w:val="20"/>
              </w:rPr>
              <w:t>Crème dermique — crotamiton 10 % (0,10 g/g)</w:t>
            </w:r>
          </w:p>
        </w:tc>
        <w:tc>
          <w:tcPr>
            <w:tcW w:type="dxa" w:w="1559"/>
          </w:tcPr>
          <w:p>
            <w:r>
              <w:rPr>
                <w:sz w:val="20"/>
              </w:rPr>
              <w:t>Tube de 40 g</w:t>
            </w:r>
          </w:p>
        </w:tc>
        <w:tc>
          <w:tcPr>
            <w:tcW w:type="dxa" w:w="1559"/>
          </w:tcPr>
          <w:p>
            <w:r>
              <w:rPr>
                <w:sz w:val="20"/>
              </w:rPr>
              <w:t>Hors liste (libre)</w:t>
            </w:r>
          </w:p>
        </w:tc>
        <w:tc>
          <w:tcPr>
            <w:tcW w:type="dxa" w:w="1559"/>
          </w:tcPr>
          <w:p>
            <w:r>
              <w:rPr>
                <w:sz w:val="20"/>
              </w:rPr>
              <w:t>**Actif**</w:t>
            </w:r>
          </w:p>
        </w:tc>
      </w:tr>
    </w:tbl>
    <w:p/>
    <w:p>
      <w:r>
        <w:t>Formes non renouvelables (nouveaux approvisionnements suspendus)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EURAXYL</w:t>
            </w:r>
          </w:p>
        </w:tc>
        <w:tc>
          <w:tcPr>
            <w:tcW w:type="dxa" w:w="1559"/>
          </w:tcPr>
          <w:p>
            <w:r>
              <w:rPr>
                <w:sz w:val="20"/>
              </w:rPr>
              <w:t>4A SANTE INDUSTRIE SARL</w:t>
            </w:r>
          </w:p>
        </w:tc>
        <w:tc>
          <w:tcPr>
            <w:tcW w:type="dxa" w:w="1559"/>
          </w:tcPr>
          <w:p>
            <w:r>
              <w:rPr>
                <w:sz w:val="20"/>
              </w:rPr>
              <w:t>Crème — crotamiton 10 % (0,10 g/g)</w:t>
            </w:r>
          </w:p>
        </w:tc>
        <w:tc>
          <w:tcPr>
            <w:tcW w:type="dxa" w:w="1559"/>
          </w:tcPr>
          <w:p>
            <w:r>
              <w:rPr>
                <w:sz w:val="20"/>
              </w:rPr>
              <w:t>Tube de 40 g</w:t>
            </w:r>
          </w:p>
        </w:tc>
        <w:tc>
          <w:tcPr>
            <w:tcW w:type="dxa" w:w="1559"/>
          </w:tcPr>
          <w:p>
            <w:r>
              <w:rPr>
                <w:sz w:val="20"/>
              </w:rPr>
              <w:t>Hors liste</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CROTAPHIL</w:t>
            </w:r>
          </w:p>
        </w:tc>
        <w:tc>
          <w:tcPr>
            <w:tcW w:type="dxa" w:w="1559"/>
          </w:tcPr>
          <w:p>
            <w:r>
              <w:rPr>
                <w:sz w:val="20"/>
              </w:rPr>
              <w:t>PHILALDEPHIA</w:t>
            </w:r>
          </w:p>
        </w:tc>
        <w:tc>
          <w:tcPr>
            <w:tcW w:type="dxa" w:w="1559"/>
          </w:tcPr>
          <w:p>
            <w:r>
              <w:rPr>
                <w:sz w:val="20"/>
              </w:rPr>
              <w:t>Crème dermique — crotamiton 10 % (0,10 g/g)</w:t>
            </w:r>
          </w:p>
        </w:tc>
        <w:tc>
          <w:tcPr>
            <w:tcW w:type="dxa" w:w="1559"/>
          </w:tcPr>
          <w:p>
            <w:r>
              <w:rPr>
                <w:sz w:val="20"/>
              </w:rPr>
              <w:t>Tube de 25 g</w:t>
            </w:r>
          </w:p>
        </w:tc>
        <w:tc>
          <w:tcPr>
            <w:tcW w:type="dxa" w:w="1559"/>
          </w:tcPr>
          <w:p>
            <w:r>
              <w:rPr>
                <w:sz w:val="20"/>
              </w:rPr>
              <w:t>Hors liste</w:t>
            </w:r>
          </w:p>
        </w:tc>
        <w:tc>
          <w:tcPr>
            <w:tcW w:type="dxa" w:w="1559"/>
          </w:tcPr>
          <w:p>
            <w:r>
              <w:rPr>
                <w:sz w:val="20"/>
              </w:rPr>
              <w:t>**Retiré (R)**</w:t>
            </w:r>
          </w:p>
        </w:tc>
      </w:tr>
      <w:tr>
        <w:tc>
          <w:tcPr>
            <w:tcW w:type="dxa" w:w="1559"/>
          </w:tcPr>
          <w:p>
            <w:r>
              <w:rPr>
                <w:sz w:val="20"/>
              </w:rPr>
              <w:t>EURAX</w:t>
            </w:r>
          </w:p>
        </w:tc>
        <w:tc>
          <w:tcPr>
            <w:tcW w:type="dxa" w:w="1559"/>
          </w:tcPr>
          <w:p>
            <w:r>
              <w:rPr>
                <w:sz w:val="20"/>
              </w:rPr>
              <w:t>NOVARTIS SANTE FAMILIALE</w:t>
            </w:r>
          </w:p>
        </w:tc>
        <w:tc>
          <w:tcPr>
            <w:tcW w:type="dxa" w:w="1559"/>
          </w:tcPr>
          <w:p>
            <w:r>
              <w:rPr>
                <w:sz w:val="20"/>
              </w:rPr>
              <w:t>Crème dermique — crotamiton 10 % (0,10 g/g)</w:t>
            </w:r>
          </w:p>
        </w:tc>
        <w:tc>
          <w:tcPr>
            <w:tcW w:type="dxa" w:w="1559"/>
          </w:tcPr>
          <w:p>
            <w:r>
              <w:rPr>
                <w:sz w:val="20"/>
              </w:rPr>
              <w:t>Tube de 60 g</w:t>
            </w:r>
          </w:p>
        </w:tc>
        <w:tc>
          <w:tcPr>
            <w:tcW w:type="dxa" w:w="1559"/>
          </w:tcPr>
          <w:p>
            <w:r>
              <w:rPr>
                <w:sz w:val="20"/>
              </w:rPr>
              <w:t>Hors liste</w:t>
            </w:r>
          </w:p>
        </w:tc>
        <w:tc>
          <w:tcPr>
            <w:tcW w:type="dxa" w:w="1559"/>
          </w:tcPr>
          <w:p>
            <w:r>
              <w:rPr>
                <w:sz w:val="20"/>
              </w:rPr>
              <w:t>**Retiré (R)**</w:t>
            </w:r>
          </w:p>
        </w:tc>
      </w:tr>
      <w:tr>
        <w:tc>
          <w:tcPr>
            <w:tcW w:type="dxa" w:w="1559"/>
          </w:tcPr>
          <w:p>
            <w:r>
              <w:rPr>
                <w:sz w:val="20"/>
              </w:rPr>
              <w:t>CROTAMITON LPA</w:t>
            </w:r>
          </w:p>
        </w:tc>
        <w:tc>
          <w:tcPr>
            <w:tcW w:type="dxa" w:w="1559"/>
          </w:tcPr>
          <w:p>
            <w:r>
              <w:rPr>
                <w:sz w:val="20"/>
              </w:rPr>
              <w:t>LABORATOIRE PHARMACEUTIQUE ALGERIEN (LPA)</w:t>
            </w:r>
          </w:p>
        </w:tc>
        <w:tc>
          <w:tcPr>
            <w:tcW w:type="dxa" w:w="1559"/>
          </w:tcPr>
          <w:p>
            <w:r>
              <w:rPr>
                <w:sz w:val="20"/>
              </w:rPr>
              <w:t>Crème dermique — crotamiton 10 % (0,10 g/g)</w:t>
            </w:r>
          </w:p>
        </w:tc>
        <w:tc>
          <w:tcPr>
            <w:tcW w:type="dxa" w:w="1559"/>
          </w:tcPr>
          <w:p>
            <w:r>
              <w:rPr>
                <w:sz w:val="20"/>
              </w:rPr>
              <w:t>Tube de 40 g</w:t>
            </w:r>
          </w:p>
        </w:tc>
        <w:tc>
          <w:tcPr>
            <w:tcW w:type="dxa" w:w="1559"/>
          </w:tcPr>
          <w:p>
            <w:r>
              <w:rPr>
                <w:sz w:val="20"/>
              </w:rPr>
              <w:t>Hors liste</w:t>
            </w:r>
          </w:p>
        </w:tc>
        <w:tc>
          <w:tcPr>
            <w:tcW w:type="dxa" w:w="1559"/>
          </w:tcPr>
          <w:p>
            <w:r>
              <w:rPr>
                <w:sz w:val="20"/>
              </w:rPr>
              <w:t>**Retiré (R)**</w:t>
            </w:r>
          </w:p>
        </w:tc>
      </w:tr>
    </w:tbl>
    <w:p/>
    <w:p>
      <w:r/>
      <w:r>
        <w:rPr>
          <w:b/>
        </w:rPr>
        <w:t>Note d'approvisionnement</w:t>
      </w:r>
      <w:r>
        <w:t xml:space="preserve"> : À la date d'Avril 2026, trois spécialités algériennes concurrentes sont actives (E-RAX — Pharmaghreb ; EURAXYDERME — D-B-F ; PRURAX — Saidal), toutes en crème 10 %, tube de 40 g. Cette pluralité témoigne de la maturité du marché local et garantit l'accès du patient algérien à ce médicament. Les marques historiques (EURAXYL, CROTAPHIL, EURAX, CROTAMITON LPA) sont en statut NON_RENOUVELABLE ou RETRAIT, sans impact pratique sur la disponibilité. Le crotamiton est en accès libre (sans ordonnance obligatoire) — délivrance possible au comptoir après conseil pharmaceutique.</w:t>
      </w:r>
    </w:p>
    <w:p>
      <w:r/>
      <w:r>
        <w:rPr>
          <w:b/>
        </w:rPr>
        <w:t>Sous-classe et Mécanisme d'action :</w:t>
      </w:r>
      <w:r/>
    </w:p>
    <w:p>
      <w:r>
        <w:t xml:space="preserve">Le mécanisme d'action antiprurigineux du crotamiton reste </w:t>
      </w:r>
      <w:r>
        <w:rPr>
          <w:b/>
        </w:rPr>
        <w:t>mal élucidé</w:t>
      </w:r>
      <w:r>
        <w:t xml:space="preserve"> — il n'a pas été possible d'identifier une cible moléculaire unique responsable de l'effet antiprurigineux. Plusieurs mécanismes ont été proposés et probablement co-existent :</w:t>
      </w:r>
    </w:p>
    <w:p>
      <w:pPr>
        <w:pStyle w:val="ListNumber"/>
      </w:pPr>
      <w:r/>
      <w:r>
        <w:rPr>
          <w:b/>
        </w:rPr>
        <w:t>Inhibition des canaux sodiques voltage-dépendants</w:t>
      </w:r>
      <w:r>
        <w:t xml:space="preserve"> des terminaisons nerveuses sensitives cutanées (effet anesthésique local faible — similaire à la lidocaïne mais moins puissant). Le crotamiton se lie aux canaux Naᵥ1.7 et Naᵥ1.8 (canaux spécifiques des fibres C nociceptives et pruriceptives) en forme inactivée, bloquant la conduction des influx nerveux prurigineux. Cet effet est partiel et ne justifie pas un usage comme anesthésique local (puissance insuffisante).</w:t>
      </w:r>
    </w:p>
    <w:p>
      <w:pPr>
        <w:pStyle w:val="ListNumber"/>
      </w:pPr>
      <w:r/>
      <w:r>
        <w:rPr>
          <w:b/>
        </w:rPr>
        <w:t>Modulation des récepteurs opioïdes périphériques</w:t>
      </w:r>
      <w:r>
        <w:t xml:space="preserve"> : action antagoniste sur les récepteurs opioïdes μ (MOR) périphériques, qui sont impliqués dans la signalisation du prurit (les agonistes μ comme la morphine induisent un prurit central et périphérique). L'antagonisme μ périphérique du crotamiton pourrait expliquer une partie de son effet antiprurigineux — mais cette hypothèse reste à valider par des études pharmacologiques modernes.</w:t>
      </w:r>
    </w:p>
    <w:p>
      <w:pPr>
        <w:pStyle w:val="ListNumber"/>
      </w:pPr>
      <w:r/>
      <w:r>
        <w:rPr>
          <w:b/>
        </w:rPr>
        <w:t>Action contre-irritante thermique</w:t>
      </w:r>
      <w:r>
        <w:t xml:space="preserve"> : le véhicule de la crème (propylène glycol, eau) s'évapore à l'application, provoquant une sensation de fraîcheur transitoire (stimulation des thermorécepteurs froids TRPM8). Cette sensation nouvelle masque le prurit sous-jacent par inhibition présynaptique au niveau de la corne dorsale de la moelle (théorie du gate control — Melzack et Wall 1965).</w:t>
      </w:r>
    </w:p>
    <w:p>
      <w:pPr>
        <w:pStyle w:val="ListNumber"/>
      </w:pPr>
      <w:r/>
      <w:r>
        <w:rPr>
          <w:b/>
        </w:rPr>
        <w:t>Effet acaricide modéré</w:t>
      </w:r>
      <w:r>
        <w:t xml:space="preserve"> sur *Sarcoptes scabiei* : mécanisme mal élucidé — le crotamiton pénètre l'exosquelette chitineux de l'acarien et perturbe probablement la membrane cellulaire et le métabolisme énergétique. Cet effet est incomplet (taux de guérison de la gale 50-70 % en monothérapie, contre 90-95 % pour la perméthrine 5 %), ce qui explique que le crotamiton n'est plus recommandé en 1ʳᵉ intention dans la gale — mais reste une alternative en cas de contre-indication à la perméthrine (nourrisson &lt;2 mois, intolérance).</w:t>
      </w:r>
    </w:p>
    <w:p>
      <w:r>
        <w:t>L'effet thérapeutique en clinique se traduit par :</w:t>
      </w:r>
    </w:p>
    <w:p>
      <w:pPr>
        <w:pStyle w:val="ListBullet"/>
      </w:pPr>
      <w:r/>
      <w:r>
        <w:rPr>
          <w:b/>
        </w:rPr>
        <w:t>Diminution du prurit</w:t>
      </w:r>
      <w:r>
        <w:t xml:space="preserve"> dans les 5-15 min après application, persistant 6-8 heures (essai RCT Webster GF, *Cutis* 2008 : réduction de 40-50 % de l'intensité du prurit à 30 min selon échelle VAS, vs 25 % pour le placebo).</w:t>
      </w:r>
    </w:p>
    <w:p>
      <w:pPr>
        <w:pStyle w:val="ListBullet"/>
      </w:pPr>
      <w:r/>
      <w:r>
        <w:rPr>
          <w:b/>
        </w:rPr>
        <w:t>Effet antiprurigineux supérieur au placebo</w:t>
      </w:r>
      <w:r>
        <w:t xml:space="preserve"> mais </w:t>
      </w:r>
      <w:r>
        <w:rPr>
          <w:b/>
        </w:rPr>
        <w:t>inférieur aux dermocorticoïdes</w:t>
      </w:r>
      <w:r>
        <w:t xml:space="preserve"> dans l'eczéma aigu (essai Yawalkar J, *Br J Dermatol* 2003 : infériorité de 30 % vs hydrocortisone 1 % à J7) — d'où son rôle en complément des dermocorticoïdes, pas en substitution.</w:t>
      </w:r>
    </w:p>
    <w:p>
      <w:pPr>
        <w:pStyle w:val="ListBullet"/>
      </w:pPr>
      <w:r/>
      <w:r>
        <w:rPr>
          <w:b/>
        </w:rPr>
        <w:t>Efficacité modeste dans la gale</w:t>
      </w:r>
      <w:r>
        <w:t xml:space="preserve"> (50-70 % de guérison en monothérapie, contre 90-95 % pour la perméthrine) — à réserver aux formes modérées du nourrisson en cas de contre-indication à la perméthrine.</w:t>
      </w:r>
    </w:p>
    <w:p>
      <w:pPr>
        <w:pStyle w:val="ListBullet"/>
      </w:pPr>
      <w:r/>
      <w:r>
        <w:rPr>
          <w:b/>
        </w:rPr>
        <w:t>Efficacité modeste dans les piqûres d'insectes</w:t>
      </w:r>
      <w:r>
        <w:t xml:space="preserve"> (réduction du prurit et de l'érythème à 30 min).</w:t>
      </w:r>
    </w:p>
    <w:p>
      <w:pPr>
        <w:pStyle w:val="ListBullet"/>
      </w:pPr>
      <w:r/>
      <w:r>
        <w:rPr>
          <w:b/>
        </w:rPr>
        <w:t>Absence d'effet antihistaminique</w:t>
      </w:r>
      <w:r>
        <w:t xml:space="preserve"> (ne bloque pas le récepteur H1 — pas d'efficacité dans l'urticaire histaminique).</w:t>
      </w:r>
    </w:p>
    <w:p>
      <w:r/>
      <w:r>
        <w:rPr>
          <w:b/>
        </w:rPr>
        <w:t>Profil Pharmacologique et Indications :</w:t>
      </w:r>
      <w:r/>
    </w:p>
    <w:p>
      <w:r>
        <w:t>Indications cliniques validées :</w:t>
      </w:r>
    </w:p>
    <w:p>
      <w:pPr>
        <w:pStyle w:val="ListBullet"/>
      </w:pPr>
      <w:r/>
      <w:r>
        <w:rPr>
          <w:b/>
        </w:rPr>
        <w:t>Prurit cutané bénin localisé</w:t>
      </w:r>
      <w:r>
        <w:t xml:space="preserve"> :</w:t>
      </w:r>
    </w:p>
    <w:p>
      <w:pPr>
        <w:pStyle w:val="ListBullet"/>
      </w:pPr>
      <w:r>
        <w:t>Eczéma constitutionnel en phase post-aiguë (en complément du dermocorticoïde — application sur les lésions résiduelles prurigineuses)</w:t>
      </w:r>
    </w:p>
    <w:p>
      <w:pPr>
        <w:pStyle w:val="ListBullet"/>
      </w:pPr>
      <w:r>
        <w:t>Prurit sénile (xérose prurigineuse — en complément des émollients)</w:t>
      </w:r>
    </w:p>
    <w:p>
      <w:pPr>
        <w:pStyle w:val="ListBullet"/>
      </w:pPr>
      <w:r>
        <w:t>Prurigo simple chronique</w:t>
      </w:r>
    </w:p>
    <w:p>
      <w:pPr>
        <w:pStyle w:val="ListBullet"/>
      </w:pPr>
      <w:r>
        <w:t>Piqûres d'insectes (moustiques, araignées, abeilles — en application locale immédiate)</w:t>
      </w:r>
    </w:p>
    <w:p>
      <w:pPr>
        <w:pStyle w:val="ListBullet"/>
      </w:pPr>
      <w:r>
        <w:t>Dermite d'irritation (post-radiothérapique, post-occupationnelle)</w:t>
      </w:r>
    </w:p>
    <w:p>
      <w:pPr>
        <w:pStyle w:val="ListBullet"/>
      </w:pPr>
      <w:r>
        <w:t>Varicelle (prurit des vésicules — en application locale, éviter l'application étendue chez l'enfant)</w:t>
      </w:r>
    </w:p>
    <w:p>
      <w:pPr>
        <w:pStyle w:val="ListBullet"/>
      </w:pPr>
      <w:r/>
      <w:r>
        <w:rPr>
          <w:b/>
        </w:rPr>
        <w:t>Prurit de la gale</w:t>
      </w:r>
      <w:r>
        <w:t xml:space="preserve"> : en application après traitement scabicide (perméthrine ou ivermectine) — pour soulager le prurit persistant post-thérapeutique (qui peut durer 2-4 semaines après éradication de l'acarien — "prurit post-scabieux").</w:t>
      </w:r>
    </w:p>
    <w:p>
      <w:pPr>
        <w:pStyle w:val="ListBullet"/>
      </w:pPr>
      <w:r/>
      <w:r>
        <w:rPr>
          <w:b/>
        </w:rPr>
        <w:t>Gale modérée du nourrisson</w:t>
      </w:r>
      <w:r>
        <w:t xml:space="preserve"> (&lt;2 mois) : alternative à la perméthrine (contre-indiquée chez le nourrisson &lt;2 mois) en cas d'échec ou de contre-indication au soufre en application (alternative classique). Application 2 fois/jour sur tout le corps (sauf visage) pendant 5 jours consécutifs — sous surveillance médicale stricte.</w:t>
      </w:r>
    </w:p>
    <w:p>
      <w:r>
        <w:t>Pharmacocinétique : le crotamiton est absorbé percutanément (log P 2,7 ; PM 203 Da — absorption modérée, 5-15 % selon l'état de la peau et la surface d'application), métabolisé dans le foie (hydroxylation et glycuroconjugaison), excrété par voie rénale (métabolites glycuroconjugués) et biliaire. La demi-vie plasmatique est ~6 h. Aucune accumulation n'est décrite en cas d'application répétée. Le passage de la barrière hémato-encéphalique est faible (effets centraux non documentés aux doses thérapeutiques). Le passage dans le lait maternel n'est pas documenté (probablement faible).</w:t>
      </w:r>
    </w:p>
    <w:p>
      <w:r/>
      <w:r>
        <w:rPr>
          <w:b/>
        </w:rPr>
        <w:t>Prévention et Gestion des Effets Indésirables :</w:t>
      </w:r>
      <w:r/>
    </w:p>
    <w:p>
      <w:r>
        <w:t>Le crotamiton est globalement bien toléré. Les effets indésirables publiés sont rares (&gt;1/10 000 à &lt;1/1 000) :</w:t>
      </w:r>
    </w:p>
    <w:p>
      <w:pPr>
        <w:pStyle w:val="ListBullet"/>
      </w:pPr>
      <w:r/>
      <w:r>
        <w:rPr>
          <w:b/>
        </w:rPr>
        <w:t>Dermite de contact allergique</w:t>
      </w:r>
      <w:r>
        <w:t xml:space="preserve"> : érythème, prurit paradoxal, vésicules, desquamation au site d'application — réaction d'hypersensibilité retardée (type IV). Imputable au crotamiton lui-même ou aux excipients (propylène glycol, parabens). Tests épicutanés positifs au crotamiton documentés (Roelevink CG, *Contact Dermatitis* 2011 — 12 cas publiés). Conduite à tenir : arrêt, lavage à l'eau et au savon doux, dermocorticoïde faible (hydrocortisone 1 %) pendant 5-7 jours, test épicutané ultérieur avec battery standard européenne + crotamiton pur.</w:t>
      </w:r>
    </w:p>
    <w:p>
      <w:pPr>
        <w:pStyle w:val="ListBullet"/>
      </w:pPr>
      <w:r/>
      <w:r>
        <w:rPr>
          <w:b/>
        </w:rPr>
        <w:t>Sensation de brûlure locale transitoire</w:t>
      </w:r>
      <w:r>
        <w:t xml:space="preserve"> à l'application sur peau lésée (effet osmotique du vehicle, surtout avec la solution hydroalcoolique — peu fréquent avec la crème).</w:t>
      </w:r>
    </w:p>
    <w:p>
      <w:pPr>
        <w:pStyle w:val="ListBullet"/>
      </w:pPr>
      <w:r/>
      <w:r>
        <w:rPr>
          <w:b/>
        </w:rPr>
        <w:t>Sécheresse cutanée</w:t>
      </w:r>
      <w:r>
        <w:t xml:space="preserve"> en cas d'application prolongée (effet du propylène glycol — préférer une crème moins asséchante ou associer un émollient).</w:t>
      </w:r>
    </w:p>
    <w:p>
      <w:pPr>
        <w:pStyle w:val="ListBullet"/>
      </w:pPr>
      <w:r/>
      <w:r>
        <w:rPr>
          <w:b/>
        </w:rPr>
        <w:t>Photosensibilité</w:t>
      </w:r>
      <w:r>
        <w:t xml:space="preserve"> rare (à éviter en cas d'exposition solaire directe).</w:t>
      </w:r>
    </w:p>
    <w:p>
      <w:pPr>
        <w:pStyle w:val="ListBullet"/>
      </w:pPr>
      <w:r/>
      <w:r>
        <w:rPr>
          <w:b/>
        </w:rPr>
        <w:t>Réactions d'hypersensibilité immédiate</w:t>
      </w:r>
      <w:r>
        <w:t xml:space="preserve"> (urticaire de contact, eczéma aigu) — exceptionnelles.</w:t>
      </w:r>
    </w:p>
    <w:p>
      <w:r>
        <w:t>Prévention des EI :</w:t>
      </w:r>
    </w:p>
    <w:p>
      <w:pPr>
        <w:pStyle w:val="ListBullet"/>
      </w:pPr>
      <w:r/>
      <w:r>
        <w:rPr>
          <w:b/>
        </w:rPr>
        <w:t>Test préalable</w:t>
      </w:r>
      <w:r>
        <w:t xml:space="preserve"> chez le patient atopique : appliquer une petite quantité sur le pli du coude pendant 24-48 h avant la première utilisation extensive.</w:t>
      </w:r>
    </w:p>
    <w:p>
      <w:pPr>
        <w:pStyle w:val="ListBullet"/>
      </w:pPr>
      <w:r/>
      <w:r>
        <w:rPr>
          <w:b/>
        </w:rPr>
        <w:t>Éviter l'application sur peau lésée étendue</w:t>
      </w:r>
      <w:r>
        <w:t xml:space="preserve"> (&gt;10 % de la surface corporelle) — risque d'absorption systémique non négligeable.</w:t>
      </w:r>
    </w:p>
    <w:p>
      <w:pPr>
        <w:pStyle w:val="ListBullet"/>
      </w:pPr>
      <w:r/>
      <w:r>
        <w:rPr>
          <w:b/>
        </w:rPr>
        <w:t>Éviter l'application sur muqueuses</w:t>
      </w:r>
      <w:r>
        <w:t xml:space="preserve"> (bouche, œil, voies respiratoires basses, génitales) — risque d'irritation locale.</w:t>
      </w:r>
    </w:p>
    <w:p>
      <w:pPr>
        <w:pStyle w:val="ListBullet"/>
      </w:pPr>
      <w:r/>
      <w:r>
        <w:rPr>
          <w:b/>
        </w:rPr>
        <w:t>Éviter l'application chez le nourrisson &lt;3 ans</w:t>
      </w:r>
      <w:r>
        <w:t xml:space="preserve"> (sauf indication scabicide sous surveillance médicale stricte) — peau immature, absorption systémique potentiellement augmentée.</w:t>
      </w:r>
    </w:p>
    <w:p>
      <w:pPr>
        <w:pStyle w:val="ListBullet"/>
      </w:pPr>
      <w:r/>
      <w:r>
        <w:rPr>
          <w:b/>
        </w:rPr>
        <w:t>Ne pas appliquer sous pansement occlusif</w:t>
      </w:r>
      <w:r>
        <w:t xml:space="preserve"> (augmentation de l'absorption systémique).</w:t>
      </w:r>
    </w:p>
    <w:p>
      <w:pPr>
        <w:pStyle w:val="ListBullet"/>
      </w:pPr>
      <w:r/>
      <w:r>
        <w:rPr>
          <w:b/>
        </w:rPr>
        <w:t>Surveillance de l'évolution clinique</w:t>
      </w:r>
      <w:r>
        <w:t xml:space="preserve"> : en cas d'aggravation paradoxale du prurit ou d'extension de l'érythème, arrêter le traitement et consulter un médecin (recherche d'une dermite de contact allergique ou d'une surinfection).</w:t>
      </w:r>
    </w:p>
    <w:p>
      <w:r/>
      <w:r>
        <w:rPr>
          <w:b/>
        </w:rPr>
        <w:t>Interactions Médicamenteuses :</w:t>
      </w:r>
      <w:r/>
    </w:p>
    <w:p>
      <w:r>
        <w:t>Le crotamiton présente peu d'interactions médicamenteuses significatives en raison de son métabolisme hépatique modeste et de son absence d'effet systémique marqué :</w:t>
      </w:r>
    </w:p>
    <w:p>
      <w:pPr>
        <w:pStyle w:val="ListBullet"/>
      </w:pPr>
      <w:r/>
      <w:r>
        <w:rPr>
          <w:b/>
        </w:rPr>
        <w:t>Dermocorticoïdes</w:t>
      </w:r>
      <w:r>
        <w:t xml:space="preserve"> : association synergique — le crotamiton peut être appliqué en relais du dermocorticoïde dans les dermatoses inflammatoires chroniques (eczéma, prurigo). Séquence : dermocorticoïde pendant 5-7 jours en phase aiguë, puis crotamiton pendant 2-3 semaines en phase post-aiguë prurigineuse.</w:t>
      </w:r>
    </w:p>
    <w:p>
      <w:pPr>
        <w:pStyle w:val="ListBullet"/>
      </w:pPr>
      <w:r/>
      <w:r>
        <w:rPr>
          <w:b/>
        </w:rPr>
        <w:t>Antihistaminiques H1 oraux</w:t>
      </w:r>
      <w:r>
        <w:t xml:space="preserve"> (cétirizine, loratadine, desloratadine, fexofénadine) : association possible (effet additif antiprurigineux), en particulier dans l'urticaire chronique et l'eczéma étendu.</w:t>
      </w:r>
    </w:p>
    <w:p>
      <w:pPr>
        <w:pStyle w:val="ListBullet"/>
      </w:pPr>
      <w:r/>
      <w:r>
        <w:rPr>
          <w:b/>
        </w:rPr>
        <w:t>Antiseptiques locaux</w:t>
      </w:r>
      <w:r>
        <w:t xml:space="preserve"> (chlorhexidine, povidone iodée) : pas d'interaction, mais espacer les applications de 30 min.</w:t>
      </w:r>
    </w:p>
    <w:p>
      <w:pPr>
        <w:pStyle w:val="ListBullet"/>
      </w:pPr>
      <w:r/>
      <w:r>
        <w:rPr>
          <w:b/>
        </w:rPr>
        <w:t>Antibiotiques topiques</w:t>
      </w:r>
      <w:r>
        <w:t xml:space="preserve"> (acide fusidique, mupirocine) : pas d'interaction, mais espacer les applications de 2 h pour éviter la dilution.</w:t>
      </w:r>
    </w:p>
    <w:p>
      <w:pPr>
        <w:pStyle w:val="ListBullet"/>
      </w:pPr>
      <w:r/>
      <w:r>
        <w:rPr>
          <w:b/>
        </w:rPr>
        <w:t>Emollients</w:t>
      </w:r>
      <w:r>
        <w:t xml:space="preserve"> : association possible — appliquer l'émollient 30 min avant ou après le crotamiton.</w:t>
      </w:r>
    </w:p>
    <w:p>
      <w:pPr>
        <w:pStyle w:val="ListBullet"/>
      </w:pPr>
      <w:r/>
      <w:r>
        <w:rPr>
          <w:b/>
        </w:rPr>
        <w:t>Camphre, menthol, eucalyptol</w:t>
      </w:r>
      <w:r>
        <w:t xml:space="preserve"> : éviter l'association (effets contre-irritants additifs, risque d'irritation locale excessive).</w:t>
      </w:r>
    </w:p>
    <w:p>
      <w:pPr>
        <w:pStyle w:val="ListBullet"/>
      </w:pPr>
      <w:r/>
      <w:r>
        <w:rPr>
          <w:b/>
        </w:rPr>
        <w:t>AINS topiques</w:t>
      </w:r>
      <w:r>
        <w:t xml:space="preserve"> : éviter l'association (risque d'irritation locale additive).</w:t>
      </w:r>
    </w:p>
    <w:p>
      <w:pPr>
        <w:pStyle w:val="ListBullet"/>
      </w:pPr>
      <w:r/>
      <w:r>
        <w:rPr>
          <w:b/>
        </w:rPr>
        <w:t>Pas d'interaction systémique</w:t>
      </w:r>
      <w:r>
        <w:t xml:space="preserve"> cliniquement significative documentée.</w:t>
      </w:r>
    </w:p>
    <w:p>
      <w:r/>
      <w:r>
        <w:rPr>
          <w:b/>
        </w:rPr>
        <w:t>Grossesse et Allaitement (CRAT) :</w:t>
      </w:r>
      <w:r/>
    </w:p>
    <w:p>
      <w:pPr>
        <w:pStyle w:val="ListBullet"/>
      </w:pPr>
      <w:r/>
      <w:r>
        <w:rPr>
          <w:b/>
        </w:rPr>
        <w:t>Grossesse</w:t>
      </w:r>
      <w:r>
        <w:t xml:space="preserve"> : Le CRAT ne dispose pas de données spécifiques sur l'application topique du crotamiton pendant la grossesse, mais </w:t>
      </w:r>
      <w:r>
        <w:rPr>
          <w:b/>
        </w:rPr>
        <w:t>les données animales et humaines limitées ne suggèrent pas d'effet tératogène</w:t>
      </w:r>
      <w:r>
        <w:t xml:space="preserve"> significatif. Par prudence, </w:t>
      </w:r>
      <w:r>
        <w:rPr>
          <w:b/>
        </w:rPr>
        <w:t>éviter l'application étendue pendant le 1ᵉʳ trimestre</w:t>
      </w:r>
      <w:r>
        <w:t xml:space="preserve"> et limiter l'usage aux applications localisées de courte durée (&lt;7 jours) pendant les 2ᵉ et 3ᵉ trimestres. Pour le prurit gravidique bénin (prurit intra-hépatique gravidique, prurit des dermographismes), préférer les émollients et les antihistaminiques H1 oraux de 2ᵉ génération (cétirizine — compatible avec la grossesse selon le CRAT).</w:t>
      </w:r>
    </w:p>
    <w:p>
      <w:pPr>
        <w:pStyle w:val="ListBullet"/>
      </w:pPr>
      <w:r/>
      <w:r>
        <w:rPr>
          <w:b/>
        </w:rPr>
        <w:t>Allaitement</w:t>
      </w:r>
      <w:r>
        <w:t xml:space="preserve"> : L'application topique sur peau lésée localisée est compatible avec l'allaitement (absorption systémique négligeable). Éviter l'application sur le mamelon crevassé (préférence pour le panthénol). Éviter l'application étendue pendant l'allaitement par prudence.</w:t>
      </w:r>
    </w:p>
    <w:p>
      <w:r/>
      <w:r>
        <w:rPr>
          <w:b/>
        </w:rPr>
        <w:t>Posologie et Mode d'administration :</w:t>
      </w:r>
      <w:r/>
    </w:p>
    <w:p>
      <w:r>
        <w:t>Forme topique — crème dermique 10 % (E-RAX, EURAXYDERME, PRURAX) :</w:t>
      </w:r>
    </w:p>
    <w:p>
      <w:pPr>
        <w:pStyle w:val="ListBullet"/>
      </w:pPr>
      <w:r/>
      <w:r>
        <w:rPr>
          <w:b/>
        </w:rPr>
        <w:t>Adulte</w:t>
      </w:r>
      <w:r>
        <w:t xml:space="preserve"> : 1 application bid à tid sur la zone prurigineuse, en couche fine, en massant doucement pour faire pénétrer. Durée : 5-15 jours selon l'indication, prolongeable jusqu'à 4 semaines en cas de prurigo chronique.</w:t>
      </w:r>
    </w:p>
    <w:p>
      <w:pPr>
        <w:pStyle w:val="ListBullet"/>
      </w:pPr>
      <w:r/>
      <w:r>
        <w:rPr>
          <w:b/>
        </w:rPr>
        <w:t>Enfant &gt;3 ans</w:t>
      </w:r>
      <w:r>
        <w:t xml:space="preserve"> : 1 application bid sur la zone prurigineuse, en couche fine. Durée : 5-10 jours.</w:t>
      </w:r>
    </w:p>
    <w:p>
      <w:pPr>
        <w:pStyle w:val="ListBullet"/>
      </w:pPr>
      <w:r/>
      <w:r>
        <w:rPr>
          <w:b/>
        </w:rPr>
        <w:t>Nourrisson &gt;3 mois</w:t>
      </w:r>
      <w:r>
        <w:t xml:space="preserve"> (indication scabicide) : 1 application bid sur tout le corps (sauf visage), pendant 5 jours consécutifs — sous surveillance médicale stricte. Contre-indiqué chez le nourrisson &lt;3 mois.</w:t>
      </w:r>
    </w:p>
    <w:p>
      <w:pPr>
        <w:pStyle w:val="ListBullet"/>
      </w:pPr>
      <w:r/>
      <w:r>
        <w:rPr>
          <w:b/>
        </w:rPr>
        <w:t>Mode d'administration</w:t>
      </w:r>
      <w:r>
        <w:t xml:space="preserve"> : appliquer sur peau propre et séchée, masser doucement, se laver les mains après application, ne pas appliquer sur le visage, les muqueuses, les yeux.</w:t>
      </w:r>
    </w:p>
    <w:p>
      <w:r/>
      <w:r>
        <w:rPr>
          <w:b/>
        </w:rPr>
        <w:t>Surveillance Biologique et Suivi Clinique :</w:t>
      </w:r>
      <w:r/>
    </w:p>
    <w:p>
      <w:r>
        <w:t xml:space="preserve">La surveillance est essentiellement </w:t>
      </w:r>
      <w:r>
        <w:rPr>
          <w:b/>
        </w:rPr>
        <w:t>clinique</w:t>
      </w:r>
      <w:r>
        <w:t xml:space="preserve"> :</w:t>
      </w:r>
    </w:p>
    <w:p>
      <w:pPr>
        <w:pStyle w:val="ListBullet"/>
      </w:pPr>
      <w:r/>
      <w:r>
        <w:rPr>
          <w:b/>
        </w:rPr>
        <w:t>Évaluation initiale</w:t>
      </w:r>
      <w:r>
        <w:t xml:space="preserve"> : type de prurit (localisé vs généralisé), durée, intensité (échelle VAS 0-10), signes associés (lésions cutanées, fièvre, adénopathie), cause suspectée (dermatose, infection, parasitose, cause systémique). Si prurit généralisé ou résistant, bilan étiologique complet (NFS, IgE, TSH, bilan hépatique, fonction rénale, parasitologie des selles) avant traitement symptomatique.</w:t>
      </w:r>
    </w:p>
    <w:p>
      <w:pPr>
        <w:pStyle w:val="ListBullet"/>
      </w:pPr>
      <w:r/>
      <w:r>
        <w:rPr>
          <w:b/>
        </w:rPr>
        <w:t>Évaluation de l'efficacité</w:t>
      </w:r>
      <w:r>
        <w:t xml:space="preserve"> à J3-J7 : diminution du prurit (échelle VAS), diminution des lésions de grattage, amélioration du sommeil. En l'absence d'efficacité à J7, réévaluation médicale (recherche d'une cause systémique sous-jacente, dermocorticoïde si dermatose inflammatoire).</w:t>
      </w:r>
    </w:p>
    <w:p>
      <w:pPr>
        <w:pStyle w:val="ListBullet"/>
      </w:pPr>
      <w:r/>
      <w:r>
        <w:rPr>
          <w:b/>
        </w:rPr>
        <w:t>Surveillance de la tolérance locale</w:t>
      </w:r>
      <w:r>
        <w:t xml:space="preserve"> : érythème, prurit paradoxal, vésicules — si signes marqués, arrêter le traitement et consulter.</w:t>
      </w:r>
    </w:p>
    <w:p>
      <w:pPr>
        <w:pStyle w:val="ListBullet"/>
      </w:pPr>
      <w:r/>
      <w:r>
        <w:rPr>
          <w:b/>
        </w:rPr>
        <w:t>Surveillance des signes de surinfection</w:t>
      </w:r>
      <w:r>
        <w:t xml:space="preserve"> : suintement purulent, extension de l'érythème, fièvre, adénopathie satellite — antibiothérapie adaptée.</w:t>
      </w:r>
    </w:p>
    <w:p>
      <w:pPr>
        <w:pStyle w:val="ListBullet"/>
      </w:pPr>
      <w:r/>
      <w:r>
        <w:rPr>
          <w:b/>
        </w:rPr>
        <w:t>Pas de surveillance biologique systématique</w:t>
      </w:r>
      <w:r>
        <w:t xml:space="preserve"> en application locale de courte durée.</w:t>
      </w:r>
    </w:p>
    <w:p>
      <w:pPr>
        <w:pStyle w:val="ListBullet"/>
      </w:pPr>
      <w:r/>
      <w:r>
        <w:rPr>
          <w:b/>
        </w:rPr>
        <w:t>Surveillance chez le nourrisson</w:t>
      </w:r>
      <w:r>
        <w:t xml:space="preserve"> (indication scabicide) : examen cutané quotidien à la recherche de signes d'intolérance (érythème étendu, prurit paradoxal), surveillance de l'état général.</w:t>
      </w:r>
    </w:p>
    <w:p>
      <w:r/>
      <w:r>
        <w:rPr>
          <w:b/>
        </w:rPr>
        <w:t>Arbitrage et Bénéfices des Formes Galéniques :</w:t>
      </w:r>
      <w:r/>
    </w:p>
    <w:p>
      <w:pPr>
        <w:pStyle w:val="ListBullet"/>
      </w:pPr>
      <w:r/>
      <w:r>
        <w:rPr>
          <w:b/>
        </w:rPr>
        <w:t>Crème dermique</w:t>
      </w:r>
      <w:r>
        <w:t xml:space="preserve"> (10 %) : forme unique disponible en Algérie. Pratique, pénétration rapide, effet antiprurigineux immédiat. Inconvénient : excipients possiblement allergisants (propylène glycol, parabens), assèche la peau en cas d'application prolongée. Préférer une crème moins asséchante ou associer un émollient.</w:t>
      </w:r>
    </w:p>
    <w:p>
      <w:pPr>
        <w:pStyle w:val="ListBullet"/>
      </w:pPr>
      <w:r/>
      <w:r>
        <w:rPr>
          <w:b/>
        </w:rPr>
        <w:t>Lotion</w:t>
      </w:r>
      <w:r>
        <w:t xml:space="preserve"> (forme historique — non disponible en Algérie) : plus fluide, pénétration plus rapide, préférée pour cuir chevelu et grands surfaces.</w:t>
      </w:r>
    </w:p>
    <w:p>
      <w:pPr>
        <w:pStyle w:val="ListBullet"/>
      </w:pPr>
      <w:r/>
      <w:r>
        <w:rPr>
          <w:b/>
        </w:rPr>
        <w:t>Spray</w:t>
      </w:r>
      <w:r>
        <w:t xml:space="preserve"> (forme moderne — non disponible en Algérie) : pratique pour application sur large surface (jambes, dos).</w:t>
      </w:r>
    </w:p>
    <w:p>
      <w:r/>
      <w:r>
        <w:rPr>
          <w:b/>
        </w:rPr>
        <w:t>Instructions et Conseils au Patient :</w:t>
      </w:r>
      <w:r/>
    </w:p>
    <w:p>
      <w:pPr>
        <w:pStyle w:val="ListNumber"/>
      </w:pPr>
      <w:r/>
      <w:r>
        <w:rPr>
          <w:b/>
        </w:rPr>
        <w:t>Application</w:t>
      </w:r>
      <w:r>
        <w:t xml:space="preserve"> : appliquer en couche fine sur la zone prurigineuse, en massant doucement pour faire pénétrer. Se laver les mains après application.</w:t>
      </w:r>
    </w:p>
    <w:p>
      <w:pPr>
        <w:pStyle w:val="ListNumber"/>
      </w:pPr>
      <w:r/>
      <w:r>
        <w:rPr>
          <w:b/>
        </w:rPr>
        <w:t>Fréquence</w:t>
      </w:r>
      <w:r>
        <w:t xml:space="preserve"> : bid à tid selon l'intensité du prurit, idéalement matin et soir après toilette.</w:t>
      </w:r>
    </w:p>
    <w:p>
      <w:pPr>
        <w:pStyle w:val="ListNumber"/>
      </w:pPr>
      <w:r/>
      <w:r>
        <w:rPr>
          <w:b/>
        </w:rPr>
        <w:t>Durée</w:t>
      </w:r>
      <w:r>
        <w:t xml:space="preserve"> : respecter la durée prescrite (5-15 jours en moyenne), ne pas prolonger au-delà de 4 semaines sans avis médical.</w:t>
      </w:r>
    </w:p>
    <w:p>
      <w:pPr>
        <w:pStyle w:val="ListNumber"/>
      </w:pPr>
      <w:r/>
      <w:r>
        <w:rPr>
          <w:b/>
        </w:rPr>
        <w:t>Ne pas appliquer sur muqueuses</w:t>
      </w:r>
      <w:r>
        <w:t xml:space="preserve"> (bouche, œil, voies respiratoires basses, génitales).</w:t>
      </w:r>
    </w:p>
    <w:p>
      <w:pPr>
        <w:pStyle w:val="ListNumber"/>
      </w:pPr>
      <w:r/>
      <w:r>
        <w:rPr>
          <w:b/>
        </w:rPr>
        <w:t>Ne pas appliquer sur peau lésée étendue</w:t>
      </w:r>
      <w:r>
        <w:t xml:space="preserve"> (&gt;10 % de la surface corporelle).</w:t>
      </w:r>
    </w:p>
    <w:p>
      <w:pPr>
        <w:pStyle w:val="ListNumber"/>
      </w:pPr>
      <w:r/>
      <w:r>
        <w:rPr>
          <w:b/>
        </w:rPr>
        <w:t>Ne pas appliquer sous pansement occlusif</w:t>
      </w:r>
      <w:r>
        <w:t xml:space="preserve"> (augmentation de l'absorption systémique).</w:t>
      </w:r>
    </w:p>
    <w:p>
      <w:pPr>
        <w:pStyle w:val="ListNumber"/>
      </w:pPr>
      <w:r/>
      <w:r>
        <w:rPr>
          <w:b/>
        </w:rPr>
        <w:t>Éviter le soleil direct</w:t>
      </w:r>
      <w:r>
        <w:t xml:space="preserve"> après application (risque de photosensibilité rare).</w:t>
      </w:r>
    </w:p>
    <w:p>
      <w:pPr>
        <w:pStyle w:val="ListNumber"/>
      </w:pPr>
      <w:r/>
      <w:r>
        <w:rPr>
          <w:b/>
        </w:rPr>
        <w:t>Surveillance</w:t>
      </w:r>
      <w:r>
        <w:t xml:space="preserve"> : consulter un médecin en cas d'aggravation paradoxale du prurit, d'extension de l'érythème, d'apparition de vésicules, ou d'absence d'amélioration après 7 jours.</w:t>
      </w:r>
    </w:p>
    <w:p>
      <w:pPr>
        <w:pStyle w:val="ListNumber"/>
      </w:pPr>
      <w:r/>
      <w:r>
        <w:rPr>
          <w:b/>
        </w:rPr>
        <w:t>Hygiène cutanée</w:t>
      </w:r>
      <w:r>
        <w:t xml:space="preserve"> : nettoyage doux à l'eau et au savon doux (ou syndet sans savon), hydratation par émollient (30 min après application du crotamiton).</w:t>
      </w:r>
    </w:p>
    <w:p>
      <w:pPr>
        <w:pStyle w:val="ListNumber"/>
      </w:pPr>
      <w:r/>
      <w:r>
        <w:rPr>
          <w:b/>
        </w:rPr>
        <w:t>Lutte contre le grattage</w:t>
      </w:r>
      <w:r>
        <w:t xml:space="preserve"> : couper les ongles court, porter des gants de coton la nuit (surtout chez l'enfant), éviter les tissus irritants (laine, synthétique).</w:t>
      </w:r>
    </w:p>
    <w:p>
      <w:pPr>
        <w:pStyle w:val="ListNumber"/>
      </w:pPr>
      <w:r/>
      <w:r>
        <w:rPr>
          <w:b/>
        </w:rPr>
        <w:t>Conservation</w:t>
      </w:r>
      <w:r>
        <w:t xml:space="preserve"> : tube fermé, à température &lt;25°C, à l'abri de la lumière — durée de conservation après ouverture : 6 mois (vérifier la date de péremption).</w:t>
      </w:r>
    </w:p>
    <w:p>
      <w:r/>
      <w:r>
        <w:rPr>
          <w:b/>
        </w:rPr>
        <w:t>Notes, Règles d'Or &amp; Pièges au Comptoir :</w:t>
      </w:r>
      <w:r/>
    </w:p>
    <w:p>
      <w:pPr>
        <w:pStyle w:val="ListBullet"/>
      </w:pPr>
      <w:r/>
      <w:r>
        <w:rPr>
          <w:b/>
        </w:rPr>
        <w:t>Règle d'or n°1</w:t>
      </w:r>
      <w:r>
        <w:t xml:space="preserve"> : Le crotamiton est un </w:t>
      </w:r>
      <w:r>
        <w:rPr>
          <w:b/>
        </w:rPr>
        <w:t>antiprurigineux symptomatique</w:t>
      </w:r>
      <w:r>
        <w:t xml:space="preserve"> — il ne traite pas la cause du prurit. Toujours rechercher une cause sous-jacente (dermatose, infection, parasitose, cause systémique) et la traiter.</w:t>
      </w:r>
    </w:p>
    <w:p>
      <w:pPr>
        <w:pStyle w:val="ListBullet"/>
      </w:pPr>
      <w:r/>
      <w:r>
        <w:rPr>
          <w:b/>
        </w:rPr>
        <w:t>Règle d'or n°2</w:t>
      </w:r>
      <w:r>
        <w:t xml:space="preserve"> : Le crotamiton est </w:t>
      </w:r>
      <w:r>
        <w:rPr>
          <w:b/>
        </w:rPr>
        <w:t>inférieur aux dermocorticoïdes</w:t>
      </w:r>
      <w:r>
        <w:t xml:space="preserve"> dans l'eczéma aigu — il intervient en phase post-aiguë prurigineuse, pas en phase inflammatoire aiguë.</w:t>
      </w:r>
    </w:p>
    <w:p>
      <w:pPr>
        <w:pStyle w:val="ListBullet"/>
      </w:pPr>
      <w:r/>
      <w:r>
        <w:rPr>
          <w:b/>
        </w:rPr>
        <w:t>Règle d'or n°3</w:t>
      </w:r>
      <w:r>
        <w:t xml:space="preserve"> : Le crotamiton </w:t>
      </w:r>
      <w:r>
        <w:rPr>
          <w:b/>
        </w:rPr>
        <w:t>n'est plus recommandé en 1ʳᵉ intention dans la gale</w:t>
      </w:r>
      <w:r>
        <w:t xml:space="preserve"> (préférence pour la perméthrine 5 % crème — application unique sur tout le corps, renouvelée à J8 ; ou ivermectine orale 200 µg/kg en prise unique, renouvelée à J8).</w:t>
      </w:r>
    </w:p>
    <w:p>
      <w:pPr>
        <w:pStyle w:val="ListBullet"/>
      </w:pPr>
      <w:r/>
      <w:r>
        <w:rPr>
          <w:b/>
        </w:rPr>
        <w:t>Piège n°1</w:t>
      </w:r>
      <w:r>
        <w:t xml:space="preserve"> : </w:t>
      </w:r>
      <w:r>
        <w:rPr>
          <w:b/>
        </w:rPr>
        <w:t>Dermite de contact allergique</w:t>
      </w:r>
      <w:r>
        <w:t xml:space="preserve"> possible même avec une substance réputée sûre — suspecter en cas d'aggravation paradoxale du prurit ou d'extension de l'érythème au-delà de la zone traitée.</w:t>
      </w:r>
    </w:p>
    <w:p>
      <w:pPr>
        <w:pStyle w:val="ListBullet"/>
      </w:pPr>
      <w:r/>
      <w:r>
        <w:rPr>
          <w:b/>
        </w:rPr>
        <w:t>Piège n°2</w:t>
      </w:r>
      <w:r>
        <w:t xml:space="preserve"> : Ne pas appliquer sur </w:t>
      </w:r>
      <w:r>
        <w:rPr>
          <w:b/>
        </w:rPr>
        <w:t>peau lésée étendue</w:t>
      </w:r>
      <w:r>
        <w:t xml:space="preserve"> (brûlure, ulcère, eczéma aigu suintant) — risque d'absorption systémique.</w:t>
      </w:r>
    </w:p>
    <w:p>
      <w:pPr>
        <w:pStyle w:val="ListBullet"/>
      </w:pPr>
      <w:r/>
      <w:r>
        <w:rPr>
          <w:b/>
        </w:rPr>
        <w:t>Piège n°3</w:t>
      </w:r>
      <w:r>
        <w:t xml:space="preserve"> : Ne pas appliquer sur </w:t>
      </w:r>
      <w:r>
        <w:rPr>
          <w:b/>
        </w:rPr>
        <w:t>muqueuses</w:t>
      </w:r>
      <w:r>
        <w:t xml:space="preserve"> (bouche, œil, voies respiratoires basses, génitales) — risque d'irritation locale sévère.</w:t>
      </w:r>
    </w:p>
    <w:p>
      <w:pPr>
        <w:pStyle w:val="ListBullet"/>
      </w:pPr>
      <w:r/>
      <w:r>
        <w:rPr>
          <w:b/>
        </w:rPr>
        <w:t>Piège n°4</w:t>
      </w:r>
      <w:r>
        <w:t xml:space="preserve"> : Éviter chez le </w:t>
      </w:r>
      <w:r>
        <w:rPr>
          <w:b/>
        </w:rPr>
        <w:t>nourrisson &lt;3 ans</w:t>
      </w:r>
      <w:r>
        <w:t xml:space="preserve"> (sauf indication scabicide sous surveillance médicale stricte).</w:t>
      </w:r>
    </w:p>
    <w:p>
      <w:pPr>
        <w:pStyle w:val="ListBullet"/>
      </w:pPr>
      <w:r/>
      <w:r>
        <w:rPr>
          <w:b/>
        </w:rPr>
        <w:t>Piège n°5</w:t>
      </w:r>
      <w:r>
        <w:t xml:space="preserve"> : Ne pas confondre prurit bénin localisé (indication du crotamiton) et prurit généralisé ou résistant (bilan étiologique complet — cause systémique : cholestase, urémie, hématologique, métabolique, médicamenteuse, psychogène).</w:t>
      </w:r>
    </w:p>
    <w:p>
      <w:pPr>
        <w:pStyle w:val="ListBullet"/>
      </w:pPr>
      <w:r/>
      <w:r>
        <w:rPr>
          <w:b/>
        </w:rPr>
        <w:t>Piège n°6</w:t>
      </w:r>
      <w:r>
        <w:t xml:space="preserve"> : Vérifier la composition de la spécialité — certaines formes associent crotamiton et hydrocortisone ou antiseptique (non disponibles en Algérie).</w:t>
      </w:r>
    </w:p>
    <w:p>
      <w:pPr>
        <w:pStyle w:val="ListBullet"/>
      </w:pPr>
      <w:r/>
      <w:r>
        <w:rPr>
          <w:b/>
        </w:rPr>
        <w:t>Piège n°7</w:t>
      </w:r>
      <w:r>
        <w:t xml:space="preserve"> : Ne pas prolonger au-delà de 4 semaines sans avis médical — risque de masquer une dermatose sous-jacente (lymphome cutané, parasitose, dermatose infectieuse).</w:t>
      </w:r>
    </w:p>
    <w:p>
      <w:pPr>
        <w:pStyle w:val="ListBullet"/>
      </w:pPr>
      <w:r/>
      <w:r>
        <w:rPr>
          <w:b/>
        </w:rPr>
        <w:t>Piège n°8</w:t>
      </w:r>
      <w:r>
        <w:t xml:space="preserve"> : Toujours associer le traitement antiprurigineux à des mesures hygiéno-diététiques (lutte contre le grattage, hydratation, évitement des irritants) pour maximiser l'efficacité.</w:t>
      </w:r>
    </w:p>
    <w:p>
      <w:pPr>
        <w:pStyle w:val="ListBullet"/>
      </w:pPr>
      <w:r/>
      <w:r>
        <w:rPr>
          <w:b/>
        </w:rPr>
        <w:t>Conseil comptoir</w:t>
      </w:r>
      <w:r>
        <w:t xml:space="preserve"> : Demander au patient le type de prurit (localisé vs généralisé), la durée, l'intensité, les signes associés, les traitements déjà essayés, le statut gravidique et l'âge de l'enfant — délivrance encadrée par le conseil pharmaceutique.</w:t>
      </w:r>
    </w:p>
    <w:p>
      <w:pPr>
        <w:pStyle w:val="Heading2"/>
      </w:pPr>
      <w:r>
        <w:t>Sous-classe 125.6 — Brûlures — Sulfamides topiques — Mafénide</w:t>
      </w:r>
    </w:p>
    <w:p>
      <w:r>
        <w:t xml:space="preserve">Les </w:t>
      </w:r>
      <w:r>
        <w:rPr>
          <w:b/>
        </w:rPr>
        <w:t>brûlures</w:t>
      </w:r>
      <w:r>
        <w:t xml:space="preserve"> constituent une urgence médicale dont la gravité dépend de la profondeur (1er degré — érythème simple ; 2ᵉ degré superficiel — phlyctène ; 2ᵉ degré profond — derme blanc nacré ; 3ᵉ degré — nécrose full-thickness ; 4ᵉ degré — atteinte musculaire, tendineuse, osseuse), de la surface corporelle atteinte (règle des 9 de Wallace), et de la localisation (visage, mains, périnée, articulations — brûlures graves). La prise en charge est hiérarchisée : refroidissement précoce (eau à 15-25°C pendant 20 min — règle des 3 × 15), réanimation hydroélectrolytique (formule de Parkland : 4 mL × kg × % de surface brûlée en Ringer Lactate sur 24 h, dont la moitié dans les 8 premières heures), analgésie (paracétamol, morphine titrée IV), prévention tétanos, détersion chirurgicale, pansements adaptés (tulles gras, hydrocellulaires, alginates, pansements hydrocolloïdes), et </w:t>
      </w:r>
      <w:r>
        <w:rPr>
          <w:b/>
        </w:rPr>
        <w:t>prévention de l'infection bactérienne</w:t>
      </w:r>
      <w:r>
        <w:t xml:space="preserve"> — une des complications majeures des brûlures du 2ᵉ degré profond et 3ᵉ degré, qui peuvent se surinfecter (Pseudomonas aeruginosa, Staphylococcus aureus, Streptococcus pyogenes, entérobactéries) et évoluer vers la </w:t>
      </w:r>
      <w:r>
        <w:rPr>
          <w:b/>
        </w:rPr>
        <w:t>septicémie</w:t>
      </w:r>
      <w:r>
        <w:t xml:space="preserve"> — principale cause de mortalité tardive chez le grand brûlé.</w:t>
      </w:r>
    </w:p>
    <w:p>
      <w:r>
        <w:t xml:space="preserve">La </w:t>
      </w:r>
      <w:r>
        <w:rPr>
          <w:b/>
        </w:rPr>
        <w:t>prévention de l'infection bactérienne</w:t>
      </w:r>
      <w:r>
        <w:t xml:space="preserve"> des brûlures profondes repose sur deux stratégies complémentaires :</w:t>
      </w:r>
    </w:p>
    <w:p>
      <w:pPr>
        <w:pStyle w:val="ListBullet"/>
      </w:pPr>
      <w:r/>
      <w:r>
        <w:rPr>
          <w:b/>
        </w:rPr>
        <w:t>Antisepsie locale</w:t>
      </w:r>
      <w:r>
        <w:t xml:space="preserve"> (chlorhexidine, povidone iodée, Dakin Cooper stabilisé) — avant pansement, sur la peau péri-lésionnelle saine.</w:t>
      </w:r>
    </w:p>
    <w:p>
      <w:pPr>
        <w:pStyle w:val="ListBullet"/>
      </w:pPr>
      <w:r/>
      <w:r>
        <w:rPr>
          <w:b/>
        </w:rPr>
        <w:t>Antibiothérapie locale</w:t>
      </w:r>
      <w:r>
        <w:t xml:space="preserve"> (sulfamides topiques — mafénide, sulfadiazine argentique ; antibiotiques topiques — mupirocine, acide fusidique en cas de surinfection déclarée ; pansements à l'argent — sulfadiazine argentique).</w:t>
      </w:r>
    </w:p>
    <w:p>
      <w:r>
        <w:t xml:space="preserve">Les </w:t>
      </w:r>
      <w:r>
        <w:rPr>
          <w:b/>
        </w:rPr>
        <w:t>sulfamides topiques</w:t>
      </w:r>
      <w:r>
        <w:t xml:space="preserve"> — et particulièrement le </w:t>
      </w:r>
      <w:r>
        <w:rPr>
          <w:b/>
        </w:rPr>
        <w:t>mafénide</w:t>
      </w:r>
      <w:r>
        <w:t xml:space="preserve"> (4-aminométhylbenzènesulfonamide — dérivé non N1-substitué) et la </w:t>
      </w:r>
      <w:r>
        <w:rPr>
          <w:b/>
        </w:rPr>
        <w:t>sulfadiazine argentique</w:t>
      </w:r>
      <w:r>
        <w:t xml:space="preserve"> (complexe sulfadiazine-argent) — ont constitué pendant plusieurs décennies (de 1940 à 1990) la pierre angulaire de la prévention anti-infectieuse des brûlures profondes. Introduit en 1940 par la firme américaine Winthrop-Stearns sous le nom de SULFAMYLON®, le mafénide a été massivement utilisé par les services de brûlés militaires américains pendant la Seconde Guerre mondiale, la guerre de Corée et la guerre du Vietnam — d'où son rôle historique dans la chirurgie des brûlés. Sa particularité pharmacologique est sa </w:t>
      </w:r>
      <w:r>
        <w:rPr>
          <w:b/>
        </w:rPr>
        <w:t>capacité à pénétrer profondément l'escarre</w:t>
      </w:r>
      <w:r>
        <w:t xml:space="preserve"> (lésion nécrotique protéiforme où l'infection bactérienne siège en profondeur) grâce à sa petite taille moléculaire (PM 197 Da) et à son caractère hydrosoluble — contrairement à la sulfadiazine argentique qui reste en surface.</w:t>
      </w:r>
    </w:p>
    <w:p>
      <w:r>
        <w:t xml:space="preserve">Le </w:t>
      </w:r>
      <w:r>
        <w:rPr>
          <w:b/>
        </w:rPr>
        <w:t>mafénide</w:t>
      </w:r>
      <w:r>
        <w:t xml:space="preserve"> (acétate de mafénide — 4-(aminométhyl)benzènesulfonamide acétate, C₈H₁₂N₂O₃S) est un sulfamide non antibiotique par voie systémique (en raison de son faible effet bactériostatique systémique et de sa toxicité — acidose métabolique). Appliqué sur l'escarre de brûlure, il pénètre profondément les tissus nécrosés, exerce un effet </w:t>
      </w:r>
      <w:r>
        <w:rPr>
          <w:b/>
        </w:rPr>
        <w:t>bactériostatique</w:t>
      </w:r>
      <w:r>
        <w:t xml:space="preserve"> à large spectre couvrant les </w:t>
      </w:r>
      <w:r>
        <w:rPr>
          <w:i/>
        </w:rPr>
        <w:t>Pseudomonas aeruginosa</w:t>
      </w:r>
      <w:r>
        <w:t xml:space="preserve"> (target critique des surinfections de brûlures — mécanisme de résistance rare), les </w:t>
      </w:r>
      <w:r>
        <w:rPr>
          <w:i/>
        </w:rPr>
        <w:t>Staphylococcus aureus</w:t>
      </w:r>
      <w:r>
        <w:t xml:space="preserve"> (y compris les souches méthicilline-résistantes — SARM), les entérobactéries (E. coli, Klebsiella, Proteus, Enterobacter), les </w:t>
      </w:r>
      <w:r>
        <w:rPr>
          <w:i/>
        </w:rPr>
        <w:t>Streptococcus pyogenes</w:t>
      </w:r>
      <w:r>
        <w:t xml:space="preserve"> et </w:t>
      </w:r>
      <w:r>
        <w:rPr>
          <w:i/>
        </w:rPr>
        <w:t>agalactiae</w:t>
      </w:r>
      <w:r>
        <w:t xml:space="preserve">. Sa principale toxicité — </w:t>
      </w:r>
      <w:r>
        <w:rPr>
          <w:b/>
        </w:rPr>
        <w:t>acidose métabolique hyperchlorémique</w:t>
      </w:r>
      <w:r>
        <w:t xml:space="preserve"> par inhibition de l'anhydrase carbonique érythrocytaire et tubulaire rénale par son métabolite (p-carboxybenzènesulfonamide — p-CBS) — en limite l'usage aux surfaces corporelles restreintes et impose une surveillance acido-basique rigoureuse en cas d'application étendue (&gt;10-15 % de la surface corporelle).</w:t>
      </w:r>
    </w:p>
    <w:p>
      <w:r>
        <w:t xml:space="preserve">En Algérie, le mafénide est disponible sous la spécialité </w:t>
      </w:r>
      <w:r>
        <w:rPr>
          <w:b/>
        </w:rPr>
        <w:t>HEALER</w:t>
      </w:r>
      <w:r>
        <w:t xml:space="preserve"> (Beit Jala Pharmaceuticals Company — Palestine) en crème 8,5 %, conditionnement tube de 15 g, Liste II, statut ACTIF. Cette spécialité, unique sur le marché algérien, est utilisée dans les services de chirurgie des brûlés pour la prévention de l'infection des brûlures du 2ᵉ degré profond et 3ᵉ degré. La sulfadiazine argentique (CRÈME SSD, FLAMAZINE) n'est pas inscrite dans la nomenclature algérienne — ce qui fait du mafénide le seul sulfamide topique disponible en pratique clinique algérienne.</w:t>
      </w:r>
    </w:p>
    <w:p>
      <w:r>
        <w:t xml:space="preserve">La sous-classe se distingue par son </w:t>
      </w:r>
      <w:r>
        <w:rPr>
          <w:b/>
        </w:rPr>
        <w:t>utilisation spécialisée hospitalière</w:t>
      </w:r>
      <w:r>
        <w:t xml:space="preserve"> (services de brûlés, chirurgie plastique), sa </w:t>
      </w:r>
      <w:r>
        <w:rPr>
          <w:b/>
        </w:rPr>
        <w:t>toxicité métabolique significative</w:t>
      </w:r>
      <w:r>
        <w:t xml:space="preserve"> (acidose hyperchlorémique), sa </w:t>
      </w:r>
      <w:r>
        <w:rPr>
          <w:b/>
        </w:rPr>
        <w:t>surveillance biologique obligatoire</w:t>
      </w:r>
      <w:r>
        <w:t xml:space="preserve"> (gaz du sang, ionogramme, fonction rénale) en cas d'application étendue, et son </w:t>
      </w:r>
      <w:r>
        <w:rPr>
          <w:b/>
        </w:rPr>
        <w:t>efficacité démontrée</w:t>
      </w:r>
      <w:r>
        <w:t xml:space="preserve"> sur la réduction de la mortalité des grands brûlés (de 30 % à 10 % entre 1940 et 1980, en partie grâce à la prophylaxie par mafénide). Son usage est </w:t>
      </w:r>
      <w:r>
        <w:rPr>
          <w:b/>
        </w:rPr>
        <w:t>strictement médical</w:t>
      </w:r>
      <w:r>
        <w:t xml:space="preserve"> et </w:t>
      </w:r>
      <w:r>
        <w:rPr>
          <w:b/>
        </w:rPr>
        <w:t>réservé au milieu hospitalier</w:t>
      </w:r>
      <w:r>
        <w:t>.</w:t>
      </w:r>
    </w:p>
    <w:p>
      <w:pPr>
        <w:pStyle w:val="Heading3"/>
      </w:pPr>
      <w:r>
        <w:t>6. DCI : Mafénide (sulfamide topique des brûlures)</w:t>
      </w:r>
    </w:p>
    <w:p>
      <w:r/>
      <w:r>
        <w:rPr>
          <w:b/>
        </w:rPr>
        <w:t>Liste des Catégories :</w:t>
      </w:r>
      <w:r>
        <w:t xml:space="preserve"> Sulfamide topique (non antibiotique systémique) ; dérivé sulfonamide non N1-substitué (4-(aminométhyl)benzènesulfonamide — acétate de mafénide) ; bactériostatique à large spectre (inhibition de la dihydrotérate synthétase bactérienne — blocage de la synthèse de l'acide folique) ; couverture : </w:t>
      </w:r>
      <w:r>
        <w:rPr>
          <w:i/>
        </w:rPr>
        <w:t>Pseudomonas aeruginosa</w:t>
      </w:r>
      <w:r>
        <w:t xml:space="preserve">, </w:t>
      </w:r>
      <w:r>
        <w:rPr>
          <w:i/>
        </w:rPr>
        <w:t>Staphylococcus aureus</w:t>
      </w:r>
      <w:r>
        <w:t xml:space="preserve"> (y compris SARM), entérobactéries, </w:t>
      </w:r>
      <w:r>
        <w:rPr>
          <w:i/>
        </w:rPr>
        <w:t>Streptococcus</w:t>
      </w:r>
      <w:r>
        <w:t xml:space="preserve"> ; médicament de chirurgie des brûlés (indication : prévention de l'infection des brûlures du 2ᵉ degré profond et 3ᵉ degré) ; pénétration profonde de l'escarre (PM 197 Da — hydrosoluble) ; toxicité métabolique majeure : acidose métabolique hyperchlorémique par inhibition de l'anhydrase carbonique érythrocytaire et tubulaire rénale (métabolite p-carboxybenzènesulfonamide) ; contre-indication : hypersensibilité aux sulfamides, grossesse (1ᵉʳ trimestre), allaitement, insuffisance rénale sévère, application sur surface &gt;15 % de la surface corporelle (sans surveillance acido-basique) ; Liste II ; ATC D06BA03 (mafénide).</w:t>
      </w:r>
    </w:p>
    <w:p>
      <w:r>
        <w:t xml:space="preserve">Le </w:t>
      </w:r>
      <w:r>
        <w:rPr>
          <w:b/>
        </w:rPr>
        <w:t>mafénide</w:t>
      </w:r>
      <w:r>
        <w:t xml:space="preserve"> (syn. : 4-(aminométhyl)benzènesulfonamide, homosulfanilamide, alpha-amino-p-toluenesulfonamide) est un sulfamide particulier — dépourvu de substitution N1 (le groupement aminé est en position p-aminométhyle du noyau benzénique, et non en position N1 du sulfonamide comme dans les sulfamides classiques). Cette particularité structurale explique :</w:t>
      </w:r>
    </w:p>
    <w:p>
      <w:pPr>
        <w:pStyle w:val="ListBullet"/>
      </w:pPr>
      <w:r>
        <w:t xml:space="preserve">Son caractère </w:t>
      </w:r>
      <w:r>
        <w:rPr>
          <w:b/>
        </w:rPr>
        <w:t>hydrosoluble</w:t>
      </w:r>
      <w:r>
        <w:t xml:space="preserve"> (à l'inverse des sulfamides classiques liposolubles) — facilitant sa pénétration dans les escarres humides de brûlure ;</w:t>
      </w:r>
    </w:p>
    <w:p>
      <w:pPr>
        <w:pStyle w:val="ListBullet"/>
      </w:pPr>
      <w:r>
        <w:t>Son absence d'activité antibiotique systémique (le groupement N1 libre est nécessaire pour l'activité antifolique systémique) ;</w:t>
      </w:r>
    </w:p>
    <w:p>
      <w:pPr>
        <w:pStyle w:val="ListBullet"/>
      </w:pPr>
      <w:r>
        <w:t xml:space="preserve">Son métabolisme en </w:t>
      </w:r>
      <w:r>
        <w:rPr>
          <w:b/>
        </w:rPr>
        <w:t>p-carboxybenzènesulfonamide</w:t>
      </w:r>
      <w:r>
        <w:t xml:space="preserve"> (p-CBS) — métabolite acide inhibant l'anhydrase carbonique — d'où la toxicité acido-basique ;</w:t>
      </w:r>
    </w:p>
    <w:p>
      <w:pPr>
        <w:pStyle w:val="ListBullet"/>
      </w:pPr>
      <w:r>
        <w:t>Sa stabilité en présence de pus et de débris tissulaires (contrairement à la pénicilline et aux aminoglycosides inactivés en milieu purulent).</w:t>
      </w:r>
    </w:p>
    <w:p>
      <w:r>
        <w:t>Formule chimique : C₈H₁₂N₂O₃S (masse molaire 197,25 g/mol pour la base libre — 237,27 g/mol pour l'acétate). Solubilité : 1 g pour 30 mL d'eau (à 25°C), soluble dans l'alcool. La crème topique à 8,5 % contient 85 mg de mafénide (acétate) par gramme de crème, en excipient hydrophile (polyéthylèneglycol, propylène glycol, eau purifiée).</w:t>
      </w:r>
    </w:p>
    <w:p>
      <w:r/>
      <w:r>
        <w:rPr>
          <w:b/>
        </w:rPr>
        <w:t>Médicaments disponibles en Algérie (Marques, Laboratoires, Formes et Dosages) :</w:t>
      </w:r>
      <w:r/>
    </w:p>
    <w:p>
      <w:r>
        <w:t>Forme active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HEALER</w:t>
            </w:r>
          </w:p>
        </w:tc>
        <w:tc>
          <w:tcPr>
            <w:tcW w:type="dxa" w:w="1559"/>
          </w:tcPr>
          <w:p>
            <w:r>
              <w:rPr>
                <w:sz w:val="20"/>
              </w:rPr>
              <w:t>BEIT JALA PHARMACEUTICALS COMPANY</w:t>
            </w:r>
          </w:p>
        </w:tc>
        <w:tc>
          <w:tcPr>
            <w:tcW w:type="dxa" w:w="1559"/>
          </w:tcPr>
          <w:p>
            <w:r>
              <w:rPr>
                <w:sz w:val="20"/>
              </w:rPr>
              <w:t>Crème — mafénide 8,5 % (0,085 g/g)</w:t>
            </w:r>
          </w:p>
        </w:tc>
        <w:tc>
          <w:tcPr>
            <w:tcW w:type="dxa" w:w="1559"/>
          </w:tcPr>
          <w:p>
            <w:r>
              <w:rPr>
                <w:sz w:val="20"/>
              </w:rPr>
              <w:t>Boîte de 1 tube de 15 g</w:t>
            </w:r>
          </w:p>
        </w:tc>
        <w:tc>
          <w:tcPr>
            <w:tcW w:type="dxa" w:w="1559"/>
          </w:tcPr>
          <w:p>
            <w:r>
              <w:rPr>
                <w:sz w:val="20"/>
              </w:rPr>
              <w:t>Liste II</w:t>
            </w:r>
          </w:p>
        </w:tc>
        <w:tc>
          <w:tcPr>
            <w:tcW w:type="dxa" w:w="1559"/>
          </w:tcPr>
          <w:p>
            <w:r>
              <w:rPr>
                <w:sz w:val="20"/>
              </w:rPr>
              <w:t>**Actif**</w:t>
            </w:r>
          </w:p>
        </w:tc>
      </w:tr>
    </w:tbl>
    <w:p/>
    <w:p>
      <w:r/>
      <w:r>
        <w:rPr>
          <w:b/>
        </w:rPr>
        <w:t>Note d'approvisionnement</w:t>
      </w:r>
      <w:r>
        <w:t xml:space="preserve"> : À la date d'Avril 2026, le mafénide est disponible en Algérie uniquement sous la spécialité HEALER (Beit Jala Pharmaceuticals Company — Palestine), en crème 8,5 % tube de 15 g. Cette spécialité est à prescription médicale stricte (Liste II) et à usage hospitalier prédominant (services de chirurgie des brûlés, chirurgie plastique, réanimation). L'absence de concurrence sur le marché algérien limite la disponibilité du produit, qui peut être en rupture d'approvisionnement en cas de retard d'importation. Les alternatives européennes (SULFAMYLON — Bristol-Myers Squibb ; MAFEIN — Neomède) ne sont pas inscrites dans la nomenclature algérienne. La </w:t>
      </w:r>
      <w:r>
        <w:rPr>
          <w:b/>
        </w:rPr>
        <w:t>sulfadiazine argentique</w:t>
      </w:r>
      <w:r>
        <w:t xml:space="preserve"> (CRÈME SSD — Smith &amp; Nephew ; FLAMAZINE — Johnson &amp; Johnson), alternative de référence dans les services de brûlés européens, n'est pas non plus inscrite dans la nomenclature algérienne — ce qui place le mafénide HEALER comme seul sulfamide topique disponible en pratique clinique algérienne. Le pharmacien d'officine n'est généralement pas impliqué dans la délivrance du mafénide (réservé à l'usage hospitalier), mais doit connaître l'existence de cette spécialité pour répondre aux demandes éventuelles.</w:t>
      </w:r>
    </w:p>
    <w:p>
      <w:r/>
      <w:r>
        <w:rPr>
          <w:b/>
        </w:rPr>
        <w:t>Sous-classe et Mécanisme d'action :</w:t>
      </w:r>
      <w:r/>
    </w:p>
    <w:p>
      <w:r>
        <w:t xml:space="preserve">Le mafénide exerce son action bactériostatique par le mécanisme classique des sulfamides — </w:t>
      </w:r>
      <w:r>
        <w:rPr>
          <w:b/>
        </w:rPr>
        <w:t>inhibition compétitive de la dihydrotérate synthétase (DHPS)</w:t>
      </w:r>
      <w:r>
        <w:t xml:space="preserve"> bactérienne, enzyme qui catalyse la condensation du PABA (acide para-aminobenzoïque) avec la dihydrotérate pyrophosphate pour former l'acide dihydrotéroïque — précurseur de l'acide tétrahydrofolique (THF). Le THF est un cofacteur indispensable à la synthèse de la thymidine (DNA), de la purine (DNA et RNA), et de nombreux acides aminés (méthionine, sérine, glycine). Les cellules bactériennes — qui doivent synthétiser leur propre THF (ne peuvent pas l'importer à partir du milieu extérieur) — sont privées de THF et arrêtent leur croissance (effet bactériostatique). Les cellules humaines — qui importent le THF alimentaire (vitamine B9) — ne sont pas affectées par les sulfamides.</w:t>
      </w:r>
    </w:p>
    <w:p>
      <w:r>
        <w:t>Spectre d'activité du mafénide (concentrations inhibitrices minimales — CMI) :</w:t>
      </w:r>
    </w:p>
    <w:p>
      <w:pPr>
        <w:pStyle w:val="ListBullet"/>
      </w:pPr>
      <w:r>
        <w:t>*Pseudomonas aeruginosa* : CMI 50-100 µg/mL (spectre remarquable — couvre l'agent critique des surinfections de brûlures)</w:t>
      </w:r>
    </w:p>
    <w:p>
      <w:pPr>
        <w:pStyle w:val="ListBullet"/>
      </w:pPr>
      <w:r>
        <w:t>*Staphylococcus aureus* (y compris SARM) : CMI 25-50 µg/mL</w:t>
      </w:r>
    </w:p>
    <w:p>
      <w:pPr>
        <w:pStyle w:val="ListBullet"/>
      </w:pPr>
      <w:r>
        <w:t>*Streptococcus pyogenes* (β-hémolytique A) : CMI 5-10 µg/mL</w:t>
      </w:r>
    </w:p>
    <w:p>
      <w:pPr>
        <w:pStyle w:val="ListBullet"/>
      </w:pPr>
      <w:r>
        <w:t>*Streptococcus agalactiae* (β-hémolytique B) : CMI 5-10 µg/mL</w:t>
      </w:r>
    </w:p>
    <w:p>
      <w:pPr>
        <w:pStyle w:val="ListBullet"/>
      </w:pPr>
      <w:r>
        <w:t>*Enterococcus* spp. : CMI 50-100 µg/mL (activité modeste)</w:t>
      </w:r>
    </w:p>
    <w:p>
      <w:pPr>
        <w:pStyle w:val="ListBullet"/>
      </w:pPr>
      <w:r>
        <w:t>*Enterobactériacées* (E. coli, Klebsiella pneumoniae, Proteus mirabilis, Enterobacter cloacae) : CMI 25-100 µg/mL</w:t>
      </w:r>
    </w:p>
    <w:p>
      <w:pPr>
        <w:pStyle w:val="ListBullet"/>
      </w:pPr>
      <w:r>
        <w:t>*Anaérobies* (Bacteroides fragilis, Clostridium perfringens) : CMI 50-100 µg/mL (activité modeste)</w:t>
      </w:r>
    </w:p>
    <w:p>
      <w:r>
        <w:t xml:space="preserve">L'effet bactériostatique du mafénide est </w:t>
      </w:r>
      <w:r>
        <w:rPr>
          <w:b/>
        </w:rPr>
        <w:t>synergique avec les défenses immunitaires locales</w:t>
      </w:r>
      <w:r>
        <w:t xml:space="preserve"> — l'élimination complète de l'infection nécessite une concentation locale suffisante (&gt;CMI) pendant une durée suffisante (&gt;7 jours), un apport nutritionnel adéquat, et une absence d'immunodépression profonde (corticostéroïdes, chimiothérapie, SIDA — où l'efficacité est moindre).</w:t>
      </w:r>
    </w:p>
    <w:p>
      <w:r>
        <w:t xml:space="preserve">La </w:t>
      </w:r>
      <w:r>
        <w:rPr>
          <w:b/>
        </w:rPr>
        <w:t>pénétration de l'escarre</w:t>
      </w:r>
      <w:r>
        <w:t xml:space="preserve"> par le mafénide est remarquable (PM 197 Da, hydrosoluble) — la concentration locale atteint 1 000-5 000 µg/mL (soit 10-100 × la CMI de </w:t>
      </w:r>
      <w:r>
        <w:rPr>
          <w:i/>
        </w:rPr>
        <w:t>P. aeruginosa</w:t>
      </w:r>
      <w:r>
        <w:t>) à 30 min après application, et persiste 4-6 heures avant diffusion systémique. Cette pénétration profonde est cruciale pour l'efficacité sur les infections installées en profondeur dans l'escarre (contrairement à la sulfadiazine argentique qui reste en surface).</w:t>
      </w:r>
    </w:p>
    <w:p>
      <w:r>
        <w:t>L'effet thérapeutique en clinique se traduit par :</w:t>
      </w:r>
    </w:p>
    <w:p>
      <w:pPr>
        <w:pStyle w:val="ListBullet"/>
      </w:pPr>
      <w:r/>
      <w:r>
        <w:rPr>
          <w:b/>
        </w:rPr>
        <w:t>Diminution de l'infection bactérienne</w:t>
      </w:r>
      <w:r>
        <w:t xml:space="preserve"> des brûlures profondes (essai RCT Moncrief JA, *Ann Surg* 1962 : réduction de 80 % du taux de colonisation bactérienne des escarres traitées par mafénide vs placebo à J7) ;</w:t>
      </w:r>
    </w:p>
    <w:p>
      <w:pPr>
        <w:pStyle w:val="ListBullet"/>
      </w:pPr>
      <w:r/>
      <w:r>
        <w:rPr>
          <w:b/>
        </w:rPr>
        <w:t>Réduction de la mortalité</w:t>
      </w:r>
      <w:r>
        <w:t xml:space="preserve"> des grands brûlés (de 30 % à 10 % entre 1940 et 1980, en partie grâce à la prophylaxie par mafénide) ;</w:t>
      </w:r>
    </w:p>
    <w:p>
      <w:pPr>
        <w:pStyle w:val="ListBullet"/>
      </w:pPr>
      <w:r/>
      <w:r>
        <w:rPr>
          <w:b/>
        </w:rPr>
        <w:t>Prévention de la septicémie</w:t>
      </w:r>
      <w:r>
        <w:t xml:space="preserve"> à *Pseudomonas aeruginosa* — principale cause de mortalité tardive ;</w:t>
      </w:r>
    </w:p>
    <w:p>
      <w:pPr>
        <w:pStyle w:val="ListBullet"/>
      </w:pPr>
      <w:r/>
      <w:r>
        <w:rPr>
          <w:b/>
        </w:rPr>
        <w:t>Préparation à la greffe de peau</w:t>
      </w:r>
      <w:r>
        <w:t xml:space="preserve"> — diminution de l'infection locale avant greffe ;</w:t>
      </w:r>
    </w:p>
    <w:p>
      <w:pPr>
        <w:pStyle w:val="ListBullet"/>
      </w:pPr>
      <w:r/>
      <w:r>
        <w:rPr>
          <w:b/>
        </w:rPr>
        <w:t>Effet persistant</w:t>
      </w:r>
      <w:r>
        <w:t xml:space="preserve"> 4-6 heures après application — nécessitant des réapplications bid.</w:t>
      </w:r>
    </w:p>
    <w:p>
      <w:r/>
      <w:r>
        <w:rPr>
          <w:b/>
        </w:rPr>
        <w:t>Profil Pharmacologique et Indications :</w:t>
      </w:r>
      <w:r/>
    </w:p>
    <w:p>
      <w:r>
        <w:t>Indications cliniques validées :</w:t>
      </w:r>
    </w:p>
    <w:p>
      <w:pPr>
        <w:pStyle w:val="ListBullet"/>
      </w:pPr>
      <w:r/>
      <w:r>
        <w:rPr>
          <w:b/>
        </w:rPr>
        <w:t>Brûlures du 2ᵉ degré profond</w:t>
      </w:r>
      <w:r>
        <w:t xml:space="preserve"> (phlyctène rompue, derme blanchâtre exsudatif) — application bid après détersion mécanique des phlyctènes et des débris nécrotiques.</w:t>
      </w:r>
    </w:p>
    <w:p>
      <w:pPr>
        <w:pStyle w:val="ListBullet"/>
      </w:pPr>
      <w:r/>
      <w:r>
        <w:rPr>
          <w:b/>
        </w:rPr>
        <w:t>Brûlures du 3ᵉ degré</w:t>
      </w:r>
      <w:r>
        <w:t xml:space="preserve"> (nécrose full-thickness) — application bid après détersion chirurgicale (escarrectomie) ou enzymatique, en attente de greffe de peau.</w:t>
      </w:r>
    </w:p>
    <w:p>
      <w:pPr>
        <w:pStyle w:val="ListBullet"/>
      </w:pPr>
      <w:r/>
      <w:r>
        <w:rPr>
          <w:b/>
        </w:rPr>
        <w:t>Brûlures du 4ᵉ degré</w:t>
      </w:r>
      <w:r>
        <w:t xml:space="preserve"> (atteinte musculaire, tendineuse) — application bid en complément de la chirurgie.</w:t>
      </w:r>
    </w:p>
    <w:p>
      <w:pPr>
        <w:pStyle w:val="ListBullet"/>
      </w:pPr>
      <w:r/>
      <w:r>
        <w:rPr>
          <w:b/>
        </w:rPr>
        <w:t>Ulcères cutanés chroniques</w:t>
      </w:r>
      <w:r>
        <w:t xml:space="preserve"> surinfectés (pied diabétique infecté, escarre surinfectée) — en 2ᵉ intention (préférence pour les antibiotiques topiques modernes — mupirocine, acide fusidique).</w:t>
      </w:r>
    </w:p>
    <w:p>
      <w:pPr>
        <w:pStyle w:val="ListBullet"/>
      </w:pPr>
      <w:r/>
      <w:r>
        <w:rPr>
          <w:b/>
        </w:rPr>
        <w:t>Plaies chirurgicales surinfectées</w:t>
      </w:r>
      <w:r>
        <w:t xml:space="preserve"> — en 2ᵉ intention.</w:t>
      </w:r>
    </w:p>
    <w:p>
      <w:r>
        <w:t>Pharmacocinétique :</w:t>
      </w:r>
    </w:p>
    <w:p>
      <w:pPr>
        <w:pStyle w:val="ListBullet"/>
      </w:pPr>
      <w:r/>
      <w:r>
        <w:rPr>
          <w:b/>
        </w:rPr>
        <w:t>Absorption percutanée</w:t>
      </w:r>
      <w:r>
        <w:t xml:space="preserve"> significative (~10-20 % de la dose appliquée sur peau lésée), augmentant en cas d'application étendue ou prolongée.</w:t>
      </w:r>
    </w:p>
    <w:p>
      <w:pPr>
        <w:pStyle w:val="ListBullet"/>
      </w:pPr>
      <w:r/>
      <w:r>
        <w:rPr>
          <w:b/>
        </w:rPr>
        <w:t>Métabolisme hépatique</w:t>
      </w:r>
      <w:r>
        <w:t xml:space="preserve"> en </w:t>
      </w:r>
      <w:r>
        <w:rPr>
          <w:b/>
        </w:rPr>
        <w:t>p-carboxybenzènesulfonamide (p-CBS)</w:t>
      </w:r>
      <w:r>
        <w:t xml:space="preserve"> — métabolite actif inhibiteur de l'anhydrase carbonique.</w:t>
      </w:r>
    </w:p>
    <w:p>
      <w:pPr>
        <w:pStyle w:val="ListBullet"/>
      </w:pPr>
      <w:r/>
      <w:r>
        <w:rPr>
          <w:b/>
        </w:rPr>
        <w:t>Excrétion rénale</w:t>
      </w:r>
      <w:r>
        <w:t xml:space="preserve"> — active sous forme inchangée et de métabolites glycuroconjugués (clairance 50-80 mL/min).</w:t>
      </w:r>
    </w:p>
    <w:p>
      <w:pPr>
        <w:pStyle w:val="ListBullet"/>
      </w:pPr>
      <w:r/>
      <w:r>
        <w:rPr>
          <w:b/>
        </w:rPr>
        <w:t>Demi-vie plasmatique</w:t>
      </w:r>
      <w:r>
        <w:t xml:space="preserve"> ~4 h (mafénide) et 8-12 h (p-CBS).</w:t>
      </w:r>
    </w:p>
    <w:p>
      <w:pPr>
        <w:pStyle w:val="ListBullet"/>
      </w:pPr>
      <w:r/>
      <w:r>
        <w:rPr>
          <w:b/>
        </w:rPr>
        <w:t>Passage transplacentaire</w:t>
      </w:r>
      <w:r>
        <w:t xml:space="preserve"> et dans le lait maternel non documentés — éviter par prudence chez la femme enceinte et allaitante.</w:t>
      </w:r>
    </w:p>
    <w:p>
      <w:r/>
      <w:r>
        <w:rPr>
          <w:b/>
        </w:rPr>
        <w:t>Prévention et Gestion des Effets Indésirables :</w:t>
      </w:r>
      <w:r/>
    </w:p>
    <w:p>
      <w:r>
        <w:t>Le mafénide présente un profil d'effets indésirables significatif, justifiant sa surveillance hospitalière stricte :</w:t>
      </w:r>
    </w:p>
    <w:p>
      <w:pPr>
        <w:pStyle w:val="ListBullet"/>
      </w:pPr>
      <w:r/>
      <w:r>
        <w:rPr>
          <w:b/>
        </w:rPr>
        <w:t>Acidose métabolique hyperchlorémique</w:t>
      </w:r>
      <w:r>
        <w:t xml:space="preserve"> (effet indésirable principal — incidence 30-50 % des patients traités &gt;5 jours sur surface &gt;10 % de la surface corporelle) : inhibition de l'anhydrase carbonique érythrocytaire et tubulaire rénale par le métabolite </w:t>
      </w:r>
      <w:r>
        <w:rPr>
          <w:b/>
        </w:rPr>
        <w:t>p-carboxybenzènesulfonamide (p-CBS)</w:t>
      </w:r>
      <w:r>
        <w:t xml:space="preserve"> → diminution de la réabsorption tubulaire des bicarbonates → bicarbonaturie → acidose hyperchlorémique (chlorures augmentés pour compenser la perte de bicarbonates) → hyperventilation compensatoire (respiration rapide et profonde — signe d'alerte clinique). Conduite à tenir : arrêt du mafénide, correction par bicarbonate de sodium IV (1,4 % ou 4,2 % selon la sévérité), surveillance gaz du sang (pH &lt;7,30 impose l'arrêt).</w:t>
      </w:r>
    </w:p>
    <w:p>
      <w:pPr>
        <w:pStyle w:val="ListBullet"/>
      </w:pPr>
      <w:r/>
      <w:r>
        <w:rPr>
          <w:b/>
        </w:rPr>
        <w:t>Hyperventilation compensatoire</w:t>
      </w:r>
      <w:r>
        <w:t xml:space="preserve"> — signe d'alerte clinique précoce de l'acidose métabolique.</w:t>
      </w:r>
    </w:p>
    <w:p>
      <w:pPr>
        <w:pStyle w:val="ListBullet"/>
      </w:pPr>
      <w:r/>
      <w:r>
        <w:rPr>
          <w:b/>
        </w:rPr>
        <w:t>Dermite de contact allergique</w:t>
      </w:r>
      <w:r>
        <w:t xml:space="preserve"> (5-10 % des patients traités) : érythème, prurit, vésicules au site d'application — réaction d'hypersensibilité retardée (type IV). Conduite à tenir : arrêt, lavage à l'eau, dermocorticoïde faible.</w:t>
      </w:r>
    </w:p>
    <w:p>
      <w:pPr>
        <w:pStyle w:val="ListBullet"/>
      </w:pPr>
      <w:r/>
      <w:r>
        <w:rPr>
          <w:b/>
        </w:rPr>
        <w:t>Dermite irritative</w:t>
      </w:r>
      <w:r>
        <w:t xml:space="preserve"> plus fréquente que la sulfadiazine argentique (surtout en cas d'application sur peau péri-lésionnelle saine).</w:t>
      </w:r>
    </w:p>
    <w:p>
      <w:pPr>
        <w:pStyle w:val="ListBullet"/>
      </w:pPr>
      <w:r/>
      <w:r>
        <w:rPr>
          <w:b/>
        </w:rPr>
        <w:t>Surdosage en sulfamides</w:t>
      </w:r>
      <w:r>
        <w:t xml:space="preserve"> (rare, en cas d'application étendue &gt;20 % de la surface corporelle) : fièvre, rash, syndrome de Stevens-Johnson, nécrolyse épidermique toxique (NET), aplasie médullaire (exceptionnelles — mais possibles avec tous les sulfamides).</w:t>
      </w:r>
    </w:p>
    <w:p>
      <w:pPr>
        <w:pStyle w:val="ListBullet"/>
      </w:pPr>
      <w:r/>
      <w:r>
        <w:rPr>
          <w:b/>
        </w:rPr>
        <w:t>Crise drépanocytaire</w:t>
      </w:r>
      <w:r>
        <w:t xml:space="preserve"> (en cas de drépanocytose sous-jacente — interaction avec les sulfamides).</w:t>
      </w:r>
    </w:p>
    <w:p>
      <w:pPr>
        <w:pStyle w:val="ListBullet"/>
      </w:pPr>
      <w:r/>
      <w:r>
        <w:rPr>
          <w:b/>
        </w:rPr>
        <w:t>Photosensibilité</w:t>
      </w:r>
      <w:r>
        <w:t xml:space="preserve"> rare.</w:t>
      </w:r>
    </w:p>
    <w:p>
      <w:pPr>
        <w:pStyle w:val="ListBullet"/>
      </w:pPr>
      <w:r/>
      <w:r>
        <w:rPr>
          <w:b/>
        </w:rPr>
        <w:t>Hépatotoxicité</w:t>
      </w:r>
      <w:r>
        <w:t xml:space="preserve"> rare (cytolyse, cholestase).</w:t>
      </w:r>
    </w:p>
    <w:p>
      <w:pPr>
        <w:pStyle w:val="ListBullet"/>
      </w:pPr>
      <w:r/>
      <w:r>
        <w:rPr>
          <w:b/>
        </w:rPr>
        <w:t>Néphrotoxicité</w:t>
      </w:r>
      <w:r>
        <w:t xml:space="preserve"> rare (néphrite interstitielle aiguë — particulièrement en cas d'insuffisance rénale préexistante).</w:t>
      </w:r>
    </w:p>
    <w:p>
      <w:r>
        <w:t>Prévention des EI :</w:t>
      </w:r>
    </w:p>
    <w:p>
      <w:pPr>
        <w:pStyle w:val="ListBullet"/>
      </w:pPr>
      <w:r/>
      <w:r>
        <w:rPr>
          <w:b/>
        </w:rPr>
        <w:t>Limitation de la surface d'application</w:t>
      </w:r>
      <w:r>
        <w:t xml:space="preserve"> : ne pas dépasser 10-15 % de la surface corporelle sans surveillance acido-basique stricte.</w:t>
      </w:r>
    </w:p>
    <w:p>
      <w:pPr>
        <w:pStyle w:val="ListBullet"/>
      </w:pPr>
      <w:r/>
      <w:r>
        <w:rPr>
          <w:b/>
        </w:rPr>
        <w:t>Surveillance gaz du sang</w:t>
      </w:r>
      <w:r>
        <w:t xml:space="preserve"> : à J0, puis 1 fois/jour si application étendue (&gt;10 % de la surface corporelle), et à chaque réapplication prolongée.</w:t>
      </w:r>
    </w:p>
    <w:p>
      <w:pPr>
        <w:pStyle w:val="ListBullet"/>
      </w:pPr>
      <w:r/>
      <w:r>
        <w:rPr>
          <w:b/>
        </w:rPr>
        <w:t>Surveillance ionogramme</w:t>
      </w:r>
      <w:r>
        <w:t xml:space="preserve"> : à J0, puis 1 fois/jour — surveillance de la kaliémie, chlorémie, bicarbonatémie.</w:t>
      </w:r>
    </w:p>
    <w:p>
      <w:pPr>
        <w:pStyle w:val="ListBullet"/>
      </w:pPr>
      <w:r/>
      <w:r>
        <w:rPr>
          <w:b/>
        </w:rPr>
        <w:t>Surveillance fonction rénale</w:t>
      </w:r>
      <w:r>
        <w:t xml:space="preserve"> : créatinine, clairance, à J0 puis 1 fois/jour — adaptation posologique ou changement thérapeutique en cas d'insuffisance rénale.</w:t>
      </w:r>
    </w:p>
    <w:p>
      <w:pPr>
        <w:pStyle w:val="ListBullet"/>
      </w:pPr>
      <w:r/>
      <w:r>
        <w:rPr>
          <w:b/>
        </w:rPr>
        <w:t>Surveillance de l'état respiratoire</w:t>
      </w:r>
      <w:r>
        <w:t xml:space="preserve"> : hyperventilation, dyspnée — signes d'alerte de l'acidose métabolique.</w:t>
      </w:r>
    </w:p>
    <w:p>
      <w:pPr>
        <w:pStyle w:val="ListBullet"/>
      </w:pPr>
      <w:r/>
      <w:r>
        <w:rPr>
          <w:b/>
        </w:rPr>
        <w:t>Surveillance dermatologique</w:t>
      </w:r>
      <w:r>
        <w:t xml:space="preserve"> : érythème, prurit, vésicules — recherche de dermite de contact.</w:t>
      </w:r>
    </w:p>
    <w:p>
      <w:pPr>
        <w:pStyle w:val="ListBullet"/>
      </w:pPr>
      <w:r/>
      <w:r>
        <w:rPr>
          <w:b/>
        </w:rPr>
        <w:t>Limitation de la durée</w:t>
      </w:r>
      <w:r>
        <w:t xml:space="preserve"> : 5-7 jours en moyenne, ne pas prolonger au-delà de 10-14 jours sans réévaluation médicale (relais par sulfadiazine argentique si disponible, ou par pansement à l'argent).</w:t>
      </w:r>
    </w:p>
    <w:p>
      <w:pPr>
        <w:pStyle w:val="ListBullet"/>
      </w:pPr>
      <w:r/>
      <w:r>
        <w:rPr>
          <w:b/>
        </w:rPr>
        <w:t>Éviter chez la femme enceinte</w:t>
      </w:r>
      <w:r>
        <w:t xml:space="preserve"> (1ᵉʳ trimestre — potentiel tératogène des sulfamides : compétition avec le PABA du folate maternel) et chez la femme allaitante (risque d'ictère nucléaire chez le nourrisson — déplacement de la bilirubine de l'albumine).</w:t>
      </w:r>
    </w:p>
    <w:p>
      <w:pPr>
        <w:pStyle w:val="ListBullet"/>
      </w:pPr>
      <w:r/>
      <w:r>
        <w:rPr>
          <w:b/>
        </w:rPr>
        <w:t>Éviter chez le drépanocytaire</w:t>
      </w:r>
      <w:r>
        <w:t xml:space="preserve"> (risque de crise hémolytique).</w:t>
      </w:r>
    </w:p>
    <w:p>
      <w:pPr>
        <w:pStyle w:val="ListBullet"/>
      </w:pPr>
      <w:r/>
      <w:r>
        <w:rPr>
          <w:b/>
        </w:rPr>
        <w:t>Éviter chez le déficient en G6PD</w:t>
      </w:r>
      <w:r>
        <w:t xml:space="preserve"> (risque d'hémolyse).</w:t>
      </w:r>
    </w:p>
    <w:p>
      <w:r/>
      <w:r>
        <w:rPr>
          <w:b/>
        </w:rPr>
        <w:t>Interactions Médicamenteuses :</w:t>
      </w:r>
      <w:r/>
    </w:p>
    <w:p>
      <w:pPr>
        <w:pStyle w:val="ListBullet"/>
      </w:pPr>
      <w:r/>
      <w:r>
        <w:rPr>
          <w:b/>
        </w:rPr>
        <w:t>Anticoagulants oraux</w:t>
      </w:r>
      <w:r>
        <w:t xml:space="preserve"> (warfarine, acénocoumarol, fluindione) : potentialisation majeure de l'effet anticoagulant (déplacement de la warfarine de l'albumine, inhibition compétitive de la glucuronidation hépatique) — surveillance INR accrue.</w:t>
      </w:r>
    </w:p>
    <w:p>
      <w:pPr>
        <w:pStyle w:val="ListBullet"/>
      </w:pPr>
      <w:r/>
      <w:r>
        <w:rPr>
          <w:b/>
        </w:rPr>
        <w:t>Sulfonylurées antidiabétiques</w:t>
      </w:r>
      <w:r>
        <w:t xml:space="preserve"> (glibenclamide, gliclazide, glimépiride) : potentialisation de l'effet hypoglycémiant (déplacement de l'albumine) — surveillance glycémique accrue.</w:t>
      </w:r>
    </w:p>
    <w:p>
      <w:pPr>
        <w:pStyle w:val="ListBullet"/>
      </w:pPr>
      <w:r/>
      <w:r>
        <w:rPr>
          <w:b/>
        </w:rPr>
        <w:t>Méthotrexate</w:t>
      </w:r>
      <w:r>
        <w:t xml:space="preserve"> : potentialisation de la toxicité hématologique (déplacement de l'albumine) — surveillance NFS.</w:t>
      </w:r>
    </w:p>
    <w:p>
      <w:pPr>
        <w:pStyle w:val="ListBullet"/>
      </w:pPr>
      <w:r/>
      <w:r>
        <w:rPr>
          <w:b/>
        </w:rPr>
        <w:t>Phénytoïne</w:t>
      </w:r>
      <w:r>
        <w:t xml:space="preserve"> : potentialisation de la toxicité neurologique (déplacement de l'albumine, inhibition du métabolisme hépatique) — surveillance clinique.</w:t>
      </w:r>
    </w:p>
    <w:p>
      <w:pPr>
        <w:pStyle w:val="ListBullet"/>
      </w:pPr>
      <w:r/>
      <w:r>
        <w:rPr>
          <w:b/>
        </w:rPr>
        <w:t>Autres sulfamides</w:t>
      </w:r>
      <w:r>
        <w:t xml:space="preserve"> (cotrimoxazole, sulfaméthoxazole, sulfasalazine) : risque de surdosage et de réactions allergiques croisées — éviter l'association.</w:t>
      </w:r>
    </w:p>
    <w:p>
      <w:pPr>
        <w:pStyle w:val="ListBullet"/>
      </w:pPr>
      <w:r/>
      <w:r>
        <w:rPr>
          <w:b/>
        </w:rPr>
        <w:t>AINS</w:t>
      </w:r>
      <w:r>
        <w:t xml:space="preserve"> (aspirine, ibuprofène, etc.) : potentialisation de l'effet des sulfamides (déplacement de l'albumine) — surveillance.</w:t>
      </w:r>
    </w:p>
    <w:p>
      <w:pPr>
        <w:pStyle w:val="ListBullet"/>
      </w:pPr>
      <w:r/>
      <w:r>
        <w:rPr>
          <w:b/>
        </w:rPr>
        <w:t>Pénicillines</w:t>
      </w:r>
      <w:r>
        <w:t xml:space="preserve"> : pas d'interaction pharmacologique majeure, mais risque d'allergie croisée (10 % des patients allergiques aux sulfamides sont aussi allergiques aux pénicillines).</w:t>
      </w:r>
    </w:p>
    <w:p>
      <w:pPr>
        <w:pStyle w:val="ListBullet"/>
      </w:pPr>
      <w:r/>
      <w:r>
        <w:rPr>
          <w:b/>
        </w:rPr>
        <w:t>Divers</w:t>
      </w:r>
      <w:r>
        <w:t xml:space="preserve"> : éviter l'association avec les substances néphrotoxiques (aminoglycosides, AINS, produits de contraste iodés), hépatotoxiques (paracétamol à forte dose, alcool), et hématotoxiques (méthotrexate, chloramphénicol, clozapine).</w:t>
      </w:r>
    </w:p>
    <w:p>
      <w:r/>
      <w:r>
        <w:rPr>
          <w:b/>
        </w:rPr>
        <w:t>Grossesse et Allaitement (CRAT) :</w:t>
      </w:r>
      <w:r/>
    </w:p>
    <w:p>
      <w:pPr>
        <w:pStyle w:val="ListBullet"/>
      </w:pPr>
      <w:r/>
      <w:r>
        <w:rPr>
          <w:b/>
        </w:rPr>
        <w:t>Grossesse</w:t>
      </w:r>
      <w:r>
        <w:t xml:space="preserve"> : Le CRAT classe les sulfamides en </w:t>
      </w:r>
      <w:r>
        <w:rPr>
          <w:b/>
        </w:rPr>
        <w:t>"Contre-indication absolue au 1ᵉʳ trimestre"</w:t>
      </w:r>
      <w:r>
        <w:t xml:space="preserve"> (compétition avec l'acide folique maternel — risque de défauts de fermeture du tube neural, de fente palatine, d'anomalies cardiovasculaires) et </w:t>
      </w:r>
      <w:r>
        <w:rPr>
          <w:b/>
        </w:rPr>
        <w:t>"Contre-indication au 3ᵉ trimestre"</w:t>
      </w:r>
      <w:r>
        <w:t xml:space="preserve"> (risque d'ictère nucléaire néonatal — déplacement de la bilirubine non conjuguée de l'albumine fœtale, augmentation de la bilirubine libre circulante qui franchit la barrière hémato-encéphalique immature du nouveau-né — dépôt dans les noyaux gris centraux → encéphalopathie bilirubinique → lésions neurologiques sévères définitives). Au 2ᵉ trimestre, le sulfamide peut être utilisé en cas d'absolue nécessité (brûlure grave étendue avec surinfection menaçante) — sous surveillance hospitalière stricte.</w:t>
      </w:r>
    </w:p>
    <w:p>
      <w:pPr>
        <w:pStyle w:val="ListBullet"/>
      </w:pPr>
      <w:r/>
      <w:r>
        <w:rPr>
          <w:b/>
        </w:rPr>
        <w:t>Allaitement</w:t>
      </w:r>
      <w:r>
        <w:t xml:space="preserve"> : Contre-indication absolue (passage dans le lait maternel — risque d'ictère nucléaire chez le nourrisson, surtout chez le prématuré et le nouveau-né &lt;1 mois). Le mafénide ne doit pas être appliqué chez la femme allaitante — relais par sulfadiazine argentique si disponible, ou par alternative non sulfamide (mupirocine, acide fusidique).</w:t>
      </w:r>
    </w:p>
    <w:p>
      <w:r/>
      <w:r>
        <w:rPr>
          <w:b/>
        </w:rPr>
        <w:t>Posologie et Mode d'administration :</w:t>
      </w:r>
      <w:r/>
    </w:p>
    <w:p>
      <w:r>
        <w:t>Forme topique — crème HEALER 8,5 % :</w:t>
      </w:r>
    </w:p>
    <w:p>
      <w:pPr>
        <w:pStyle w:val="ListBullet"/>
      </w:pPr>
      <w:r/>
      <w:r>
        <w:rPr>
          <w:b/>
        </w:rPr>
        <w:t>Adulte</w:t>
      </w:r>
      <w:r>
        <w:t xml:space="preserve"> : application quotidienne (1 fois/jour) ou bid selon le protocole, en couche épaisse recouvrant toute la surface brûlée, après détersion mécanique et nettoyage soigneux. Recouvrir d'un pansement non adhérent (tulle gras ordinaire), puis d'un pansement absorbant secondaire. Renouveler à chaque réapplication.</w:t>
      </w:r>
    </w:p>
    <w:p>
      <w:pPr>
        <w:pStyle w:val="ListBullet"/>
      </w:pPr>
      <w:r/>
      <w:r>
        <w:rPr>
          <w:b/>
        </w:rPr>
        <w:t>Enfant</w:t>
      </w:r>
      <w:r>
        <w:t xml:space="preserve"> : même posologie, sous surveillance acido-basique stricte.</w:t>
      </w:r>
    </w:p>
    <w:p>
      <w:pPr>
        <w:pStyle w:val="ListBullet"/>
      </w:pPr>
      <w:r/>
      <w:r>
        <w:rPr>
          <w:b/>
        </w:rPr>
        <w:t>Surface maximale recommandée</w:t>
      </w:r>
      <w:r>
        <w:t xml:space="preserve"> : 10-15 % de la surface corporelle (au-delà, surveillance acido-basique renforcée ou alternative thérapeutique).</w:t>
      </w:r>
    </w:p>
    <w:p>
      <w:pPr>
        <w:pStyle w:val="ListBullet"/>
      </w:pPr>
      <w:r/>
      <w:r>
        <w:rPr>
          <w:b/>
        </w:rPr>
        <w:t>Durée</w:t>
      </w:r>
      <w:r>
        <w:t xml:space="preserve"> : 5-7 jours en moyenne, prolongeable jusqu'à 10-14 jours en cas d'infection persistante — au-delà, réévaluation médicale (relais par sulfadiazine argentique si disponible, ou par pansement à l'argent).</w:t>
      </w:r>
    </w:p>
    <w:p>
      <w:pPr>
        <w:pStyle w:val="ListBullet"/>
      </w:pPr>
      <w:r/>
      <w:r>
        <w:rPr>
          <w:b/>
        </w:rPr>
        <w:t>Mode d'administration</w:t>
      </w:r>
      <w:r>
        <w:t xml:space="preserve"> : utilisation par le personnel soignant (médecin, infirmier) — port de gants stériles, application en milieu hospitalier (centre de brûlés, service de chirurgie plastique, réanimation).</w:t>
      </w:r>
    </w:p>
    <w:p>
      <w:r/>
      <w:r>
        <w:rPr>
          <w:b/>
        </w:rPr>
        <w:t>Surveillance Biologique et Suivi Clinique :</w:t>
      </w:r>
      <w:r/>
    </w:p>
    <w:p>
      <w:r>
        <w:t>Surveillance hospitalière stricte (service de brûlés) :</w:t>
      </w:r>
    </w:p>
    <w:p>
      <w:pPr>
        <w:pStyle w:val="ListBullet"/>
      </w:pPr>
      <w:r/>
      <w:r>
        <w:rPr>
          <w:b/>
        </w:rPr>
        <w:t>Gaz du sang artériel</w:t>
      </w:r>
      <w:r>
        <w:t xml:space="preserve"> : à J0, puis 1 fois/jour si application étendue (&gt;10 % de la surface corporelle) — surveillance du pH (cible 7,35-7,45 ; alarme &lt;7,30 — arrêt du mafénide), bicarbonates (cible 22-26 mmol/L ; alarme &lt;20 mmol/L), PCO2 (hyperventilation compensatoire — PCO2 basse).</w:t>
      </w:r>
    </w:p>
    <w:p>
      <w:pPr>
        <w:pStyle w:val="ListBullet"/>
      </w:pPr>
      <w:r/>
      <w:r>
        <w:rPr>
          <w:b/>
        </w:rPr>
        <w:t>Ionogramme sanguin</w:t>
      </w:r>
      <w:r>
        <w:t xml:space="preserve"> : à J0, puis 1 fois/jour — surveillance de la kaliémie (cible 3,5-5 mmol/L ; alarme &lt;3 ou &gt;5,5), chlorémie (cible 95-105 mmol/L ; alarme &gt;110 — acidose hyperchlorémique), bicarbonates (cible 22-26 mmol/L), trou anionique.</w:t>
      </w:r>
    </w:p>
    <w:p>
      <w:pPr>
        <w:pStyle w:val="ListBullet"/>
      </w:pPr>
      <w:r/>
      <w:r>
        <w:rPr>
          <w:b/>
        </w:rPr>
        <w:t>Fonction rénale</w:t>
      </w:r>
      <w:r>
        <w:t xml:space="preserve"> : créatinine, clairance — à J0, puis 1 fois/jour — adaptation posologique ou changement thérapeutique en cas d'insuffisance rénale.</w:t>
      </w:r>
    </w:p>
    <w:p>
      <w:pPr>
        <w:pStyle w:val="ListBullet"/>
      </w:pPr>
      <w:r/>
      <w:r>
        <w:rPr>
          <w:b/>
        </w:rPr>
        <w:t>Numération formule sanguine (NFS)</w:t>
      </w:r>
      <w:r>
        <w:t xml:space="preserve"> : à J0, puis 2 fois/semaine — recherche de thrombopénie, neutropénie, agranulocytose (effet indésirable rare des sulfamides).</w:t>
      </w:r>
    </w:p>
    <w:p>
      <w:pPr>
        <w:pStyle w:val="ListBullet"/>
      </w:pPr>
      <w:r/>
      <w:r>
        <w:rPr>
          <w:b/>
        </w:rPr>
        <w:t>Bilan hépatique</w:t>
      </w:r>
      <w:r>
        <w:t xml:space="preserve"> : ASAT, ALAT, γGT, bilirubine — à J0, puis 2 fois/semaine — recherche d'hépatotoxicité (rare).</w:t>
      </w:r>
    </w:p>
    <w:p>
      <w:pPr>
        <w:pStyle w:val="ListBullet"/>
      </w:pPr>
      <w:r/>
      <w:r>
        <w:rPr>
          <w:b/>
        </w:rPr>
        <w:t>Prélèvements bactériologiques locaux</w:t>
      </w:r>
      <w:r>
        <w:t xml:space="preserve"> : à J0, puis 2 fois/semaine — surveillance de la colonisation et de la résistance bactérienne, adaptation thérapeutique en cas d'émergence de résistance.</w:t>
      </w:r>
    </w:p>
    <w:p>
      <w:pPr>
        <w:pStyle w:val="ListBullet"/>
      </w:pPr>
      <w:r/>
      <w:r>
        <w:rPr>
          <w:b/>
        </w:rPr>
        <w:t>Surveillance clinique</w:t>
      </w:r>
      <w:r>
        <w:t xml:space="preserve"> : état respiratoire (hyperventilation, dyspnée — signe d'alerte précoce de l'acidose métabolique), état hémodynamique (hypotension, tachycardie), état neurologique (confusion, agitation — signes d'acidose sévère), état cutané (érythème, prurit, vésicules — dermite de contact), température (fièvre — signe de septicémie).</w:t>
      </w:r>
    </w:p>
    <w:p>
      <w:pPr>
        <w:pStyle w:val="ListBullet"/>
      </w:pPr>
      <w:r/>
      <w:r>
        <w:rPr>
          <w:b/>
        </w:rPr>
        <w:t>Surveillance de la cicatrisation</w:t>
      </w:r>
      <w:r>
        <w:t xml:space="preserve"> : évaluation quotidienne du fond de la brûlure (nécrose vs tissu de granulation vs bourgeonnement), des berges (épithélialisation), de l'exsudat (séreux vs purulent).</w:t>
      </w:r>
    </w:p>
    <w:p>
      <w:pPr>
        <w:pStyle w:val="ListBullet"/>
      </w:pPr>
      <w:r/>
      <w:r>
        <w:rPr>
          <w:b/>
        </w:rPr>
        <w:t>Surveillance de l'état nutritionnel</w:t>
      </w:r>
      <w:r>
        <w:t xml:space="preserve"> : poids, albumine, pré-albumine — alimentation hyperprotidique et hypercalorique nécessaire à la cicatrisation des grands brûlés.</w:t>
      </w:r>
    </w:p>
    <w:p>
      <w:r/>
      <w:r>
        <w:rPr>
          <w:b/>
        </w:rPr>
        <w:t>Arbitrage et Bénéfices des Formes Galéniques :</w:t>
      </w:r>
      <w:r/>
    </w:p>
    <w:p>
      <w:pPr>
        <w:pStyle w:val="ListBullet"/>
      </w:pPr>
      <w:r/>
      <w:r>
        <w:rPr>
          <w:b/>
        </w:rPr>
        <w:t>Crème 8,5 %</w:t>
      </w:r>
      <w:r>
        <w:t xml:space="preserve"> (HEALER) : forme unique disponible en Algérie. Pratique, application facile, pénétration profonde de l'escarre. Inconvénients : dermite irritative fréquente, excipients possiblement allergisants, surveillance acido-basique obligatoire en cas d'application étendue.</w:t>
      </w:r>
    </w:p>
    <w:p>
      <w:pPr>
        <w:pStyle w:val="ListBullet"/>
      </w:pPr>
      <w:r/>
      <w:r>
        <w:rPr>
          <w:b/>
        </w:rPr>
        <w:t>Poudre soluble à 5 %</w:t>
      </w:r>
      <w:r>
        <w:t xml:space="preserve"> (forme historique — non disponible en Algérie) : usage historique en bain de brûlé, abandonnée.</w:t>
      </w:r>
    </w:p>
    <w:p>
      <w:pPr>
        <w:pStyle w:val="ListBullet"/>
      </w:pPr>
      <w:r/>
      <w:r>
        <w:rPr>
          <w:b/>
        </w:rPr>
        <w:t>Sulfadiazine argentique 1 %</w:t>
      </w:r>
      <w:r>
        <w:t xml:space="preserve"> (CRÈME SSD, FLAMAZINE — non disponibles en Algérie) : alternative de référence en Europe, présente l'avantage d'une toxicité acido-basique moindre (pas d'inhibition de l'anhydrase carbonique) et d'un spectre anti-pseudomonas comparable — mais d'une pénétration de l'escarre moindre (reste en surface) et d'un risque de leucopénie transitoire (5-15 % des patients — par agranulocytose à l'argent).</w:t>
      </w:r>
    </w:p>
    <w:p>
      <w:pPr>
        <w:pStyle w:val="ListBullet"/>
      </w:pPr>
      <w:r/>
      <w:r>
        <w:rPr>
          <w:b/>
        </w:rPr>
        <w:t>Pansements à l'argent</w:t>
      </w:r>
      <w:r>
        <w:t xml:space="preserve"> (ACTICOAT, AQUACEL AG — non disponibles en Algérie) : alternative moderne à libération prolongée d'ions argent, surveillance simplifiée, changement tous les 3-7 jours.</w:t>
      </w:r>
    </w:p>
    <w:p>
      <w:r/>
      <w:r>
        <w:rPr>
          <w:b/>
        </w:rPr>
        <w:t>Instructions et Conseils au Patient :</w:t>
      </w:r>
      <w:r/>
    </w:p>
    <w:p>
      <w:r>
        <w:t>Le mafénide étant à usage hospitalier prédominant, les conseils au patient concernent essentiellement l'éducation thérapeutique du grand brûlé et de sa famille :</w:t>
      </w:r>
    </w:p>
    <w:p>
      <w:pPr>
        <w:pStyle w:val="ListNumber"/>
      </w:pPr>
      <w:r/>
      <w:r>
        <w:rPr>
          <w:b/>
        </w:rPr>
        <w:t>Information sur le traitement</w:t>
      </w:r>
      <w:r>
        <w:t xml:space="preserve"> : objectif (prévention de l'infection bactérienne), fréquence d'application (1-2 fois/jour selon protocole), durée prévisible (5-15 jours selon la profondeur et l'étendue).</w:t>
      </w:r>
    </w:p>
    <w:p>
      <w:pPr>
        <w:pStyle w:val="ListNumber"/>
      </w:pPr>
      <w:r/>
      <w:r>
        <w:rPr>
          <w:b/>
        </w:rPr>
        <w:t>Surveillance des signes d'alerte</w:t>
      </w:r>
      <w:r>
        <w:t xml:space="preserve"> : respiration rapide et profonde (hyperventilation compensatoire de l'acidose), confusion, agitation, fatigue — alerter immédiatement le personnel soignant.</w:t>
      </w:r>
    </w:p>
    <w:p>
      <w:pPr>
        <w:pStyle w:val="ListNumber"/>
      </w:pPr>
      <w:r/>
      <w:r>
        <w:rPr>
          <w:b/>
        </w:rPr>
        <w:t>Gestion de la douleur</w:t>
      </w:r>
      <w:r>
        <w:t xml:space="preserve"> : le mafénide peut être douloureux à l'application (surtout sur brûlure profonde) — prémédication par antalgique (paracétamol, morphine titrée selon l'intensité) 30 min avant le pansement.</w:t>
      </w:r>
    </w:p>
    <w:p>
      <w:pPr>
        <w:pStyle w:val="ListNumber"/>
      </w:pPr>
      <w:r/>
      <w:r>
        <w:rPr>
          <w:b/>
        </w:rPr>
        <w:t>Alimentation</w:t>
      </w:r>
      <w:r>
        <w:t xml:space="preserve"> : régime hyperprotidique (1,5-2 g/kg/j), hypercalorique (35-40 kcal/kg/j), supplémenté en vitamines (C, A, E, zinc) — pour soutenir la cicatrisation.</w:t>
      </w:r>
    </w:p>
    <w:p>
      <w:pPr>
        <w:pStyle w:val="ListNumber"/>
      </w:pPr>
      <w:r/>
      <w:r>
        <w:rPr>
          <w:b/>
        </w:rPr>
        <w:t>Hygiène</w:t>
      </w:r>
      <w:r>
        <w:t xml:space="preserve"> : douches quotidiennes à l'eau tiède et au savon doux (avant pansement), séchage par tamponnement (sans frotter).</w:t>
      </w:r>
    </w:p>
    <w:p>
      <w:pPr>
        <w:pStyle w:val="ListNumber"/>
      </w:pPr>
      <w:r/>
      <w:r>
        <w:rPr>
          <w:b/>
        </w:rPr>
        <w:t>Prévention des complications</w:t>
      </w:r>
      <w:r>
        <w:t xml:space="preserve"> : décubitus (alternance des positions pour prévenir les escarres), kinésithérapie respiratoire (prévention des pneumopathies), mobilisation passive puis active des articulations (prévention des rétractions).</w:t>
      </w:r>
    </w:p>
    <w:p>
      <w:pPr>
        <w:pStyle w:val="ListNumber"/>
      </w:pPr>
      <w:r/>
      <w:r>
        <w:rPr>
          <w:b/>
        </w:rPr>
        <w:t>Soutien psychologique</w:t>
      </w:r>
      <w:r>
        <w:t xml:space="preserve"> : la brûlure est un traumatisme psychologique majeur — accompagnement psychologique spécialisé recommandé (surtout chez l'enfant et l'adolescent).</w:t>
      </w:r>
    </w:p>
    <w:p>
      <w:pPr>
        <w:pStyle w:val="ListNumber"/>
      </w:pPr>
      <w:r/>
      <w:r>
        <w:rPr>
          <w:b/>
        </w:rPr>
        <w:t>Conservation</w:t>
      </w:r>
      <w:r>
        <w:t xml:space="preserve"> : tube fermé, à température &lt;25°C, à l'abri de la lumière — durée de conservation après ouverture : 6 mois.</w:t>
      </w:r>
    </w:p>
    <w:p>
      <w:r/>
      <w:r>
        <w:rPr>
          <w:b/>
        </w:rPr>
        <w:t>Notes, Règles d'Or &amp; Pièges au Comptoir :</w:t>
      </w:r>
      <w:r/>
    </w:p>
    <w:p>
      <w:pPr>
        <w:pStyle w:val="ListBullet"/>
      </w:pPr>
      <w:r/>
      <w:r>
        <w:rPr>
          <w:b/>
        </w:rPr>
        <w:t>Règle d'or n°1</w:t>
      </w:r>
      <w:r>
        <w:t xml:space="preserve"> : Le mafénide est un </w:t>
      </w:r>
      <w:r>
        <w:rPr>
          <w:b/>
        </w:rPr>
        <w:t>médicament hospitalier</w:t>
      </w:r>
      <w:r>
        <w:t xml:space="preserve"> réservé aux services de brûlés — délivrance exclusivement médicale et spécialisée.</w:t>
      </w:r>
    </w:p>
    <w:p>
      <w:pPr>
        <w:pStyle w:val="ListBullet"/>
      </w:pPr>
      <w:r/>
      <w:r>
        <w:rPr>
          <w:b/>
        </w:rPr>
        <w:t>Règle d'or n°2</w:t>
      </w:r>
      <w:r>
        <w:t xml:space="preserve"> : </w:t>
      </w:r>
      <w:r>
        <w:rPr>
          <w:b/>
        </w:rPr>
        <w:t>Surveillance acido-basique obligatoire</w:t>
      </w:r>
      <w:r>
        <w:t xml:space="preserve"> en cas d'application étendue (&gt;10 % de la surface corporelle) — gaz du sang, ionogramme, fonction rénale quotidiens.</w:t>
      </w:r>
    </w:p>
    <w:p>
      <w:pPr>
        <w:pStyle w:val="ListBullet"/>
      </w:pPr>
      <w:r/>
      <w:r>
        <w:rPr>
          <w:b/>
        </w:rPr>
        <w:t>Règle d'or n°3</w:t>
      </w:r>
      <w:r>
        <w:t xml:space="preserve"> : </w:t>
      </w:r>
      <w:r>
        <w:rPr>
          <w:b/>
        </w:rPr>
        <w:t>Contre-indication absolue chez la femme enceinte</w:t>
      </w:r>
      <w:r>
        <w:t xml:space="preserve"> (1ᵉʳ et 3ᵉ trimestres) et </w:t>
      </w:r>
      <w:r>
        <w:rPr>
          <w:b/>
        </w:rPr>
        <w:t>chez la femme allaitante</w:t>
      </w:r>
      <w:r>
        <w:t xml:space="preserve"> (ictère nucléaire néonatal).</w:t>
      </w:r>
    </w:p>
    <w:p>
      <w:pPr>
        <w:pStyle w:val="ListBullet"/>
      </w:pPr>
      <w:r/>
      <w:r>
        <w:rPr>
          <w:b/>
        </w:rPr>
        <w:t>Piège n°1</w:t>
      </w:r>
      <w:r>
        <w:t xml:space="preserve"> : Ne pas appliquer sur surface &gt;20 % de la surface corporelle sans surveillance acido-basique continue — risque d'acidose sévère.</w:t>
      </w:r>
    </w:p>
    <w:p>
      <w:pPr>
        <w:pStyle w:val="ListBullet"/>
      </w:pPr>
      <w:r/>
      <w:r>
        <w:rPr>
          <w:b/>
        </w:rPr>
        <w:t>Piège n°2</w:t>
      </w:r>
      <w:r>
        <w:t xml:space="preserve"> : Ne pas prolonger au-delà de 14 jours sans réévaluation médicale — risque de résistance bactérienne, de dermite de contact, d'acidose.</w:t>
      </w:r>
    </w:p>
    <w:p>
      <w:pPr>
        <w:pStyle w:val="ListBullet"/>
      </w:pPr>
      <w:r/>
      <w:r>
        <w:rPr>
          <w:b/>
        </w:rPr>
        <w:t>Piège n°3</w:t>
      </w:r>
      <w:r>
        <w:t xml:space="preserve"> : Ne pas associer à d'autres sulfamides (cotrimoxazole, sulfasalazine) — risque d'allergie croisée et de surdosage.</w:t>
      </w:r>
    </w:p>
    <w:p>
      <w:pPr>
        <w:pStyle w:val="ListBullet"/>
      </w:pPr>
      <w:r/>
      <w:r>
        <w:rPr>
          <w:b/>
        </w:rPr>
        <w:t>Piège n°4</w:t>
      </w:r>
      <w:r>
        <w:t xml:space="preserve"> : Éviter chez le drépanocytaire (crise hémolytique) et le déficient en G6PD (hémolyse).</w:t>
      </w:r>
    </w:p>
    <w:p>
      <w:pPr>
        <w:pStyle w:val="ListBullet"/>
      </w:pPr>
      <w:r/>
      <w:r>
        <w:rPr>
          <w:b/>
        </w:rPr>
        <w:t>Piège n°5</w:t>
      </w:r>
      <w:r>
        <w:t xml:space="preserve"> : Éviter chez le patient sous anticoagulant oral (warfarine) ou sulfonylurée (glibenclamide) — risque d'interaction majeure.</w:t>
      </w:r>
    </w:p>
    <w:p>
      <w:pPr>
        <w:pStyle w:val="ListBullet"/>
      </w:pPr>
      <w:r/>
      <w:r>
        <w:rPr>
          <w:b/>
        </w:rPr>
        <w:t>Piège n°6</w:t>
      </w:r>
      <w:r>
        <w:t xml:space="preserve"> : Ne pas confondre mafénide et sulfadiazine argentique (alternative européenne non disponible en Algérie) — profil d'EI différent (acidose pour mafénide, leucopénie pour sulfadiazine argentique).</w:t>
      </w:r>
    </w:p>
    <w:p>
      <w:pPr>
        <w:pStyle w:val="ListBullet"/>
      </w:pPr>
      <w:r/>
      <w:r>
        <w:rPr>
          <w:b/>
        </w:rPr>
        <w:t>Piège n°7</w:t>
      </w:r>
      <w:r>
        <w:t xml:space="preserve"> : Surveillance de la colonisation bactérienne (prélèvements réguliers) — risque d'émergence de résistance (notamment entérocoques résistants à la vancomycine — ERV, et *P. aeruginosa* multirésistant).</w:t>
      </w:r>
    </w:p>
    <w:p>
      <w:pPr>
        <w:pStyle w:val="ListBullet"/>
      </w:pPr>
      <w:r/>
      <w:r>
        <w:rPr>
          <w:b/>
        </w:rPr>
        <w:t>Piège n°8</w:t>
      </w:r>
      <w:r>
        <w:t xml:space="preserve"> : Prévenir la douleur à l'application — prémédication antalgique indispensable chez le grand brûlé.</w:t>
      </w:r>
    </w:p>
    <w:p>
      <w:pPr>
        <w:pStyle w:val="ListBullet"/>
      </w:pPr>
      <w:r/>
      <w:r>
        <w:rPr>
          <w:b/>
        </w:rPr>
        <w:t>Conseil comptoir</w:t>
      </w:r>
      <w:r>
        <w:t xml:space="preserve"> : Le pharmacien d'officine n'est généralement pas impliqué dans la délivrance du mafénide (usage hospitalier) — mais doit connaître l'existence et les particularités de cette spécialité pour répondre aux demandes éventuelles des patients ou de leur famille, et pour orienter vers les services spécialisés.</w:t>
      </w:r>
    </w:p>
    <w:p>
      <w:pPr>
        <w:pStyle w:val="Heading2"/>
      </w:pPr>
      <w:r>
        <w:t>Sous-classe 125.7 — Traitement de l'alopécie — Vasodilatateurs capillaires — Minoxidil topique</w:t>
      </w:r>
    </w:p>
    <w:p>
      <w:r>
        <w:t>L'</w:t>
      </w:r>
      <w:r>
        <w:rPr>
          <w:b/>
        </w:rPr>
        <w:t>alopécie</w:t>
      </w:r>
      <w:r>
        <w:t xml:space="preserve"> (chute des cheveux) est un motif fréquent de consultation en dermatologie (15-20 % des consultations) et en médecine générale (5-10 % des consultations), touchant aussi bien l'homme (alopécie androgénétique masculine — AAGM, type Hamilton-Norwood, prévalence 50-70 % des hommes &gt;50 ans) que la femme (alopécie androgénétique féminine — AAGF, type Ludwig, prévalence 30-40 % des femmes &gt;50 ans), avec un retentissement psychologique souvent majeur (anxiété, dépression, baisse de l'estime de soi). Les formes d'alopécie sont multiples :</w:t>
      </w:r>
    </w:p>
    <w:p>
      <w:pPr>
        <w:pStyle w:val="ListBullet"/>
      </w:pPr>
      <w:r/>
      <w:r>
        <w:rPr>
          <w:b/>
        </w:rPr>
        <w:t>Alopécies cicatricielles</w:t>
      </w:r>
      <w:r>
        <w:t xml:space="preserve"> (destruction irréversible du follicule pileux — lichen plan pilaire, lupus discoïde, pseudopelade de Brocq, folliculite décalvante) — non accessibles au traitement médical minoxidil ;</w:t>
      </w:r>
    </w:p>
    <w:p>
      <w:pPr>
        <w:pStyle w:val="ListBullet"/>
      </w:pPr>
      <w:r/>
      <w:r>
        <w:rPr>
          <w:b/>
        </w:rPr>
        <w:t>Alopécies non cicatricielles</w:t>
      </w:r>
      <w:r>
        <w:t xml:space="preserve"> — </w:t>
      </w:r>
      <w:r>
        <w:rPr>
          <w:b/>
        </w:rPr>
        <w:t>alopécie androgénétique</w:t>
      </w:r>
      <w:r>
        <w:t xml:space="preserve"> (la plus fréquente, héréditaire, androgeno-dépendante), </w:t>
      </w:r>
      <w:r>
        <w:rPr>
          <w:b/>
        </w:rPr>
        <w:t>alopécie areata</w:t>
      </w:r>
      <w:r>
        <w:t xml:space="preserve"> (auto-immune, en plaques, réversible spontanément dans 50 % des cas), </w:t>
      </w:r>
      <w:r>
        <w:rPr>
          <w:b/>
        </w:rPr>
        <w:t>effluvium télogène aigu</w:t>
      </w:r>
      <w:r>
        <w:t xml:space="preserve"> (chute diffuse post-stress, post-fièvre, post-médicamenteuse, post-accouchement — réversible en 3-6 mois), </w:t>
      </w:r>
      <w:r>
        <w:rPr>
          <w:b/>
        </w:rPr>
        <w:t>effluvium anagène</w:t>
      </w:r>
      <w:r>
        <w:t xml:space="preserve"> (chimiothérapie, radiothérapie — réversible à l'arrêt du traitement causal), </w:t>
      </w:r>
      <w:r>
        <w:rPr>
          <w:b/>
        </w:rPr>
        <w:t>alopécie de traction</w:t>
      </w:r>
      <w:r>
        <w:t xml:space="preserve"> (coiffures serrées — réversible si arrêt précoce, cicatricielle si chronique).</w:t>
      </w:r>
    </w:p>
    <w:p>
      <w:r>
        <w:t xml:space="preserve">Le </w:t>
      </w:r>
      <w:r>
        <w:rPr>
          <w:b/>
        </w:rPr>
        <w:t>minoxidil</w:t>
      </w:r>
      <w:r>
        <w:t xml:space="preserve"> (2,4-diamino-6-piperidino-pyrimidine-3-oxyde, C₉H₁₅N₅O) est un </w:t>
      </w:r>
      <w:r>
        <w:rPr>
          <w:b/>
        </w:rPr>
        <w:t>vasodilatateur capillaire puissant</w:t>
      </w:r>
      <w:r>
        <w:t xml:space="preserve"> initialement développé par les laboratoires Upjohn (Kalamazoo, USA) dans les années 1960-1970 comme antihypertenseur oral — ouvre les canaux potassiques ATP-dépendants (K_ATP) des cellules musculaires lisses vasculaires → hyperpolarisation membranaire → relaxation → vasodilatation artériolaire → chute des résistances vasculaires périphériques. Commercialisé en 1975 sous le nom de LONITEN® (10 mg comprimé) dans l'hypertension artérielle sévère et résistante, il a révélé en 1980 — par l'observation clinique de Zappacosta — un </w:t>
      </w:r>
      <w:r>
        <w:rPr>
          <w:b/>
        </w:rPr>
        <w:t>effet indésirable inattendu et spectaculaire</w:t>
      </w:r>
      <w:r>
        <w:t xml:space="preserve"> : </w:t>
      </w:r>
      <w:r>
        <w:rPr>
          <w:b/>
        </w:rPr>
        <w:t>hypertrichose généralisée</w:t>
      </w:r>
      <w:r>
        <w:t xml:space="preserve"> (pilosité excessive sur le visage, les bras, les jambes, le tronc) chez 80 % des patients traités. Cette observation fortuite a conduit au développement d'une formulation topique (lotion à 2 % puis 5 %) appliquée sur le cuir chevelu pour stimuler la repousse des cheveux — commercialisée en 1986 sous le nom de ROGAINE® (États-Unis) puis REGAINE® (Europe) par Upjohn.</w:t>
      </w:r>
    </w:p>
    <w:p>
      <w:r>
        <w:t xml:space="preserve">Le mécanisme d'action du minoxidil topique sur la repousse pilaire reste </w:t>
      </w:r>
      <w:r>
        <w:rPr>
          <w:b/>
        </w:rPr>
        <w:t>partiellement élucidé</w:t>
      </w:r>
      <w:r>
        <w:t xml:space="preserve"> mais implique plusieurs mécanismes convergents :</w:t>
      </w:r>
    </w:p>
    <w:p>
      <w:pPr>
        <w:pStyle w:val="ListNumber"/>
      </w:pPr>
      <w:r/>
      <w:r>
        <w:rPr>
          <w:b/>
        </w:rPr>
        <w:t>Vasodilatation capillaire dermique</w:t>
      </w:r>
      <w:r>
        <w:t xml:space="preserve"> : ouverture des canaux K_ATP des cellules musculaires lisses des artérioles dermiques → hyperpolarisation → relaxation → vasodilatation → augmentation du flux sanguin péri-folliculaire → amélioration de l'apport en oxygène, nutriments et facteurs de croissance au follicule pileux. La concentration en minoxidil au niveau du follicule est corrélée à l'augmentation du flux sanguin cutané (mesure par laser Doppler : +30 % à 1 h après application).</w:t>
      </w:r>
    </w:p>
    <w:p>
      <w:pPr>
        <w:pStyle w:val="ListNumber"/>
      </w:pPr>
      <w:r/>
      <w:r>
        <w:rPr>
          <w:b/>
        </w:rPr>
        <w:t>Stimulation directe de la phase anagène</w:t>
      </w:r>
      <w:r>
        <w:t xml:space="preserve"> du cycle pilaire : le minoxidil (et son métabolite actif, le </w:t>
      </w:r>
      <w:r>
        <w:rPr>
          <w:b/>
        </w:rPr>
        <w:t>minoxidil sulfate</w:t>
      </w:r>
      <w:r>
        <w:t xml:space="preserve">) active la </w:t>
      </w:r>
      <w:r>
        <w:rPr>
          <w:b/>
        </w:rPr>
        <w:t>SULT1A1</w:t>
      </w:r>
      <w:r>
        <w:t xml:space="preserve"> (sulfotransférase cytosolique) des cellules de la gaine externe de la racine du cheveu, et stimule la transition des follicules en phase télogène (repos) vers la phase anagène (croissance active) — effet pharmacologique direct sur le cycle pilaire (essai Buhl AE, *J Invest Dermatol* 1993 : augmentation de 30 % du pourcentage de follicules en anagène après 8 semaines de traitement par minoxidil 2 %).</w:t>
      </w:r>
    </w:p>
    <w:p>
      <w:pPr>
        <w:pStyle w:val="ListNumber"/>
      </w:pPr>
      <w:r/>
      <w:r>
        <w:rPr>
          <w:b/>
        </w:rPr>
        <w:t>Augmentation du diamètre des fibres capillaires</w:t>
      </w:r>
      <w:r>
        <w:t xml:space="preserve"> : conversion des follicules produisant des </w:t>
      </w:r>
      <w:r>
        <w:rPr>
          <w:b/>
        </w:rPr>
        <w:t>velus</w:t>
      </w:r>
      <w:r>
        <w:t xml:space="preserve"> (poils fins, courts, peu pigmentés) en follicules produisant des </w:t>
      </w:r>
      <w:r>
        <w:rPr>
          <w:b/>
        </w:rPr>
        <w:t>cheveux terminaux</w:t>
      </w:r>
      <w:r>
        <w:t xml:space="preserve"> (poils épais, longs, pigmentés) — effet visible à 4-6 mois de traitement.</w:t>
      </w:r>
    </w:p>
    <w:p>
      <w:pPr>
        <w:pStyle w:val="ListNumber"/>
      </w:pPr>
      <w:r/>
      <w:r>
        <w:rPr>
          <w:b/>
        </w:rPr>
        <w:t>Prolongation de la durée de la phase anagène</w:t>
      </w:r>
      <w:r>
        <w:t xml:space="preserve"> : augmentation de la durée de croissance du cheveu (de 2-7 ans en moyenne à 3-8 ans) — retard de la phase de chute (télogène).</w:t>
      </w:r>
    </w:p>
    <w:p>
      <w:pPr>
        <w:pStyle w:val="ListNumber"/>
      </w:pPr>
      <w:r/>
      <w:r>
        <w:rPr>
          <w:b/>
        </w:rPr>
        <w:t>Action anti-androgénique modérée</w:t>
      </w:r>
      <w:r>
        <w:t xml:space="preserve"> (controversée) : inhibition discutée de la 5α-réductase locale — mais les essais cliniques ne confirment pas cet effet (le finastéride oral 1 mg/j reste l'anti-androgénique de référence dans l'AAGM).</w:t>
      </w:r>
    </w:p>
    <w:p>
      <w:pPr>
        <w:pStyle w:val="ListNumber"/>
      </w:pPr>
      <w:r/>
      <w:r>
        <w:rPr>
          <w:b/>
        </w:rPr>
        <w:t>Stimulation de la synthèse du collagène</w:t>
      </w:r>
      <w:r>
        <w:t xml:space="preserve"> dermique et de l'expression du </w:t>
      </w:r>
      <w:r>
        <w:rPr>
          <w:b/>
        </w:rPr>
        <w:t>VEGF</w:t>
      </w:r>
      <w:r>
        <w:t xml:space="preserve"> (Vascular Endothelial Growth Factor) dans les cellules dermiques papillaires — effet angiogénique participant à la néovascularisation du follicule.</w:t>
      </w:r>
    </w:p>
    <w:p>
      <w:pPr>
        <w:pStyle w:val="ListNumber"/>
      </w:pPr>
      <w:r/>
      <w:r>
        <w:rPr>
          <w:b/>
        </w:rPr>
        <w:t>Effet immunomodulateur</w:t>
      </w:r>
      <w:r>
        <w:t xml:space="preserve"> (particulièrement pertinent dans l'alopécie areata) : inhibition de l'expression du </w:t>
      </w:r>
      <w:r>
        <w:rPr>
          <w:b/>
        </w:rPr>
        <w:t>MHC de classe I</w:t>
      </w:r>
      <w:r>
        <w:t xml:space="preserve"> et de la présentation antigénique au follicule pileux — diminution de l'attaque auto-immune contre les mélanocytes et les cellules de la matrice pilaire.</w:t>
      </w:r>
    </w:p>
    <w:p>
      <w:r>
        <w:t xml:space="preserve">Le minoxidil est métabolisé en </w:t>
      </w:r>
      <w:r>
        <w:rPr>
          <w:b/>
        </w:rPr>
        <w:t>minoxidil sulfate</w:t>
      </w:r>
      <w:r>
        <w:t xml:space="preserve"> (métabolite actif) par la </w:t>
      </w:r>
      <w:r>
        <w:rPr>
          <w:b/>
        </w:rPr>
        <w:t>sulfotransférase SULT1A1</w:t>
      </w:r>
      <w:r>
        <w:t xml:space="preserve"> présente dans les cellules de la gaine externe de la racine du cheveu et dans le foie. Le minoxidil sulfate active les canaux K_ATP avec une affinité 10-100 × supérieure au minoxidil parent. Cette activation enzymatique est </w:t>
      </w:r>
      <w:r>
        <w:rPr>
          <w:b/>
        </w:rPr>
        <w:t>génétiquement polymorphe</w:t>
      </w:r>
      <w:r>
        <w:t xml:space="preserve"> — expliquant la variabilité interindividuelle de la réponse au minoxidil (40-60 % de répondeurs, 30-40 % de répondeurs partiels, 10-20 % de non-répondeurs — déterminée en partie par le polymorphisme du gène SULT1A1).</w:t>
      </w:r>
    </w:p>
    <w:p>
      <w:r>
        <w:t>L'efficacité du minoxidil topique est démontrée dans l'</w:t>
      </w:r>
      <w:r>
        <w:rPr>
          <w:b/>
        </w:rPr>
        <w:t>alopécie androgénétique</w:t>
      </w:r>
      <w:r>
        <w:t xml:space="preserve"> de l'homme (Hamilton-Norwood type III-V) et de la femme (Ludwig type I-II) — essai RCT Price VH, </w:t>
      </w:r>
      <w:r>
        <w:rPr>
          <w:i/>
        </w:rPr>
        <w:t>J Am Acad Dermatol</w:t>
      </w:r>
      <w:r>
        <w:t xml:space="preserve"> 2002 : augmentation de la densité capillaire de 15-25 % à 6 mois, de 20-30 % à 12 mois, avec arrêt de la chute dans 60-80 % des cas. Dans l'</w:t>
      </w:r>
      <w:r>
        <w:rPr>
          <w:b/>
        </w:rPr>
        <w:t>alopécie areata</w:t>
      </w:r>
      <w:r>
        <w:t xml:space="preserve"> modérée (&lt;50 % du cuir chevelu) — efficacité dans 40-60 % des cas. Dans les </w:t>
      </w:r>
      <w:r>
        <w:rPr>
          <w:b/>
        </w:rPr>
        <w:t>alopécies cicatricielles</w:t>
      </w:r>
      <w:r>
        <w:t xml:space="preserve"> — efficacité nulle (le follicule est détruit — pas de repousse possible). Dans les </w:t>
      </w:r>
      <w:r>
        <w:rPr>
          <w:b/>
        </w:rPr>
        <w:t>effluvium télogènes</w:t>
      </w:r>
      <w:r>
        <w:t xml:space="preserve"> — non indiqué (la chute est réversible spontanément en 3-6 mois).</w:t>
      </w:r>
    </w:p>
    <w:p>
      <w:r>
        <w:t xml:space="preserve">En Algérie, le minoxidil topique est disponible sous plusieurs spécialités concurrentes — témoignant de la maturité du marché local : </w:t>
      </w:r>
      <w:r>
        <w:rPr>
          <w:b/>
        </w:rPr>
        <w:t>MINOXIDIL NS</w:t>
      </w:r>
      <w:r>
        <w:t xml:space="preserve"> (Pharmidal — solution pour application locale 2 % et 5 %), </w:t>
      </w:r>
      <w:r>
        <w:rPr>
          <w:b/>
        </w:rPr>
        <w:t>MINOXYL</w:t>
      </w:r>
      <w:r>
        <w:t xml:space="preserve"> (Laboratoires Pharmaghreb — solution pour application locale 2 % et 5 %), </w:t>
      </w:r>
      <w:r>
        <w:rPr>
          <w:b/>
        </w:rPr>
        <w:t>ALOPECYL</w:t>
      </w:r>
      <w:r>
        <w:t xml:space="preserve"> (LAD — solution 2 % et 5 % — NON_RENOUVELABLE), </w:t>
      </w:r>
      <w:r>
        <w:rPr>
          <w:b/>
        </w:rPr>
        <w:t>ALOPEXY</w:t>
      </w:r>
      <w:r>
        <w:t xml:space="preserve"> (Pierre Fabre — solution 2 % et 5 % — RETRAIT). Les concentrations disponibles sont </w:t>
      </w:r>
      <w:r>
        <w:rPr>
          <w:b/>
        </w:rPr>
        <w:t>2 % (femme)</w:t>
      </w:r>
      <w:r>
        <w:t xml:space="preserve"> et </w:t>
      </w:r>
      <w:r>
        <w:rPr>
          <w:b/>
        </w:rPr>
        <w:t>5 % (homme)</w:t>
      </w:r>
      <w:r>
        <w:t>, en flacon pulvérisateur de 60-120 mL avec applicateur. Le minoxidil est en Liste II (substance réglementée — surveillance d'usage), délivrance sur prescription médicale.</w:t>
      </w:r>
    </w:p>
    <w:p>
      <w:r>
        <w:t xml:space="preserve">La sous-classe se distingue par son </w:t>
      </w:r>
      <w:r>
        <w:rPr>
          <w:b/>
        </w:rPr>
        <w:t>efficacité modérée mais réelle</w:t>
      </w:r>
      <w:r>
        <w:t xml:space="preserve"> (réponse variable selon le polymorphisme SULT1A1), son </w:t>
      </w:r>
      <w:r>
        <w:rPr>
          <w:b/>
        </w:rPr>
        <w:t>innocuité globale en application locale</w:t>
      </w:r>
      <w:r>
        <w:t xml:space="preserve"> (à condition de respecter la posologie et les contre-indications), sa </w:t>
      </w:r>
      <w:r>
        <w:rPr>
          <w:b/>
        </w:rPr>
        <w:t>contre-indication absolue chez la femme enceinte</w:t>
      </w:r>
      <w:r>
        <w:t xml:space="preserve"> (tératogène — hypertrichose fœtale, anomalies cardiovasculaires), son </w:t>
      </w:r>
      <w:r>
        <w:rPr>
          <w:b/>
        </w:rPr>
        <w:t>effet indésirable principal</w:t>
      </w:r>
      <w:r>
        <w:t xml:space="preserve"> (hypertrichose faciale chez la femme traitée à 5 % — par passage systémique), et son </w:t>
      </w:r>
      <w:r>
        <w:rPr>
          <w:b/>
        </w:rPr>
        <w:t>engagement thérapeutique prolongé</w:t>
      </w:r>
      <w:r>
        <w:t xml:space="preserve"> (6-12 mois minimum pour évaluer l'efficacité, traitement à vie pour maintenir l'effet — arrêt = chute en 4-6 mois).</w:t>
      </w:r>
    </w:p>
    <w:p>
      <w:pPr>
        <w:pStyle w:val="Heading3"/>
      </w:pPr>
      <w:r>
        <w:t>7. DCI : Minoxidil topique (vasodilatateur capillaire)</w:t>
      </w:r>
    </w:p>
    <w:p>
      <w:r/>
      <w:r>
        <w:rPr>
          <w:b/>
        </w:rPr>
        <w:t>Liste des Catégories :</w:t>
      </w:r>
      <w:r>
        <w:t xml:space="preserve"> Vasodilatateur capillaire topique (ouvre les canaux K_ATP des cellules musculaires lisses artériolaires dermiques → hyperpolarisation → relaxation → vasodilatation) ; dérivé pyrimidinique (2,4-diamino-6-piperidino-pyrimidine-3-oxyde) ; stimulateur de la phase anagène du cycle pilaire (activation de la SULT1A1, transition télogène → anagène) ; augmente le diamètre des fibres capillaires (conversion velus → cheveux terminaux) ; prolonge la durée de la phase anagène ; effet anti-androgénique modéré (controversé) ; stimulateur du VEGF dermique (angiogenèse péri-folliculaire) ; médicament de prescription médicale (Liste II en Algérie) ; voie topique exclusive (lotion 2 % femme / 5 % homme) ; tératogène chez l'animal (hypertrichose fœtale) — contre-indication absolue chez la femme enceinte ; passage systémique possible en application étendue ou prolongée — risque d'hypertrichose faciale (femme), hypotension, tachycardie réflexe ; ATC D11AX01 (minoxidil topique), C02DC01 (minoxidil oral — hypertension).</w:t>
      </w:r>
    </w:p>
    <w:p>
      <w:r>
        <w:t xml:space="preserve">Le </w:t>
      </w:r>
      <w:r>
        <w:rPr>
          <w:b/>
        </w:rPr>
        <w:t>minoxidil</w:t>
      </w:r>
      <w:r>
        <w:t xml:space="preserve"> (syn. : 2,4-diamino-6-piperidino-pyrimidine-3-oxyde, U-10858 — code Upjohn historique) est une poudre cristalline blanche à blanc-jaunâtre, inodore, légèrement soluble dans l'eau (2 mg/mL), soluble dans l'alcool, le propylène glycol, le DMSO. Sa formule chimique est C₉H₁₅N₅O (masse molaire 209,25 g/mol), température de fusion 248-250°C, log P (octanol/eau) ~1,2. La forme topique se présente en </w:t>
      </w:r>
      <w:r>
        <w:rPr>
          <w:b/>
        </w:rPr>
        <w:t>lotion hydroalcoolique</w:t>
      </w:r>
      <w:r>
        <w:t xml:space="preserve"> (excipients typiques : propylène glycol 30-50 %, éthanol 30-50 %, eau purifiée q.s. 100 %) à 2 % (femme) ou 5 % (homme), en flacon pulvérisateur de 60-120 mL avec applicateur (pulvérisateur et/ou pipette graduée).</w:t>
      </w:r>
    </w:p>
    <w:p>
      <w:r>
        <w:t xml:space="preserve">Le </w:t>
      </w:r>
      <w:r>
        <w:rPr>
          <w:b/>
        </w:rPr>
        <w:t>minoxidil sulfate</w:t>
      </w:r>
      <w:r>
        <w:t xml:space="preserve"> (métabolite actif) est généré par sulfotransférase (SULT1A1 — cytosolique) dans les cellules de la gaine externe de la racine du cheveu, dans le foie, et accessoirement dans les plaquettes. Le polymorphisme génétique de SULT1A1 (notamment la mutation </w:t>
      </w:r>
      <w:r>
        <w:rPr>
          <w:i/>
        </w:rPr>
        <w:t>SULT1A1</w:t>
      </w:r>
      <w:r>
        <w:t xml:space="preserve">2 — Arg213His — qui réduit l'activité enzymatique de 50-80 %) explique la variabilité interindividuelle de la réponse au minoxidil — les patients porteurs de la mutation </w:t>
      </w:r>
      <w:r>
        <w:rPr>
          <w:i/>
        </w:rPr>
        <w:t>SULT1A1</w:t>
      </w:r>
      <w:r>
        <w:t>2/</w:t>
      </w:r>
      <w:r>
        <w:rPr>
          <w:i/>
        </w:rPr>
        <w:t xml:space="preserve">2 (10-15 % de la population caucasienne) sont de </w:t>
      </w:r>
      <w:r/>
      <w:r>
        <w:rPr>
          <w:i/>
        </w:rPr>
        <w:t>mauvais répondeurs</w:t>
      </w:r>
      <w:r>
        <w:t>* au minoxidil topique.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MINOXIDIL NS</w:t>
            </w:r>
          </w:p>
        </w:tc>
        <w:tc>
          <w:tcPr>
            <w:tcW w:type="dxa" w:w="1559"/>
          </w:tcPr>
          <w:p>
            <w:r>
              <w:rPr>
                <w:sz w:val="20"/>
              </w:rPr>
              <w:t>PHARMIDAL NS</w:t>
            </w:r>
          </w:p>
        </w:tc>
        <w:tc>
          <w:tcPr>
            <w:tcW w:type="dxa" w:w="1559"/>
          </w:tcPr>
          <w:p>
            <w:r>
              <w:rPr>
                <w:sz w:val="20"/>
              </w:rPr>
              <w:t>Solution pour application locale — minoxidil 5 % (0,05 g/mL)</w:t>
            </w:r>
          </w:p>
        </w:tc>
        <w:tc>
          <w:tcPr>
            <w:tcW w:type="dxa" w:w="1559"/>
          </w:tcPr>
          <w:p>
            <w:r>
              <w:rPr>
                <w:sz w:val="20"/>
              </w:rPr>
              <w:t>Flacon de 120 mL avec pulvérisateur et pipette graduée</w:t>
            </w:r>
          </w:p>
        </w:tc>
        <w:tc>
          <w:tcPr>
            <w:tcW w:type="dxa" w:w="1559"/>
          </w:tcPr>
          <w:p>
            <w:r>
              <w:rPr>
                <w:sz w:val="20"/>
              </w:rPr>
              <w:t>Liste II</w:t>
            </w:r>
          </w:p>
        </w:tc>
        <w:tc>
          <w:tcPr>
            <w:tcW w:type="dxa" w:w="1559"/>
          </w:tcPr>
          <w:p>
            <w:r>
              <w:rPr>
                <w:sz w:val="20"/>
              </w:rPr>
              <w:t>**Actif**</w:t>
            </w:r>
          </w:p>
        </w:tc>
      </w:tr>
      <w:tr>
        <w:tc>
          <w:tcPr>
            <w:tcW w:type="dxa" w:w="1559"/>
          </w:tcPr>
          <w:p>
            <w:r>
              <w:rPr>
                <w:sz w:val="20"/>
              </w:rPr>
              <w:t>MINOXYL 5 %</w:t>
            </w:r>
          </w:p>
        </w:tc>
        <w:tc>
          <w:tcPr>
            <w:tcW w:type="dxa" w:w="1559"/>
          </w:tcPr>
          <w:p>
            <w:r>
              <w:rPr>
                <w:sz w:val="20"/>
              </w:rPr>
              <w:t>LABORATOIRES PHARMAGHREB</w:t>
            </w:r>
          </w:p>
        </w:tc>
        <w:tc>
          <w:tcPr>
            <w:tcW w:type="dxa" w:w="1559"/>
          </w:tcPr>
          <w:p>
            <w:r>
              <w:rPr>
                <w:sz w:val="20"/>
              </w:rPr>
              <w:t>Solution dermique — minoxidil 5 % (5 g/100 mL)</w:t>
            </w:r>
          </w:p>
        </w:tc>
        <w:tc>
          <w:tcPr>
            <w:tcW w:type="dxa" w:w="1559"/>
          </w:tcPr>
          <w:p>
            <w:r>
              <w:rPr>
                <w:sz w:val="20"/>
              </w:rPr>
              <w:t>Flacon de 60 mL avec pulvérisateur et applicateur</w:t>
            </w:r>
          </w:p>
        </w:tc>
        <w:tc>
          <w:tcPr>
            <w:tcW w:type="dxa" w:w="1559"/>
          </w:tcPr>
          <w:p>
            <w:r>
              <w:rPr>
                <w:sz w:val="20"/>
              </w:rPr>
              <w:t>Liste I</w:t>
            </w:r>
          </w:p>
        </w:tc>
        <w:tc>
          <w:tcPr>
            <w:tcW w:type="dxa" w:w="1559"/>
          </w:tcPr>
          <w:p>
            <w:r>
              <w:rPr>
                <w:sz w:val="20"/>
              </w:rPr>
              <w:t>**Actif**</w:t>
            </w:r>
          </w:p>
        </w:tc>
      </w:tr>
      <w:tr>
        <w:tc>
          <w:tcPr>
            <w:tcW w:type="dxa" w:w="1559"/>
          </w:tcPr>
          <w:p>
            <w:r>
              <w:rPr>
                <w:sz w:val="20"/>
              </w:rPr>
              <w:t>MINOXIDIL NS</w:t>
            </w:r>
          </w:p>
        </w:tc>
        <w:tc>
          <w:tcPr>
            <w:tcW w:type="dxa" w:w="1559"/>
          </w:tcPr>
          <w:p>
            <w:r>
              <w:rPr>
                <w:sz w:val="20"/>
              </w:rPr>
              <w:t>PHARMIDAL NS</w:t>
            </w:r>
          </w:p>
        </w:tc>
        <w:tc>
          <w:tcPr>
            <w:tcW w:type="dxa" w:w="1559"/>
          </w:tcPr>
          <w:p>
            <w:r>
              <w:rPr>
                <w:sz w:val="20"/>
              </w:rPr>
              <w:t>Solution pour application cutanée — minoxidil 2 % (0,02 g/mL)</w:t>
            </w:r>
          </w:p>
        </w:tc>
        <w:tc>
          <w:tcPr>
            <w:tcW w:type="dxa" w:w="1559"/>
          </w:tcPr>
          <w:p>
            <w:r>
              <w:rPr>
                <w:sz w:val="20"/>
              </w:rPr>
              <w:t>Flacon de 120 mL avec pulvérisateur et pipette graduée</w:t>
            </w:r>
          </w:p>
        </w:tc>
        <w:tc>
          <w:tcPr>
            <w:tcW w:type="dxa" w:w="1559"/>
          </w:tcPr>
          <w:p>
            <w:r>
              <w:rPr>
                <w:sz w:val="20"/>
              </w:rPr>
              <w:t>Hors liste</w:t>
            </w:r>
          </w:p>
        </w:tc>
        <w:tc>
          <w:tcPr>
            <w:tcW w:type="dxa" w:w="1559"/>
          </w:tcPr>
          <w:p>
            <w:r>
              <w:rPr>
                <w:sz w:val="20"/>
              </w:rPr>
              <w:t>**Actif**</w:t>
            </w:r>
          </w:p>
        </w:tc>
      </w:tr>
      <w:tr>
        <w:tc>
          <w:tcPr>
            <w:tcW w:type="dxa" w:w="1559"/>
          </w:tcPr>
          <w:p>
            <w:r>
              <w:rPr>
                <w:sz w:val="20"/>
              </w:rPr>
              <w:t>MINOXYL</w:t>
            </w:r>
          </w:p>
        </w:tc>
        <w:tc>
          <w:tcPr>
            <w:tcW w:type="dxa" w:w="1559"/>
          </w:tcPr>
          <w:p>
            <w:r>
              <w:rPr>
                <w:sz w:val="20"/>
              </w:rPr>
              <w:t>LABORATOIRES PHARMAGHREB</w:t>
            </w:r>
          </w:p>
        </w:tc>
        <w:tc>
          <w:tcPr>
            <w:tcW w:type="dxa" w:w="1559"/>
          </w:tcPr>
          <w:p>
            <w:r>
              <w:rPr>
                <w:sz w:val="20"/>
              </w:rPr>
              <w:t>Solution pour application locale — minoxidil 2 % (0,02 g/mL)</w:t>
            </w:r>
          </w:p>
        </w:tc>
        <w:tc>
          <w:tcPr>
            <w:tcW w:type="dxa" w:w="1559"/>
          </w:tcPr>
          <w:p>
            <w:r>
              <w:rPr>
                <w:sz w:val="20"/>
              </w:rPr>
              <w:t>Flacon de 60 mL</w:t>
            </w:r>
          </w:p>
        </w:tc>
        <w:tc>
          <w:tcPr>
            <w:tcW w:type="dxa" w:w="1559"/>
          </w:tcPr>
          <w:p>
            <w:r>
              <w:rPr>
                <w:sz w:val="20"/>
              </w:rPr>
              <w:t>Hors liste</w:t>
            </w:r>
          </w:p>
        </w:tc>
        <w:tc>
          <w:tcPr>
            <w:tcW w:type="dxa" w:w="1559"/>
          </w:tcPr>
          <w:p>
            <w:r>
              <w:rPr>
                <w:sz w:val="20"/>
              </w:rPr>
              <w:t>**Actif**</w:t>
            </w:r>
          </w:p>
        </w:tc>
      </w:tr>
    </w:tbl>
    <w:p/>
    <w:p>
      <w:r>
        <w:t>Formes non renouvelables (nouveaux approvisionnements suspendus)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ALOPECYL 5 %</w:t>
            </w:r>
          </w:p>
        </w:tc>
        <w:tc>
          <w:tcPr>
            <w:tcW w:type="dxa" w:w="1559"/>
          </w:tcPr>
          <w:p>
            <w:r>
              <w:rPr>
                <w:sz w:val="20"/>
              </w:rPr>
              <w:t>LABORATOIRE ALGERIEN DE DEVELOPPEMENT PHARMACEUTIQUE (LAD)</w:t>
            </w:r>
          </w:p>
        </w:tc>
        <w:tc>
          <w:tcPr>
            <w:tcW w:type="dxa" w:w="1559"/>
          </w:tcPr>
          <w:p>
            <w:r>
              <w:rPr>
                <w:sz w:val="20"/>
              </w:rPr>
              <w:t>Solution pour application locale — minoxidil 5 % (0,05 g/mL)</w:t>
            </w:r>
          </w:p>
        </w:tc>
        <w:tc>
          <w:tcPr>
            <w:tcW w:type="dxa" w:w="1559"/>
          </w:tcPr>
          <w:p>
            <w:r>
              <w:rPr>
                <w:sz w:val="20"/>
              </w:rPr>
              <w:t>Flacon pulvérisateur 15 mL et 50 mL</w:t>
            </w:r>
          </w:p>
        </w:tc>
        <w:tc>
          <w:tcPr>
            <w:tcW w:type="dxa" w:w="1559"/>
          </w:tcPr>
          <w:p>
            <w:r>
              <w:rPr>
                <w:sz w:val="20"/>
              </w:rPr>
              <w:t>Liste II</w:t>
            </w:r>
          </w:p>
        </w:tc>
        <w:tc>
          <w:tcPr>
            <w:tcW w:type="dxa" w:w="1559"/>
          </w:tcPr>
          <w:p>
            <w:r>
              <w:rPr>
                <w:sz w:val="20"/>
              </w:rPr>
              <w:t>**Non Renouvelable**</w:t>
            </w:r>
          </w:p>
        </w:tc>
      </w:tr>
      <w:tr>
        <w:tc>
          <w:tcPr>
            <w:tcW w:type="dxa" w:w="1559"/>
          </w:tcPr>
          <w:p>
            <w:r>
              <w:rPr>
                <w:sz w:val="20"/>
              </w:rPr>
              <w:t>ALOPECYL 2 %</w:t>
            </w:r>
          </w:p>
        </w:tc>
        <w:tc>
          <w:tcPr>
            <w:tcW w:type="dxa" w:w="1559"/>
          </w:tcPr>
          <w:p>
            <w:r>
              <w:rPr>
                <w:sz w:val="20"/>
              </w:rPr>
              <w:t>LAD</w:t>
            </w:r>
          </w:p>
        </w:tc>
        <w:tc>
          <w:tcPr>
            <w:tcW w:type="dxa" w:w="1559"/>
          </w:tcPr>
          <w:p>
            <w:r>
              <w:rPr>
                <w:sz w:val="20"/>
              </w:rPr>
              <w:t>Solution pour application locale — minoxidil 2 % (0,02 g/mL)</w:t>
            </w:r>
          </w:p>
        </w:tc>
        <w:tc>
          <w:tcPr>
            <w:tcW w:type="dxa" w:w="1559"/>
          </w:tcPr>
          <w:p>
            <w:r>
              <w:rPr>
                <w:sz w:val="20"/>
              </w:rPr>
              <w:t>Boîtes de 1 flacon pulvérisateur 15 mL, 3 flacons 15 mL, ou 1 flacon 50 mL</w:t>
            </w:r>
          </w:p>
        </w:tc>
        <w:tc>
          <w:tcPr>
            <w:tcW w:type="dxa" w:w="1559"/>
          </w:tcPr>
          <w:p>
            <w:r>
              <w:rPr>
                <w:sz w:val="20"/>
              </w:rPr>
              <w:t>Hors liste</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ALOPEXY 5 %</w:t>
            </w:r>
          </w:p>
        </w:tc>
        <w:tc>
          <w:tcPr>
            <w:tcW w:type="dxa" w:w="1559"/>
          </w:tcPr>
          <w:p>
            <w:r>
              <w:rPr>
                <w:sz w:val="20"/>
              </w:rPr>
              <w:t>PIERRE FABRE DERMATOLOGIE</w:t>
            </w:r>
          </w:p>
        </w:tc>
        <w:tc>
          <w:tcPr>
            <w:tcW w:type="dxa" w:w="1559"/>
          </w:tcPr>
          <w:p>
            <w:r>
              <w:rPr>
                <w:sz w:val="20"/>
              </w:rPr>
              <w:t>Solution pour application cutanée — minoxidil 5 % (5 g/100 mL)</w:t>
            </w:r>
          </w:p>
        </w:tc>
        <w:tc>
          <w:tcPr>
            <w:tcW w:type="dxa" w:w="1559"/>
          </w:tcPr>
          <w:p>
            <w:r>
              <w:rPr>
                <w:sz w:val="20"/>
              </w:rPr>
              <w:t>Flacon de 60 mL + pipette graduée</w:t>
            </w:r>
          </w:p>
        </w:tc>
        <w:tc>
          <w:tcPr>
            <w:tcW w:type="dxa" w:w="1559"/>
          </w:tcPr>
          <w:p>
            <w:r>
              <w:rPr>
                <w:sz w:val="20"/>
              </w:rPr>
              <w:t>Liste II</w:t>
            </w:r>
          </w:p>
        </w:tc>
        <w:tc>
          <w:tcPr>
            <w:tcW w:type="dxa" w:w="1559"/>
          </w:tcPr>
          <w:p>
            <w:r>
              <w:rPr>
                <w:sz w:val="20"/>
              </w:rPr>
              <w:t>**Retiré (R)**</w:t>
            </w:r>
          </w:p>
        </w:tc>
      </w:tr>
      <w:tr>
        <w:tc>
          <w:tcPr>
            <w:tcW w:type="dxa" w:w="1559"/>
          </w:tcPr>
          <w:p>
            <w:r>
              <w:rPr>
                <w:sz w:val="20"/>
              </w:rPr>
              <w:t>ALOPEXY 2 %</w:t>
            </w:r>
          </w:p>
        </w:tc>
        <w:tc>
          <w:tcPr>
            <w:tcW w:type="dxa" w:w="1559"/>
          </w:tcPr>
          <w:p>
            <w:r>
              <w:rPr>
                <w:sz w:val="20"/>
              </w:rPr>
              <w:t>PIERRE FABRE DERMATOLOGIE</w:t>
            </w:r>
          </w:p>
        </w:tc>
        <w:tc>
          <w:tcPr>
            <w:tcW w:type="dxa" w:w="1559"/>
          </w:tcPr>
          <w:p>
            <w:r>
              <w:rPr>
                <w:sz w:val="20"/>
              </w:rPr>
              <w:t>Solution pour application cutanée — minoxidil 2 % (2 g/100 mL)</w:t>
            </w:r>
          </w:p>
        </w:tc>
        <w:tc>
          <w:tcPr>
            <w:tcW w:type="dxa" w:w="1559"/>
          </w:tcPr>
          <w:p>
            <w:r>
              <w:rPr>
                <w:sz w:val="20"/>
              </w:rPr>
              <w:t>Flacon de 60 mL + pipette graduée</w:t>
            </w:r>
          </w:p>
        </w:tc>
        <w:tc>
          <w:tcPr>
            <w:tcW w:type="dxa" w:w="1559"/>
          </w:tcPr>
          <w:p>
            <w:r>
              <w:rPr>
                <w:sz w:val="20"/>
              </w:rPr>
              <w:t>Hors liste</w:t>
            </w:r>
          </w:p>
        </w:tc>
        <w:tc>
          <w:tcPr>
            <w:tcW w:type="dxa" w:w="1559"/>
          </w:tcPr>
          <w:p>
            <w:r>
              <w:rPr>
                <w:sz w:val="20"/>
              </w:rPr>
              <w:t>**Retiré (R)**</w:t>
            </w:r>
          </w:p>
        </w:tc>
      </w:tr>
    </w:tbl>
    <w:p/>
    <w:p>
      <w:r/>
      <w:r>
        <w:rPr>
          <w:b/>
        </w:rPr>
        <w:t>Note d'approvisionnement</w:t>
      </w:r>
      <w:r>
        <w:t xml:space="preserve"> : À la date d'Avril 2026, le minoxidil topique est disponible en Algérie sous quatre spécialités actives concurrentes (MINOXIDIL NS 2 % et 5 % — Pharmidal ; MINOXYL 2 % et 5 % — Pharmaghreb), garantissant l'accès du patient algérien à ce traitement. La pluralité des concentrations (2 % réservée à la femme, 5 % réservée à l'homme en première intention — mais possible chez la femme en cas de sévérité avec surveillance accrue de l'hypertrichose faciale) et des conditionnements (15, 50, 60, 120 mL) offre une certaine flexibilité. Les marques historiques (ALOPECYL — LAD — NON_RENOUVELABLE ; ALOPEXY — Pierre Fabre — RETRAIT) ne sont plus commercialisées en Algérie. Le minoxidil topique est en Liste II (concentration 5 %) ou hors liste (concentration 2 %), à prescription médicale. L'usage oral du minoxidil (LONITEN 10 mg — antihypertenseur) est interdit en dermatologie (tératogène et effet systémique disproportionné pour l'indication dermatologique).</w:t>
      </w:r>
    </w:p>
    <w:p>
      <w:r/>
      <w:r>
        <w:rPr>
          <w:b/>
        </w:rPr>
        <w:t>Sous-classe et Mécanisme d'action :</w:t>
      </w:r>
      <w:r/>
    </w:p>
    <w:p>
      <w:r>
        <w:t xml:space="preserve">Le mécanisme d'action du minoxidil topique sur la repousse pilaire est </w:t>
      </w:r>
      <w:r>
        <w:rPr>
          <w:b/>
        </w:rPr>
        <w:t>pléiotropique</w:t>
      </w:r>
      <w:r>
        <w:t>, impliquant plusieurs voies moléculaires convergentes :</w:t>
      </w:r>
    </w:p>
    <w:p>
      <w:pPr>
        <w:pStyle w:val="ListNumber"/>
      </w:pPr>
      <w:r/>
      <w:r>
        <w:rPr>
          <w:b/>
        </w:rPr>
        <w:t>Ouverture des canaux potassiques ATP-dépendants (K_ATP)</w:t>
      </w:r>
      <w:r>
        <w:t xml:space="preserve"> : le </w:t>
      </w:r>
      <w:r>
        <w:rPr>
          <w:b/>
        </w:rPr>
        <w:t>minoxidil sulfate</w:t>
      </w:r>
      <w:r>
        <w:t xml:space="preserve"> (métabolite actif généré par SULT1A1) se lie à la sous-unité régulatrice SUR2 des canaux K_ATP (Kir6.1-SUR2B dans les cellules musculaires lisses artériolaires dermiques) → changement conformationnel → ouverture du canal → efflux de K+ → hyperpolarisation membranaire (potentiel de membrane plus négatif, ~-80 mV) → fermeture des canaux Ca2+ voltage-dépendants → baisse du Ca2+ intracellulaire → désactivation de la chaîne myosine-light chain kinase (MLCK) → relaxation des cellules musculaires lisses → </w:t>
      </w:r>
      <w:r>
        <w:rPr>
          <w:b/>
        </w:rPr>
        <w:t>vasodilatation artériolaire</w:t>
      </w:r>
      <w:r>
        <w:t xml:space="preserve"> → augmentation du flux sanguin péri-folliculaire. La vasodilatation est mesurée par laser Doppler : augmentation de 30-40 % du flux sanguin cutané à 1 h après application, persistant 4-6 heures.</w:t>
      </w:r>
    </w:p>
    <w:p>
      <w:pPr>
        <w:pStyle w:val="ListNumber"/>
      </w:pPr>
      <w:r/>
      <w:r>
        <w:rPr>
          <w:b/>
        </w:rPr>
        <w:t>Stimulation directe de la phase anagène</w:t>
      </w:r>
      <w:r>
        <w:t xml:space="preserve"> du cycle pilaire : le minoxidil sulfate augmente l'expression de la </w:t>
      </w:r>
      <w:r>
        <w:rPr>
          <w:b/>
        </w:rPr>
        <w:t>β-caténine</w:t>
      </w:r>
      <w:r>
        <w:t xml:space="preserve"> et de la </w:t>
      </w:r>
      <w:r>
        <w:rPr>
          <w:b/>
        </w:rPr>
        <w:t>lycopène desmogléine</w:t>
      </w:r>
      <w:r>
        <w:t xml:space="preserve"> dans les cellules de la matrice pilaire, déclenchant la transition des follicules en phase télogène (repos) vers la phase anagène (croissance active). Cette transition est objectivée par biopsies cuir chevelu : augmentation du ratio anagène/télogène de 30 % à 8 semaines (Buhl AE, *J Invest Dermatol* 1993).</w:t>
      </w:r>
    </w:p>
    <w:p>
      <w:pPr>
        <w:pStyle w:val="ListNumber"/>
      </w:pPr>
      <w:r/>
      <w:r>
        <w:rPr>
          <w:b/>
        </w:rPr>
        <w:t>Augmentation du diamètre des fibres capillaires</w:t>
      </w:r>
      <w:r>
        <w:t xml:space="preserve"> : conversion des follicules produisant des </w:t>
      </w:r>
      <w:r>
        <w:rPr>
          <w:b/>
        </w:rPr>
        <w:t>velus</w:t>
      </w:r>
      <w:r>
        <w:t xml:space="preserve"> (poils fins, courts, peu pigmentés, diamètre &lt;30 µm) en follicules produisant des </w:t>
      </w:r>
      <w:r>
        <w:rPr>
          <w:b/>
        </w:rPr>
        <w:t>cheveux terminaux</w:t>
      </w:r>
      <w:r>
        <w:t xml:space="preserve"> (poils épais, longs, pigmentés, diamètre &gt;60 µm). Cette conversion est mesurée par </w:t>
      </w:r>
      <w:r>
        <w:rPr>
          <w:b/>
        </w:rPr>
        <w:t>trichogramme</w:t>
      </w:r>
      <w:r>
        <w:t xml:space="preserve"> (analyse microscopique des cheveux arrachés) : augmentation de 25-40 % du diamètre moyen à 6 mois de traitement.</w:t>
      </w:r>
    </w:p>
    <w:p>
      <w:pPr>
        <w:pStyle w:val="ListNumber"/>
      </w:pPr>
      <w:r/>
      <w:r>
        <w:rPr>
          <w:b/>
        </w:rPr>
        <w:t>Prolongation de la durée de la phase anagène</w:t>
      </w:r>
      <w:r>
        <w:t xml:space="preserve"> : augmentation de la durée de croissance du cheveu (de 2-7 ans en moyenne à 3-8 ans) — retard de la phase de chute (télogène). Le minoxidil inhibe la protéine </w:t>
      </w:r>
      <w:r>
        <w:rPr>
          <w:b/>
        </w:rPr>
        <w:t>TGF-β1</w:t>
      </w:r>
      <w:r>
        <w:t xml:space="preserve"> (Transforming Growth Factor β1) qui induit normalement la transition anagène → catagène → télogène — prolongeant ainsi la phase anagène.</w:t>
      </w:r>
    </w:p>
    <w:p>
      <w:pPr>
        <w:pStyle w:val="ListNumber"/>
      </w:pPr>
      <w:r/>
      <w:r>
        <w:rPr>
          <w:b/>
        </w:rPr>
        <w:t>Stimulation de l'expression du VEGF</w:t>
      </w:r>
      <w:r>
        <w:t xml:space="preserve"> dans les cellules dermiques papillaires : augmentation de l'expression du gène VEGF → néovascularisation du follicule pileux → amélioration de l'apport en oxygène et nutriments → soutien de la croissance du cheveu (Yano K, *J Clin Invest* 2001 : souris KO pour VEGF → alopécie ; restauration par VEGF).</w:t>
      </w:r>
    </w:p>
    <w:p>
      <w:pPr>
        <w:pStyle w:val="ListNumber"/>
      </w:pPr>
      <w:r/>
      <w:r>
        <w:rPr>
          <w:b/>
        </w:rPr>
        <w:t>Stimulation de la synthèse du collagène</w:t>
      </w:r>
      <w:r>
        <w:t xml:space="preserve"> dermique : augmentation de l'expression de </w:t>
      </w:r>
      <w:r>
        <w:rPr>
          <w:b/>
        </w:rPr>
        <w:t>COL1A1</w:t>
      </w:r>
      <w:r>
        <w:t xml:space="preserve"> et </w:t>
      </w:r>
      <w:r>
        <w:rPr>
          <w:b/>
        </w:rPr>
        <w:t>COL3A1</w:t>
      </w:r>
      <w:r>
        <w:t xml:space="preserve"> dans les fibroblastes dermiques — amélioration de la matrice extracellulaire périfolliculaire.</w:t>
      </w:r>
    </w:p>
    <w:p>
      <w:pPr>
        <w:pStyle w:val="ListNumber"/>
      </w:pPr>
      <w:r/>
      <w:r>
        <w:rPr>
          <w:b/>
        </w:rPr>
        <w:t>Effet anti-androgénique modéré</w:t>
      </w:r>
      <w:r>
        <w:t xml:space="preserve"> (controversé) : inhibition discutée de la </w:t>
      </w:r>
      <w:r>
        <w:rPr>
          <w:b/>
        </w:rPr>
        <w:t>5α-réductase</w:t>
      </w:r>
      <w:r>
        <w:t xml:space="preserve"> locale — mais les essais cliniques ne confirment pas un effet cliniquement significatif (le finastéride oral 1 mg/j reste l'anti-androgénique de référence dans l'AAGM, et le dutastéride 0,5 mg/j en alternative).</w:t>
      </w:r>
    </w:p>
    <w:p>
      <w:pPr>
        <w:pStyle w:val="ListNumber"/>
      </w:pPr>
      <w:r/>
      <w:r>
        <w:rPr>
          <w:b/>
        </w:rPr>
        <w:t>Effet immunomodulateur</w:t>
      </w:r>
      <w:r>
        <w:t xml:space="preserve"> (particulièrement pertinent dans l'alopécie areata) : inhibition de l'expression du </w:t>
      </w:r>
      <w:r>
        <w:rPr>
          <w:b/>
        </w:rPr>
        <w:t>MHC de classe I</w:t>
      </w:r>
      <w:r>
        <w:t xml:space="preserve"> et de la présentation antigénique au follicule pileux → diminution de l'attaque auto-immune contre les mélanocytes et les cellules de la matrice pilaire. Effet partiel — l'alopécie areata sévère (&gt;50 % du cuir chevelu) nécessite un traitement immunosuppresseur systémique (corticostéroïdes, méthotrexate, JAK-inhibiteurs — tofacitinib, ruxolitinib).</w:t>
      </w:r>
    </w:p>
    <w:p>
      <w:r>
        <w:t>L'effet thérapeutique en clinique se traduit par :</w:t>
      </w:r>
    </w:p>
    <w:p>
      <w:pPr>
        <w:pStyle w:val="ListBullet"/>
      </w:pPr>
      <w:r/>
      <w:r>
        <w:rPr>
          <w:b/>
        </w:rPr>
        <w:t>Arrêt de la chute</w:t>
      </w:r>
      <w:r>
        <w:t xml:space="preserve"> des cheveux à 2-3 mois (effet précoce — objectivable par test à la traction négatif) ;</w:t>
      </w:r>
    </w:p>
    <w:p>
      <w:pPr>
        <w:pStyle w:val="ListBullet"/>
      </w:pPr>
      <w:r/>
      <w:r>
        <w:rPr>
          <w:b/>
        </w:rPr>
        <w:t>Repousse visible</w:t>
      </w:r>
      <w:r>
        <w:t xml:space="preserve"> à 4-6 mois (augmentation de la densité capillaire de 15-25 %) ;</w:t>
      </w:r>
    </w:p>
    <w:p>
      <w:pPr>
        <w:pStyle w:val="ListBullet"/>
      </w:pPr>
      <w:r/>
      <w:r>
        <w:rPr>
          <w:b/>
        </w:rPr>
        <w:t>Effet maximal</w:t>
      </w:r>
      <w:r>
        <w:t xml:space="preserve"> à 12 mois (augmentation de la densité de 20-30 %) ;</w:t>
      </w:r>
    </w:p>
    <w:p>
      <w:pPr>
        <w:pStyle w:val="ListBullet"/>
      </w:pPr>
      <w:r/>
      <w:r>
        <w:rPr>
          <w:b/>
        </w:rPr>
        <w:t>Plateau</w:t>
      </w:r>
      <w:r>
        <w:t xml:space="preserve"> à 18-24 mois (pas d'amélioration supplémentaire, mais maintien de l'effet) ;</w:t>
      </w:r>
    </w:p>
    <w:p>
      <w:pPr>
        <w:pStyle w:val="ListBullet"/>
      </w:pPr>
      <w:r/>
      <w:r>
        <w:rPr>
          <w:b/>
        </w:rPr>
        <w:t>Arrêt = chute</w:t>
      </w:r>
      <w:r>
        <w:t xml:space="preserve"> en 4-6 mois (régression à l'état pré-thérapeutique — d'où l'engagement thérapeutique à vie).</w:t>
      </w:r>
    </w:p>
    <w:p>
      <w:r>
        <w:t xml:space="preserve">L'efficacité est </w:t>
      </w:r>
      <w:r>
        <w:rPr>
          <w:b/>
        </w:rPr>
        <w:t>variable</w:t>
      </w:r>
      <w:r>
        <w:t xml:space="preserve"> selon le polymorphisme SULT1A1 (40-60 % de répondeurs, 30-40 % de répondeurs partiels, 10-20 % de non-répondeurs) et dépend de la précocité du traitement (alopécie débutante &gt; alopécie ancienne — les follicules détruits ne repoussent pas).</w:t>
      </w:r>
    </w:p>
    <w:p>
      <w:r/>
      <w:r>
        <w:rPr>
          <w:b/>
        </w:rPr>
        <w:t>Profil Pharmacologique et Indications :</w:t>
      </w:r>
      <w:r/>
    </w:p>
    <w:p>
      <w:r>
        <w:t>Indications cliniques validées :</w:t>
      </w:r>
    </w:p>
    <w:p>
      <w:pPr>
        <w:pStyle w:val="ListBullet"/>
      </w:pPr>
      <w:r/>
      <w:r>
        <w:rPr>
          <w:b/>
        </w:rPr>
        <w:t>Alopécie androgénétique masculine (AAGM)</w:t>
      </w:r>
      <w:r>
        <w:t xml:space="preserve"> — Hamilton-Norwood type III-V (sommet et golfes temporaux) — minoxidil 5 % topique en 1ʳᵉ intention (alternative ou association au finastéride oral 1 mg/j). Efficacité démontrée (essai RCT Price VH, *J Am Acad Dermatol* 2002 : augmentation de la densité capillaire de 25-30 % à 12 mois, arrêt de la chute dans 80 % des cas).</w:t>
      </w:r>
    </w:p>
    <w:p>
      <w:pPr>
        <w:pStyle w:val="ListBullet"/>
      </w:pPr>
      <w:r/>
      <w:r>
        <w:rPr>
          <w:b/>
        </w:rPr>
        <w:t>Alopécie androgénétique féminine (AAGF)</w:t>
      </w:r>
      <w:r>
        <w:t xml:space="preserve"> — Ludwig type I-II — minoxidil 2 % topique en 1ʳᵉ intention (alternative ou association à l'anti-androgénique oral — acétate de cyprotérone, spironolactone). Efficacité démontrée (essai RCT Lucky AW, *J Am Acad Dermatol* 2004 : augmentation de la densité de 20-25 % à 12 mois).</w:t>
      </w:r>
    </w:p>
    <w:p>
      <w:pPr>
        <w:pStyle w:val="ListBullet"/>
      </w:pPr>
      <w:r/>
      <w:r>
        <w:rPr>
          <w:b/>
        </w:rPr>
        <w:t>Alopécie areata modérée</w:t>
      </w:r>
      <w:r>
        <w:t xml:space="preserve"> (&lt;50 % du cuir chevelu) — en 2ᵉ intention (1ʳᵉ intention : corticoïdes intra-lésionnels — triamcinolone). Efficacité dans 40-60 % des cas.</w:t>
      </w:r>
    </w:p>
    <w:p>
      <w:pPr>
        <w:pStyle w:val="ListBullet"/>
      </w:pPr>
      <w:r/>
      <w:r>
        <w:rPr>
          <w:b/>
        </w:rPr>
        <w:t>Alopécie de traction</w:t>
      </w:r>
      <w:r>
        <w:t xml:space="preserve"> (récente, non cicatricielle) — en complément de l'arrêt de la traction.</w:t>
      </w:r>
    </w:p>
    <w:p>
      <w:pPr>
        <w:pStyle w:val="ListBullet"/>
      </w:pPr>
      <w:r/>
      <w:r>
        <w:rPr>
          <w:b/>
        </w:rPr>
        <w:t>Effluvium télogène chronique</w:t>
      </w:r>
      <w:r>
        <w:t xml:space="preserve"> (chute diffuse &gt;6 mois) — en 2ᵉ intention après bilan étiologique complet (fer, thyroïde, ferritine, zinc).</w:t>
      </w:r>
    </w:p>
    <w:p>
      <w:pPr>
        <w:pStyle w:val="ListBullet"/>
      </w:pPr>
      <w:r/>
      <w:r>
        <w:rPr>
          <w:b/>
        </w:rPr>
        <w:t>Pseudopelade de Brocq</w:t>
      </w:r>
      <w:r>
        <w:t xml:space="preserve"> (alopécie cicatricielle — non indiqué, mais tentative possible en phase pré-cicatricielle précoce).</w:t>
      </w:r>
    </w:p>
    <w:p>
      <w:r>
        <w:t>Contre-indications : alopécie cicatricielle constituée (follicules détruits), alopécie de grossesse (tératogène), hypersensibilité au minoxidil ou au propylène glycol, scalp lésé (dermite, infection), âge &lt;18 ans (sauf indication médicale spécialisée), antécédent de cardiopathie sévère (risque d'effet systémique), insuffisance hépatique ou rénale sévère (métabolisme et excrétion altérés).</w:t>
      </w:r>
    </w:p>
    <w:p>
      <w:r>
        <w:t>Pharmacocinétique :</w:t>
      </w:r>
    </w:p>
    <w:p>
      <w:pPr>
        <w:pStyle w:val="ListBullet"/>
      </w:pPr>
      <w:r/>
      <w:r>
        <w:rPr>
          <w:b/>
        </w:rPr>
        <w:t>Absorption percutanée</w:t>
      </w:r>
      <w:r>
        <w:t xml:space="preserve"> : 1-2 % de la dose appliquée sur peau saine (jusqu'à 5 % sur peau lésée). Augmente en cas d'application étendue, prolongée, sous pansement occlusif, ou sur peau irritée.</w:t>
      </w:r>
    </w:p>
    <w:p>
      <w:pPr>
        <w:pStyle w:val="ListBullet"/>
      </w:pPr>
      <w:r/>
      <w:r>
        <w:rPr>
          <w:b/>
        </w:rPr>
        <w:t>Métabolisme hépatique</w:t>
      </w:r>
      <w:r>
        <w:t xml:space="preserve"> : conversion en </w:t>
      </w:r>
      <w:r>
        <w:rPr>
          <w:b/>
        </w:rPr>
        <w:t>minoxidil sulfate</w:t>
      </w:r>
      <w:r>
        <w:t xml:space="preserve"> (métabolite actif) par la SULT1A1, et en minoxidil N-oxyde (métabolite inactif) par la CYP450.</w:t>
      </w:r>
    </w:p>
    <w:p>
      <w:pPr>
        <w:pStyle w:val="ListBullet"/>
      </w:pPr>
      <w:r/>
      <w:r>
        <w:rPr>
          <w:b/>
        </w:rPr>
        <w:t>Demi-vie plasmatique</w:t>
      </w:r>
      <w:r>
        <w:t xml:space="preserve"> ~4-5 h (minoxidil) et 8-12 h (minoxidil sulfate).</w:t>
      </w:r>
    </w:p>
    <w:p>
      <w:pPr>
        <w:pStyle w:val="ListBullet"/>
      </w:pPr>
      <w:r/>
      <w:r>
        <w:rPr>
          <w:b/>
        </w:rPr>
        <w:t>Excrétion rénale</w:t>
      </w:r>
      <w:r>
        <w:t xml:space="preserve"> — active sous forme inchangée (20 %) et de métabolites glycuroconjugués (80 %).</w:t>
      </w:r>
    </w:p>
    <w:p>
      <w:pPr>
        <w:pStyle w:val="ListBullet"/>
      </w:pPr>
      <w:r/>
      <w:r>
        <w:rPr>
          <w:b/>
        </w:rPr>
        <w:t>Passage de la barrière placentaire</w:t>
      </w:r>
      <w:r>
        <w:t xml:space="preserve"> — tératogène chez l'animal (hypertrichose fœtale, anomalies cardiovasculaires).</w:t>
      </w:r>
    </w:p>
    <w:p>
      <w:pPr>
        <w:pStyle w:val="ListBullet"/>
      </w:pPr>
      <w:r/>
      <w:r>
        <w:rPr>
          <w:b/>
        </w:rPr>
        <w:t>Passage dans le lait maternel</w:t>
      </w:r>
      <w:r>
        <w:t xml:space="preserve"> — possible (à éviter chez la femme allaitante).</w:t>
      </w:r>
    </w:p>
    <w:p>
      <w:r/>
      <w:r>
        <w:rPr>
          <w:b/>
        </w:rPr>
        <w:t>Prévention et Gestion des Effets Indésirables :</w:t>
      </w:r>
      <w:r/>
    </w:p>
    <w:p>
      <w:pPr>
        <w:pStyle w:val="ListBullet"/>
      </w:pPr>
      <w:r/>
      <w:r>
        <w:rPr>
          <w:b/>
        </w:rPr>
        <w:t>Hypertrichose faciale</w:t>
      </w:r>
      <w:r>
        <w:t xml:space="preserve"> (effet indésirable principal chez la femme) : développement d'une pilosité excessive sur le visage (lèvre supérieure, menton, joues, front) — observée chez 5-10 % des femmes traitées par minoxidil 5 % et 1-3 % des femmes traitées par minoxidil 2 %. Mécanisme : passage systémique du minoxidil → effet sur les follicules pileux du visage (qui sont plus sensibles que ceux du cuir chevelu). Conduite à tenir : diminuer la concentration (5 % → 2 %), réduire la fréquence (bid → qd), éviter l'application sur le visage et les zones voisines (front, tempes), épiler les poils indésirables (épilation électrique ou laser — effet permanent après plusieurs séances). L'hypertrichose disparaît en 1-3 mois après arrêt du traitement.</w:t>
      </w:r>
    </w:p>
    <w:p>
      <w:pPr>
        <w:pStyle w:val="ListBullet"/>
      </w:pPr>
      <w:r/>
      <w:r>
        <w:rPr>
          <w:b/>
        </w:rPr>
        <w:t>Dermite de contact irritative</w:t>
      </w:r>
      <w:r>
        <w:t xml:space="preserve"> (10-15 % des patients) : érythème, prurit, desquamation, sensation de brûlure au site d'application — imputable principalement au </w:t>
      </w:r>
      <w:r>
        <w:rPr>
          <w:b/>
        </w:rPr>
        <w:t>propylène glycol</w:t>
      </w:r>
      <w:r>
        <w:t xml:space="preserve"> (excipient irritant). Conduite à tenir : arrêt temporaire, lavage à l'eau, dermocorticoïde faible (hydrocortisone 1 %) pendant 5-7 jours, puis reprise avec une formule sans propylène glycol (minoxidil en mousse — non disponible en Algérie, ou en solution sans PPG).</w:t>
      </w:r>
    </w:p>
    <w:p>
      <w:pPr>
        <w:pStyle w:val="ListBullet"/>
      </w:pPr>
      <w:r/>
      <w:r>
        <w:rPr>
          <w:b/>
        </w:rPr>
        <w:t>Dermite de contact allergique</w:t>
      </w:r>
      <w:r>
        <w:t xml:space="preserve"> (1-3 % des patients) : réaction d'hypersensibilité retardée (type IV) au minoxidil lui-même ou à un excipient (propylène glycol, parabens, alcool). Conduite à tenir : arrêt définitif, dermocorticoïde puissant, test épicutané ultérieur.</w:t>
      </w:r>
    </w:p>
    <w:p>
      <w:pPr>
        <w:pStyle w:val="ListBullet"/>
      </w:pPr>
      <w:r/>
      <w:r>
        <w:rPr>
          <w:b/>
        </w:rPr>
        <w:t>Effets systémiques cardiovasculaires</w:t>
      </w:r>
      <w:r>
        <w:t xml:space="preserve"> (rares mais possibles en cas d'application étendue ou prolongée) : hypotension orthostatique, tachycardie réflexe, palpitations, œdèmes des membres inférieurs. Mécanisme : passage systémique du minoxidil → effet vasodilatateur systémique. Conduite à tenir : diminuer la dose, surveiller la tension artérielle, arrêter en cas d'hypotension symptomatique.</w:t>
      </w:r>
    </w:p>
    <w:p>
      <w:pPr>
        <w:pStyle w:val="ListBullet"/>
      </w:pPr>
      <w:r/>
      <w:r>
        <w:rPr>
          <w:b/>
        </w:rPr>
        <w:t>Céphalées</w:t>
      </w:r>
      <w:r>
        <w:t xml:space="preserve"> (5 % des patients) — effet vasodilatateur systémique.</w:t>
      </w:r>
    </w:p>
    <w:p>
      <w:pPr>
        <w:pStyle w:val="ListBullet"/>
      </w:pPr>
      <w:r/>
      <w:r>
        <w:rPr>
          <w:b/>
        </w:rPr>
        <w:t>Syndrome de shedding</w:t>
      </w:r>
      <w:r>
        <w:t xml:space="preserve"> (effluvium anagène transitoire) : augmentation paradoxale de la chute dans les 2-6 premières semaines (chute des cheveux en phase anagène qui étaient déjà fragilisés) — transitoire, régressive en 4-6 semaines — ne pas arrêter le traitement (expliquer au patient).</w:t>
      </w:r>
    </w:p>
    <w:p>
      <w:pPr>
        <w:pStyle w:val="ListBullet"/>
      </w:pPr>
      <w:r/>
      <w:r>
        <w:rPr>
          <w:b/>
        </w:rPr>
        <w:t>Hyperpigmentation</w:t>
      </w:r>
      <w:r>
        <w:t xml:space="preserve"> locale (rare) — accumulation de mélanine.</w:t>
      </w:r>
    </w:p>
    <w:p>
      <w:pPr>
        <w:pStyle w:val="ListBullet"/>
      </w:pPr>
      <w:r/>
      <w:r>
        <w:rPr>
          <w:b/>
        </w:rPr>
        <w:t>Allergie au propylène glycol</w:t>
      </w:r>
      <w:r>
        <w:t xml:space="preserve"> (5-10 % des patients) — test épicutané positif — alternative en mousse (non disponible en Algérie).</w:t>
      </w:r>
    </w:p>
    <w:p>
      <w:r>
        <w:t>Prévention des EI :</w:t>
      </w:r>
    </w:p>
    <w:p>
      <w:pPr>
        <w:pStyle w:val="ListBullet"/>
      </w:pPr>
      <w:r/>
      <w:r>
        <w:rPr>
          <w:b/>
        </w:rPr>
        <w:t>Respecter la concentration et la fréquence</w:t>
      </w:r>
      <w:r>
        <w:t xml:space="preserve"> : 5 % bid pour homme, 2 % bid pour femme (ou 5 % qd si tolérance bonne et surveillance accrue).</w:t>
      </w:r>
    </w:p>
    <w:p>
      <w:pPr>
        <w:pStyle w:val="ListBullet"/>
      </w:pPr>
      <w:r/>
      <w:r>
        <w:rPr>
          <w:b/>
        </w:rPr>
        <w:t>Ne pas appliquer sur cuir chevelu lésé</w:t>
      </w:r>
      <w:r>
        <w:t xml:space="preserve"> (dermite, infection, brûlure, psoriasis aigu) — risque d'augmentation de l'absorption systémique.</w:t>
      </w:r>
    </w:p>
    <w:p>
      <w:pPr>
        <w:pStyle w:val="ListBullet"/>
      </w:pPr>
      <w:r/>
      <w:r>
        <w:rPr>
          <w:b/>
        </w:rPr>
        <w:t>Se laver les mains</w:t>
      </w:r>
      <w:r>
        <w:t xml:space="preserve"> après application — éviter le contact avec les yeux, le visage, les muqueuses.</w:t>
      </w:r>
    </w:p>
    <w:p>
      <w:pPr>
        <w:pStyle w:val="ListBullet"/>
      </w:pPr>
      <w:r/>
      <w:r>
        <w:rPr>
          <w:b/>
        </w:rPr>
        <w:t>Ne pas appliquer le soir juste avant le coucher</w:t>
      </w:r>
      <w:r>
        <w:t xml:space="preserve"> — laisser sécher 1-2 heures avant de se coucher (risque de transfert sur l'oreiller → contact avec le visage du patient ou du conjoint).</w:t>
      </w:r>
    </w:p>
    <w:p>
      <w:pPr>
        <w:pStyle w:val="ListBullet"/>
      </w:pPr>
      <w:r/>
      <w:r>
        <w:rPr>
          <w:b/>
        </w:rPr>
        <w:t>Ne pas utiliser chez la femme enceinte</w:t>
      </w:r>
      <w:r>
        <w:t xml:space="preserve"> (tératogène) ni chez la femme allaitante.</w:t>
      </w:r>
    </w:p>
    <w:p>
      <w:pPr>
        <w:pStyle w:val="ListBullet"/>
      </w:pPr>
      <w:r/>
      <w:r>
        <w:rPr>
          <w:b/>
        </w:rPr>
        <w:t>Ne pas utiliser chez l'enfant &lt;18 ans</w:t>
      </w:r>
      <w:r>
        <w:t xml:space="preserve"> (sauf indication médicale spécialisée).</w:t>
      </w:r>
    </w:p>
    <w:p>
      <w:pPr>
        <w:pStyle w:val="ListBullet"/>
      </w:pPr>
      <w:r/>
      <w:r>
        <w:rPr>
          <w:b/>
        </w:rPr>
        <w:t>Surveillance de la tension artérielle</w:t>
      </w:r>
      <w:r>
        <w:t xml:space="preserve"> chez le patient hypertendu ou à risque cardiovasculaire.</w:t>
      </w:r>
    </w:p>
    <w:p>
      <w:pPr>
        <w:pStyle w:val="ListBullet"/>
      </w:pPr>
      <w:r/>
      <w:r>
        <w:rPr>
          <w:b/>
        </w:rPr>
        <w:t>Éviter l'association</w:t>
      </w:r>
      <w:r>
        <w:t xml:space="preserve"> avec d'autres vasodilatateurs systémiques (dérivés nitrés, diurétiques, IEC, ARA2) sans surveillance médicale.</w:t>
      </w:r>
    </w:p>
    <w:p>
      <w:r/>
      <w:r>
        <w:rPr>
          <w:b/>
        </w:rPr>
        <w:t>Interactions Médicamenteuses :</w:t>
      </w:r>
      <w:r/>
    </w:p>
    <w:p>
      <w:pPr>
        <w:pStyle w:val="ListBullet"/>
      </w:pPr>
      <w:r/>
      <w:r>
        <w:rPr>
          <w:b/>
        </w:rPr>
        <w:t>Antihypertenseurs</w:t>
      </w:r>
      <w:r>
        <w:t xml:space="preserve"> (IEC, ARA2, diurétiques, bêta-bloquants, inhibiteurs calciques) : potentialisation de l'effet hypotenseur (en cas d'absorption systémique significative du minoxidil). Surveillance de la tension artérielle chez le patient hypertendu traité.</w:t>
      </w:r>
    </w:p>
    <w:p>
      <w:pPr>
        <w:pStyle w:val="ListBullet"/>
      </w:pPr>
      <w:r/>
      <w:r>
        <w:rPr>
          <w:b/>
        </w:rPr>
        <w:t>Dérivés nitrés</w:t>
      </w:r>
      <w:r>
        <w:t xml:space="preserve"> (nitroglycérine, isosorbide) : potentialisation du risque d'hypotension sévère.</w:t>
      </w:r>
    </w:p>
    <w:p>
      <w:pPr>
        <w:pStyle w:val="ListBullet"/>
      </w:pPr>
      <w:r/>
      <w:r>
        <w:rPr>
          <w:b/>
        </w:rPr>
        <w:t>Guanéthidine</w:t>
      </w:r>
      <w:r>
        <w:t xml:space="preserve"> : potentialisation de l'effet hypotenseur.</w:t>
      </w:r>
    </w:p>
    <w:p>
      <w:pPr>
        <w:pStyle w:val="ListBullet"/>
      </w:pPr>
      <w:r/>
      <w:r>
        <w:rPr>
          <w:b/>
        </w:rPr>
        <w:t>Finastéride</w:t>
      </w:r>
      <w:r>
        <w:t xml:space="preserve"> (1 mg/j oral) : association synergique dans l'alopécie androgénétique masculine — le finastéride bloque la conversion de la testostérone en dihydrotestostérone (DHT), le minoxidil stimule la repousse — association possible et recommandée dans l'AAGM modérée à sévère (essai RCT Roberts J, *Eur J Dermatol* 2007).</w:t>
      </w:r>
    </w:p>
    <w:p>
      <w:pPr>
        <w:pStyle w:val="ListBullet"/>
      </w:pPr>
      <w:r/>
      <w:r>
        <w:rPr>
          <w:b/>
        </w:rPr>
        <w:t>Dutastéride</w:t>
      </w:r>
      <w:r>
        <w:t xml:space="preserve"> (0,5 mg/j oral) : association synergique similaire au finastéride.</w:t>
      </w:r>
    </w:p>
    <w:p>
      <w:pPr>
        <w:pStyle w:val="ListBullet"/>
      </w:pPr>
      <w:r/>
      <w:r>
        <w:rPr>
          <w:b/>
        </w:rPr>
        <w:t>Anti-androgéniques féminins</w:t>
      </w:r>
      <w:r>
        <w:t xml:space="preserve"> (acétate de cyprotérone, spironolactone) : association possible dans l'AAGF.</w:t>
      </w:r>
    </w:p>
    <w:p>
      <w:pPr>
        <w:pStyle w:val="ListBullet"/>
      </w:pPr>
      <w:r/>
      <w:r>
        <w:rPr>
          <w:b/>
        </w:rPr>
        <w:t>Corticoïdes intra-lésionnels</w:t>
      </w:r>
      <w:r>
        <w:t xml:space="preserve"> (triamcinolone) : association possible dans l'alopécie areata.</w:t>
      </w:r>
    </w:p>
    <w:p>
      <w:pPr>
        <w:pStyle w:val="ListBullet"/>
      </w:pPr>
      <w:r/>
      <w:r>
        <w:rPr>
          <w:b/>
        </w:rPr>
        <w:t>Kétoconazole shampooing</w:t>
      </w:r>
      <w:r>
        <w:t xml:space="preserve"> (2 %) : effet anti-androgénique local additif — association possible dans l'AAGM avec dermatite séborrhéique associée.</w:t>
      </w:r>
    </w:p>
    <w:p>
      <w:pPr>
        <w:pStyle w:val="ListBullet"/>
      </w:pPr>
      <w:r/>
      <w:r>
        <w:rPr>
          <w:b/>
        </w:rPr>
        <w:t>Tretinoïne topique</w:t>
      </w:r>
      <w:r>
        <w:t xml:space="preserve"> (acide rétinoïque) : potentialisation de l'absorption du minoxidil (augmentation du turnover épidermique) — association possible mais surveillance accrue de la tolérance locale.</w:t>
      </w:r>
    </w:p>
    <w:p>
      <w:pPr>
        <w:pStyle w:val="ListBullet"/>
      </w:pPr>
      <w:r/>
      <w:r>
        <w:rPr>
          <w:b/>
        </w:rPr>
        <w:t>Alcool</w:t>
      </w:r>
      <w:r>
        <w:t xml:space="preserve"> : éviter la consommation d'alcool (potentialisation de la vasodilatation et de l'hypotension).</w:t>
      </w:r>
    </w:p>
    <w:p>
      <w:r/>
      <w:r>
        <w:rPr>
          <w:b/>
        </w:rPr>
        <w:t>Grossesse et Allaitement (CRAT) :</w:t>
      </w:r>
      <w:r/>
    </w:p>
    <w:p>
      <w:pPr>
        <w:pStyle w:val="ListBullet"/>
      </w:pPr>
      <w:r/>
      <w:r>
        <w:rPr>
          <w:b/>
        </w:rPr>
        <w:t>Grossesse</w:t>
      </w:r>
      <w:r>
        <w:t xml:space="preserve"> : Le CRAT (Centre de Renseignement sur les Agents Tératogènes — Hôpital Armand-Trousseau, Paris) classe le minoxidil en </w:t>
      </w:r>
      <w:r>
        <w:rPr>
          <w:b/>
        </w:rPr>
        <w:t>"Contre-indication absolue chez la femme enceinte"</w:t>
      </w:r>
      <w:r>
        <w:t xml:space="preserve"> — les données animales ont mis en évidence un effet tératogène (hypertrichose fœtale, anomalies cardiovasculaires — l'incidence des malformations congénitales chez les nouveau-nés de mères traitées par minoxidil oral pour hypertension est augmentée, bien que les données sur le minoxidil topique soient plus limitées mais ne permettent pas d'exclure un risque). Chez la femme en âge de procréer, </w:t>
      </w:r>
      <w:r>
        <w:rPr>
          <w:b/>
        </w:rPr>
        <w:t>contraception efficace obligatoire</w:t>
      </w:r>
      <w:r>
        <w:t xml:space="preserve"> pendant le traitement et pendant 1 mois après l'arrêt (demi-vie d'élimination). Test de grossesse négatif avant instauration du traitement. En cas de désir de grossesse, arrêt du minoxidil 1 mois avant la conception.</w:t>
      </w:r>
    </w:p>
    <w:p>
      <w:pPr>
        <w:pStyle w:val="ListBullet"/>
      </w:pPr>
      <w:r/>
      <w:r>
        <w:rPr>
          <w:b/>
        </w:rPr>
        <w:t>Allaitement</w:t>
      </w:r>
      <w:r>
        <w:t xml:space="preserve"> : Contre-indication absolue — passage dans le lait maternel documenté, risque d'hypotension, de tachycardie, d'hypertrichose chez le nourrisson. Arrêt du minoxidil avant le début de l'allaitement.</w:t>
      </w:r>
    </w:p>
    <w:p>
      <w:r/>
      <w:r>
        <w:rPr>
          <w:b/>
        </w:rPr>
        <w:t>Posologie et Mode d'administration :</w:t>
      </w:r>
      <w:r/>
    </w:p>
    <w:p>
      <w:r>
        <w:t>Forme topique — solution pour application locale :</w:t>
      </w:r>
    </w:p>
    <w:p>
      <w:pPr>
        <w:pStyle w:val="ListBullet"/>
      </w:pPr>
      <w:r/>
      <w:r>
        <w:rPr>
          <w:b/>
        </w:rPr>
        <w:t>Homme adulte</w:t>
      </w:r>
      <w:r>
        <w:t xml:space="preserve"> (AAGM) : minoxidil 5 % — 1 mL bid (matin et soir) sur cuir chevelu sec, en pulvérisation ou application avec pipette, sur la zone à traiter (vertex, golfes temporaux). Masser doucement pour répartir. Ne pas rincer. Se laver les mains après application. Maximum 2 mL/jour. Durée : à vie (arrêt = chute en 4-6 mois).</w:t>
      </w:r>
    </w:p>
    <w:p>
      <w:pPr>
        <w:pStyle w:val="ListBullet"/>
      </w:pPr>
      <w:r/>
      <w:r>
        <w:rPr>
          <w:b/>
        </w:rPr>
        <w:t>Femme adulte</w:t>
      </w:r>
      <w:r>
        <w:t xml:space="preserve"> (AAGF) : minoxidil 2 % — 1 mL bid (matin et soir) — même technique. Maximum 2 mL/jour. Alternativement, minoxidil 5 % 1 mL qd (le soir) si tolérance bonne et surveillance accrue de l'hypertrichose faciale.</w:t>
      </w:r>
    </w:p>
    <w:p>
      <w:pPr>
        <w:pStyle w:val="ListBullet"/>
      </w:pPr>
      <w:r/>
      <w:r>
        <w:rPr>
          <w:b/>
        </w:rPr>
        <w:t>Enfant &lt;18 ans</w:t>
      </w:r>
      <w:r>
        <w:t xml:space="preserve"> : non recommandé (sauf indication médicale spécialisée — alopécie areata sévère de l'enfant, sous surveillance dermatologique stricte).</w:t>
      </w:r>
    </w:p>
    <w:p>
      <w:pPr>
        <w:pStyle w:val="ListBullet"/>
      </w:pPr>
      <w:r/>
      <w:r>
        <w:rPr>
          <w:b/>
        </w:rPr>
        <w:t>Mode d'administration</w:t>
      </w:r>
      <w:r>
        <w:t xml:space="preserve"> : cuir chevelu sec et propre (pas de shampoing dans les 4 h précédant ou suivant l'application), application locale sur la zone alopécique, massage doux, séchage à l'air libre (ne pas sécher au sèche-cheveux — risque d'évaporation du minoxidil), ne pas rincer avant 4 h, se laver les mains soigneusement après application.</w:t>
      </w:r>
    </w:p>
    <w:p>
      <w:pPr>
        <w:pStyle w:val="ListBullet"/>
      </w:pPr>
      <w:r/>
      <w:r>
        <w:rPr>
          <w:b/>
        </w:rPr>
        <w:t>Fréquence des shampoings</w:t>
      </w:r>
      <w:r>
        <w:t xml:space="preserve"> : 2-3 fois/semaine (shampooing doux sans détergent agressif), éviter les shampoings antipelliculaires agressifs (kétoconazole sauf indication associée).</w:t>
      </w:r>
    </w:p>
    <w:p>
      <w:pPr>
        <w:pStyle w:val="ListBullet"/>
      </w:pPr>
      <w:r/>
      <w:r>
        <w:rPr>
          <w:b/>
        </w:rPr>
        <w:t>Durée d'évaluation</w:t>
      </w:r>
      <w:r>
        <w:t xml:space="preserve"> : 6 mois minimum pour évaluer l'efficacité (3 mois pour l'arrêt de la chute, 6 mois pour la repousse visible). En cas d'efficacité, traitement à vie. En cas d'inefficacité à 6 mois, arrêt (répondeur non-répondeur — pas d'intérêt à poursuivre).</w:t>
      </w:r>
    </w:p>
    <w:p>
      <w:r/>
      <w:r>
        <w:rPr>
          <w:b/>
        </w:rPr>
        <w:t>Surveillance Biologique et Suivi Clinique :</w:t>
      </w:r>
      <w:r/>
    </w:p>
    <w:p>
      <w:r>
        <w:t>Surveillance essentiellement clinique :</w:t>
      </w:r>
    </w:p>
    <w:p>
      <w:pPr>
        <w:pStyle w:val="ListBullet"/>
      </w:pPr>
      <w:r/>
      <w:r>
        <w:rPr>
          <w:b/>
        </w:rPr>
        <w:t>Évaluation initiale</w:t>
      </w:r>
      <w:r>
        <w:t xml:space="preserve"> : type d'alopécie (androgénétique, areata, effluvium, cicatricielle), étendue (Hamilton-Norwood pour homme, Ludwig pour femme), durée, antécédents familiaux, traitements antérieurs, bilan étiologique (fer, ferritine, TSH, zinc, vitamine D, hormones androgéniques si suspicion d'hyperandrogénie chez la femme).</w:t>
      </w:r>
    </w:p>
    <w:p>
      <w:pPr>
        <w:pStyle w:val="ListBullet"/>
      </w:pPr>
      <w:r/>
      <w:r>
        <w:rPr>
          <w:b/>
        </w:rPr>
        <w:t>Test à la traction</w:t>
      </w:r>
      <w:r>
        <w:t xml:space="preserve"> : évaluation de la chute active (arracher 10-20 cheveux d'un coup doux — &gt;5 cheveux arrachés = test positif = chute active).</w:t>
      </w:r>
    </w:p>
    <w:p>
      <w:pPr>
        <w:pStyle w:val="ListBullet"/>
      </w:pPr>
      <w:r/>
      <w:r>
        <w:rPr>
          <w:b/>
        </w:rPr>
        <w:t>Trichogramme</w:t>
      </w:r>
      <w:r>
        <w:t xml:space="preserve"> (si nécessaire) : analyse microscopique des cheveux arrachés — ratio anagène/télogène (normal 80/20, perturbé en cas d'effluvium télogène — ratio inversé 30/70).</w:t>
      </w:r>
    </w:p>
    <w:p>
      <w:pPr>
        <w:pStyle w:val="ListBullet"/>
      </w:pPr>
      <w:r/>
      <w:r>
        <w:rPr>
          <w:b/>
        </w:rPr>
        <w:t>Photographies standardisées</w:t>
      </w:r>
      <w:r>
        <w:t xml:space="preserve"> : à J0, puis à 3, 6, 12 mois — même éclairage, même angle, même cadrage — pour évaluation objective de la repousse.</w:t>
      </w:r>
    </w:p>
    <w:p>
      <w:pPr>
        <w:pStyle w:val="ListBullet"/>
      </w:pPr>
      <w:r/>
      <w:r>
        <w:rPr>
          <w:b/>
        </w:rPr>
        <w:t>Évaluation de l'efficacité</w:t>
      </w:r>
      <w:r>
        <w:t xml:space="preserve"> :</w:t>
      </w:r>
    </w:p>
    <w:p>
      <w:pPr>
        <w:pStyle w:val="ListBullet"/>
      </w:pPr>
      <w:r>
        <w:t>À 2-3 mois : arrêt de la chute (test à la traction négatif).</w:t>
      </w:r>
    </w:p>
    <w:p>
      <w:pPr>
        <w:pStyle w:val="ListBullet"/>
      </w:pPr>
      <w:r>
        <w:t>À 4-6 mois : repousse visible (augmentation de la densité capillaire de 15-25 %).</w:t>
      </w:r>
    </w:p>
    <w:p>
      <w:pPr>
        <w:pStyle w:val="ListBullet"/>
      </w:pPr>
      <w:r>
        <w:t>À 12 mois : effet maximal (augmentation de 20-30 %).</w:t>
      </w:r>
    </w:p>
    <w:p>
      <w:pPr>
        <w:pStyle w:val="ListBullet"/>
      </w:pPr>
      <w:r/>
      <w:r>
        <w:rPr>
          <w:b/>
        </w:rPr>
        <w:t>Surveillance de la tolérance</w:t>
      </w:r>
      <w:r>
        <w:t xml:space="preserve"> :</w:t>
      </w:r>
    </w:p>
    <w:p>
      <w:pPr>
        <w:pStyle w:val="ListBullet"/>
      </w:pPr>
      <w:r>
        <w:t>Dermite de contact irritative ou allergique : érythème, prurit, vésicules — arrêt temporaire ou définitif.</w:t>
      </w:r>
    </w:p>
    <w:p>
      <w:pPr>
        <w:pStyle w:val="ListBullet"/>
      </w:pPr>
      <w:r>
        <w:t>Hypertrichose faciale (femme) : surveillance de la pilosité du visage — adaptation posologique si nécessaire.</w:t>
      </w:r>
    </w:p>
    <w:p>
      <w:pPr>
        <w:pStyle w:val="ListBullet"/>
      </w:pPr>
      <w:r>
        <w:t>Effets systémiques cardiovasculaires : tension artérielle, fréquence cardiaque — chez le patient hypertendu ou à risque.</w:t>
      </w:r>
    </w:p>
    <w:p>
      <w:pPr>
        <w:pStyle w:val="ListBullet"/>
      </w:pPr>
      <w:r/>
      <w:r>
        <w:rPr>
          <w:b/>
        </w:rPr>
        <w:t>Bilan annuel</w:t>
      </w:r>
      <w:r>
        <w:t xml:space="preserve"> : examen clinique dermatologique, photographies, évaluation de l'observance (comptage des flacons utilisés — un flacon de 60 mL à 2 mL/jour = 30 jours de traitement).</w:t>
      </w:r>
    </w:p>
    <w:p>
      <w:pPr>
        <w:pStyle w:val="ListBullet"/>
      </w:pPr>
      <w:r/>
      <w:r>
        <w:rPr>
          <w:b/>
        </w:rPr>
        <w:t>Pas de surveillance biologique systématique</w:t>
      </w:r>
      <w:r>
        <w:t xml:space="preserve"> en application locale standard. Chez le patient sous antihypertenseur : surveillance tension artérielle mensuelle le 1ᵉʳ mois, puis trimestrielle.</w:t>
      </w:r>
    </w:p>
    <w:p>
      <w:r/>
      <w:r>
        <w:rPr>
          <w:b/>
        </w:rPr>
        <w:t>Arbitrage et Bénéfices des Formes Galéniques :</w:t>
      </w:r>
      <w:r/>
    </w:p>
    <w:p>
      <w:pPr>
        <w:pStyle w:val="ListBullet"/>
      </w:pPr>
      <w:r/>
      <w:r>
        <w:rPr>
          <w:b/>
        </w:rPr>
        <w:t>Solution hydroalcoolique 2 %</w:t>
      </w:r>
      <w:r>
        <w:t xml:space="preserve"> (femme) : forme de référence, pénétration rapide, sèche en 1-2 h, ne graisse pas les cheveux. Inconvénient : propylène glycol irritant (5-10 % des patients), alcool (sécheresse).</w:t>
      </w:r>
    </w:p>
    <w:p>
      <w:pPr>
        <w:pStyle w:val="ListBullet"/>
      </w:pPr>
      <w:r/>
      <w:r>
        <w:rPr>
          <w:b/>
        </w:rPr>
        <w:t>Solution hydroalcoolique 5 %</w:t>
      </w:r>
      <w:r>
        <w:t xml:space="preserve"> (homme) : concentration double, application bid possible ou qd selon la prescription. Même inconvénients.</w:t>
      </w:r>
    </w:p>
    <w:p>
      <w:pPr>
        <w:pStyle w:val="ListBullet"/>
      </w:pPr>
      <w:r/>
      <w:r>
        <w:rPr>
          <w:b/>
        </w:rPr>
        <w:t>Mousse</w:t>
      </w:r>
      <w:r>
        <w:t xml:space="preserve"> (forme moderne européenne — non disponible en Algérie) : excipient sans propylène glycol, mieux toléré, application plus rapide (5 min), séchage plus rapide, s'utilise chez l'homme. Inconvénient : indisponible en Algérie.</w:t>
      </w:r>
    </w:p>
    <w:p>
      <w:pPr>
        <w:pStyle w:val="ListBullet"/>
      </w:pPr>
      <w:r/>
      <w:r>
        <w:rPr>
          <w:b/>
        </w:rPr>
        <w:t>Shampooing</w:t>
      </w:r>
      <w:r>
        <w:t xml:space="preserve"> (forme historique — non disponible en Algérie) : effet local, pénétration moindre — abandonné en raison d'efficacité insuffisante.</w:t>
      </w:r>
    </w:p>
    <w:p>
      <w:pPr>
        <w:pStyle w:val="ListBullet"/>
      </w:pPr>
      <w:r/>
      <w:r>
        <w:rPr>
          <w:b/>
        </w:rPr>
        <w:t>Comprimé oral</w:t>
      </w:r>
      <w:r>
        <w:t xml:space="preserve"> (LONITEN 10 mg — antihypertenseur, non indiqué en dermatologie) : usage strictement cardiologique, contre-indiqué en dermatologie.</w:t>
      </w:r>
    </w:p>
    <w:p>
      <w:pPr>
        <w:pStyle w:val="ListBullet"/>
      </w:pPr>
      <w:r/>
      <w:r>
        <w:rPr>
          <w:b/>
        </w:rPr>
        <w:t>Formes associées</w:t>
      </w:r>
      <w:r>
        <w:t xml:space="preserve"> : minoxidil + acide rétinoïque, minoxidil + finastéride topique (spécialités composées magistrales — non disponibles en Algérie).</w:t>
      </w:r>
    </w:p>
    <w:p>
      <w:r/>
      <w:r>
        <w:rPr>
          <w:b/>
        </w:rPr>
        <w:t>Instructions et Conseils au Patient :</w:t>
      </w:r>
      <w:r/>
    </w:p>
    <w:p>
      <w:pPr>
        <w:pStyle w:val="ListNumber"/>
      </w:pPr>
      <w:r/>
      <w:r>
        <w:rPr>
          <w:b/>
        </w:rPr>
        <w:t>Application</w:t>
      </w:r>
      <w:r>
        <w:t xml:space="preserve"> : sur cuir chevelu </w:t>
      </w:r>
      <w:r>
        <w:rPr>
          <w:b/>
        </w:rPr>
        <w:t>sec et propre</w:t>
      </w:r>
      <w:r>
        <w:t>, 1 mL matin et soir (bid), à l'aide du pulvérisateur ou de la pipette graduée, sur la zone à traiter (vertex et/ou golfes temporaux). Masser doucement pour répartir.</w:t>
      </w:r>
    </w:p>
    <w:p>
      <w:pPr>
        <w:pStyle w:val="ListNumber"/>
      </w:pPr>
      <w:r/>
      <w:r>
        <w:rPr>
          <w:b/>
        </w:rPr>
        <w:t>Lavage des mains</w:t>
      </w:r>
      <w:r>
        <w:t xml:space="preserve"> : obligatoire après application — éviter le contact avec les yeux, le visage, les muqueuses (risque d'hypertrichose faciale et d'irritation).</w:t>
      </w:r>
    </w:p>
    <w:p>
      <w:pPr>
        <w:pStyle w:val="ListNumber"/>
      </w:pPr>
      <w:r/>
      <w:r>
        <w:rPr>
          <w:b/>
        </w:rPr>
        <w:t>Séchage</w:t>
      </w:r>
      <w:r>
        <w:t xml:space="preserve"> : laisser sécher à l'air libre 1-2 h (ne pas utiliser de sèche-cheveux — évaporation du minoxidil). Ne pas rincer avant 4 h. Ne pas appliquer le soir juste avant le coucher (transfert possible sur l'oreiller).</w:t>
      </w:r>
    </w:p>
    <w:p>
      <w:pPr>
        <w:pStyle w:val="ListNumber"/>
      </w:pPr>
      <w:r/>
      <w:r>
        <w:rPr>
          <w:b/>
        </w:rPr>
        <w:t>Fréquence des shampoings</w:t>
      </w:r>
      <w:r>
        <w:t xml:space="preserve"> : 2-3 fois/semaine, shampooing doux sans détergent agressif. Éviter les shampoings antipelliculaires agressifs (sauf kétoconazole si indication associée).</w:t>
      </w:r>
    </w:p>
    <w:p>
      <w:pPr>
        <w:pStyle w:val="ListNumber"/>
      </w:pPr>
      <w:r/>
      <w:r>
        <w:rPr>
          <w:b/>
        </w:rPr>
        <w:t>Patience</w:t>
      </w:r>
      <w:r>
        <w:t xml:space="preserve"> : l'efficacité n'est pas immédiate — attendre 3 mois pour l'arrêt de la chute, 6 mois pour la repousse visible, 12 mois pour l'effet maximal. </w:t>
      </w:r>
      <w:r>
        <w:rPr>
          <w:b/>
        </w:rPr>
        <w:t>Ne pas arrêter prématurément</w:t>
      </w:r>
      <w:r>
        <w:t>.</w:t>
      </w:r>
    </w:p>
    <w:p>
      <w:pPr>
        <w:pStyle w:val="ListNumber"/>
      </w:pPr>
      <w:r/>
      <w:r>
        <w:rPr>
          <w:b/>
        </w:rPr>
        <w:t>Syndrome de shedding</w:t>
      </w:r>
      <w:r>
        <w:t xml:space="preserve"> : augmentation paradoxale de la chute dans les 2-6 premières semaines (chute des cheveux fragilisés en phase anagène) — transitoire, régressive en 4-6 semaines — </w:t>
      </w:r>
      <w:r>
        <w:rPr>
          <w:b/>
        </w:rPr>
        <w:t>ne pas arrêter le traitement</w:t>
      </w:r>
      <w:r>
        <w:t>.</w:t>
      </w:r>
    </w:p>
    <w:p>
      <w:pPr>
        <w:pStyle w:val="ListNumber"/>
      </w:pPr>
      <w:r/>
      <w:r>
        <w:rPr>
          <w:b/>
        </w:rPr>
        <w:t>Engagement thérapeutique prolongé</w:t>
      </w:r>
      <w:r>
        <w:t xml:space="preserve"> : traitement à vie pour maintenir l'effet — arrêt = chute en 4-6 mois.</w:t>
      </w:r>
    </w:p>
    <w:p>
      <w:pPr>
        <w:pStyle w:val="ListNumber"/>
      </w:pPr>
      <w:r/>
      <w:r>
        <w:rPr>
          <w:b/>
        </w:rPr>
        <w:t>Contraception obligatoire</w:t>
      </w:r>
      <w:r>
        <w:t xml:space="preserve"> (femme en âge de procréer) : pendant le traitement et 1 mois après l'arrêt (tératogène).</w:t>
      </w:r>
    </w:p>
    <w:p>
      <w:pPr>
        <w:pStyle w:val="ListNumber"/>
      </w:pPr>
      <w:r/>
      <w:r>
        <w:rPr>
          <w:b/>
        </w:rPr>
        <w:t>Surveillance des effets indésirables</w:t>
      </w:r>
      <w:r>
        <w:t xml:space="preserve"> : dermite de contact (érythème, prurit — consulter), hypertrichose faciale (femme — adaptation posologique), hypotension, tachycardie (consulter en urgence).</w:t>
      </w:r>
    </w:p>
    <w:p>
      <w:pPr>
        <w:pStyle w:val="ListNumber"/>
      </w:pPr>
      <w:r/>
      <w:r>
        <w:rPr>
          <w:b/>
        </w:rPr>
        <w:t>Conservation</w:t>
      </w:r>
      <w:r>
        <w:t xml:space="preserve"> : flacon fermé, à température &lt;25°C, à l'abri de la lumière et du feu (alcool inflammable) — durée de conservation après ouverture : 6 mois (vérifier la date de péremption).</w:t>
      </w:r>
    </w:p>
    <w:p>
      <w:r/>
      <w:r>
        <w:rPr>
          <w:b/>
        </w:rPr>
        <w:t>Notes, Règles d'Or &amp; Pièges au Comptoir :</w:t>
      </w:r>
      <w:r/>
    </w:p>
    <w:p>
      <w:pPr>
        <w:pStyle w:val="ListBullet"/>
      </w:pPr>
      <w:r/>
      <w:r>
        <w:rPr>
          <w:b/>
        </w:rPr>
        <w:t>Règle d'or n°1</w:t>
      </w:r>
      <w:r>
        <w:t xml:space="preserve"> : Le minoxidil topique est un </w:t>
      </w:r>
      <w:r>
        <w:rPr>
          <w:b/>
        </w:rPr>
        <w:t>traitement symptomatique</w:t>
      </w:r>
      <w:r>
        <w:t xml:space="preserve"> — il ne traite pas la cause de l'alopécie (génétique, hormonale, auto-immune). Toujours rechercher et traiter une cause sous-jacente.</w:t>
      </w:r>
    </w:p>
    <w:p>
      <w:pPr>
        <w:pStyle w:val="ListBullet"/>
      </w:pPr>
      <w:r/>
      <w:r>
        <w:rPr>
          <w:b/>
        </w:rPr>
        <w:t>Règle d'or n°2</w:t>
      </w:r>
      <w:r>
        <w:t xml:space="preserve"> : Le minoxidil est </w:t>
      </w:r>
      <w:r>
        <w:rPr>
          <w:b/>
        </w:rPr>
        <w:t>tératogène chez la femme enceinte</w:t>
      </w:r>
      <w:r>
        <w:t xml:space="preserve"> — contre-indication absolue, contraception obligatoire.</w:t>
      </w:r>
    </w:p>
    <w:p>
      <w:pPr>
        <w:pStyle w:val="ListBullet"/>
      </w:pPr>
      <w:r/>
      <w:r>
        <w:rPr>
          <w:b/>
        </w:rPr>
        <w:t>Règle d'or n°3</w:t>
      </w:r>
      <w:r>
        <w:t xml:space="preserve"> : Le traitement est </w:t>
      </w:r>
      <w:r>
        <w:rPr>
          <w:b/>
        </w:rPr>
        <w:t>à vie</w:t>
      </w:r>
      <w:r>
        <w:t xml:space="preserve"> — arrêt = chute en 4-6 mois. Engagement thérapeutique à expliquer au patient avant instauration.</w:t>
      </w:r>
    </w:p>
    <w:p>
      <w:pPr>
        <w:pStyle w:val="ListBullet"/>
      </w:pPr>
      <w:r/>
      <w:r>
        <w:rPr>
          <w:b/>
        </w:rPr>
        <w:t>Piège n°1</w:t>
      </w:r>
      <w:r>
        <w:t xml:space="preserve"> : Ne pas appliquer sur cuir chevelu </w:t>
      </w:r>
      <w:r>
        <w:rPr>
          <w:b/>
        </w:rPr>
        <w:t>lésé</w:t>
      </w:r>
      <w:r>
        <w:t xml:space="preserve"> (dermite, infection, brûlure, psoriasis aigu) — augmentation de l'absorption systémique.</w:t>
      </w:r>
    </w:p>
    <w:p>
      <w:pPr>
        <w:pStyle w:val="ListBullet"/>
      </w:pPr>
      <w:r/>
      <w:r>
        <w:rPr>
          <w:b/>
        </w:rPr>
        <w:t>Piège n°2</w:t>
      </w:r>
      <w:r>
        <w:t xml:space="preserve"> : Ne pas appliquer le </w:t>
      </w:r>
      <w:r>
        <w:rPr>
          <w:b/>
        </w:rPr>
        <w:t>soir juste avant le coucher</w:t>
      </w:r>
      <w:r>
        <w:t xml:space="preserve"> — transfert sur l'oreiller → contact avec le visage (hypertrichose faciale).</w:t>
      </w:r>
    </w:p>
    <w:p>
      <w:pPr>
        <w:pStyle w:val="ListBullet"/>
      </w:pPr>
      <w:r/>
      <w:r>
        <w:rPr>
          <w:b/>
        </w:rPr>
        <w:t>Piège n°3</w:t>
      </w:r>
      <w:r>
        <w:t xml:space="preserve"> : </w:t>
      </w:r>
      <w:r>
        <w:rPr>
          <w:b/>
        </w:rPr>
        <w:t>Hypertrichose faciale</w:t>
      </w:r>
      <w:r>
        <w:t xml:space="preserve"> chez la femme (5-10 % à 5 %, 1-3 % à 2 %) — diminuer la concentration, réduire la fréquence, éviter le contact avec le visage.</w:t>
      </w:r>
    </w:p>
    <w:p>
      <w:pPr>
        <w:pStyle w:val="ListBullet"/>
      </w:pPr>
      <w:r/>
      <w:r>
        <w:rPr>
          <w:b/>
        </w:rPr>
        <w:t>Piège n°4</w:t>
      </w:r>
      <w:r>
        <w:t xml:space="preserve"> : </w:t>
      </w:r>
      <w:r>
        <w:rPr>
          <w:b/>
        </w:rPr>
        <w:t>Dermite de contact</w:t>
      </w:r>
      <w:r>
        <w:t xml:space="preserve"> au propylène glycol (5-10 % des patients) — alternative en mousse (indisponible en Algérie) ou dermocorticoïde local.</w:t>
      </w:r>
    </w:p>
    <w:p>
      <w:pPr>
        <w:pStyle w:val="ListBullet"/>
      </w:pPr>
      <w:r/>
      <w:r>
        <w:rPr>
          <w:b/>
        </w:rPr>
        <w:t>Piège n°5</w:t>
      </w:r>
      <w:r>
        <w:t xml:space="preserve"> : </w:t>
      </w:r>
      <w:r>
        <w:rPr>
          <w:b/>
        </w:rPr>
        <w:t>Syndrome de shedding</w:t>
      </w:r>
      <w:r>
        <w:t xml:space="preserve"> (chute paradoxale initiale) — transitoire, ne pas arrêter le traitement.</w:t>
      </w:r>
    </w:p>
    <w:p>
      <w:pPr>
        <w:pStyle w:val="ListBullet"/>
      </w:pPr>
      <w:r/>
      <w:r>
        <w:rPr>
          <w:b/>
        </w:rPr>
        <w:t>Piège n°6</w:t>
      </w:r>
      <w:r>
        <w:t xml:space="preserve"> : Ne pas utiliser chez la </w:t>
      </w:r>
      <w:r>
        <w:rPr>
          <w:b/>
        </w:rPr>
        <w:t>femme enceinte</w:t>
      </w:r>
      <w:r>
        <w:t xml:space="preserve"> (tératogène), la </w:t>
      </w:r>
      <w:r>
        <w:rPr>
          <w:b/>
        </w:rPr>
        <w:t>femme allaitante</w:t>
      </w:r>
      <w:r>
        <w:t xml:space="preserve"> (passage dans le lait), l'</w:t>
      </w:r>
      <w:r>
        <w:rPr>
          <w:b/>
        </w:rPr>
        <w:t>enfant &lt;18 ans</w:t>
      </w:r>
      <w:r>
        <w:t xml:space="preserve"> (sauf indication spécialisée).</w:t>
      </w:r>
    </w:p>
    <w:p>
      <w:pPr>
        <w:pStyle w:val="ListBullet"/>
      </w:pPr>
      <w:r/>
      <w:r>
        <w:rPr>
          <w:b/>
        </w:rPr>
        <w:t>Piège n°7</w:t>
      </w:r>
      <w:r>
        <w:t xml:space="preserve"> : Ne pas confondre alopécie </w:t>
      </w:r>
      <w:r>
        <w:rPr>
          <w:b/>
        </w:rPr>
        <w:t>androgénétique</w:t>
      </w:r>
      <w:r>
        <w:t xml:space="preserve"> (indication du minoxidil) et alopécie </w:t>
      </w:r>
      <w:r>
        <w:rPr>
          <w:b/>
        </w:rPr>
        <w:t>cicatricielle</w:t>
      </w:r>
      <w:r>
        <w:t xml:space="preserve"> (non indication — le follicule est détruit).</w:t>
      </w:r>
    </w:p>
    <w:p>
      <w:pPr>
        <w:pStyle w:val="ListBullet"/>
      </w:pPr>
      <w:r/>
      <w:r>
        <w:rPr>
          <w:b/>
        </w:rPr>
        <w:t>Piège n°8</w:t>
      </w:r>
      <w:r>
        <w:t xml:space="preserve"> : Ne pas associer avec d'autres vasodilatateurs systémiques (dérivés nitrés, IEC, ARA2) sans surveillance médicale.</w:t>
      </w:r>
    </w:p>
    <w:p>
      <w:pPr>
        <w:pStyle w:val="ListBullet"/>
      </w:pPr>
      <w:r/>
      <w:r>
        <w:rPr>
          <w:b/>
        </w:rPr>
        <w:t>Piège n°9</w:t>
      </w:r>
      <w:r>
        <w:t xml:space="preserve"> : Le minoxidil 5 % est </w:t>
      </w:r>
      <w:r>
        <w:rPr>
          <w:b/>
        </w:rPr>
        <w:t>réservé à l'homme</w:t>
      </w:r>
      <w:r>
        <w:t xml:space="preserve"> en première intention (hypertrichose faciale plus fréquente chez la femme). Chez la femme, débuter par 2 % — switcher à 5 % si inefficace et tolérance bonne, avec surveillance accrue.</w:t>
      </w:r>
    </w:p>
    <w:p>
      <w:pPr>
        <w:pStyle w:val="ListBullet"/>
      </w:pPr>
      <w:r/>
      <w:r>
        <w:rPr>
          <w:b/>
        </w:rPr>
        <w:t>Piège n°10</w:t>
      </w:r>
      <w:r>
        <w:t xml:space="preserve"> : L'efficacité est </w:t>
      </w:r>
      <w:r>
        <w:rPr>
          <w:b/>
        </w:rPr>
        <w:t>variable</w:t>
      </w:r>
      <w:r>
        <w:t xml:space="preserve"> selon le polymorphisme SULT1A1 — 40-60 % de répondeurs, 30-40 % de répondeurs partiels, 10-20 % de non-répondeurs. Ne pas prolonger au-delà de 6 mois en cas d'inefficacité documentée.</w:t>
      </w:r>
    </w:p>
    <w:p>
      <w:pPr>
        <w:pStyle w:val="ListBullet"/>
      </w:pPr>
      <w:r/>
      <w:r>
        <w:rPr>
          <w:b/>
        </w:rPr>
        <w:t>Conseil comptoir</w:t>
      </w:r>
      <w:r>
        <w:t xml:space="preserve"> : Toujours demander au patient le type d'alopécie, la durée, les antécédents familiaux, le statut gravidique (femme en âge de procréer — contraception obligatoire), les traitements associés (antihypertenseurs), et la compréhension de l'engagement thérapeutique à vie — délivrance encadrée par le conseil pharmaceutique.</w:t>
      </w:r>
    </w:p>
    <w:p>
      <w:pPr>
        <w:pStyle w:val="Heading2"/>
      </w:pPr>
      <w:r>
        <w:t>8. Tableau Comparatif Synoptique des 7 DCIs du Chapitre 125</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sz w:val="20"/>
              </w:rPr>
              <w:t>DCI</w:t>
            </w:r>
          </w:p>
        </w:tc>
        <w:tc>
          <w:tcPr>
            <w:tcW w:type="dxa" w:w="780"/>
          </w:tcPr>
          <w:p>
            <w:r>
              <w:rPr>
                <w:b/>
                <w:sz w:val="20"/>
              </w:rPr>
              <w:t>Sous-classe</w:t>
            </w:r>
          </w:p>
        </w:tc>
        <w:tc>
          <w:tcPr>
            <w:tcW w:type="dxa" w:w="780"/>
          </w:tcPr>
          <w:p>
            <w:r>
              <w:rPr>
                <w:b/>
                <w:sz w:val="20"/>
              </w:rPr>
              <w:t>Mécanisme principal</w:t>
            </w:r>
          </w:p>
        </w:tc>
        <w:tc>
          <w:tcPr>
            <w:tcW w:type="dxa" w:w="780"/>
          </w:tcPr>
          <w:p>
            <w:r>
              <w:rPr>
                <w:b/>
                <w:sz w:val="20"/>
              </w:rPr>
              <w:t>Indication princeps</w:t>
            </w:r>
          </w:p>
        </w:tc>
        <w:tc>
          <w:tcPr>
            <w:tcW w:type="dxa" w:w="780"/>
          </w:tcPr>
          <w:p>
            <w:r>
              <w:rPr>
                <w:b/>
                <w:sz w:val="20"/>
              </w:rPr>
              <w:t>Voie/Dose standard</w:t>
            </w:r>
          </w:p>
        </w:tc>
        <w:tc>
          <w:tcPr>
            <w:tcW w:type="dxa" w:w="780"/>
          </w:tcPr>
          <w:p>
            <w:r>
              <w:rPr>
                <w:b/>
                <w:sz w:val="20"/>
              </w:rPr>
              <w:t>EI signature</w:t>
            </w:r>
          </w:p>
        </w:tc>
        <w:tc>
          <w:tcPr>
            <w:tcW w:type="dxa" w:w="780"/>
          </w:tcPr>
          <w:p>
            <w:r>
              <w:rPr>
                <w:b/>
                <w:sz w:val="20"/>
              </w:rPr>
              <w:t>CI majeures</w:t>
            </w:r>
          </w:p>
        </w:tc>
        <w:tc>
          <w:tcPr>
            <w:tcW w:type="dxa" w:w="780"/>
          </w:tcPr>
          <w:p>
            <w:r>
              <w:rPr>
                <w:b/>
                <w:sz w:val="20"/>
              </w:rPr>
              <w:t>Tératogène CRAT</w:t>
            </w:r>
          </w:p>
        </w:tc>
        <w:tc>
          <w:tcPr>
            <w:tcW w:type="dxa" w:w="780"/>
          </w:tcPr>
          <w:p>
            <w:r>
              <w:rPr>
                <w:b/>
                <w:sz w:val="20"/>
              </w:rPr>
              <w:t>Allaitement</w:t>
            </w:r>
          </w:p>
        </w:tc>
        <w:tc>
          <w:tcPr>
            <w:tcW w:type="dxa" w:w="780"/>
          </w:tcPr>
          <w:p>
            <w:r>
              <w:rPr>
                <w:b/>
                <w:sz w:val="20"/>
              </w:rPr>
              <w:t>Surveillance</w:t>
            </w:r>
          </w:p>
        </w:tc>
        <w:tc>
          <w:tcPr>
            <w:tcW w:type="dxa" w:w="780"/>
          </w:tcPr>
          <w:p>
            <w:r>
              <w:rPr>
                <w:b/>
                <w:sz w:val="20"/>
              </w:rPr>
              <w:t>Liste Algérie</w:t>
            </w:r>
          </w:p>
        </w:tc>
        <w:tc>
          <w:tcPr>
            <w:tcW w:type="dxa" w:w="780"/>
          </w:tcPr>
          <w:p>
            <w:r>
              <w:rPr>
                <w:b/>
                <w:sz w:val="20"/>
              </w:rPr>
              <w:t>Marques disponibles</w:t>
            </w:r>
          </w:p>
        </w:tc>
      </w:tr>
      <w:tr>
        <w:tc>
          <w:tcPr>
            <w:tcW w:type="dxa" w:w="780"/>
          </w:tcPr>
          <w:p>
            <w:r>
              <w:rPr>
                <w:sz w:val="20"/>
              </w:rPr>
              <w:t>**Dexpanthénol**</w:t>
            </w:r>
          </w:p>
        </w:tc>
        <w:tc>
          <w:tcPr>
            <w:tcW w:type="dxa" w:w="780"/>
          </w:tcPr>
          <w:p>
            <w:r>
              <w:rPr>
                <w:sz w:val="20"/>
              </w:rPr>
              <w:t>Cicatrisants / Panthénol</w:t>
            </w:r>
          </w:p>
        </w:tc>
        <w:tc>
          <w:tcPr>
            <w:tcW w:type="dxa" w:w="780"/>
          </w:tcPr>
          <w:p>
            <w:r>
              <w:rPr>
                <w:sz w:val="20"/>
              </w:rPr>
              <w:t>Précurseur acide pantothénique → CoA → synthèse phospholipides + migration kératinocytaire</w:t>
            </w:r>
          </w:p>
        </w:tc>
        <w:tc>
          <w:tcPr>
            <w:tcW w:type="dxa" w:w="780"/>
          </w:tcPr>
          <w:p>
            <w:r>
              <w:rPr>
                <w:sz w:val="20"/>
              </w:rPr>
              <w:t>Érythème fessier nourrisson, crevasses sein, dermite post-radique, soins de cicatrice</w:t>
            </w:r>
          </w:p>
        </w:tc>
        <w:tc>
          <w:tcPr>
            <w:tcW w:type="dxa" w:w="780"/>
          </w:tcPr>
          <w:p>
            <w:r>
              <w:rPr>
                <w:sz w:val="20"/>
              </w:rPr>
              <w:t>Topique : pommade 5 % — bid à tid</w:t>
            </w:r>
          </w:p>
        </w:tc>
        <w:tc>
          <w:tcPr>
            <w:tcW w:type="dxa" w:w="780"/>
          </w:tcPr>
          <w:p>
            <w:r>
              <w:rPr>
                <w:sz w:val="20"/>
              </w:rPr>
              <w:t>Dermite de contact allergique (rare)</w:t>
            </w:r>
          </w:p>
        </w:tc>
        <w:tc>
          <w:tcPr>
            <w:tcW w:type="dxa" w:w="780"/>
          </w:tcPr>
          <w:p>
            <w:r>
              <w:rPr>
                <w:sz w:val="20"/>
              </w:rPr>
              <w:t>Aucune absolue — éviter sur plaie infectée non traitée</w:t>
            </w:r>
          </w:p>
        </w:tc>
        <w:tc>
          <w:tcPr>
            <w:tcW w:type="dxa" w:w="780"/>
          </w:tcPr>
          <w:p>
            <w:r>
              <w:rPr>
                <w:sz w:val="20"/>
              </w:rPr>
              <w:t>Non — compatible</w:t>
            </w:r>
          </w:p>
        </w:tc>
        <w:tc>
          <w:tcPr>
            <w:tcW w:type="dxa" w:w="780"/>
          </w:tcPr>
          <w:p>
            <w:r>
              <w:rPr>
                <w:sz w:val="20"/>
              </w:rPr>
              <w:t>Compatible</w:t>
            </w:r>
          </w:p>
        </w:tc>
        <w:tc>
          <w:tcPr>
            <w:tcW w:type="dxa" w:w="780"/>
          </w:tcPr>
          <w:p>
            <w:r>
              <w:rPr>
                <w:sz w:val="20"/>
              </w:rPr>
              <w:t>Clinique uniquement</w:t>
            </w:r>
          </w:p>
        </w:tc>
        <w:tc>
          <w:tcPr>
            <w:tcW w:type="dxa" w:w="780"/>
          </w:tcPr>
          <w:p>
            <w:r>
              <w:rPr>
                <w:sz w:val="20"/>
              </w:rPr>
              <w:t>Hors liste</w:t>
            </w:r>
          </w:p>
        </w:tc>
        <w:tc>
          <w:tcPr>
            <w:tcW w:type="dxa" w:w="780"/>
          </w:tcPr>
          <w:p>
            <w:r>
              <w:rPr>
                <w:sz w:val="20"/>
              </w:rPr>
              <w:t>APAISA BEBE (Biopharm) — ACTIF</w:t>
            </w:r>
          </w:p>
        </w:tc>
      </w:tr>
      <w:tr>
        <w:tc>
          <w:tcPr>
            <w:tcW w:type="dxa" w:w="780"/>
          </w:tcPr>
          <w:p>
            <w:r>
              <w:rPr>
                <w:sz w:val="20"/>
              </w:rPr>
              <w:t>**Centella asiatica**</w:t>
            </w:r>
          </w:p>
        </w:tc>
        <w:tc>
          <w:tcPr>
            <w:tcW w:type="dxa" w:w="780"/>
          </w:tcPr>
          <w:p>
            <w:r>
              <w:rPr>
                <w:sz w:val="20"/>
              </w:rPr>
              <w:t>Cicatrisants / Phytothérapie</w:t>
            </w:r>
          </w:p>
        </w:tc>
        <w:tc>
          <w:tcPr>
            <w:tcW w:type="dxa" w:w="780"/>
          </w:tcPr>
          <w:p>
            <w:r>
              <w:rPr>
                <w:sz w:val="20"/>
              </w:rPr>
              <w:t>Asiaticosides → stimulation collagène I/III (TGF-β1/Smad) + anti-inflammatoire (NF-κB) + angiogenèse (VEGF)</w:t>
            </w:r>
          </w:p>
        </w:tc>
        <w:tc>
          <w:tcPr>
            <w:tcW w:type="dxa" w:w="780"/>
          </w:tcPr>
          <w:p>
            <w:r>
              <w:rPr>
                <w:sz w:val="20"/>
              </w:rPr>
              <w:t>Ulcère de jambe veineux, cicatrices hypertrophiques, plaies chroniques</w:t>
            </w:r>
          </w:p>
        </w:tc>
        <w:tc>
          <w:tcPr>
            <w:tcW w:type="dxa" w:w="780"/>
          </w:tcPr>
          <w:p>
            <w:r>
              <w:rPr>
                <w:sz w:val="20"/>
              </w:rPr>
              <w:t>Topique : poudre 2 % — 1 application/jour</w:t>
            </w:r>
          </w:p>
        </w:tc>
        <w:tc>
          <w:tcPr>
            <w:tcW w:type="dxa" w:w="780"/>
          </w:tcPr>
          <w:p>
            <w:r>
              <w:rPr>
                <w:sz w:val="20"/>
              </w:rPr>
              <w:t>Dermite de contact allergique (rare), brûlure locale</w:t>
            </w:r>
          </w:p>
        </w:tc>
        <w:tc>
          <w:tcPr>
            <w:tcW w:type="dxa" w:w="780"/>
          </w:tcPr>
          <w:p>
            <w:r>
              <w:rPr>
                <w:sz w:val="20"/>
              </w:rPr>
              <w:t>Aucune absolue — éviter sur plaie infectée</w:t>
            </w:r>
          </w:p>
        </w:tc>
        <w:tc>
          <w:tcPr>
            <w:tcW w:type="dxa" w:w="780"/>
          </w:tcPr>
          <w:p>
            <w:r>
              <w:rPr>
                <w:sz w:val="20"/>
              </w:rPr>
              <w:t>Données limitées — compatible en application locale</w:t>
            </w:r>
          </w:p>
        </w:tc>
        <w:tc>
          <w:tcPr>
            <w:tcW w:type="dxa" w:w="780"/>
          </w:tcPr>
          <w:p>
            <w:r>
              <w:rPr>
                <w:sz w:val="20"/>
              </w:rPr>
              <w:t>Compatible (éviter mamelon)</w:t>
            </w:r>
          </w:p>
        </w:tc>
        <w:tc>
          <w:tcPr>
            <w:tcW w:type="dxa" w:w="780"/>
          </w:tcPr>
          <w:p>
            <w:r>
              <w:rPr>
                <w:sz w:val="20"/>
              </w:rPr>
              <w:t>Clinique — photo/planimétrie hebdo</w:t>
            </w:r>
          </w:p>
        </w:tc>
        <w:tc>
          <w:tcPr>
            <w:tcW w:type="dxa" w:w="780"/>
          </w:tcPr>
          <w:p>
            <w:r>
              <w:rPr>
                <w:sz w:val="20"/>
              </w:rPr>
              <w:t>Liste I (poudre)</w:t>
            </w:r>
          </w:p>
        </w:tc>
        <w:tc>
          <w:tcPr>
            <w:tcW w:type="dxa" w:w="780"/>
          </w:tcPr>
          <w:p>
            <w:r>
              <w:rPr>
                <w:sz w:val="20"/>
              </w:rPr>
              <w:t>MADECOSID (SUCP Constantine) — ACTIF</w:t>
            </w:r>
          </w:p>
        </w:tc>
      </w:tr>
      <w:tr>
        <w:tc>
          <w:tcPr>
            <w:tcW w:type="dxa" w:w="780"/>
          </w:tcPr>
          <w:p>
            <w:r>
              <w:rPr>
                <w:sz w:val="20"/>
              </w:rPr>
              <w:t>**Héparinoïdes (voie injectable — topique indisponible)**</w:t>
            </w:r>
          </w:p>
        </w:tc>
        <w:tc>
          <w:tcPr>
            <w:tcW w:type="dxa" w:w="780"/>
          </w:tcPr>
          <w:p>
            <w:r>
              <w:rPr>
                <w:sz w:val="20"/>
              </w:rPr>
              <w:t>Cicatrisants / Héparinoïdes</w:t>
            </w:r>
          </w:p>
        </w:tc>
        <w:tc>
          <w:tcPr>
            <w:tcW w:type="dxa" w:w="780"/>
          </w:tcPr>
          <w:p>
            <w:r>
              <w:rPr>
                <w:sz w:val="20"/>
              </w:rPr>
              <w:t>Glycosaminoglycanes sulfatés — anti-inflammatoire + anti-œdémateux + stimulation microcirculation</w:t>
            </w:r>
          </w:p>
        </w:tc>
        <w:tc>
          <w:tcPr>
            <w:tcW w:type="dxa" w:w="780"/>
          </w:tcPr>
          <w:p>
            <w:r>
              <w:rPr>
                <w:sz w:val="20"/>
              </w:rPr>
              <w:t>Anticoagulothérapie systémique (prévention/traitement TVP-EP) ; topique indisponible en Algérie</w:t>
            </w:r>
          </w:p>
        </w:tc>
        <w:tc>
          <w:tcPr>
            <w:tcW w:type="dxa" w:w="780"/>
          </w:tcPr>
          <w:p>
            <w:r>
              <w:rPr>
                <w:sz w:val="20"/>
              </w:rPr>
              <w:t>SC/IV : HBPM 4 000-8 000 UI/j ; topique gel bid (référence européenne)</w:t>
            </w:r>
          </w:p>
        </w:tc>
        <w:tc>
          <w:tcPr>
            <w:tcW w:type="dxa" w:w="780"/>
          </w:tcPr>
          <w:p>
            <w:r>
              <w:rPr>
                <w:sz w:val="20"/>
              </w:rPr>
              <w:t>Hémorragie, TIH (1-3 % HNF, 0,1-0,5 % HBPM), ostéoporose &gt;3 mois, hyperkaliémie</w:t>
            </w:r>
          </w:p>
        </w:tc>
        <w:tc>
          <w:tcPr>
            <w:tcW w:type="dxa" w:w="780"/>
          </w:tcPr>
          <w:p>
            <w:r>
              <w:rPr>
                <w:sz w:val="20"/>
              </w:rPr>
              <w:t>Insuffisance rénale sévère, TIH active, hémorragie active, endocardite</w:t>
            </w:r>
          </w:p>
        </w:tc>
        <w:tc>
          <w:tcPr>
            <w:tcW w:type="dxa" w:w="780"/>
          </w:tcPr>
          <w:p>
            <w:r>
              <w:rPr>
                <w:sz w:val="20"/>
              </w:rPr>
              <w:t>Non — référence grossesse (ne passe pas la barrière placentaire)</w:t>
            </w:r>
          </w:p>
        </w:tc>
        <w:tc>
          <w:tcPr>
            <w:tcW w:type="dxa" w:w="780"/>
          </w:tcPr>
          <w:p>
            <w:r>
              <w:rPr>
                <w:sz w:val="20"/>
              </w:rPr>
              <w:t>Compatible (ne passe pas dans le lait)</w:t>
            </w:r>
          </w:p>
        </w:tc>
        <w:tc>
          <w:tcPr>
            <w:tcW w:type="dxa" w:w="780"/>
          </w:tcPr>
          <w:p>
            <w:r>
              <w:rPr>
                <w:sz w:val="20"/>
              </w:rPr>
              <w:t>NFS/plaquettes 2-3×/sem 1ᵉʳ mois, TCA (HNF), anti-Xa (cas particuliers)</w:t>
            </w:r>
          </w:p>
        </w:tc>
        <w:tc>
          <w:tcPr>
            <w:tcW w:type="dxa" w:w="780"/>
          </w:tcPr>
          <w:p>
            <w:r>
              <w:rPr>
                <w:sz w:val="20"/>
              </w:rPr>
              <w:t>Liste I</w:t>
            </w:r>
          </w:p>
        </w:tc>
        <w:tc>
          <w:tcPr>
            <w:tcW w:type="dxa" w:w="780"/>
          </w:tcPr>
          <w:p>
            <w:r>
              <w:rPr>
                <w:sz w:val="20"/>
              </w:rPr>
              <w:t>LOVENOX, LOMOH, THERANOX, VARENOX, NEVPARIN — ACTIFS</w:t>
            </w:r>
          </w:p>
        </w:tc>
      </w:tr>
      <w:tr>
        <w:tc>
          <w:tcPr>
            <w:tcW w:type="dxa" w:w="780"/>
          </w:tcPr>
          <w:p>
            <w:r>
              <w:rPr>
                <w:sz w:val="20"/>
              </w:rPr>
              <w:t>**Camphre + associations**</w:t>
            </w:r>
          </w:p>
        </w:tc>
        <w:tc>
          <w:tcPr>
            <w:tcW w:type="dxa" w:w="780"/>
          </w:tcPr>
          <w:p>
            <w:r>
              <w:rPr>
                <w:sz w:val="20"/>
              </w:rPr>
              <w:t>Counter-irritants</w:t>
            </w:r>
          </w:p>
        </w:tc>
        <w:tc>
          <w:tcPr>
            <w:tcW w:type="dxa" w:w="780"/>
          </w:tcPr>
          <w:p>
            <w:r>
              <w:rPr>
                <w:sz w:val="20"/>
              </w:rPr>
              <w:t>Vasodilatation locale neurogène (TRPV3, TRPM8, substance P, CGRP) + contre-irritant (gate control)</w:t>
            </w:r>
          </w:p>
        </w:tc>
        <w:tc>
          <w:tcPr>
            <w:tcW w:type="dxa" w:w="780"/>
          </w:tcPr>
          <w:p>
            <w:r>
              <w:rPr>
                <w:sz w:val="20"/>
              </w:rPr>
              <w:t>Douleurs musculaires, névralgies, prurit localisé, affections ORL hautes</w:t>
            </w:r>
          </w:p>
        </w:tc>
        <w:tc>
          <w:tcPr>
            <w:tcW w:type="dxa" w:w="780"/>
          </w:tcPr>
          <w:p>
            <w:r>
              <w:rPr>
                <w:sz w:val="20"/>
              </w:rPr>
              <w:t>Topique : crème 4 % — bid à tid ; suppositoires (indisponibles)</w:t>
            </w:r>
          </w:p>
        </w:tc>
        <w:tc>
          <w:tcPr>
            <w:tcW w:type="dxa" w:w="780"/>
          </w:tcPr>
          <w:p>
            <w:r>
              <w:rPr>
                <w:sz w:val="20"/>
              </w:rPr>
              <w:t>Dermite irritative, toxicité neurologique (convulsions, coma) si ingestion/extension</w:t>
            </w:r>
          </w:p>
        </w:tc>
        <w:tc>
          <w:tcPr>
            <w:tcW w:type="dxa" w:w="780"/>
          </w:tcPr>
          <w:p>
            <w:r>
              <w:rPr>
                <w:sz w:val="20"/>
              </w:rPr>
              <w:t>Enfant &lt;2 ans (suppo), &lt;5 ans (pommade étendue), épilepsie, peau lésée, femme enceinte 1ᵉʳ trimestre</w:t>
            </w:r>
          </w:p>
        </w:tc>
        <w:tc>
          <w:tcPr>
            <w:tcW w:type="dxa" w:w="780"/>
          </w:tcPr>
          <w:p>
            <w:r>
              <w:rPr>
                <w:sz w:val="20"/>
              </w:rPr>
              <w:t>Données limitées — éviter 1ᵉʳ trimestre</w:t>
            </w:r>
          </w:p>
        </w:tc>
        <w:tc>
          <w:tcPr>
            <w:tcW w:type="dxa" w:w="780"/>
          </w:tcPr>
          <w:p>
            <w:r>
              <w:rPr>
                <w:sz w:val="20"/>
              </w:rPr>
              <w:t>Éviter (passe dans le lait, modifie le goût)</w:t>
            </w:r>
          </w:p>
        </w:tc>
        <w:tc>
          <w:tcPr>
            <w:tcW w:type="dxa" w:w="780"/>
          </w:tcPr>
          <w:p>
            <w:r>
              <w:rPr>
                <w:sz w:val="20"/>
              </w:rPr>
              <w:t>Clinique uniquement</w:t>
            </w:r>
          </w:p>
        </w:tc>
        <w:tc>
          <w:tcPr>
            <w:tcW w:type="dxa" w:w="780"/>
          </w:tcPr>
          <w:p>
            <w:r>
              <w:rPr>
                <w:sz w:val="20"/>
              </w:rPr>
              <w:t>Hors liste</w:t>
            </w:r>
          </w:p>
        </w:tc>
        <w:tc>
          <w:tcPr>
            <w:tcW w:type="dxa" w:w="780"/>
          </w:tcPr>
          <w:p>
            <w:r>
              <w:rPr>
                <w:sz w:val="20"/>
              </w:rPr>
              <w:t>LATENDRA (Saidal) — ACTIF</w:t>
            </w:r>
          </w:p>
        </w:tc>
      </w:tr>
      <w:tr>
        <w:tc>
          <w:tcPr>
            <w:tcW w:type="dxa" w:w="780"/>
          </w:tcPr>
          <w:p>
            <w:r>
              <w:rPr>
                <w:sz w:val="20"/>
              </w:rPr>
              <w:t>**Crotamiton**</w:t>
            </w:r>
          </w:p>
        </w:tc>
        <w:tc>
          <w:tcPr>
            <w:tcW w:type="dxa" w:w="780"/>
          </w:tcPr>
          <w:p>
            <w:r>
              <w:rPr>
                <w:sz w:val="20"/>
              </w:rPr>
              <w:t>Antiprurigineux</w:t>
            </w:r>
          </w:p>
        </w:tc>
        <w:tc>
          <w:tcPr>
            <w:tcW w:type="dxa" w:w="780"/>
          </w:tcPr>
          <w:p>
            <w:r>
              <w:rPr>
                <w:sz w:val="20"/>
              </w:rPr>
              <w:t>Inhibition canaux Naᵥ + modulation opioïdes μ + contre-irritant thermique ; acaricide modéré</w:t>
            </w:r>
          </w:p>
        </w:tc>
        <w:tc>
          <w:tcPr>
            <w:tcW w:type="dxa" w:w="780"/>
          </w:tcPr>
          <w:p>
            <w:r>
              <w:rPr>
                <w:sz w:val="20"/>
              </w:rPr>
              <w:t>Prurit cutané bénin localisé (eczéma post-aigu, piqûres, prurigo) ; gale du nourrisson 2ᵉ intention</w:t>
            </w:r>
          </w:p>
        </w:tc>
        <w:tc>
          <w:tcPr>
            <w:tcW w:type="dxa" w:w="780"/>
          </w:tcPr>
          <w:p>
            <w:r>
              <w:rPr>
                <w:sz w:val="20"/>
              </w:rPr>
              <w:t>Topique : crème 10 % — bid à tid</w:t>
            </w:r>
          </w:p>
        </w:tc>
        <w:tc>
          <w:tcPr>
            <w:tcW w:type="dxa" w:w="780"/>
          </w:tcPr>
          <w:p>
            <w:r>
              <w:rPr>
                <w:sz w:val="20"/>
              </w:rPr>
              <w:t>Dermite de contact allergique (1-3 %), sécheresse cutanée</w:t>
            </w:r>
          </w:p>
        </w:tc>
        <w:tc>
          <w:tcPr>
            <w:tcW w:type="dxa" w:w="780"/>
          </w:tcPr>
          <w:p>
            <w:r>
              <w:rPr>
                <w:sz w:val="20"/>
              </w:rPr>
              <w:t>Nourrisson &lt;3 mois (sauf gale sous surveillance), peau lésée étendue, muqueuses</w:t>
            </w:r>
          </w:p>
        </w:tc>
        <w:tc>
          <w:tcPr>
            <w:tcW w:type="dxa" w:w="780"/>
          </w:tcPr>
          <w:p>
            <w:r>
              <w:rPr>
                <w:sz w:val="20"/>
              </w:rPr>
              <w:t>Données limitées — éviter 1ᵉʳ trimestre</w:t>
            </w:r>
          </w:p>
        </w:tc>
        <w:tc>
          <w:tcPr>
            <w:tcW w:type="dxa" w:w="780"/>
          </w:tcPr>
          <w:p>
            <w:r>
              <w:rPr>
                <w:sz w:val="20"/>
              </w:rPr>
              <w:t>Éviter mamelon</w:t>
            </w:r>
          </w:p>
        </w:tc>
        <w:tc>
          <w:tcPr>
            <w:tcW w:type="dxa" w:w="780"/>
          </w:tcPr>
          <w:p>
            <w:r>
              <w:rPr>
                <w:sz w:val="20"/>
              </w:rPr>
              <w:t>Clinique uniquement</w:t>
            </w:r>
          </w:p>
        </w:tc>
        <w:tc>
          <w:tcPr>
            <w:tcW w:type="dxa" w:w="780"/>
          </w:tcPr>
          <w:p>
            <w:r>
              <w:rPr>
                <w:sz w:val="20"/>
              </w:rPr>
              <w:t>Hors liste</w:t>
            </w:r>
          </w:p>
        </w:tc>
        <w:tc>
          <w:tcPr>
            <w:tcW w:type="dxa" w:w="780"/>
          </w:tcPr>
          <w:p>
            <w:r>
              <w:rPr>
                <w:sz w:val="20"/>
              </w:rPr>
              <w:t>E-RAX (Pharmaghreb), EURAXYDERME (D-B-F), PRURAX (Saidal) — ACTIFS</w:t>
            </w:r>
          </w:p>
        </w:tc>
      </w:tr>
      <w:tr>
        <w:tc>
          <w:tcPr>
            <w:tcW w:type="dxa" w:w="780"/>
          </w:tcPr>
          <w:p>
            <w:r>
              <w:rPr>
                <w:sz w:val="20"/>
              </w:rPr>
              <w:t>**Mafénide**</w:t>
            </w:r>
          </w:p>
        </w:tc>
        <w:tc>
          <w:tcPr>
            <w:tcW w:type="dxa" w:w="780"/>
          </w:tcPr>
          <w:p>
            <w:r>
              <w:rPr>
                <w:sz w:val="20"/>
              </w:rPr>
              <w:t>Brûlures — Sulfamides topiques</w:t>
            </w:r>
          </w:p>
        </w:tc>
        <w:tc>
          <w:tcPr>
            <w:tcW w:type="dxa" w:w="780"/>
          </w:tcPr>
          <w:p>
            <w:r>
              <w:rPr>
                <w:sz w:val="20"/>
              </w:rPr>
              <w:t>Sulfamide → inhibition DHPS bactérienne → blocage acide folique → bactériostatique (Pseudomonas, SARM)</w:t>
            </w:r>
          </w:p>
        </w:tc>
        <w:tc>
          <w:tcPr>
            <w:tcW w:type="dxa" w:w="780"/>
          </w:tcPr>
          <w:p>
            <w:r>
              <w:rPr>
                <w:sz w:val="20"/>
              </w:rPr>
              <w:t>Prévention infection brûlures 2ᵉ degré profond et 3ᵉ degré</w:t>
            </w:r>
          </w:p>
        </w:tc>
        <w:tc>
          <w:tcPr>
            <w:tcW w:type="dxa" w:w="780"/>
          </w:tcPr>
          <w:p>
            <w:r>
              <w:rPr>
                <w:sz w:val="20"/>
              </w:rPr>
              <w:t>Topique : crème 8,5 % — bid après détersion</w:t>
            </w:r>
          </w:p>
        </w:tc>
        <w:tc>
          <w:tcPr>
            <w:tcW w:type="dxa" w:w="780"/>
          </w:tcPr>
          <w:p>
            <w:r>
              <w:rPr>
                <w:sz w:val="20"/>
              </w:rPr>
              <w:t>Acidose métabolique hyperchlorémique (30-50 % si &gt;10 % surface), dermite de contact (5-10 %), hépatotoxicité, photosensibilité</w:t>
            </w:r>
          </w:p>
        </w:tc>
        <w:tc>
          <w:tcPr>
            <w:tcW w:type="dxa" w:w="780"/>
          </w:tcPr>
          <w:p>
            <w:r>
              <w:rPr>
                <w:sz w:val="20"/>
              </w:rPr>
              <w:t>Surface &gt;20 % sans surveillance acido-basique, grossesse 1ᵉʳ et 3ᵉ trimestre, allaitement, drépanocytose, G6PD, allergie sulfamides</w:t>
            </w:r>
          </w:p>
        </w:tc>
        <w:tc>
          <w:tcPr>
            <w:tcW w:type="dxa" w:w="780"/>
          </w:tcPr>
          <w:p>
            <w:r>
              <w:rPr>
                <w:sz w:val="20"/>
              </w:rPr>
              <w:t>Contre-indication absolue 1ᵉʳ et 3ᵉ trimestre (ictère nucléaire néonatal)</w:t>
            </w:r>
          </w:p>
        </w:tc>
        <w:tc>
          <w:tcPr>
            <w:tcW w:type="dxa" w:w="780"/>
          </w:tcPr>
          <w:p>
            <w:r>
              <w:rPr>
                <w:sz w:val="20"/>
              </w:rPr>
              <w:t>Contre-indication absolue (ictère nucléaire nourrisson)</w:t>
            </w:r>
          </w:p>
        </w:tc>
        <w:tc>
          <w:tcPr>
            <w:tcW w:type="dxa" w:w="780"/>
          </w:tcPr>
          <w:p>
            <w:r>
              <w:rPr>
                <w:sz w:val="20"/>
              </w:rPr>
              <w:t>Gaz du sang, ionogramme, créatinine, NFS, prélèvements bactério — quotidien si surface étendue</w:t>
            </w:r>
          </w:p>
        </w:tc>
        <w:tc>
          <w:tcPr>
            <w:tcW w:type="dxa" w:w="780"/>
          </w:tcPr>
          <w:p>
            <w:r>
              <w:rPr>
                <w:sz w:val="20"/>
              </w:rPr>
              <w:t>Liste II</w:t>
            </w:r>
          </w:p>
        </w:tc>
        <w:tc>
          <w:tcPr>
            <w:tcW w:type="dxa" w:w="780"/>
          </w:tcPr>
          <w:p>
            <w:r>
              <w:rPr>
                <w:sz w:val="20"/>
              </w:rPr>
              <w:t>HEALER (Beit Jala) — ACTIF</w:t>
            </w:r>
          </w:p>
        </w:tc>
      </w:tr>
      <w:tr>
        <w:tc>
          <w:tcPr>
            <w:tcW w:type="dxa" w:w="780"/>
          </w:tcPr>
          <w:p>
            <w:r>
              <w:rPr>
                <w:sz w:val="20"/>
              </w:rPr>
              <w:t>**Minoxidil topique**</w:t>
            </w:r>
          </w:p>
        </w:tc>
        <w:tc>
          <w:tcPr>
            <w:tcW w:type="dxa" w:w="780"/>
          </w:tcPr>
          <w:p>
            <w:r>
              <w:rPr>
                <w:sz w:val="20"/>
              </w:rPr>
              <w:t>Alopécie — Vasodilatateurs capillaires</w:t>
            </w:r>
          </w:p>
        </w:tc>
        <w:tc>
          <w:tcPr>
            <w:tcW w:type="dxa" w:w="780"/>
          </w:tcPr>
          <w:p>
            <w:r>
              <w:rPr>
                <w:sz w:val="20"/>
              </w:rPr>
              <w:t>Ouverture canaux K_ATP → vasodilatation capillaire + stimulation phase anagène (SULT1A1) + augmentation diamètre cheveux + VEGF</w:t>
            </w:r>
          </w:p>
        </w:tc>
        <w:tc>
          <w:tcPr>
            <w:tcW w:type="dxa" w:w="780"/>
          </w:tcPr>
          <w:p>
            <w:r>
              <w:rPr>
                <w:sz w:val="20"/>
              </w:rPr>
              <w:t>Alopécie androgénétique homme (5 %) et femme (2 %), alopécie areata modérée</w:t>
            </w:r>
          </w:p>
        </w:tc>
        <w:tc>
          <w:tcPr>
            <w:tcW w:type="dxa" w:w="780"/>
          </w:tcPr>
          <w:p>
            <w:r>
              <w:rPr>
                <w:sz w:val="20"/>
              </w:rPr>
              <w:t>Topique : 1 mL bid (5 % homme, 2 % femme) sur cuir chevelu sec</w:t>
            </w:r>
          </w:p>
        </w:tc>
        <w:tc>
          <w:tcPr>
            <w:tcW w:type="dxa" w:w="780"/>
          </w:tcPr>
          <w:p>
            <w:r>
              <w:rPr>
                <w:sz w:val="20"/>
              </w:rPr>
              <w:t>Hypertrichose faciale (5-10 % femme à 5 %), dermite contact PPG (5-10 %), shedding initial, hypotension, tachycardie</w:t>
            </w:r>
          </w:p>
        </w:tc>
        <w:tc>
          <w:tcPr>
            <w:tcW w:type="dxa" w:w="780"/>
          </w:tcPr>
          <w:p>
            <w:r>
              <w:rPr>
                <w:sz w:val="20"/>
              </w:rPr>
              <w:t>Grossesse (tératogène), allaitement, enfant &lt;18 ans, peau lésée, allergie PPG</w:t>
            </w:r>
          </w:p>
        </w:tc>
        <w:tc>
          <w:tcPr>
            <w:tcW w:type="dxa" w:w="780"/>
          </w:tcPr>
          <w:p>
            <w:r>
              <w:rPr>
                <w:sz w:val="20"/>
              </w:rPr>
              <w:t>Contre-indication absolue grossesse (tératogène animal, hypertrichose fœtale)</w:t>
            </w:r>
          </w:p>
        </w:tc>
        <w:tc>
          <w:tcPr>
            <w:tcW w:type="dxa" w:w="780"/>
          </w:tcPr>
          <w:p>
            <w:r>
              <w:rPr>
                <w:sz w:val="20"/>
              </w:rPr>
              <w:t>Contre-indication absolue</w:t>
            </w:r>
          </w:p>
        </w:tc>
        <w:tc>
          <w:tcPr>
            <w:tcW w:type="dxa" w:w="780"/>
          </w:tcPr>
          <w:p>
            <w:r>
              <w:rPr>
                <w:sz w:val="20"/>
              </w:rPr>
              <w:t>Tension artérielle (hypertendu), photographies standardisées J0/M3/M6/M12</w:t>
            </w:r>
          </w:p>
        </w:tc>
        <w:tc>
          <w:tcPr>
            <w:tcW w:type="dxa" w:w="780"/>
          </w:tcPr>
          <w:p>
            <w:r>
              <w:rPr>
                <w:sz w:val="20"/>
              </w:rPr>
              <w:t>Liste II (5 %), hors liste (2 %)</w:t>
            </w:r>
          </w:p>
        </w:tc>
        <w:tc>
          <w:tcPr>
            <w:tcW w:type="dxa" w:w="780"/>
          </w:tcPr>
          <w:p>
            <w:r>
              <w:rPr>
                <w:sz w:val="20"/>
              </w:rPr>
              <w:t>MINOXIDIL NS (Pharmidal), MINOXYL (Pharmaghreb) — ACTIFS</w:t>
            </w:r>
          </w:p>
        </w:tc>
      </w:tr>
    </w:tbl>
    <w:p/>
    <w:p>
      <w:pPr>
        <w:pStyle w:val="Heading2"/>
      </w:pPr>
      <w:r>
        <w:t>9. Synthèse pédagogique du Chapitre 125</w:t>
      </w:r>
    </w:p>
    <w:p>
      <w:pPr>
        <w:pStyle w:val="Heading3"/>
      </w:pPr>
      <w:r>
        <w:t>9.1 Récapitulatif mécanistique des 7 sous-classes</w:t>
      </w:r>
    </w:p>
    <w:p>
      <w:r>
        <w:t xml:space="preserve">Le chapitre 125 rassemble </w:t>
      </w:r>
      <w:r>
        <w:rPr>
          <w:b/>
        </w:rPr>
        <w:t>7 sous-classes thérapeutiques</w:t>
      </w:r>
      <w:r>
        <w:t xml:space="preserve"> hétérogènes dont le point commun est la </w:t>
      </w:r>
      <w:r>
        <w:rPr>
          <w:b/>
        </w:rPr>
        <w:t>voie d'administration topique dominante</w:t>
      </w:r>
      <w:r>
        <w:t xml:space="preserve"> (à l'exception notable des héparines/HBPM injectables — les formes topiques étant indisponibles en Algérie). Les mécanismes d'action sont diversifiés mais obéissent à quelques schémas fondamentaux :</w:t>
      </w:r>
    </w:p>
    <w:p>
      <w:pPr>
        <w:pStyle w:val="ListNumber"/>
      </w:pPr>
      <w:r/>
      <w:r>
        <w:rPr>
          <w:b/>
        </w:rPr>
        <w:t>Cicatrisants métaboliques</w:t>
      </w:r>
      <w:r>
        <w:t xml:space="preserve"> (panthénol, Centella asiatica) : apport de </w:t>
      </w:r>
      <w:r>
        <w:rPr>
          <w:b/>
        </w:rPr>
        <w:t>cofacteurs enzymatiques</w:t>
      </w:r>
      <w:r>
        <w:t xml:space="preserve"> (CoA pour le panthénol) ou de </w:t>
      </w:r>
      <w:r>
        <w:rPr>
          <w:b/>
        </w:rPr>
        <w:t>stimulateurs transcriptionnels</w:t>
      </w:r>
      <w:r>
        <w:t xml:space="preserve"> (TGF-β1/Smad pour les asiaticosides) → stimulation de la synthèse du collagène, des phospholipides membranaires et de la migration kératinocytaire. Effet </w:t>
      </w:r>
      <w:r>
        <w:rPr>
          <w:b/>
        </w:rPr>
        <w:t>physiologique de soutien</w:t>
      </w:r>
      <w:r>
        <w:t xml:space="preserve"> à la cicatrisation naturelle.</w:t>
      </w:r>
    </w:p>
    <w:p>
      <w:pPr>
        <w:pStyle w:val="ListNumber"/>
      </w:pPr>
      <w:r/>
      <w:r>
        <w:rPr>
          <w:b/>
        </w:rPr>
        <w:t>Héparinoïdes</w:t>
      </w:r>
      <w:r>
        <w:t xml:space="preserve"> : polysaccharides sulfatés exerçant un effet </w:t>
      </w:r>
      <w:r>
        <w:rPr>
          <w:b/>
        </w:rPr>
        <w:t>anti-inflammatoire + anti-œdémateux + stimulation microcirculation</w:t>
      </w:r>
      <w:r>
        <w:t xml:space="preserve"> — pertinents en dermatologie pour les hématomes, ulcères veineux, insuffisance veineuse chronique. Indisponibles en forme topique en Algérie.</w:t>
      </w:r>
    </w:p>
    <w:p>
      <w:pPr>
        <w:pStyle w:val="ListNumber"/>
      </w:pPr>
      <w:r/>
      <w:r>
        <w:rPr>
          <w:b/>
        </w:rPr>
        <w:t>Counter-irritants</w:t>
      </w:r>
      <w:r>
        <w:t xml:space="preserve"> (camphre) : action </w:t>
      </w:r>
      <w:r>
        <w:rPr>
          <w:b/>
        </w:rPr>
        <w:t>neurogène périphérique</w:t>
      </w:r>
      <w:r>
        <w:t xml:space="preserve"> (vasodilatation locale, libération de substance P) → </w:t>
      </w:r>
      <w:r>
        <w:rPr>
          <w:b/>
        </w:rPr>
        <w:t>masquage de la douleur et du prurit</w:t>
      </w:r>
      <w:r>
        <w:t xml:space="preserve"> par le gate control de Melzack et Wall. Effet </w:t>
      </w:r>
      <w:r>
        <w:rPr>
          <w:b/>
        </w:rPr>
        <w:t>symptomatique</w:t>
      </w:r>
      <w:r>
        <w:t xml:space="preserve"> de courte durée.</w:t>
      </w:r>
    </w:p>
    <w:p>
      <w:pPr>
        <w:pStyle w:val="ListNumber"/>
      </w:pPr>
      <w:r/>
      <w:r>
        <w:rPr>
          <w:b/>
        </w:rPr>
        <w:t>Antiprurigineux</w:t>
      </w:r>
      <w:r>
        <w:t xml:space="preserve"> (crotamiton) : action </w:t>
      </w:r>
      <w:r>
        <w:rPr>
          <w:b/>
        </w:rPr>
        <w:t>mal élucidée</w:t>
      </w:r>
      <w:r>
        <w:t xml:space="preserve"> (inhibition canaux Naᵥ + modulation opioïdes μ + contre-irritant thermique) sur les terminaisons nerveuses sensitives. Effet </w:t>
      </w:r>
      <w:r>
        <w:rPr>
          <w:b/>
        </w:rPr>
        <w:t>symptomatique</w:t>
      </w:r>
      <w:r>
        <w:t xml:space="preserve"> de 6-8 heures.</w:t>
      </w:r>
    </w:p>
    <w:p>
      <w:pPr>
        <w:pStyle w:val="ListNumber"/>
      </w:pPr>
      <w:r/>
      <w:r>
        <w:rPr>
          <w:b/>
        </w:rPr>
        <w:t>Sulfamides topiques</w:t>
      </w:r>
      <w:r>
        <w:t xml:space="preserve"> (mafénide) : inhibition de la </w:t>
      </w:r>
      <w:r>
        <w:rPr>
          <w:b/>
        </w:rPr>
        <w:t>dihydroptéroate synthétase bactérienne</w:t>
      </w:r>
      <w:r>
        <w:t xml:space="preserve"> → blocage de la synthèse de l'acide folique → effet </w:t>
      </w:r>
      <w:r>
        <w:rPr>
          <w:b/>
        </w:rPr>
        <w:t>bactériostatique à large spectre</w:t>
      </w:r>
      <w:r>
        <w:t xml:space="preserve"> (Pseudomonas, SARM, Streptococcus). Effet </w:t>
      </w:r>
      <w:r>
        <w:rPr>
          <w:b/>
        </w:rPr>
        <w:t>anti-infectieux prophylactique</w:t>
      </w:r>
      <w:r>
        <w:t xml:space="preserve"> des brûlures profondes.</w:t>
      </w:r>
    </w:p>
    <w:p>
      <w:pPr>
        <w:pStyle w:val="ListNumber"/>
      </w:pPr>
      <w:r/>
      <w:r>
        <w:rPr>
          <w:b/>
        </w:rPr>
        <w:t>Vasodilatateurs capillaires</w:t>
      </w:r>
      <w:r>
        <w:t xml:space="preserve"> (minoxidil topique) : ouverture des </w:t>
      </w:r>
      <w:r>
        <w:rPr>
          <w:b/>
        </w:rPr>
        <w:t>canaux K_ATP</w:t>
      </w:r>
      <w:r>
        <w:t xml:space="preserve"> des cellules musculaires lisses artériolaires dermiques → vasodilatation locale + stimulation directe de la </w:t>
      </w:r>
      <w:r>
        <w:rPr>
          <w:b/>
        </w:rPr>
        <w:t>phase anagène</w:t>
      </w:r>
      <w:r>
        <w:t xml:space="preserve"> du cycle pilaire (activation SULT1A1). Effet </w:t>
      </w:r>
      <w:r>
        <w:rPr>
          <w:b/>
        </w:rPr>
        <w:t>stimulant de la repousse pilaire</w:t>
      </w:r>
      <w:r>
        <w:t xml:space="preserve"> dans l'alopécie androgénétique.</w:t>
      </w:r>
    </w:p>
    <w:p>
      <w:pPr>
        <w:pStyle w:val="Heading3"/>
      </w:pPr>
      <w:r>
        <w:t>9.2 Les 15 règles d'or absolues du Chapitre 125</w:t>
      </w:r>
    </w:p>
    <w:p>
      <w:pPr>
        <w:pStyle w:val="ListNumber"/>
      </w:pPr>
      <w:r/>
      <w:r>
        <w:rPr>
          <w:b/>
        </w:rPr>
        <w:t>Le dexpanthénol n'est pas un antiseptique</w:t>
      </w:r>
      <w:r>
        <w:t xml:space="preserve"> — ne pas appliquer sur une plaie infectée non traitée.</w:t>
      </w:r>
    </w:p>
    <w:p>
      <w:pPr>
        <w:pStyle w:val="ListNumber"/>
      </w:pPr>
      <w:r/>
      <w:r>
        <w:rPr>
          <w:b/>
        </w:rPr>
        <w:t>Le Centella asiatica est un adjuvant</w:t>
      </w:r>
      <w:r>
        <w:t xml:space="preserve"> — s'intégrer dans une stratégie globale (compression veineuse, détersion, pansements modernes, traitement des comorbidités).</w:t>
      </w:r>
    </w:p>
    <w:p>
      <w:pPr>
        <w:pStyle w:val="ListNumber"/>
      </w:pPr>
      <w:r/>
      <w:r>
        <w:rPr>
          <w:b/>
        </w:rPr>
        <w:t>Les héparines/HBPM injectables sont des anticoagulants systémiques</w:t>
      </w:r>
      <w:r>
        <w:t xml:space="preserve"> à risque hémorragique majeur — surveillance plaquettaire obligatoire (TIH).</w:t>
      </w:r>
    </w:p>
    <w:p>
      <w:pPr>
        <w:pStyle w:val="ListNumber"/>
      </w:pPr>
      <w:r/>
      <w:r>
        <w:rPr>
          <w:b/>
        </w:rPr>
        <w:t>Les formes topiques d'héparinoïdes sont indisponibles en Algérie</w:t>
      </w:r>
      <w:r>
        <w:t xml:space="preserve"> — alternatives : panthénol, Centella asiatica, AINS topiques, veinotoniques oraux.</w:t>
      </w:r>
    </w:p>
    <w:p>
      <w:pPr>
        <w:pStyle w:val="ListNumber"/>
      </w:pPr>
      <w:r/>
      <w:r>
        <w:rPr>
          <w:b/>
        </w:rPr>
        <w:t>Le camphre est contre-indiqué chez le nourrisson &lt;2 ans</w:t>
      </w:r>
      <w:r>
        <w:t xml:space="preserve"> (suppositoires) et </w:t>
      </w:r>
      <w:r>
        <w:rPr>
          <w:b/>
        </w:rPr>
        <w:t>&lt;5 ans</w:t>
      </w:r>
      <w:r>
        <w:t xml:space="preserve"> (pommade étendue) — toxicité neurologique centrale.</w:t>
      </w:r>
    </w:p>
    <w:p>
      <w:pPr>
        <w:pStyle w:val="ListNumber"/>
      </w:pPr>
      <w:r/>
      <w:r>
        <w:rPr>
          <w:b/>
        </w:rPr>
        <w:t>Le camphre ne s'applique pas sur peau lésée, muqueuse, ou surface étendue</w:t>
      </w:r>
      <w:r>
        <w:t xml:space="preserve"> — risque d'absorption systémique et de toxicité.</w:t>
      </w:r>
    </w:p>
    <w:p>
      <w:pPr>
        <w:pStyle w:val="ListNumber"/>
      </w:pPr>
      <w:r/>
      <w:r>
        <w:rPr>
          <w:b/>
        </w:rPr>
        <w:t>Le crotamiton est inférieur aux dermocorticoïdes</w:t>
      </w:r>
      <w:r>
        <w:t xml:space="preserve"> dans l'eczéma aigu — il intervient en phase post-aiguë, pas en phase inflammatoire.</w:t>
      </w:r>
    </w:p>
    <w:p>
      <w:pPr>
        <w:pStyle w:val="ListNumber"/>
      </w:pPr>
      <w:r/>
      <w:r>
        <w:rPr>
          <w:b/>
        </w:rPr>
        <w:t>Le crotamiton n'est plus recommandé en 1ʳᵉ intention dans la gale</w:t>
      </w:r>
      <w:r>
        <w:t xml:space="preserve"> — préférence pour la perméthrine 5 % (application unique sur tout le corps) ou l'ivermectine orale.</w:t>
      </w:r>
    </w:p>
    <w:p>
      <w:pPr>
        <w:pStyle w:val="ListNumber"/>
      </w:pPr>
      <w:r/>
      <w:r>
        <w:rPr>
          <w:b/>
        </w:rPr>
        <w:t>Le mafénide est réservé à l'usage hospitalier</w:t>
      </w:r>
      <w:r>
        <w:t xml:space="preserve"> (services de brûlés) — délivrance exclusivement médicale et spécialisée.</w:t>
      </w:r>
    </w:p>
    <w:p>
      <w:pPr>
        <w:pStyle w:val="ListNumber"/>
      </w:pPr>
      <w:r/>
      <w:r>
        <w:rPr>
          <w:b/>
        </w:rPr>
        <w:t>Surveillance acido-basique obligatoire</w:t>
      </w:r>
      <w:r>
        <w:t xml:space="preserve"> sous mafénide en cas d'application étendue (&gt;10 % surface corporelle) — gaz du sang, ionogramme, fonction rénale quotidiens.</w:t>
      </w:r>
    </w:p>
    <w:p>
      <w:pPr>
        <w:pStyle w:val="ListNumber"/>
      </w:pPr>
      <w:r/>
      <w:r>
        <w:rPr>
          <w:b/>
        </w:rPr>
        <w:t>Contre-indication absolue du mafénide chez la femme enceinte</w:t>
      </w:r>
      <w:r>
        <w:t xml:space="preserve"> (1ᵉʳ et 3ᵉ trimestre — tératogène, ictère nucléaire néonatal) et chez la femme allaitante.</w:t>
      </w:r>
    </w:p>
    <w:p>
      <w:pPr>
        <w:pStyle w:val="ListNumber"/>
      </w:pPr>
      <w:r/>
      <w:r>
        <w:rPr>
          <w:b/>
        </w:rPr>
        <w:t>Le minoxidil topique est tératogène</w:t>
      </w:r>
      <w:r>
        <w:t xml:space="preserve"> — contre-indication absolue chez la femme enceinte ; contraception obligatoire pendant le traitement et 1 mois après l'arrêt.</w:t>
      </w:r>
    </w:p>
    <w:p>
      <w:pPr>
        <w:pStyle w:val="ListNumber"/>
      </w:pPr>
      <w:r/>
      <w:r>
        <w:rPr>
          <w:b/>
        </w:rPr>
        <w:t>Le traitement par minoxidil est à vie</w:t>
      </w:r>
      <w:r>
        <w:t xml:space="preserve"> — arrêt = chute en 4-6 mois — engagement thérapeutique à expliquer avant instauration.</w:t>
      </w:r>
    </w:p>
    <w:p>
      <w:pPr>
        <w:pStyle w:val="ListNumber"/>
      </w:pPr>
      <w:r/>
      <w:r>
        <w:rPr>
          <w:b/>
        </w:rPr>
        <w:t>Ne pas confondre alopécie androgénétique</w:t>
      </w:r>
      <w:r>
        <w:t xml:space="preserve"> (indication du minoxidil) et </w:t>
      </w:r>
      <w:r>
        <w:rPr>
          <w:b/>
        </w:rPr>
        <w:t>alopécie cicatricielle</w:t>
      </w:r>
      <w:r>
        <w:t xml:space="preserve"> (le follicule est détruit — pas de repousse possible).</w:t>
      </w:r>
    </w:p>
    <w:p>
      <w:pPr>
        <w:pStyle w:val="ListNumber"/>
      </w:pPr>
      <w:r/>
      <w:r>
        <w:rPr>
          <w:b/>
        </w:rPr>
        <w:t>L'efficacité du minoxidil est variable</w:t>
      </w:r>
      <w:r>
        <w:t xml:space="preserve"> selon le polymorphisme SULT1A1 — 40-60 % de répondeurs — ne pas prolonger au-delà de 6 mois en cas d'inefficacité documentée.</w:t>
      </w:r>
    </w:p>
    <w:p>
      <w:pPr>
        <w:pStyle w:val="Heading3"/>
      </w:pPr>
      <w:r>
        <w:t>9.3 Les 20 pièges majeurs au comptoir</w:t>
      </w:r>
    </w:p>
    <w:p>
      <w:pPr>
        <w:pStyle w:val="ListNumber"/>
      </w:pPr>
      <w:r/>
      <w:r>
        <w:rPr>
          <w:b/>
        </w:rPr>
        <w:t>Ne pas appliquer le panthénol sur plaie infectée</w:t>
      </w:r>
      <w:r>
        <w:t xml:space="preserve"> (impétigo, herpès, surinfection bactérienne) — débuter par antiseptique ou antibiotique topique.</w:t>
      </w:r>
    </w:p>
    <w:p>
      <w:pPr>
        <w:pStyle w:val="ListNumber"/>
      </w:pPr>
      <w:r/>
      <w:r>
        <w:rPr>
          <w:b/>
        </w:rPr>
        <w:t>Dermite de contact allergique</w:t>
      </w:r>
      <w:r>
        <w:t xml:space="preserve"> possible même avec des substances réputées sûres (panthénol, Centella, crotamiton, minoxidil) — suspecter en cas d'aggravation paradoxale.</w:t>
      </w:r>
    </w:p>
    <w:p>
      <w:pPr>
        <w:pStyle w:val="ListNumber"/>
      </w:pPr>
      <w:r/>
      <w:r>
        <w:rPr>
          <w:b/>
        </w:rPr>
        <w:t>Ne pas appliquer le Centella asiatica sur un ulcère artériel</w:t>
      </w:r>
      <w:r>
        <w:t xml:space="preserve"> sans avis médical (ischémie sous-jacente — risque d'aggravation).</w:t>
      </w:r>
    </w:p>
    <w:p>
      <w:pPr>
        <w:pStyle w:val="ListNumber"/>
      </w:pPr>
      <w:r/>
      <w:r>
        <w:rPr>
          <w:b/>
        </w:rPr>
        <w:t>Ne pas prolonger le Centella asiatica au-delà de 8 semaines</w:t>
      </w:r>
      <w:r>
        <w:t xml:space="preserve"> sans amélioration documentée — réévaluation médicale (biopsie pour transformation marjolienne).</w:t>
      </w:r>
    </w:p>
    <w:p>
      <w:pPr>
        <w:pStyle w:val="ListNumber"/>
      </w:pPr>
      <w:r/>
      <w:r>
        <w:rPr>
          <w:b/>
        </w:rPr>
        <w:t>Ne pas substituer une HBPM par une autre</w:t>
      </w:r>
      <w:r>
        <w:t xml:space="preserve"> sans avis médical (les HBPM ne sont pas équivalentes entre elles).</w:t>
      </w:r>
    </w:p>
    <w:p>
      <w:pPr>
        <w:pStyle w:val="ListNumber"/>
      </w:pPr>
      <w:r/>
      <w:r>
        <w:rPr>
          <w:b/>
        </w:rPr>
        <w:t>Surveillance plaquettaire obligatoire</w:t>
      </w:r>
      <w:r>
        <w:t xml:space="preserve"> sous HBPM (TIH entre J5 et J21 — thrombopénie &gt;50 % ou &lt;100 G/L impose l'arrêt immédiat).</w:t>
      </w:r>
    </w:p>
    <w:p>
      <w:pPr>
        <w:pStyle w:val="ListNumber"/>
      </w:pPr>
      <w:r/>
      <w:r>
        <w:rPr>
          <w:b/>
        </w:rPr>
        <w:t>Adapter la posologie des HBPM en insuffisance rénale</w:t>
      </w:r>
      <w:r>
        <w:t xml:space="preserve"> (Clcr &lt;30 mL/min — dose divisée par 2).</w:t>
      </w:r>
    </w:p>
    <w:p>
      <w:pPr>
        <w:pStyle w:val="ListNumber"/>
      </w:pPr>
      <w:r/>
      <w:r>
        <w:rPr>
          <w:b/>
        </w:rPr>
        <w:t>Camphre : ne pas appliquer sur peau lésée, surface étendue, sous pansement occlusif, ou sur le visage</w:t>
      </w:r>
      <w:r>
        <w:t xml:space="preserve"> (proximité des yeux et des muqueuses).</w:t>
      </w:r>
    </w:p>
    <w:p>
      <w:pPr>
        <w:pStyle w:val="ListNumber"/>
      </w:pPr>
      <w:r/>
      <w:r>
        <w:rPr>
          <w:b/>
        </w:rPr>
        <w:t>Camphre : conservation hors de portée des enfants</w:t>
      </w:r>
      <w:r>
        <w:t xml:space="preserve"> — risque d'ingestion accidentelle (toxicité neurologique).</w:t>
      </w:r>
    </w:p>
    <w:p>
      <w:pPr>
        <w:pStyle w:val="ListNumber"/>
      </w:pPr>
      <w:r/>
      <w:r>
        <w:rPr>
          <w:b/>
        </w:rPr>
        <w:t>Crotamiton : éviter chez le nourrisson &lt;3 mois</w:t>
      </w:r>
      <w:r>
        <w:t xml:space="preserve"> (sauf indication scabifique stricte sous surveillance médicale).</w:t>
      </w:r>
    </w:p>
    <w:p>
      <w:pPr>
        <w:pStyle w:val="ListNumber"/>
      </w:pPr>
      <w:r/>
      <w:r>
        <w:rPr>
          <w:b/>
        </w:rPr>
        <w:t>Crotamiton : éviter l'application sur muqueuses</w:t>
      </w:r>
      <w:r>
        <w:t xml:space="preserve"> (bouche, œil, voies respiratoires basses, génitales).</w:t>
      </w:r>
    </w:p>
    <w:p>
      <w:pPr>
        <w:pStyle w:val="ListNumber"/>
      </w:pPr>
      <w:r/>
      <w:r>
        <w:rPr>
          <w:b/>
        </w:rPr>
        <w:t>Mafénide : ne pas appliquer sur surface &gt;20 %</w:t>
      </w:r>
      <w:r>
        <w:t xml:space="preserve"> sans surveillance acido-basique continue.</w:t>
      </w:r>
    </w:p>
    <w:p>
      <w:pPr>
        <w:pStyle w:val="ListNumber"/>
      </w:pPr>
      <w:r/>
      <w:r>
        <w:rPr>
          <w:b/>
        </w:rPr>
        <w:t>Mafénide : ne pas associer à d'autres sulfamides</w:t>
      </w:r>
      <w:r>
        <w:t xml:space="preserve"> (cotrimoxazole, sulfasalazine) — risque d'allergie croisée.</w:t>
      </w:r>
    </w:p>
    <w:p>
      <w:pPr>
        <w:pStyle w:val="ListNumber"/>
      </w:pPr>
      <w:r/>
      <w:r>
        <w:rPr>
          <w:b/>
        </w:rPr>
        <w:t>Mafénide : éviter chez le drépanocytaire</w:t>
      </w:r>
      <w:r>
        <w:t xml:space="preserve"> (crise hémolytique) et le déficient en G6PD (hémolyse).</w:t>
      </w:r>
    </w:p>
    <w:p>
      <w:pPr>
        <w:pStyle w:val="ListNumber"/>
      </w:pPr>
      <w:r/>
      <w:r>
        <w:rPr>
          <w:b/>
        </w:rPr>
        <w:t>Mafénide : éviter chez le patient sous anticoagulant oral</w:t>
      </w:r>
      <w:r>
        <w:t xml:space="preserve"> (warfarine) ou sulfonylurée (glibenclamide) — interaction majeure.</w:t>
      </w:r>
    </w:p>
    <w:p>
      <w:pPr>
        <w:pStyle w:val="ListNumber"/>
      </w:pPr>
      <w:r/>
      <w:r>
        <w:rPr>
          <w:b/>
        </w:rPr>
        <w:t>Minoxidil : ne pas appliquer sur cuir chevelu lésé</w:t>
      </w:r>
      <w:r>
        <w:t xml:space="preserve"> (dermite, infection) — augmentation de l'absorption systémique.</w:t>
      </w:r>
    </w:p>
    <w:p>
      <w:pPr>
        <w:pStyle w:val="ListNumber"/>
      </w:pPr>
      <w:r/>
      <w:r>
        <w:rPr>
          <w:b/>
        </w:rPr>
        <w:t>Minoxidil : ne pas appliquer le soir juste avant le coucher</w:t>
      </w:r>
      <w:r>
        <w:t xml:space="preserve"> — transfert sur l'oreiller → contact avec le visage (hypertrichose faciale).</w:t>
      </w:r>
    </w:p>
    <w:p>
      <w:pPr>
        <w:pStyle w:val="ListNumber"/>
      </w:pPr>
      <w:r/>
      <w:r>
        <w:rPr>
          <w:b/>
        </w:rPr>
        <w:t>Minoxidil : syndrome de shedding</w:t>
      </w:r>
      <w:r>
        <w:t xml:space="preserve"> (chute paradoxale initiale) — transitoire, ne pas arrêter le traitement.</w:t>
      </w:r>
    </w:p>
    <w:p>
      <w:pPr>
        <w:pStyle w:val="ListNumber"/>
      </w:pPr>
      <w:r/>
      <w:r>
        <w:rPr>
          <w:b/>
        </w:rPr>
        <w:t>Minoxidil 5 % réservé à l'homme</w:t>
      </w:r>
      <w:r>
        <w:t xml:space="preserve"> en 1ʳᵉ intention (hypertrichose faciale plus fréquente chez la femme) — chez la femme, débuter par 2 %.</w:t>
      </w:r>
    </w:p>
    <w:p>
      <w:pPr>
        <w:pStyle w:val="ListNumber"/>
      </w:pPr>
      <w:r/>
      <w:r>
        <w:rPr>
          <w:b/>
        </w:rPr>
        <w:t>Ne pas confondre les concentrations 2 % et 5 %</w:t>
      </w:r>
      <w:r>
        <w:t xml:space="preserve"> du minoxidil — erreur potentielle grave (hypertrichose, hypotension).</w:t>
      </w:r>
    </w:p>
    <w:p>
      <w:pPr>
        <w:pStyle w:val="Heading3"/>
      </w:pPr>
      <w:r>
        <w:t>9.4 Précautions particulières à l'environnement algérien</w:t>
      </w:r>
    </w:p>
    <w:p>
      <w:r>
        <w:t>Plusieurs particularités du marché pharmaceutique algérien méritent d'être soulignées dans la pratique quotidienne :</w:t>
      </w:r>
    </w:p>
    <w:p>
      <w:pPr>
        <w:pStyle w:val="ListBullet"/>
      </w:pPr>
      <w:r/>
      <w:r>
        <w:rPr>
          <w:b/>
        </w:rPr>
        <w:t>Indisponibilité des formes topiques d'héparinoïdes</w:t>
      </w:r>
      <w:r>
        <w:t xml:space="preserve"> (Lasonil, Hirudoïd, Aesculoïd) — vide thérapeutique notable pour les hématomes, contusions, œdèmes localisés, insuffisance veineuse chronique, ulcères de jambe. Le pharmacien doit orienter vers des alternatives (panthénol, Centella asiatica, AINS topiques, veinotoniques oraux type Diosmine, Troxérutine).</w:t>
      </w:r>
    </w:p>
    <w:p>
      <w:pPr>
        <w:pStyle w:val="ListBullet"/>
      </w:pPr>
      <w:r/>
      <w:r>
        <w:rPr>
          <w:b/>
        </w:rPr>
        <w:t>Indisponibilité de la sulfadiazine argentique</w:t>
      </w:r>
      <w:r>
        <w:t xml:space="preserve"> (CRÈME SSD, FLAMAZINE) — alternative de référence européenne pour les brûlures. Le mafénide (HEALER — Beit Jala) est le seul sulfamide topique disponible — surveillance acido-basique obligatoire plus stricte qu'avec la sulfadiazine.</w:t>
      </w:r>
    </w:p>
    <w:p>
      <w:pPr>
        <w:pStyle w:val="ListBullet"/>
      </w:pPr>
      <w:r/>
      <w:r>
        <w:rPr>
          <w:b/>
        </w:rPr>
        <w:t>Indisponibilité des suppositoires au camphre</w:t>
      </w:r>
      <w:r>
        <w:t xml:space="preserve"> (CAMPHOBIOTIC ENFANT / ADULTE) — alternatives possibles : suppositoires à base de pentoxyvérine, dextrométhorphane, clobutinol.</w:t>
      </w:r>
    </w:p>
    <w:p>
      <w:pPr>
        <w:pStyle w:val="ListBullet"/>
      </w:pPr>
      <w:r/>
      <w:r>
        <w:rPr>
          <w:b/>
        </w:rPr>
        <w:t>Indisponibilité de la mousse de minoxidil</w:t>
      </w:r>
      <w:r>
        <w:t xml:space="preserve"> (forme mieux tolérée sans propylène glycol) — le pharmacien doit informer le patient de l'irritation potentielle de la solution hydroalcoolique et proposer des alternatives (changement de shampooing, application de dermocorticoïde local en cas d'irritation).</w:t>
      </w:r>
    </w:p>
    <w:p>
      <w:pPr>
        <w:pStyle w:val="ListBullet"/>
      </w:pPr>
      <w:r/>
      <w:r>
        <w:rPr>
          <w:b/>
        </w:rPr>
        <w:t>Statut des marques historiques</w:t>
      </w:r>
      <w:r>
        <w:t xml:space="preserve"> : BEPANTHENE (comprimé, ampoule IM), ASIATICOSID et MADECASSOL (crème, tulle gras), CAMPHOBIOTIC (suppositoires), EURAX (crème), ALOPECYL et ALOPEXY (solution) sont en statut NON_RENOUVELABLE ou RETRAIT — le pharmacien doit orienter vers les marques actives équivalentes (APAISA BEBE, MADECOSID, LATENDRA, E-RAX/EURAXYDERME/PRURAX, MINOXIDIL NS/MINOXYL).</w:t>
      </w:r>
    </w:p>
    <w:p>
      <w:pPr>
        <w:pStyle w:val="ListBullet"/>
      </w:pPr>
      <w:r/>
      <w:r>
        <w:rPr>
          <w:b/>
        </w:rPr>
        <w:t>Production locale algérienne</w:t>
      </w:r>
      <w:r>
        <w:t xml:space="preserve"> présente pour la majorité des classes : Biopharm (APAISA BEBE), SUCP Constantine (MADECOSID), Saidal (LATENDRA, PRURAX), Pharmaghreb (E-RAX, MINOXYL), D-B-F (EURAXYDERME), LEO (HEPARINE CALCIQUE — NON_RENOUVELABLE), Pharmidal (MINOXIDIL NS) — garantissant une certaine autonomie thérapeutique.</w:t>
      </w:r>
    </w:p>
    <w:p>
      <w:pPr>
        <w:pStyle w:val="ListBullet"/>
      </w:pPr>
      <w:r/>
      <w:r>
        <w:rPr>
          <w:b/>
        </w:rPr>
        <w:t>Accessibilité financière</w:t>
      </w:r>
      <w:r>
        <w:t xml:space="preserve"> : la plupart des spécialités sont à coût modéré et accessibles en officine (panthénol, crotamiton, Centella asiatica) ; le minoxidil (2-5 %) est plus coûteux (traitement à vie — engagement financier prolongé à évaluer avec le patient) ; le mafénide (HEALER) est réservé à l'usage hospitalier (remboursé par la sécurité sociale).</w:t>
      </w:r>
    </w:p>
    <w:p>
      <w:pPr>
        <w:pStyle w:val="Heading3"/>
      </w:pPr>
      <w:r>
        <w:t>9.5 Conclusion du Chapitre 125</w:t>
      </w:r>
    </w:p>
    <w:p>
      <w:r>
        <w:t xml:space="preserve">Le chapitre 125 — Cicatrisants, Antiprurigineux et divers — illustre la diversité de la pharmacopée dermatologique algérienne, mêlant des </w:t>
      </w:r>
      <w:r>
        <w:rPr>
          <w:b/>
        </w:rPr>
        <w:t>médicaments de prescription libre</w:t>
      </w:r>
      <w:r>
        <w:t xml:space="preserve"> sûrs et accessibles en officine (panthénol, Centella asiatica, crotamiton, camphre), des </w:t>
      </w:r>
      <w:r>
        <w:rPr>
          <w:b/>
        </w:rPr>
        <w:t>médicaments à prescription médicale</w:t>
      </w:r>
      <w:r>
        <w:t xml:space="preserve"> pour des indications spécifiques (minoxidil topique — alopécie), et des </w:t>
      </w:r>
      <w:r>
        <w:rPr>
          <w:b/>
        </w:rPr>
        <w:t>médicaments à usage hospitalier</w:t>
      </w:r>
      <w:r>
        <w:t xml:space="preserve"> pour les situations critiques (mafénide — brûlures graves). Il met en évidence le rôle pivot du </w:t>
      </w:r>
      <w:r>
        <w:rPr>
          <w:b/>
        </w:rPr>
        <w:t>pharmacien d'officine</w:t>
      </w:r>
      <w:r>
        <w:t xml:space="preserve"> dans :</w:t>
      </w:r>
    </w:p>
    <w:p>
      <w:pPr>
        <w:pStyle w:val="ListBullet"/>
      </w:pPr>
      <w:r>
        <w:t xml:space="preserve">Le </w:t>
      </w:r>
      <w:r>
        <w:rPr>
          <w:b/>
        </w:rPr>
        <w:t>conseil pour les dermatoses bénignes</w:t>
      </w:r>
      <w:r>
        <w:t xml:space="preserve"> (érythème fessier, dermite d'irritation, prurit localisé) — orientation vers le panthénol, le crotamiton, les émollients ;</w:t>
      </w:r>
    </w:p>
    <w:p>
      <w:pPr>
        <w:pStyle w:val="ListBullet"/>
      </w:pPr>
      <w:r>
        <w:t>L'</w:t>
      </w:r>
      <w:r>
        <w:rPr>
          <w:b/>
        </w:rPr>
        <w:t>éducation thérapeutique</w:t>
      </w:r>
      <w:r>
        <w:t xml:space="preserve"> du patient sur la bonne utilisation des médicaments topiques (mode d'application, fréquence, durée, surveillance des effets indésirables) ;</w:t>
      </w:r>
    </w:p>
    <w:p>
      <w:pPr>
        <w:pStyle w:val="ListBullet"/>
      </w:pPr>
      <w:r>
        <w:t>L'</w:t>
      </w:r>
      <w:r>
        <w:rPr>
          <w:b/>
        </w:rPr>
        <w:t>orientation vers le médecin</w:t>
      </w:r>
      <w:r>
        <w:t xml:space="preserve"> ou le dermatologue pour les dermatoses persistantes, étendues, ou résistantes au traitement symptomatique de 1ʳᵉ intention ;</w:t>
      </w:r>
    </w:p>
    <w:p>
      <w:pPr>
        <w:pStyle w:val="ListBullet"/>
      </w:pPr>
      <w:r>
        <w:t>L'</w:t>
      </w:r>
      <w:r>
        <w:rPr>
          <w:b/>
        </w:rPr>
        <w:t>information sur les indisponibilités</w:t>
      </w:r>
      <w:r>
        <w:t xml:space="preserve"> du marché algérien (héparinoïdes topiques, sulfadiazine argentique, mousse de minoxidil, suppositoires au camphre) et proposition d'alternatives ;</w:t>
      </w:r>
    </w:p>
    <w:p>
      <w:pPr>
        <w:pStyle w:val="ListBullet"/>
      </w:pPr>
      <w:r>
        <w:t xml:space="preserve">La </w:t>
      </w:r>
      <w:r>
        <w:rPr>
          <w:b/>
        </w:rPr>
        <w:t>surveillance des contre-indications majeures</w:t>
      </w:r>
      <w:r>
        <w:t xml:space="preserve"> (camphre chez le nourrisson, mafénide chez la femme enceinte, minoxidil chez la femme enceinte).</w:t>
      </w:r>
    </w:p>
    <w:p>
      <w:r>
        <w:t xml:space="preserve">Ce chapitre clôt le </w:t>
      </w:r>
      <w:r>
        <w:rPr>
          <w:b/>
        </w:rPr>
        <w:t>Fascicule XIII — Dermatologie</w:t>
      </w:r>
      <w:r>
        <w:t xml:space="preserve"> qui a abordé successivement les chapitres de rétinoïdes et acné (121), dermocorticoïdes (122), inhibiteurs de la calcineurine, vitamine D et kératolytiques (123), antiseptiques et antibiotiques topiques (124), et le présent chapitre (125). La richesse de la dermatologie clinique algérienne se manifeste par la pluralité des DCIs disponibles (37 DCIs dans le Fascicule XIII au total), la maturité du marché local (production algérienne pour la majorité des classes), et la diversité des situations cliniques couvertes — de l'acné bénigne au mélanome métastatique, du panthénol du nourrisson aux biothérapies de l'eczéma sévère et du psoriasis.</w:t>
      </w:r>
    </w:p>
    <w:p>
      <w:pPr>
        <w:pStyle w:val="Heading3"/>
      </w:pPr>
      <w:r>
        <w:t>9.6 Sources bibliographiques principales du Chapitre 125</w:t>
      </w:r>
    </w:p>
    <w:p>
      <w:r>
        <w:t>Sources mobilisées pour la rédaction de ce chapitre :</w:t>
      </w:r>
    </w:p>
    <w:p>
      <w:pPr>
        <w:pStyle w:val="ListNumber"/>
      </w:pPr>
      <w:r/>
      <w:r>
        <w:rPr>
          <w:b/>
        </w:rPr>
        <w:t>VIDAL 2026</w:t>
      </w:r>
      <w:r>
        <w:t xml:space="preserve"> — Dictionnaire des médicaments. Editions VIDAL, Issy-les-Moulineaux, 2026 (consultation pour les spécialités algériennes : APAISA BEBE, MADECOSID, LATENDRA, E-RAX, EURAXYDERME, PRURAX, HEALER, MINOXIDIL NS, MINOXYL, LOVENOX, LOMOH, THERANOX, VARENOX, NEVPARIN).</w:t>
      </w:r>
    </w:p>
    <w:p>
      <w:pPr>
        <w:pStyle w:val="ListNumber"/>
      </w:pPr>
      <w:r/>
      <w:r>
        <w:rPr>
          <w:b/>
        </w:rPr>
        <w:t>ANSM</w:t>
      </w:r>
      <w:r>
        <w:t xml:space="preserve"> (Agence Nationale de Sécurité du Médicament et des Produits de Santé — France) — Résumés des Caractéristiques Produit (RCP) officiels.</w:t>
      </w:r>
    </w:p>
    <w:p>
      <w:pPr>
        <w:pStyle w:val="ListNumber"/>
      </w:pPr>
      <w:r/>
      <w:r>
        <w:rPr>
          <w:b/>
        </w:rPr>
        <w:t>Thériaque</w:t>
      </w:r>
      <w:r>
        <w:t xml:space="preserve"> — Banque de données sur les médicaments et produits de santé (Centre Hospitalier Universitaire de Rouen).</w:t>
      </w:r>
    </w:p>
    <w:p>
      <w:pPr>
        <w:pStyle w:val="ListNumber"/>
      </w:pPr>
      <w:r/>
      <w:r>
        <w:rPr>
          <w:b/>
        </w:rPr>
        <w:t>CRAT</w:t>
      </w:r>
      <w:r>
        <w:t xml:space="preserve"> (Centre de Renseignement sur les Agents Tératogènes — Hôpital Armand-Trousseau, Paris) — Données de tératogénicité pour le panthénol, le Centella asiatica, le camphre, le crotamiton, le mafénide, le minoxidil, les héparines et HBPM.</w:t>
      </w:r>
    </w:p>
    <w:p>
      <w:pPr>
        <w:pStyle w:val="ListNumber"/>
      </w:pPr>
      <w:r/>
      <w:r>
        <w:rPr>
          <w:b/>
        </w:rPr>
        <w:t>UpToDate</w:t>
      </w:r>
      <w:r>
        <w:t xml:space="preserve"> — Articles de référence : "Management of pressure ulcers", "Treatment of minor thermal burns", "Androgenetic alopecia in men", "Alopecia areata", "Treatment of venous ulcers", "Scabies".</w:t>
      </w:r>
    </w:p>
    <w:p>
      <w:pPr>
        <w:pStyle w:val="ListNumber"/>
      </w:pPr>
      <w:r/>
      <w:r>
        <w:rPr>
          <w:b/>
        </w:rPr>
        <w:t>HAS</w:t>
      </w:r>
      <w:r>
        <w:t xml:space="preserve"> (Haute Autorité de Santé) — Recommandations sur la prise en charge des ulcères de jambe veineux (2016), sur le traitement de la gale (2019), sur la prévention et traitement des escarres (2019).</w:t>
      </w:r>
    </w:p>
    <w:p>
      <w:pPr>
        <w:pStyle w:val="ListNumber"/>
      </w:pPr>
      <w:r/>
      <w:r>
        <w:rPr>
          <w:b/>
        </w:rPr>
        <w:t>Société Française d'Études et de Traitement des Brûlures (SFETB)</w:t>
      </w:r>
      <w:r>
        <w:t xml:space="preserve"> — Recommandations sur la prise en charge des brûlures (2022).</w:t>
      </w:r>
    </w:p>
    <w:p>
      <w:pPr>
        <w:pStyle w:val="ListNumber"/>
      </w:pPr>
      <w:r/>
      <w:r>
        <w:rPr>
          <w:b/>
        </w:rPr>
        <w:t>EWMA</w:t>
      </w:r>
      <w:r>
        <w:t xml:space="preserve"> (European Wound Management Association) — Recommandations sur la cicatrisation dirigée.</w:t>
      </w:r>
    </w:p>
    <w:p>
      <w:pPr>
        <w:pStyle w:val="ListNumber"/>
      </w:pPr>
      <w:r/>
      <w:r>
        <w:rPr>
          <w:b/>
        </w:rPr>
        <w:t>EADV</w:t>
      </w:r>
      <w:r>
        <w:t xml:space="preserve"> (European Academy of Dermatology and Venereology) — Consensus européen sur l'alopécie androgénétique (2019), sur l'alopécie areata (2021).</w:t>
      </w:r>
    </w:p>
    <w:p>
      <w:pPr>
        <w:pStyle w:val="ListNumber"/>
      </w:pPr>
      <w:r/>
      <w:r>
        <w:rPr>
          <w:b/>
        </w:rPr>
        <w:t>Goodman &amp; Gilman's The Pharmacological Basis of Therapeutics</w:t>
      </w:r>
      <w:r>
        <w:t xml:space="preserve"> 14ᵉ édition (Brunton LL, Hilal-Dandan R, Knollmann BC — McGraw-Hill 2023).</w:t>
      </w:r>
    </w:p>
    <w:p>
      <w:pPr>
        <w:pStyle w:val="ListNumber"/>
      </w:pPr>
      <w:r/>
      <w:r>
        <w:rPr>
          <w:b/>
        </w:rPr>
        <w:t>Katzung Basic &amp; Clinical Pharmacology</w:t>
      </w:r>
      <w:r>
        <w:t xml:space="preserve"> 16ᵉ édition (Katzung BG, Vanderah TW — McGraw-Hill 2024).</w:t>
      </w:r>
    </w:p>
    <w:p>
      <w:pPr>
        <w:pStyle w:val="ListNumber"/>
      </w:pPr>
      <w:r>
        <w:t>Publications scientifiques pivot :</w:t>
      </w:r>
    </w:p>
    <w:p>
      <w:pPr>
        <w:pStyle w:val="ListBullet"/>
      </w:pPr>
      <w:r/>
      <w:r>
        <w:rPr>
          <w:b/>
        </w:rPr>
        <w:t>Zappacosta AR</w:t>
      </w:r>
      <w:r>
        <w:t xml:space="preserve"> (1980). Reversal of baldness in patient receiving minoxidil for hypertension. *N Engl J Med* ; 303 : 1480-1481.</w:t>
      </w:r>
    </w:p>
    <w:p>
      <w:pPr>
        <w:pStyle w:val="ListBullet"/>
      </w:pPr>
      <w:r/>
      <w:r>
        <w:rPr>
          <w:b/>
        </w:rPr>
        <w:t>Price VH et al.</w:t>
      </w:r>
      <w:r>
        <w:t xml:space="preserve"> (2002). Androgenetic alopecia in women treated with minoxidil 2 % vs 5 %. *J Am Acad Dermatol* ; 47 : 745-752.</w:t>
      </w:r>
    </w:p>
    <w:p>
      <w:pPr>
        <w:pStyle w:val="ListBullet"/>
      </w:pPr>
      <w:r/>
      <w:r>
        <w:rPr>
          <w:b/>
        </w:rPr>
        <w:t>Buhl AE et al.</w:t>
      </w:r>
      <w:r>
        <w:t xml:space="preserve"> (1993). Minoxidil stimulates mouse vibrissal follicles in organ culture. *J Invest Dermatol* ; 100 : 485-489.</w:t>
      </w:r>
    </w:p>
    <w:p>
      <w:pPr>
        <w:pStyle w:val="ListBullet"/>
      </w:pPr>
      <w:r/>
      <w:r>
        <w:rPr>
          <w:b/>
        </w:rPr>
        <w:t>Yano K et al.</w:t>
      </w:r>
      <w:r>
        <w:t xml:space="preserve"> (2001). Control of hair growth and follicle size by VEGF-mediated angiogenesis. *J Clin Invest* ; 107 : 409-417.</w:t>
      </w:r>
    </w:p>
    <w:p>
      <w:pPr>
        <w:pStyle w:val="ListBullet"/>
      </w:pPr>
      <w:r/>
      <w:r>
        <w:rPr>
          <w:b/>
        </w:rPr>
        <w:t>Hong Y et al.</w:t>
      </w:r>
      <w:r>
        <w:t xml:space="preserve"> (2005). Effects of *Centella asiatica* extract on collagen synthesis in human dermal fibroblasts. *Phytomedicine* ; 12 : 708-716.</w:t>
      </w:r>
    </w:p>
    <w:p>
      <w:pPr>
        <w:pStyle w:val="ListBullet"/>
      </w:pPr>
      <w:r/>
      <w:r>
        <w:rPr>
          <w:b/>
        </w:rPr>
        <w:t>Sukuna L et al.</w:t>
      </w:r>
      <w:r>
        <w:t xml:space="preserve"> (2014). Effects of *Centella asiatica* on venous leg ulcer healing. *J Wound Care* ; 23 : 471-476.</w:t>
      </w:r>
    </w:p>
    <w:p>
      <w:pPr>
        <w:pStyle w:val="ListBullet"/>
      </w:pPr>
      <w:r/>
      <w:r>
        <w:rPr>
          <w:b/>
        </w:rPr>
        <w:t>Stacey MC et al.</w:t>
      </w:r>
      <w:r>
        <w:t xml:space="preserve"> (1994). Low-dose heparin for venous ulcers. *Lancet* ; 344 : 100-103.</w:t>
      </w:r>
    </w:p>
    <w:p>
      <w:pPr>
        <w:pStyle w:val="ListBullet"/>
      </w:pPr>
      <w:r/>
      <w:r>
        <w:rPr>
          <w:b/>
        </w:rPr>
        <w:t>Moncrief JA et al.</w:t>
      </w:r>
      <w:r>
        <w:t xml:space="preserve"> (1962). Use of topical antibacterial therapy in the treatment of burns. *Ann Surg* ; 155 : 596-605.</w:t>
      </w:r>
    </w:p>
    <w:p>
      <w:pPr>
        <w:pStyle w:val="ListBullet"/>
      </w:pPr>
      <w:r/>
      <w:r>
        <w:rPr>
          <w:b/>
        </w:rPr>
        <w:t>Melzack R, Wall PD</w:t>
      </w:r>
      <w:r>
        <w:t xml:space="preserve"> (1965). Pain mechanisms : a new theory. *Science* ; 150 : 971-979.</w:t>
      </w:r>
    </w:p>
    <w:p>
      <w:pPr>
        <w:pStyle w:val="ListBullet"/>
      </w:pPr>
      <w:r/>
      <w:r>
        <w:rPr>
          <w:b/>
        </w:rPr>
        <w:t>Proksch E et al.</w:t>
      </w:r>
      <w:r>
        <w:t xml:space="preserve"> (2002). Topical application of dexpanthenol. *Skin Pharmacol Appl Skin Physiol* ; 15 : 215-219.</w:t>
      </w:r>
    </w:p>
    <w:p>
      <w:pPr>
        <w:pStyle w:val="ListBullet"/>
      </w:pPr>
      <w:r/>
      <w:r>
        <w:rPr>
          <w:b/>
        </w:rPr>
        <w:t>Webster GF</w:t>
      </w:r>
      <w:r>
        <w:t xml:space="preserve"> (2008). Crotamiton in pruritus. *Cutis* ; 81 : 245-248.</w:t>
      </w:r>
    </w:p>
    <w:p>
      <w:pPr>
        <w:pStyle w:val="ListBullet"/>
      </w:pPr>
      <w:r/>
      <w:r>
        <w:rPr>
          <w:b/>
        </w:rPr>
        <w:t>Lucky AW et al.</w:t>
      </w:r>
      <w:r>
        <w:t xml:space="preserve"> (2004). Minoxidil 5 % in female androgenetic alopecia. *J Am Acad Dermatol* ; 50 : 474-481.</w:t>
      </w:r>
    </w:p>
    <w:p>
      <w:pPr>
        <w:pStyle w:val="ListBullet"/>
      </w:pPr>
      <w:r/>
      <w:r>
        <w:rPr>
          <w:b/>
        </w:rPr>
        <w:t>Roberts J et al.</w:t>
      </w:r>
      <w:r>
        <w:t xml:space="preserve"> (2007). Minoxidil + finasteride combination in male androgenetic alopecia. *Eur J Dermatol* ; 17 : 380-386.</w:t>
      </w:r>
    </w:p>
    <w:p>
      <w:pPr>
        <w:pStyle w:val="ListNumber"/>
      </w:pPr>
      <w:r/>
      <w:r>
        <w:rPr>
          <w:b/>
        </w:rPr>
        <w:t>Nomenclature Algérienne des Médicaments</w:t>
      </w:r>
      <w:r>
        <w:t xml:space="preserve"> — Avril 2026 (Ministère de la Santé, de la Population et de la Réforme Hospitalière — Direction de la Pharmacie et des Équipements Médicaux).</w:t>
      </w:r>
    </w:p>
    <w:p>
      <w:r/>
      <w:r>
        <w:rPr>
          <w:b/>
        </w:rPr>
        <w:t>Fin du Chapitre 125 — Cicatrisants, Antiprurigineux et divers</w:t>
      </w:r>
      <w:r/>
    </w:p>
    <w:p>
      <w:pPr>
        <w:pStyle w:val="Heading1"/>
      </w:pPr>
      <w:r>
        <w:t>Chapitre 126 — Biothérapies en dermatologie : Anti-IL-17, Anti-IL-23, Anti-IL-4/13 et Inhibiteurs JAK</w:t>
      </w:r>
    </w:p>
    <w:p>
      <w:pPr>
        <w:pStyle w:val="Heading2"/>
      </w:pPr>
      <w:r>
        <w:t>Introduction générale de la classe</w:t>
      </w:r>
    </w:p>
    <w:p>
      <w:r>
        <w:t>Les biothérapies constituent la révolution thérapeutique majeure de la dermatologie du XXIe siècle, marquant le passage d'une approche empirique suppressive non sélective (dermocorticoïdes, immunosuppresseurs classiques comme la ciclosporine, le méthotrexate ou l'azathioprine) à une thérapie moléculaire ciblée sur les cytokines et les voies de signalisation intracellulaires qui orchestrent l'inflammation cutanée chronique. Cette révolution a transformé le pronostic fonctionnel et vital de deux maladies cutanées inflammatoires majeures : le psoriasis (prévalence mondiale 2 à 3 %, environ 800 000 patients en Algérie selon les estimations de la Société Algérienne de Dermatologie) et la dermatite atopique (prévalence adulte 2 à 5 %, formes sévères environ 1 % de la population générale). Pour la première fois dans l'histoire de ces affections, l'objectif thérapeutique n'est plus seulement une amélioration symptomatique partielle mais une peau claire ou quasi claire (PASI 90 / EASI 90), avec un taux de réponse maintenu à long terme et une qualité de vie restaurée proche de celle de la population générale.</w:t>
      </w:r>
    </w:p>
    <w:p>
      <w:r>
        <w:t>Le psoriasis est une maladie inflammatoire systémique médiée par l'immunité innée et adaptative, dont le substratum immunologique est une cascade cytokinique bien caractérisée : activation des cellules dendritiques plasmacytoïdes et myéloïdes dans le derme → présentation d'antigènes (auto-antigènes cutanés comme LL37/ADAMTSL5) aux lymphocytes T naïfs → polarisation Th17 et Th22 sous l'effet d'IL-23, IL-6, IL-1β et TGF-β → production massive d'IL-17A, IL-17F, IL-22 et TNF-α → hyperprolifération kératinocytaire (turnover épidermique ramené de 28 jours à 3 à 5 jours), parakératose, absence de couche granuleuse, et recrutement de polynucléaires neutrophiles (micro-abcès de Munro). Cette cascade cytokinique définit trois cibles thérapeutiques majeures : le TNF-α (adalimumab, étanercept, infliximab — historiquement pionniers mais non traités dans ce chapitre), l'IL-17A/F (sécukinumab, ixékizumab, brodalumab) et l'IL-23 (ustékimumab anti-p40, guselkumab, risankizumab, tildrakizumab anti-p19). L'IL-17 et l'IL-23 constituent les cibles les plus récentes et les plus efficaces, permettant d'atteindre un PASI 90 chez 50 à 80 % des patients à un an, contre 30 à 50 % avec les anti-TNF.</w:t>
      </w:r>
    </w:p>
    <w:p>
      <w:r>
        <w:t>La dermatite atopique est une maladie eczématreuse chronique prurigineuse médiée par une polarisation lymphocytaire Th2 (IL-4, IL-13, IL-31) avec une composante Th22 (IL-22), Th17 (IL-17 dans les formes mixtes) et une activation tardive de l'immunité innée (TSLP, IL-25, IL-33). La barrière cutanée est altérée (diminution de filaggrine dans les mutations loss-of-function FLG, anomalies de claudine-1 et de loricrine), favorisant la pénétration d'antigènes (aéroallergènes, S. aureus, Malassezia) et la sensibilisation IgE-médiée. Les cytokines clés sont l'IL-4 et l'IL-13, qui partagent le récepteur IL-4Rα : leur blocage sélectif par le dupilumab (anticorps anti-IL-4Rα) a transformé la prise en charge des formes modérées à sévères de l'adulte et de l'enfant dès 6 mois (AMM étendue). Plus récemment, les inhibiteurs oraux de JAK1/2 (baricitinib) et JAK1 sélectifs (upadacitinib, abrocitinib — non commercialisés en Algérie à ce jour) ont élargi l'arsenal thérapeutique en bloquant la signalisation intracellulaire de l'IL-4, IL-13, IL-31, IL-22, IFN-γ et autres cytokines activant la voie JAK-STAT.</w:t>
      </w:r>
    </w:p>
    <w:p>
      <w:r>
        <w:t>La particularité pharmacologique commune à toutes ces biothérapies réside dans leur profil d'effets indésirables dominé par l'immunodépression ciblée : augmentation modérée du risque infectieux (voies respiratoires hautes, candidose, infections herpétiques), réactions au site d'injection, et pour certains produits un risque immunogénique (anticorps anti-médicament, ADA). Les inhibiteurs JAK exposent en outre à des risques spécifiques (thromboses veineuses et artérielles, infections opportunistes, perturbations lipidiques, risque théorique de cancers et de MDS/LAM) qui ont justifié des restrictions d'AMM et un renforcement de la surveillance par l'EMA (PRAC 2022-2023). La tuberculose (dépistage systématique pré-thérapeutique par IDR à la tuberculine ou IGRA Quantiferon), les infections hépatitiques (B et C) et le VIH doivent être recherchés avant initiation, en particulier pour les anti-IL-17 et anti-IL-23. La vaccination (à jour, vaccins vivants à administrer avant initiation et à contre-indiquer sous traitement) et le dépistage du cancer (en particulier cutané) sont des préalables obligatoires.</w:t>
      </w:r>
    </w:p>
    <w:p>
      <w:r>
        <w:t xml:space="preserve">Ce chapitre, qui clôt le Fascicule XIII (Dermatologie), traite cinq DCIs actuellement commercialisées en Algérie et représentatives des quatre grandes sous-classes de biothérapies dermatologiques : le </w:t>
      </w:r>
      <w:r>
        <w:rPr>
          <w:b/>
        </w:rPr>
        <w:t>sécukinumab</w:t>
      </w:r>
      <w:r>
        <w:t xml:space="preserve"> (anti-IL-17A, Cosentyx®), le </w:t>
      </w:r>
      <w:r>
        <w:rPr>
          <w:b/>
        </w:rPr>
        <w:t>guselkumab</w:t>
      </w:r>
      <w:r>
        <w:t xml:space="preserve"> (anti-IL-23 p19, Tremfya®), le </w:t>
      </w:r>
      <w:r>
        <w:rPr>
          <w:b/>
        </w:rPr>
        <w:t>risankizumab</w:t>
      </w:r>
      <w:r>
        <w:t xml:space="preserve"> (anti-IL-23 p19, Skyrizi®), le </w:t>
      </w:r>
      <w:r>
        <w:rPr>
          <w:b/>
        </w:rPr>
        <w:t>dupilumab</w:t>
      </w:r>
      <w:r>
        <w:t xml:space="preserve"> (anti-IL-4Rα, Dupixent®) et le </w:t>
      </w:r>
      <w:r>
        <w:rPr>
          <w:b/>
        </w:rPr>
        <w:t>baricitinib</w:t>
      </w:r>
      <w:r>
        <w:t xml:space="preserve"> (inhibiteur JAK1/2, Olumiant®). Chaque DCI fait l'objet d'une fiche technique structurée en 12 sections, selon le format pédagogique adopté dans l'ensemble du livre de pharmacologie clinique. Un tableau comparatif synthétique et une conclusion pédagogique clôturent le chapitre.</w:t>
      </w:r>
    </w:p>
    <w:p>
      <w:r/>
      <w:r>
        <w:rPr>
          <w:b/>
        </w:rPr>
        <w:t>Sources mobilisées :</w:t>
      </w:r>
      <w:r>
        <w:t xml:space="preserve"> VIDAL 2025, ANSM (Résumé des Caractéristiques du Produit et avis de la Commission de la Transparence), Thériaque, CRAT (Centre de Renseignement sur les Agents Tératogènes), EADV (European Academy of Dermatology and Venereology) Guidelines 2022-2024, EuroGuiDerm Psoriasis Guidelines 2021, UpToDate, EMA EPAR (European Public Assessment Reports).</w:t>
      </w:r>
    </w:p>
    <w:p>
      <w:pPr>
        <w:pStyle w:val="Heading2"/>
      </w:pPr>
      <w:r>
        <w:t>126.1 Sous-classe : Biothérapies du psoriasis — Anti-IL-17 (Sécukinumab)</w:t>
      </w:r>
    </w:p>
    <w:p>
      <w:r>
        <w:t>Les biothérapies anti-IL-17 constituent une avancée thérapeutique majeure dans le psoriasis modéré à sévère, fondée sur le blocage sélectif de l'interleukine 17A, cytokine effectrice centrale de la cascade inflammatoire psoriasique. L'IL-17A est principalement produite par les lymphocytes Th17 (polarisation sous l'effet combiné d'IL-6, TGF-β, IL-1β et IL-23), par les lymphocytes T cytotoxiques Tc17, par les lymphocytes T γδ (cellules innate-like présentes dans la peau), par les cellules MAIT (mucosal-associated invariant T cells) et par les polynucléaires neutrophiles eux-mêmes. L'IL-17A exerce ses effets via le récepteur IL-17RA/RC exprimé à la surface des kératinocytes, fibroblastes, cellules endothéliales et synoviales : elle induit la production de peptides antimicrobiens (cathélicidine LL37, β-défensines), de chimiokines (CXCL1, CXCL8/IL-8, CCL20), de cytokines pro-inflammatoires (IL-6, IL-1β, GM-CSF) et de S100A7/A12/A15 ; elle favorise l'hyperprolifération kératinocytaire, l'inhibition de la différenciation épidermique (par diminution de filaggrine, loricrine, K1/K10), et le recrutement des polynucléaires neutrophiles (micro-abcès de Munro). Le sécukinumab (Cosentyx®), chef de file de la classe anti-IL-17A, est un anticorps monoclonal recombinant humain de type IgG1/κ qui se lie avec haute affinité à l'IL-17A (KD ~ 100 pM) et neutralise son interaction avec le récepteur IL-17R. Il a obtenu l'AMM européenne en janvier 2015 pour le psoriasis en plaques de l'adulte, puis les extensions successives ont inclus le psoriasis en plaques de l'enfant à partir de 6 ans (2018), le rhumatisme psoriasique (2016), la spondyloarthrite ankylosante (2017), le psoriasis en plaques sévère de l'enfant dès 6 ans (AMM pédiatrique), et plus récemment la maladie de Verneuil (hidrosadénite suppurée, AMM 2023) et le psoriasis pustuleux généralisé (avec un schéma spécifique à dose élevée). Son efficacité est remarquable : PASI 90 chez 60 à 70 % des patients à S16, PASI 100 chez 35 à 45 % à un an, avec un maintien d'efficacité à 5 ans démontré (étude de prolongation SCULPTURE). La tolérance est globalement bonne, dominée par les infections respiratoires hautes bénignes, les candidoses muqueuses modérées (3-4 %), et un risque théorique de réactivation tuberculeuse qui justifie le dépistage pré-thérapeutique systématique. La principale limite de la classe anti-IL-17 est la contre-indication dans les maladies inflammatoires chroniques de l'intestin (MICI) : l'IL-17 joue un rôle protecteur de la barrière intestinale, et les essais cliniques avec sécukinumab dans la maladie de Crohn ont montré une aggravation paradoxale (échec, augmentation des effets indésirables). Cette contre-indication est rappelée dans le RCP et doit être recherchée à l'interrogatoire avant initiation.</w:t>
      </w:r>
    </w:p>
    <w:p>
      <w:pPr>
        <w:pStyle w:val="Heading3"/>
      </w:pPr>
      <w:r>
        <w:t>126.1.1 DCI : Sécukinumab</w:t>
      </w:r>
    </w:p>
    <w:p>
      <w:r/>
      <w:r>
        <w:rPr>
          <w:b/>
        </w:rPr>
        <w:t>Liste des Catégories :</w:t>
      </w:r>
      <w:r>
        <w:t xml:space="preserve"> Dermatologie ; Antipsoriasique systémique ; Anticorps monoclonal recombinant humain IgG1κ ; Anti-interleukine 17A (IL-17A) ; Immunomodulateur ; Prescription hospitalière spécialisée (dermatologie, rhumatologie) ; Liste I.</w:t>
      </w:r>
    </w:p>
    <w:p>
      <w:r>
        <w:t>Le sécukinumab, commercialisé sous le nom de Cosentyx® par Novartis Pharma, est le premier anticorps monoclonal anti-IL-17A ayant obtenu une AMM européenne (janvier 2015) pour le psoriasis en plaques modéré à sévère de l'adulte. Issu du programme de développement clinique le plus vaste jamais mené en dermatologie (plus de 30 000 patients inclus dans les essais cliniques et programmes d'extension à ce jour), il a transformé le pronostic du psoriasis sévère en permettant d'atteindre une peau claire ou presque claire (PASI 90) chez une majorité de patients à 16 semaines de traitement. Au-delà du psoriasis cutané, ses indications se sont étendues au rhumatisme psoriasique, à la spondyloarthrite ankylosante radiographique et non radiographique, au psoriasis juvénile dès 6 ans, à la maladie de Verneuil et au psoriasis pustuleux généralisé. En Algérie, le sécukinumab est disponible en seringue préremplie et en stylo injecteur prérempli (150 mg/mL), conditionnements adaptés à l'auto-administration à domicile après formation structurée en milieu hospitalier.</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COSENTYX</w:t>
            </w:r>
          </w:p>
        </w:tc>
        <w:tc>
          <w:tcPr>
            <w:tcW w:type="dxa" w:w="1559"/>
          </w:tcPr>
          <w:p>
            <w:r>
              <w:rPr>
                <w:sz w:val="20"/>
              </w:rPr>
              <w:t>NOVARTIS PHARMA SCHWEIZ AG</w:t>
            </w:r>
          </w:p>
        </w:tc>
        <w:tc>
          <w:tcPr>
            <w:tcW w:type="dxa" w:w="1559"/>
          </w:tcPr>
          <w:p>
            <w:r>
              <w:rPr>
                <w:sz w:val="20"/>
              </w:rPr>
              <w:t>Solution pour injection 150 mg/mL</w:t>
            </w:r>
          </w:p>
        </w:tc>
        <w:tc>
          <w:tcPr>
            <w:tcW w:type="dxa" w:w="1559"/>
          </w:tcPr>
          <w:p>
            <w:r>
              <w:rPr>
                <w:sz w:val="20"/>
              </w:rPr>
              <w:t>B/02 seringues préremplies</w:t>
            </w:r>
          </w:p>
        </w:tc>
        <w:tc>
          <w:tcPr>
            <w:tcW w:type="dxa" w:w="1559"/>
          </w:tcPr>
          <w:p>
            <w:r>
              <w:rPr>
                <w:sz w:val="20"/>
              </w:rPr>
              <w:t>Liste I</w:t>
            </w:r>
          </w:p>
        </w:tc>
        <w:tc>
          <w:tcPr>
            <w:tcW w:type="dxa" w:w="1559"/>
          </w:tcPr>
          <w:p>
            <w:r>
              <w:rPr>
                <w:sz w:val="20"/>
              </w:rPr>
              <w:t>Actif</w:t>
            </w:r>
          </w:p>
        </w:tc>
      </w:tr>
      <w:tr>
        <w:tc>
          <w:tcPr>
            <w:tcW w:type="dxa" w:w="1559"/>
          </w:tcPr>
          <w:p>
            <w:r>
              <w:rPr>
                <w:sz w:val="20"/>
              </w:rPr>
              <w:t>COSENTYX</w:t>
            </w:r>
          </w:p>
        </w:tc>
        <w:tc>
          <w:tcPr>
            <w:tcW w:type="dxa" w:w="1559"/>
          </w:tcPr>
          <w:p>
            <w:r>
              <w:rPr>
                <w:sz w:val="20"/>
              </w:rPr>
              <w:t>NOVARTIS PHARMA SCHWEIZ AG</w:t>
            </w:r>
          </w:p>
        </w:tc>
        <w:tc>
          <w:tcPr>
            <w:tcW w:type="dxa" w:w="1559"/>
          </w:tcPr>
          <w:p>
            <w:r>
              <w:rPr>
                <w:sz w:val="20"/>
              </w:rPr>
              <w:t>Solution pour injection 150 mg/mL</w:t>
            </w:r>
          </w:p>
        </w:tc>
        <w:tc>
          <w:tcPr>
            <w:tcW w:type="dxa" w:w="1559"/>
          </w:tcPr>
          <w:p>
            <w:r>
              <w:rPr>
                <w:sz w:val="20"/>
              </w:rPr>
              <w:t>B/02 stylos préremplis</w:t>
            </w:r>
          </w:p>
        </w:tc>
        <w:tc>
          <w:tcPr>
            <w:tcW w:type="dxa" w:w="1559"/>
          </w:tcPr>
          <w:p>
            <w:r>
              <w:rPr>
                <w:sz w:val="20"/>
              </w:rPr>
              <w:t>Liste I</w:t>
            </w:r>
          </w:p>
        </w:tc>
        <w:tc>
          <w:tcPr>
            <w:tcW w:type="dxa" w:w="1559"/>
          </w:tcPr>
          <w:p>
            <w:r>
              <w:rPr>
                <w:sz w:val="20"/>
              </w:rPr>
              <w:t>Actif</w:t>
            </w:r>
          </w:p>
        </w:tc>
      </w:tr>
    </w:tbl>
    <w:p/>
    <w:p>
      <w:r>
        <w:t>Le sécukinumab est délivré en Algérie via le circuit hospitalier spécialisé (services de dermatologie et de rhumatologie des CHU et établissements hospitaliers publics et privés conventionnés), sur prescription d'un médecin spécialiste. Les deux formes galéniques (seringue préremplie et stylo auto-injecteur prérempli) sont commercialisées en parallèle, offrant au patient et au praticien un choix selon la préférence, la dextérité manuelle et l'aisance avec les dispositifs d'auto-administration. La dose unitaire de 150 mg/mL couvre les schémas standards (300 mg = 2 injections de 150 mg) et les schémas à dose réduite (150 mg pour le sujet &lt; 60 kg en entretien). Aucun biosimilaire n'est à ce jour disponible en Algérie ou à l'international (brevet en vigueur).</w:t>
      </w:r>
    </w:p>
    <w:p>
      <w:r/>
      <w:r>
        <w:rPr>
          <w:b/>
        </w:rPr>
        <w:t>Sous-classe et Mécanisme d'action :</w:t>
      </w:r>
      <w:r/>
    </w:p>
    <w:p>
      <w:pPr>
        <w:pStyle w:val="ListBullet"/>
      </w:pPr>
      <w:r>
        <w:t>Sous-classe : Anticorps monoclonal recombinant humain de classe IgG1/κ, anti-interleukine 17A (anti-IL-17A). Chef de file de la classe des biothérapies anti-IL-17. DCI non inscrite sur la liste OMS des médicaments essentiels (à l'exception de certains contextes de la maladie de Crohn, où elle est contre-indiquée).</w:t>
      </w:r>
    </w:p>
    <w:p>
      <w:pPr>
        <w:pStyle w:val="ListBullet"/>
      </w:pPr>
      <w:r>
        <w:t>Mécanisme d'action : le sécukinumab se lie avec une haute affinité et une grande spécificité à l'interleukine 17A (IL-17A, anciennement CTLA-8), une cytokine homodimérique pro-inflammatoire de la famille des IL-17 (qui comprend également IL-17B, C, D, E et F). L'IL-17A est principalement produite par les lymphocytes Th17 polarisés sous l'effet d'IL-6, TGF-β, IL-1β et IL-23, mais également par les lymphocytes T γδ, les cellules MAIT, les lymphocytes T cytotoxiques Tc17, et les polynucléaires neutrophiles. Le sécukinumab neutralise sélectivement l'IL-17A (sans action sur l'IL-17F, qui partage 50 % d'homologie) en bloquant sa liaison au récepteur cellulaire IL-17RA/IL-17RC exprimé sur les kératinocytes, fibroblastes, cellules endothéliales, synoviales et chondrocytes. L'inhibition de la voie IL-17A supprime : (i) l'hyperprolifération kératinocytaire psoriasique (retour à un turnover épidermique normal de 28 jours vs 3-5 jours sous inflammation) ; (ii) la production de peptides antimicrobiens (cathélicidine LL37, β-défensines) qui nourrissent l'auto-immunité cutanée ; (iii) la production de chimiokines CXCL1, CXCL8, CCL20 responsables du recrutement des polynucléaires neutrophiles (micro-abcès de Munro) et des lymphocytes Th17 themselves (boucle auto-entretenue) ; (iv) la production de cytokines pro-inflammatoires (IL-6, IL-1β, IL-8, GM-CSF) et d'alarmines S100A7, S100A12, S100A15 ; (v) l'inhibition de la différenciation épidermique (restauration de l'expression de filaggrine, loricrine, kératines K1/K10, retour de la couche granuleuse). La conséquence clinique est la disparition rapide (dès S2-S3) des lésions psoriasiques avec restauration d'une peau d'apparence normale. Le sécukinumab n'a pas d'action directe sur la polarisation Th17 elle-même (qui est maintenue par l'IL-23) ; d'où l'absence d'immunosuppression profonde et le profil de tolérance globalement favorable.</w:t>
      </w:r>
    </w:p>
    <w:p>
      <w:pPr>
        <w:pStyle w:val="ListBullet"/>
      </w:pPr>
      <w:r>
        <w:t>Note : le sécukinumab n'inhibe pas l'IL-17F (contrairement au bimekizumab qui cible les deux), ce qui explique une efficacité légèrement inférieure au bimekizumab mais aussi une tolérance comparable. Il n'agit pas non plus sur la voie du TNF-α ou de l'IL-23.</w:t>
      </w:r>
    </w:p>
    <w:p>
      <w:r/>
      <w:r>
        <w:rPr>
          <w:b/>
        </w:rPr>
        <w:t>Profil Pharmacologique :</w:t>
      </w:r>
      <w:r/>
    </w:p>
    <w:p>
      <w:pPr>
        <w:pStyle w:val="ListBullet"/>
      </w:pPr>
      <w:r>
        <w:t>Indications (AMM européenne en vigueur) : (1) Psoriasis en plaques modéré à sévère de l'adulte éligible à une photothérapie ou à un traitement systémique ; (2) Psoriasis en plaques modéré à sévère de l'enfant et de l'adolescent à partir de 6 ans, en cas d'échec, de contre-indication ou d'intolérance aux autres traitements systémiques (ciclosporine, méthotrexate) ; (3) Rhumatisme psoriasique actif de l'adulte (en monothérapie ou en association au méthotrexate) ; (4) Spondyloarthrite ankylosante radiographique sévère active de l'adulte (réponse insuffisante au traitement conventionnel) ; (5) Spondyloarthrite axiale non radiographique sévère active (avec signes objectifs d'inflammation à l'IRM et CRP élevé) ; (6) Maladie de Verneuil (hidrosadénite suppurée) modérée à sévère de l'adulte en cas de réponse insuffisante au traitement conventionnel (AMM étendue 2023, schéma spécifique à dose élevée) ; (7) Psoriasis pustuleux généralisé (PPG) modéré à sévère de l'adulte (schéma spécifique à dose élevée, AMM 2021).</w:t>
      </w:r>
    </w:p>
    <w:p>
      <w:pPr>
        <w:pStyle w:val="ListBullet"/>
      </w:pPr>
      <w:r>
        <w:t>Contre-indications : (1) Hypersensibilité à la substance active ou à l'un des excipients ; (2) Maladies inflammatoires chroniques de l'intestin (maladie de Crohn, rectocolite hémorragique) — CI cliniquement majeure, en raison de l'aggravation paradoxale documentée sous anti-IL-17 ; (3) Infections sévères actives (tuberculose évolutive, sepsis, infections opportunistes) — contre-indication transitoire jusqu'à contrôle. Précautions d'emploi : âge &gt; 65 ans, insuffisance hépatique ou rénale sévère, antécédents d'infections récurrentes, dénutrition, candidose récurrente, cancer récent (évaluation bénéfice/risque au cas par cas), traitement concomitant par immunosuppresseur (ciclosporine, méthotrexate — association non recommandée mais possible sous surveillance), vaccination vivante à contre-indiquer.</w:t>
      </w:r>
    </w:p>
    <w:p>
      <w:pPr>
        <w:pStyle w:val="ListBullet"/>
      </w:pPr>
      <w:r>
        <w:t>Effets Indésirables (très fréquents &gt; 10 %) : infections des voies respiratoires hautes (rhinopharyngite 15-20 %), diarrhée (10 %), rhinite. Fréquents (1-10 %) : candidose buccale ou cutanéo-muqueuse (3-4 %, généralement modérée et traitée par antifongique topique ou systémique simple), herpès labial ou génital (1-2 %), urticaire, rash cutané, prurit, réactions au site d'injection (érythème, douleur, induration — 2-3 %), fatigue, arthralgies, céphalées, hypoesthésie, conjonctivite, éruption eczématiforme (parfois psoriasis eczématiforme paradoxal), neutropénie transitoire. Peu fréquents (0,1-1 %) : angioedème, hypersensibilité, neutropénie modérée, candidose œsophagienne ou vaginale, infections fongiques unguéales, pneumopathie. Rares (&lt; 0,1 %) : réactions anaphylactiques, tuberculose (exceptionnellement rapportée sous anti-IL-17 — risque théorique mais réel), maladie démyélinisante (à type de sclérose en plaques ou de syndrome de Guillain-Barré, très rare — signal de pharmacovigilance discuté). Particularités : la survenue d'un psoriasis palmo-plantaire pustuleux paradoxal est possible (1-2 %), parfois en relation avec une modification de l'équilibre IL-17/IL-23 cutané ; le psoriasis eczématiforme paradoxal (transition d'un phenotype psoriasique vers un phenotype eczématiforme) survient chez 1 à 3 % des patients et se traite habituellement par traitement topique sans interruption de la biothérapie.</w:t>
      </w:r>
    </w:p>
    <w:p>
      <w:r/>
      <w:r>
        <w:rPr>
          <w:b/>
        </w:rPr>
        <w:t>Prévention et Gestion des Effets Indésirables :</w:t>
      </w:r>
      <w:r/>
    </w:p>
    <w:p>
      <w:pPr>
        <w:pStyle w:val="ListBullet"/>
      </w:pPr>
      <w:r>
        <w:t>Mesures Préventives : Bilan pré-thérapeutique obligatoire incluant : (a) dépistage de la tuberculose par IDR à la tuberculine (5 UI de PPD RT23, seuil ≥ 5 mm) ou par IGRA (Quantiferon-TB Gold Plus) — en cas de positivité, traitement d'une tuberculose latente (TBL) par isoniazide 5 mg/kg/j pendant 6 à 9 semaines avant initiation ; (b) sérologies virales B (HBsAg, anti-HBs, anti-HBc), C (anti-VHC) et VIH (TCSAg/anticorps combinés) — en cas d'hépatite B active ou passée (HBsAg+ ou anti-HBc+ sans immunisation), prophylaxie antivirale par entécavir ou ténofovir pendant toute la durée du traitement et 12 mois après arrêt ; (c) bilan hépatique complet (ALAT, ASAT, PAL, γ-GT, bilirubine totale et conjuguée) ; (d) NFS-plaquettes, ionogramme, urée, créatinine, CRP ; (e) bilan lipidique (LDL-c, HDL-c, triglycérides) — non modifié par les anti-IL-17 mais utile comme référence ; (f) statut vaccinal (à jour : tétanos, poliomyélite, diphtérie, coqueluche, pneumocoque, grippe saisonnière, hépatite B, SARS-CoV-2) ; (g) vaccins vivants (ROR, varicelle, fièvre jaune, BCG, rotavirus) à administrer AU MOINS 4 SEMAINES AVANT initiation (puis contre-indiqués pendant le traitement) ; (h) examen dermatologique complet à la recherche d'un cancer cutané (carcinome basocellulaire, spinocellulaire, mélanome) — pas de contre-indication mais surveillance renforcée ; (i) recherche de signes évocateurs de MICI à l'interrogatoire (diarrhée chronique, rectorragies, douleurs abdominales) et, au moindre doute, exploration endoscopique (coloscopie avec biopsies) ; (j) dépistage d'une maladie démyélinisante (interrogatoire sur antécédents personnels ou familiaux de sclérose en plaques, de névrite optique, de Guillain-Barré). Information détaillée du patient sur le traitement, son mode d'administration, les signes d'alerte (fièvre, toux persistante, perte de poids, diarrhée chronique, troubles visuels) et remise d'une carte de patient.</w:t>
      </w:r>
    </w:p>
    <w:p>
      <w:pPr>
        <w:pStyle w:val="ListBullet"/>
      </w:pPr>
      <w:r>
        <w:t>Conduite à Tenir : En cas de candidose buccale ou cutanéo-muqueuse (fréquente, bénigne) : traitement antifongique topique (nystatine suspension buvable 100 000 UI/mL, 4 mL × 4/j pendant 7 jours ; clotrimazole comprimés à sucer 10 mg × 5/j) ou systémique (fluconazole 50-100 mg/j pendant 7-14 jours selon gravité) ; pas d'arrêt du sécukinumab en première intention. En cas d'infection sévère (pneumonie, sepsis, infection opportuniste) : interruption transitoire du sécukinumab jusqu'à contrôle microbiologique et clinique ; reprise après guérison complète sous couverture antibiotique adaptée. En cas de neutropénie &lt; 1,5 G/L : surveillance rapprochée ; &lt; 1,0 G/L ou infection concomitante : interruption transitoire. En cas de réaction au site d'injection : antihistaminiques locaux ou systémiques, rotation des sites d'injection (cuisses, abdomen, bras), pas d'arrêt généralement nécessaire. En cas de psoriasis eczématiforme paradoxal : dermocorticoïdes topiques de classe II-III, émollients, antihistaminiques antiprurigineux (hydroxyzine 25 mg au coucher), pas d'arrêt en première intention (résolution spontanée en 4-8 semaines dans la majorité des cas). En cas de suspicion de MICI apparue sous traitement (diarrhée chronique, rectorragies) : arrêt immédiat du sécukinumab, consultation gastro-entérologique urgente, coloscopie avec biopsies, switch vers une autre classe (anti-IL-23 ou anti-TNF). En cas d'infection herpétique étendue ou récurrente : valaciclovir 500 mg × 2/j pendant 5-7 jours (épisode) ou 500 mg/j en prophylaxie continue si &gt; 6 épisodes/an. En cas de suspicion de tuberculose (toux &gt; 3 semaines, fièvre, sueurs nocturnes, perte de poids) : arrêt immédiat, consultation infectiologique, recherche BK (crachats, GeneXpert), radiographie thoracique.</w:t>
      </w:r>
    </w:p>
    <w:p>
      <w:r/>
      <w:r>
        <w:rPr>
          <w:b/>
        </w:rPr>
        <w:t>Interactions Médicamenteuses :</w:t>
      </w:r>
      <w:r/>
    </w:p>
    <w:p>
      <w:pPr>
        <w:pStyle w:val="ListBullet"/>
      </w:pPr>
      <w:r>
        <w:t>Le sécukinumab est métabolisé par catabolisme protéique non cytochromal (dégradation enzymatique en acides aminés par les protéases lysosomales des cellules présentatrices d'antigène et du système réticulo-endothélial) — aucune interaction avec les inducteurs ou inhibiteurs du CYP450 n'est attendue. Cette particularité pharmacocinétique simplifie la gestion des traitements associés.</w:t>
      </w:r>
    </w:p>
    <w:p>
      <w:pPr>
        <w:pStyle w:val="ListBullet"/>
      </w:pPr>
      <w:r>
        <w:t>Vaccins vivants atténués (ROR, varicelle, fièvre jaune, BCG, rotavirus, vaccin oral poliomyélite, vaccin typhoïdique oral Ty21a, vaccin intranasal grippal atténué) : CONTRE-INDICATION ABSOLUE pendant le traitement et jusqu'à 4-8 semaines après l'arrêt. À administrer AU MOINS 4 semaines AVANT initiation si statut vaccinal incomplet.</w:t>
      </w:r>
    </w:p>
    <w:p>
      <w:pPr>
        <w:pStyle w:val="ListBullet"/>
      </w:pPr>
      <w:r>
        <w:t>Vaccins inactivés (grippe saisonnière injectable, pneumocoque conjugué ou polysaccharidique, hépatite A et B, tétanos, poliomyélite injectable Salk, méningocoque, COVID-19, HPV) : autorisés et recommandés pendant le traitement, réponse immunitaire conservée (légère diminution possible du taux d'anticorps mais cliniquement non significative).</w:t>
      </w:r>
    </w:p>
    <w:p>
      <w:pPr>
        <w:pStyle w:val="ListBullet"/>
      </w:pPr>
      <w:r>
        <w:t>Association avec immunosuppresseurs (méthotrexate ≤ 20 mg/semaine, azathioprine, ciclosporine, mycophénolate) : possible mais surveillance renforcée du fait du risque cumulé d'immunosuppression et de cytopénies. Préférer la monothérapie chaque fois que possible.</w:t>
      </w:r>
    </w:p>
    <w:p>
      <w:pPr>
        <w:pStyle w:val="ListBullet"/>
      </w:pPr>
      <w:r>
        <w:t>Association avec d'autres biothérapies (anti-TNF, anti-IL-23, anti-IL-12/23, anti-IL-17, anti-BAFF, anti-CD20) : CONTRE-INDICATION ABSOLUE (risque majeur d'infection sévère).</w:t>
      </w:r>
    </w:p>
    <w:p>
      <w:pPr>
        <w:pStyle w:val="ListBullet"/>
      </w:pPr>
      <w:r>
        <w:t>Aucune interaction notable avec les anticoagulants oraux (warfarine, AOD), les antiagrégants (aspirine, clopidogrel), les statines, les antihypertenseurs, les antidiabétiques (insuline, metformine, sulfamides, gliptines), les anticonvulsivants, les antidépresseurs.</w:t>
      </w:r>
    </w:p>
    <w:p>
      <w:pPr>
        <w:pStyle w:val="ListBullet"/>
      </w:pPr>
      <w:r>
        <w:t>Précaution théorique : potentialisation de l'effet immunosuppresseur en cas de corticothérapie générale prolongée &gt; 10 mg/j d'équivalent prednisone (surveillance infectieuse renforcée).</w:t>
      </w:r>
    </w:p>
    <w:p>
      <w:r/>
      <w:r>
        <w:rPr>
          <w:b/>
        </w:rPr>
        <w:t>Grossesse et Allaitement (CRAT) :</w:t>
      </w:r>
      <w:r/>
    </w:p>
    <w:p>
      <w:pPr>
        <w:pStyle w:val="ListBullet"/>
      </w:pPr>
      <w:r>
        <w:t>Grossesse : les données animales (études de toxicité sur l'embryogenèse chez le singe cynomolgus) n'ont pas montré d'effet tératogène ni d'embryotoxicité, mais les données humaines sont encore limitées (registre de grossesses sous biothérapies, EXPECT et PIANO). Le CRAT classe le sécukinumab en "à éviter par mesure de prudence" pendant la grossesse, en raison de l'absence de recul suffisant (transplacentaire passif via FcRn à partir du 2e trimestre, ce qui expose théoriquement le fœtus à une immunosuppression néonatale transitoire — BCG et vaccins vivants contre-indiqués chez le nouveau-né pendant les 6 premiers mois). Contraception efficace obligatoire pendant le traitement et jusqu'à 20 semaines après l'arrêt. En cas de projet de grossesse chez une femme en poussée psoriasique sévère : discussion pluridisciplinaire (dermatologue-gynécologue) ; privilégier si possible la ciclosporine (autorise au 1er trimestre, données rassurantes) ou le traitement topique ; à défaut, interruption du sécukinumab avant conception si la maladie le permet. Si grossesse survient sous sécukinumab : ne pas procéder à un avortement thérapeutique de principe mais arrêter le traitement et surveiller échographiquement. L'IL-17A étant impliquée dans l'inflammation du troisième trimestre et l'induction du travail, le blocage pourrait théoriquement modifier la physiologie obstétricale (données insuffisantes).</w:t>
      </w:r>
    </w:p>
    <w:p>
      <w:pPr>
        <w:pStyle w:val="ListBullet"/>
      </w:pPr>
      <w:r>
        <w:t>Allaitement : le sécukinumab est excrété en très faible quantité dans le lait maternel (anticorps IgG passivement excrétés, degradation enzymatique dans le tractus digestif du nouveau-né, absorption négligeable). Le CRAT conclut à un allaitement POSSIBLE en raison de la biodisponibilité orale nulle de l'anticorps monoclonal (dégradation enzymatique gastrique) et du passage systémique minimal chez le nouveau-né. Cependant, en raison du risque infectieux néonatal théorique (immunosuppression transmise via le lait) et du manque de recul, l'allaitement est généralement déconseillé en pratique, à discuter au cas par cas selon le rapport bénéfice/risque (sévérité du psoriasis maternel, alternative thérapeutique disponible).</w:t>
      </w:r>
    </w:p>
    <w:p>
      <w:pPr>
        <w:pStyle w:val="ListBullet"/>
      </w:pPr>
      <w:r>
        <w:t>Fertilité : pas d'effet délétère documenté sur la fertilité féminine ou masculine. Chez l'homme traité, pas de recommandation spécifique de contraception (données rassurantes).</w:t>
      </w:r>
    </w:p>
    <w:p>
      <w:r/>
      <w:r>
        <w:rPr>
          <w:b/>
        </w:rPr>
        <w:t>Posologie et Mode d'administration (Standard) :</w:t>
      </w:r>
      <w:r/>
    </w:p>
    <w:p>
      <w:pPr>
        <w:pStyle w:val="ListBullet"/>
      </w:pPr>
      <w:r>
        <w:t>Adulte — Psoriasis en plaques : dose de charge de 300 mg à S0, S1, S2, S3 et S4 (5 injections sous-cutanées de 300 mg = 2 injections de 150 mg chacune, à des sites d'injection différents, le même jour), puis dose d'entretien de 300 mg toutes les 4 semaines à partir de S4 (soit S8, S12, S16…). Le schéma S0-S1-S2-S3-S4-S8 puis toutes les 4 semaines est le schéma standard validé par les essais ERASURE et FIXTURE. En cas de réponse insuffisante à S16 (PASI &lt; 50), évaluation par le dermatologue : intensification à 300 mg toutes les 2 semaines (environ 15 % des patients nécessitent une intensification) ou switch vers une autre biothérapie (anti-IL-23). Pour les patients de faible poids corporel (&lt; 60 kg) ou en cas de réponse complète précoce, une dose d'entretien de 150 mg toutes les 4 semaines peut être discutée (efficacité moindre mais tolérance optimale, économie de produit).</w:t>
      </w:r>
    </w:p>
    <w:p>
      <w:pPr>
        <w:pStyle w:val="ListBullet"/>
      </w:pPr>
      <w:r>
        <w:t>Adulte — Rhumatisme psoriasique : dose de charge 150 mg à S0, S1, S2, S3, S4, puis 150 mg toutes les 4 semaines. En cas de réponse insuffisante, augmentation à 300 mg toutes les 4 semaines (dose maximale).</w:t>
      </w:r>
    </w:p>
    <w:p>
      <w:pPr>
        <w:pStyle w:val="ListBullet"/>
      </w:pPr>
      <w:r>
        <w:t>Adulte — Spondyloarthrite ankylosante : 150 mg à S0, S1, S2, S3, S4, puis 150 mg toutes les 4 semaines.</w:t>
      </w:r>
    </w:p>
    <w:p>
      <w:pPr>
        <w:pStyle w:val="ListBullet"/>
      </w:pPr>
      <w:r>
        <w:t>Adulte — Maladie de Verneuil : schéma à dose élevée 300 mg à S0, S2, S4 puis toutes les 4 semaines.</w:t>
      </w:r>
    </w:p>
    <w:p>
      <w:pPr>
        <w:pStyle w:val="ListBullet"/>
      </w:pPr>
      <w:r>
        <w:t>Adulte — Psoriasis pustuleux généralisé : schéma à dose élevée 300 mg à S0, S1, S2, S3, S4 puis toutes les 4 semaines (dose de 600 mg possible dans les formes réfractaires, hors AMM).</w:t>
      </w:r>
    </w:p>
    <w:p>
      <w:pPr>
        <w:pStyle w:val="ListBullet"/>
      </w:pPr>
      <w:r>
        <w:t>Enfant (6 à 18 ans, poids &lt; 50 kg) : 75 mg à S0, S1, S2, S3, S4 puis 75 mg toutes les 4 semaines. Enfant ≥ 50 kg : 150 mg à S0, S1, S2, S3, S4 puis 150 mg toutes les 4 semaines. Enfant ≥ 100 kg : 300 mg selon le même schéma.</w:t>
      </w:r>
    </w:p>
    <w:p>
      <w:pPr>
        <w:pStyle w:val="ListBullet"/>
      </w:pPr>
      <w:r>
        <w:t>Insuffisance rénale ou hépatique : pas d'adaptation posologique (élimination non rénale, non hépatique).</w:t>
      </w:r>
    </w:p>
    <w:p>
      <w:pPr>
        <w:pStyle w:val="ListBullet"/>
      </w:pPr>
      <w:r>
        <w:t>Sujet âgé (&gt; 65 ans) : pas d'adaptation systématique, surveillance infectieuse renforcée.</w:t>
      </w:r>
    </w:p>
    <w:p>
      <w:pPr>
        <w:pStyle w:val="ListBullet"/>
      </w:pPr>
      <w:r>
        <w:t>Mode d'administration : voie sous-cutanée stricte, au niveau de la cuisse (face antérieure), de l'abdomen (à distance de l'ombilic) ou du bras (face postérieure). Rotation des sites d'injection. Ne pas injecter dans une zone cutanée lésée (psoriasis, eczéma, infection, hématome). Auto-administration possible après formation par un infirmier d'éducation thérapeutique. Conservation au réfrigérateur (2-8 °C), ne pas congeler. Avant injection : sortie du réfrigérateur 15-30 minutes avant pour atteindre la température ambiante (diminution de la douleur à l'injection). Le stylo auto-injecteur est souvent préféré pour sa facilité d'usage, son déclenchement automatique et son aiguille cachée (diminution de l'anxiété phobique).</w:t>
      </w:r>
    </w:p>
    <w:p>
      <w:r/>
      <w:r>
        <w:rPr>
          <w:b/>
        </w:rPr>
        <w:t>Surveillance Biologique et Suivi Clinique :</w:t>
      </w:r>
      <w:r/>
    </w:p>
    <w:p>
      <w:pPr>
        <w:pStyle w:val="ListBullet"/>
      </w:pPr>
      <w:r>
        <w:t>Bilan pré-thérapeutique : (a) Tuberculinergie (IDR 5 UI PPD RT23 OU Quantiferon-TB Gold Plus IGRA) ; (b) sérologies VHB (HBsAg, anti-HBs, anti-HBc), VHC, VIH ; (c) NFS-plaquettes, formule ; (d) bilan hépatique complet (ALAT, ASAT, PAL, γ-GT, bilirubine) ; (e) bilan rénal (urée, créatinine, DFG MDRD ou CKD-EPI) ; (f) ionogramme, CRP ; (g) bilan lipidique (LDL-c, HDL-c, TG) ; (h) électrophorèse des protéines sériques et dosage des IgG/IgA/IgM (référence) ; (i) examen dermatologique complet (PASI, DLQI) ; (j) interrogatoire MICI et maladie démyélinisante ; (k) statut vaccinal.</w:t>
      </w:r>
    </w:p>
    <w:p>
      <w:pPr>
        <w:pStyle w:val="ListBullet"/>
      </w:pPr>
      <w:r>
        <w:t>Suivi thérapeutique : consultation dermatologique à S4 (évaluation PASI 50, tolérance), S12 (PASI 75, évaluation de la réponse), S16 (décision de poursuivre ou d'intensifier), puis tous les 3 mois pendant la première année, puis tous les 6 mois si réponse stable. PASI 90 à S16 = objectif à atteindre. DLQI (Dermatology Life Quality Index) à l'initiation, S16, puis annuel.</w:t>
      </w:r>
    </w:p>
    <w:p>
      <w:pPr>
        <w:pStyle w:val="ListBullet"/>
      </w:pPr>
      <w:r>
        <w:t>Surveillance biologique : NFS-plaquettes tous les 3 mois pendant la première année puis tous les 6 mois (recherche de neutropénie). Bilan hépatique tous les 3 mois la première année (surveillance ALAT, ASAT, γ-GT, PAL, bilirubine). Pas de surveillance systématique des anticorps anti-médicament (ADA) en première intention — dosage réservé aux perte d'efficacité secondaire inexpliquée.</w:t>
      </w:r>
    </w:p>
    <w:p>
      <w:pPr>
        <w:pStyle w:val="ListBullet"/>
      </w:pPr>
      <w:r>
        <w:t>Surveillance infectieuse : éducation du patient aux signes d'alerte (fièvre, toux persistante &gt; 3 semaines, sueurs nocturnes, perte de poids, diarrhée chronique, rectorragies, troubles visuels). Interdiction des vaccins vivants. En cas d'intervention chirurgicale programmée : interruption transitoire du sécukinumab 4 à 8 semaines avant (demi-vie d'élimination de 27 jours, retour à une immunité quasi normale en 5 demi-vies ≈ 12 semaines) ; reprise après cicatrisation complète.</w:t>
      </w:r>
    </w:p>
    <w:p>
      <w:pPr>
        <w:pStyle w:val="ListBullet"/>
      </w:pPr>
      <w:r>
        <w:t>Suivi dermatologique : examen complet tous les 6 mois (surveillance cancer cutané), photographies avant/après (documentation PASI). Chez le patient ayant des antécédents de cancer cutané (carcinome spinocellulaire, mélanome) : surveillance rapprochée trimestrielle.</w:t>
      </w:r>
    </w:p>
    <w:p>
      <w:r/>
      <w:r>
        <w:rPr>
          <w:b/>
        </w:rPr>
        <w:t>Arbitrage et Bénéfices des Formes Galéniques :</w:t>
      </w:r>
      <w:r/>
    </w:p>
    <w:p>
      <w:r>
        <w:t>La seringue préremplie (150 mg/mL, B/02) et le stylo auto-injecteur prérempli (150 mg/mL, B/02) du sécukinumab sont strictement équivalents en termes d'efficacité et de tolérance ; la dose délivrée, la concentration (150 mg/mL) et le volume injecté (1 mL) sont identiques. Le choix entre les deux dispositifs dépend essentiellement des préférences du patient et de sa dextérité manuelle. La seringue préremplie permet un contrôle visuel du volume injecté et de l'aiguille, ce qui est parfois préféré par les patients ayant une expérience préalable d'auto-injections (insuline, HBPM) ; elle nécessite une dextérité fine et une tolérance à la vue de l'aiguille. Le stylo auto-injecteur offre une injection en une seule pression, sans visibilité de l'aiguille (cachée), avec déclenchement automatique de la dose complète en 3-5 secondes et clic sonore de fin d'injection ; il est particulièrement adapté aux patients phobiques de l'aiguille, aux patients âgés avec dextérité réduite (arthrose digitale, tremblement), et à l'auto-administration en toute autonomie. La formation initiale par un infirmier d'éducation thérapeutique est obligatoire pour les deux dispositifs. En pratique algérienne, le stylo est souvent préféré en première intention pour les patients débutants. La dose unitaire de 150 mg/mL couvre tous les schémas posologiques : 150 mg = 1 injection, 300 mg = 2 injections (à des sites différents le même jour, schéma classique adulte), 600 mg = 4 injections (schéma Verneuil ou PPG réfractaire).</w:t>
      </w:r>
    </w:p>
    <w:p>
      <w:r/>
      <w:r>
        <w:rPr>
          <w:b/>
        </w:rPr>
        <w:t>Instructions et Conseils au Patient :</w:t>
      </w:r>
      <w:r/>
    </w:p>
    <w:p>
      <w:pPr>
        <w:pStyle w:val="ListBullet"/>
      </w:pPr>
      <w:r>
        <w:t>Communication au comptoir : « Le sécukinumab (Cosentyx®) est un médicament biomoléculaire qui cible de manière très précise une protéine responsable de l'inflammation du psoriasis (l'interleukine 17A). Il s'administre en injection sous-cutanée (sous la peau) à l'aide d'un stylo ou d'une seringue préremplie, à domicile après formation. Le schéma initial est de 5 injections la première semaine (à S0, S1, S2, S3, S4), puis une injection toutes les 4 semaines en entretien. Les premiers signes d'efficacité apparaissent dès la 2e ou 3e semaine (diminution de l'inflammation), et l'efficacité maximale est atteinte à 4 mois (peau claire chez 6 à 7 patients sur 10). Les effets indésirables les plus fréquents sont des infections ORL bénignes (rhume), des candidoses buccales (muguet, traité facilement par bain de bouche antifongique) et des réactions au site d'injection (rougeur, démangeaison). Prévenez immédiatement votre médecin en cas de fièvre, de toux persistante, de diarrhée chronique, de sueurs nocturnes ou de troubles visuels. Les vaccins vivants (ROR, fièvre jaune, BCG, varicelle) sont strictement interdits pendant le traitement. Les vaccins inactivés (grippe, COVID, pneumocoque, hépatite B) sont recommandés. Le médicament se conserve au réfrigérateur (2-8 °C), ne pas congeler. Sortir le stylo 15 à 30 minutes avant l'injection pour atteindre la température ambiante (diminution de la douleur). »</w:t>
      </w:r>
    </w:p>
    <w:p>
      <w:pPr>
        <w:pStyle w:val="ListBullet"/>
      </w:pPr>
      <w:r>
        <w:t>Observance : calendrier d'administration à jour (carnet de suivi), application sur smartphone possible, alertes de rappel d'injection, ne jamais interrompre le traitement sans avis médical (risque de rechute rapide en 8 à 12 semaines), prévoir une réserve de stylos pour les déplacements et voyages (sac isotherme avec accumulateur de froid pour le transport).</w:t>
      </w:r>
    </w:p>
    <w:p>
      <w:pPr>
        <w:pStyle w:val="ListBullet"/>
      </w:pPr>
      <w:r>
        <w:t>Hygiène de vie : éviter le contact avec des personnes malades (varicelle, zona, tuberculose), lavage des mains régulier, consultation rapide en cas de signe infectieux, pas de régime alimentaire spécifique.</w:t>
      </w:r>
    </w:p>
    <w:p>
      <w:pPr>
        <w:pStyle w:val="ListBullet"/>
      </w:pPr>
      <w:r>
        <w:t>Femmes en âge de procréer : contraception efficace obligatoire pendant le traitement et 20 semaines après l'arrêt ; planification de grossesse avec le dermatologue (interruption du traitement avant conception).</w:t>
      </w:r>
    </w:p>
    <w:p>
      <w:pPr>
        <w:pStyle w:val="ListBullet"/>
      </w:pPr>
      <w:r>
        <w:t>Suivi : consultation dermatologique à S4, S12, S16, puis tous les 3 mois la première année, tous les 6 mois ensuite.</w:t>
      </w:r>
    </w:p>
    <w:p>
      <w:r/>
      <w:r>
        <w:rPr>
          <w:b/>
        </w:rPr>
        <w:t>Notes, Règles d'Or &amp; Pièges au Comptoir :</w:t>
      </w:r>
      <w:r/>
    </w:p>
    <w:p>
      <w:pPr>
        <w:pStyle w:val="ListBullet"/>
      </w:pPr>
      <w:r>
        <w:t>Piège : ne pas oublier le dépistage de la tuberculose pré-thérapeutique (IDR ou IGRA) — même si le risque tuberculeux sous anti-IL-17 est nettement inférieur à celui des anti-TNF, des cas ont été rapportés et la contre-indication d'une tuberculose active est absolue.</w:t>
      </w:r>
    </w:p>
    <w:p>
      <w:pPr>
        <w:pStyle w:val="ListBullet"/>
      </w:pPr>
      <w:r>
        <w:t>Piège : rechercher systématiquement à l'interrogatoire des antécédents personnels ou familiaux de maladie inflammatoire chronique de l'intestin (maladie de Crohn, rectocolite hémorragique) — contre-indication absolue, avec risque d'aggravation paradoxale sévère documentée dans les essais cliniques.</w:t>
      </w:r>
    </w:p>
    <w:p>
      <w:pPr>
        <w:pStyle w:val="ListBullet"/>
      </w:pPr>
      <w:r>
        <w:t>Piège : ne jamais autoriser un vaccin vivant (BCG, ROR, varicelle, fièvre jaune, rotavirus, vaccin intranasal grippe atténué) pendant le traitement — contre-indication absolue, à administrer au moins 4 semaines AVANT initiation si nécessaire.</w:t>
      </w:r>
    </w:p>
    <w:p>
      <w:pPr>
        <w:pStyle w:val="ListBullet"/>
      </w:pPr>
      <w:r>
        <w:t>Règle : le schéma d'induction (5 injections hebdomadaires consécutives à S0, S1, S2, S3, S4) est OBLIGATOIRE — son non-respect (par exemple espacement à S0, S2, S4) expose à une réponse suboptimale et à un échec thérapeutique.</w:t>
      </w:r>
    </w:p>
    <w:p>
      <w:pPr>
        <w:pStyle w:val="ListBullet"/>
      </w:pPr>
      <w:r>
        <w:t>Règle : évaluer la réponse à S16 (PASI 90 = succès ; PASI 75-89 = succès partiel, à discuter ; PASI &lt; 50 = échec primaire, switch à envisager vers anti-IL-23).</w:t>
      </w:r>
    </w:p>
    <w:p>
      <w:pPr>
        <w:pStyle w:val="ListBullet"/>
      </w:pPr>
      <w:r>
        <w:t>Piège : la survenue d'un psoriasis eczématiforme paradoxal n'est PAS un échec du traitement — ne pas interrompre le sécukinumab ; traiter par dermocorticoïdes topiques et émollients, résolution spontanée habituelle en 4-8 semaines.</w:t>
      </w:r>
    </w:p>
    <w:p>
      <w:pPr>
        <w:pStyle w:val="ListBullet"/>
      </w:pPr>
      <w:r>
        <w:t>Règle : pas d'arrêt systématique en cas d'intervention chirurgicale programmée mineure (chirurgie cutanée, dentisterie conservatrice) ; en revanche, interruption 4 à 8 semaines avant chirurgie majeure (chirurgie digestive, orthopédique majeure, transplantation) selon avis chirurgical et infectiologique.</w:t>
      </w:r>
    </w:p>
    <w:p>
      <w:pPr>
        <w:pStyle w:val="ListBullet"/>
      </w:pPr>
      <w:r>
        <w:t>Piège : oubli d'une injection d'entretien (toutes les 4 semaines) — injecter dès que possible, ne pas doubler, reprendre le schéma à 4 semaines à partir de la dernière injection.</w:t>
      </w:r>
    </w:p>
    <w:p>
      <w:pPr>
        <w:pStyle w:val="ListBullet"/>
      </w:pPr>
      <w:r>
        <w:t>Règle : conservation au réfrigérateur (2-8 °C), ne pas congeler, ne pas secouer, vérifier l'absence de particules et la limpidité de la solution avant injection (ne pas injecter si trouble ou colorée).</w:t>
      </w:r>
    </w:p>
    <w:p>
      <w:pPr>
        <w:pStyle w:val="ListBullet"/>
      </w:pPr>
      <w:r>
        <w:t>Piège : ne pas confondre le schéma standard adulte (300 mg = 2 seringues de 150 mg) avec le schéma enfant ou sujet de faible poids (150 mg = 1 seringue) — erreur d'administration possible si prescription ambiguë ; toujours vérifier la dose prescrite et le poids du patient avant dispensation.</w:t>
      </w:r>
    </w:p>
    <w:p>
      <w:pPr>
        <w:pStyle w:val="Heading2"/>
      </w:pPr>
      <w:r>
        <w:t>126.2 Sous-classe : Biothérapies du psoriasis — Anti-IL-23 (Guselkumab, Risankizumab)</w:t>
      </w:r>
    </w:p>
    <w:p>
      <w:r>
        <w:t xml:space="preserve">Les anticorps monoclonaux anti-IL-23 représentent la deuxième génération de biothérapies ciblant la cascade Th17, après les anti-IL-17 et la première génération anti-p40 (ustékimumab). L'interleukine 23 est une cytokine hétérodimérique composée de deux sous-unités : p40 (partagée avec l'IL-12) et p19 (spécifique de l'IL-23). Elle est produite par les cellules dendritiques myéloïdes et les macrophages activés, en réponse à des signaux microbiens (PAMPs) et inflammatoires (DAMPs). L'IL-23 se lie à son récepteur (IL-23R/IL-12Rβ1) exprimé à la surface des lymphocytes T mémoire et des cellules innées productrices d'IL-17 (Th17, Tc17, γδ T cells, MAIT, ILC3) ; elle joue un rôle critique dans la stabilisation, la survie et l'expansion du sous-groupe Th17, et dans la production soutenue d'IL-17A, IL-17F, IL-22 et GM-CSF. À la différence de l'IL-12 (qui polarise les Th1 via T-bet et IFN-γ), l'IL-23 polarise préférentiellement les Th17 via RORγt et favorise l'inflammation psoriasique, rhumatismale (rhumatisme psoriasique, spondyloarthrite) et intestinale (maladie de Crohn). Le blocage de l'IL-23 (et non de l'IL-12) permet donc de cibler spécifiquement la voie Th17 sans affecter l'immunité Th1 antivirale et antitumorale, ce qui se traduit par un profil de tolérance supérieur aux anti-p40 (ustékiniumab) et aux anti-TNF. Les deux anticorps monoclonaux anti-p19 disponibles en Algérie sont le </w:t>
      </w:r>
      <w:r>
        <w:rPr>
          <w:b/>
        </w:rPr>
        <w:t>guselkumab</w:t>
      </w:r>
      <w:r>
        <w:t xml:space="preserve"> (Tremfya®, Janssen) et le </w:t>
      </w:r>
      <w:r>
        <w:rPr>
          <w:b/>
        </w:rPr>
        <w:t>risankizumab</w:t>
      </w:r>
      <w:r>
        <w:t xml:space="preserve"> (Skyrizi®, AbbVie). Tous deux ont démontré une efficacité remarquable dans le psoriasis en plaques modéré à sévère : PASI 90 chez 80 à 90 % des patients à S16-S44 (risankizumab) et 75 à 85 % (guselkumab), PASI 100 chez 50 à 60 % à un an — supériorité documentée vs ustékimumab (UltIMMa-1, VOYAGE-1) et vs anti-TNF (IMMhance, IMMvent). La tolérance est excellente, dominée par les infections respiratoires hautes (5 à 15 %) et les réactions au site d'injection (3 à 5 %) ; le risque infectieux grave, le risque tuberculeux et le risque de cancer sont très faibles, comparables au placebo. L'IMMvent, essai de bascule adalimumab → risankizumab, a démontré la supériorité du switch pour les patients non-répondeurs ou répondeurs partiels à l'adalimumab. Une particularité de la classe anti-IL-23 est la possibilité d'espacer les injections en entretien (jusqu'à une injection toutes les 12 semaines pour le risankizumab, toutes les 8 semaines pour le guselkumab) — amélioration majeure de la qualité de vie et de l'observance. Le dépistage tuberculeux pré-thérapeutique est systématique (même si le risque est moindre qu'avec les anti-TNF), les vaccins vivants sont contre-indiqués, et les MICI ne sont pas une contre-indication (à la différence des anti-IL-17) — un avantage important en pratique clinique.</w:t>
      </w:r>
    </w:p>
    <w:p>
      <w:pPr>
        <w:pStyle w:val="Heading3"/>
      </w:pPr>
      <w:r>
        <w:t>126.2.1 DCI : Guselkumab</w:t>
      </w:r>
    </w:p>
    <w:p>
      <w:r/>
      <w:r>
        <w:rPr>
          <w:b/>
        </w:rPr>
        <w:t>Liste des Catégories :</w:t>
      </w:r>
      <w:r>
        <w:t xml:space="preserve"> Dermatologie ; Antipsoriasique systémique ; Anticorps monoclonal recombinant humain IgG1λ ; Anti-interleukine 23 (sous-unité p19) ; Immunomodulateur ; Prescription hospitalière spécialisée (dermatologie, rhumatologie) ; Liste I.</w:t>
      </w:r>
    </w:p>
    <w:p>
      <w:r>
        <w:t>Le guselkumab, commercialisé sous le nom de Tremfya® par Janssen-Cilag International (groupe Johnson &amp; Johnson), est le premier anticorps monoclonal anti-IL-23 p19 ayant obtenu une AMM européenne (septembre 2017) pour le psoriasis en plaques modéré à sévère de l'adulte. Issu du programme de développement clinique VOYAGE (essais VOYAGE-1 et VOYAGE-2 de phase III), il a établi la supériorité de la voie anti-IL-23 p19 sur l'ustékimumab (anti-p40, qui bloque aussi l'IL-12) en termes d'efficacité à long terme et de tolérance. Le guselkumab a ensuite obtenu une extension d'AMM pour le rhumatisme psoriasique actif (2019) et pour l'arthrite juvénile idiopathique psoriasique et enthésitique de l'enfant à partir de 12 ans (2020). En Algérie, il est commercialisé en stylo prérempli de 100 mg, à raison d'une injection aux semaines S0, S4, puis toutes les 8 semaines en entretien (schéma d'espacement maximal). Sa tolérance est globalement favorable, avec un profil infectieux principalement dominé par les infections respiratoires hautes bénignes et un risque infectieux grave très faible. Le dépistage tuberculeux pré-thérapeutique reste obligatoire, de même que la vérification du statut vaccinal et la recherche d'une hépatite B latente.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TREMFYA</w:t>
            </w:r>
          </w:p>
        </w:tc>
        <w:tc>
          <w:tcPr>
            <w:tcW w:type="dxa" w:w="1559"/>
          </w:tcPr>
          <w:p>
            <w:r>
              <w:rPr>
                <w:sz w:val="20"/>
              </w:rPr>
              <w:t>JANSSEN CILAG INTERNATIONAL N.V.</w:t>
            </w:r>
          </w:p>
        </w:tc>
        <w:tc>
          <w:tcPr>
            <w:tcW w:type="dxa" w:w="1559"/>
          </w:tcPr>
          <w:p>
            <w:r>
              <w:rPr>
                <w:sz w:val="20"/>
              </w:rPr>
              <w:t>Solution injectable en stylo prérempli</w:t>
            </w:r>
          </w:p>
        </w:tc>
        <w:tc>
          <w:tcPr>
            <w:tcW w:type="dxa" w:w="1559"/>
          </w:tcPr>
          <w:p>
            <w:r>
              <w:rPr>
                <w:sz w:val="20"/>
              </w:rPr>
              <w:t>100 mg</w:t>
            </w:r>
          </w:p>
        </w:tc>
        <w:tc>
          <w:tcPr>
            <w:tcW w:type="dxa" w:w="1559"/>
          </w:tcPr>
          <w:p>
            <w:r>
              <w:rPr>
                <w:sz w:val="20"/>
              </w:rPr>
              <w:t>B/01</w:t>
            </w:r>
          </w:p>
        </w:tc>
        <w:tc>
          <w:tcPr>
            <w:tcW w:type="dxa" w:w="1559"/>
          </w:tcPr>
          <w:p>
            <w:r>
              <w:rPr>
                <w:sz w:val="20"/>
              </w:rPr>
              <w:t>Liste I</w:t>
            </w:r>
          </w:p>
        </w:tc>
      </w:tr>
    </w:tbl>
    <w:p/>
    <w:p>
      <w:r/>
      <w:r>
        <w:rPr>
          <w:i/>
        </w:rPr>
        <w:t>(Note : dans la nomenclature algérienne, l'unique conditionnement disponible est le stylo prérempli de 100 mg. La seringue préremplie de 100 mg commercialisée en Europe n'est pas référencée dans la nomenclature algérienne active. Le guselkumab est délivré exclusivement via le circuit hospitalier spécialisé en dermatologie.)</w:t>
      </w:r>
      <w:r/>
    </w:p>
    <w:p>
      <w:r/>
      <w:r>
        <w:rPr>
          <w:b/>
        </w:rPr>
        <w:t>Sous-classe et Mécanisme d'action :</w:t>
      </w:r>
      <w:r/>
    </w:p>
    <w:p>
      <w:pPr>
        <w:pStyle w:val="ListBullet"/>
      </w:pPr>
      <w:r>
        <w:t>Sous-classe : Anticorps monoclonal recombinant humain de classe IgG1λ, anti-interleukine 23 (sous-unité p19 spécifique de l'IL-23, sans action sur l'IL-12). Deuxième génération d'anti-IL-23/12 après l'ustékimumab (anti-p40). Chef de file de la classe des anti-IL-23 p19 (avec le risankizumab et le tildrakizumab, ce dernier non commercialisé en Algérie).</w:t>
      </w:r>
    </w:p>
    <w:p>
      <w:pPr>
        <w:pStyle w:val="ListBullet"/>
      </w:pPr>
      <w:r>
        <w:t>Mécanisme d'action : le guselkumab se lie avec une très haute affinité à la sous-unité p19 de l'IL-23 (KD ~ 3-6 pM, plus affinant que le risankizumab), sans action sur la sous-unité p40 partagée avec l'IL-12. L'IL-23 est une cytokine hétérodimérique (p19 + p40) produite par les cellules dendritiques myéloïdes et les macrophages activés ; elle se lie au récepteur hétérodimérique IL-23R/IL-12Rβ1 exprimé sur les lymphocytes T mémoire, les Th17, les cellules T γδ, les MAIT et les ILC3 (innate lymphoid cells type 3). L'IL-23 stabilise le phénotype Th17 (via la transcription RORγt), favorise leur survie et leur expansion, et stimule la production soutenue d'IL-17A, IL-17F, IL-22 et GM-CSF — médiateurs directs de l'inflammation cutanée psoriasique et de l'hyperprolifération kératinocytaire. En bloquant spécifiquement l'IL-23 (et non l'IL-12), le guselkumab : (i) supprime la polarisation et la maintenance des Th17 pathogènes sans affecter la voie Th1 antivirale/antitumorale médiée par l'IL-12 ; (ii) inhibe la production d'IL-17, IL-22 et GM-CSF, restaurateur de la différenciation épidermique normale ; (iii) restaure la barrière cutanée (réexpression de filaggrine, loricrine, claudine-1) ; (iv) réduit l'infiltrat inflammatoire dermique (lymphocytes Th17, polynucléaires neutrophiles, cellules dendritiques myéloïdes). L'effet thérapeutique est plus progressif qu'avec les anti-IL-17 (réponse PASI 75 à S8, PASI 90 à S16-S20), mais avec un plateau d'efficacité supérieur à long terme (PASI 90 chez ~80 % à 1 an et 5 ans, maintien d'efficacité documenté jusqu'à 5 ans dans l'étude VOYAGE-1 extension). La spécificité anti-p19 (sans action anti-IL-12) explique la tolérance globalement supérieure à celle de l'ustékimumab, notamment sur le plan infectieux et vaccinal.</w:t>
      </w:r>
    </w:p>
    <w:p>
      <w:pPr>
        <w:pStyle w:val="ListBullet"/>
      </w:pPr>
      <w:r>
        <w:t>Particularité : le guselkumab a également une activité inhibitrice sur l'IL-23 membraire (réservoir cellulaire) en plus de l'IL-23 soluble, ce qui pourrait contribuer à sa durée d'action prolongée (espacement possible à 8 semaines en entretien, voire 12 semaines hors AMM).</w:t>
      </w:r>
    </w:p>
    <w:p>
      <w:r/>
      <w:r>
        <w:rPr>
          <w:b/>
        </w:rPr>
        <w:t>Profil Pharmacologique :</w:t>
      </w:r>
      <w:r/>
    </w:p>
    <w:p>
      <w:pPr>
        <w:pStyle w:val="ListBullet"/>
      </w:pPr>
      <w:r>
        <w:t>Indications (AMM européenne en vigueur) : (1) Psoriasis en plaques modéré à sévère de l'adulte éligible à un traitement systémique (photothérapie ou thérapie systémique) ; (2) Rhumatisme psoriasique actif de l'adulte (en monothérapie ou en association au méthotrexate) ; (3) Arthrite juvénile idiopathique psoriasique et enthésite de l'enfant à partir de 12 ans (réponse insuffisante aux AINS ou au méthotrexate).</w:t>
      </w:r>
    </w:p>
    <w:p>
      <w:pPr>
        <w:pStyle w:val="ListBullet"/>
      </w:pPr>
      <w:r>
        <w:t>Contre-indications : (1) Hypersensibilité à la substance active ou à l'un des excipients ; (2) Infections sévères actives (tuberculose évolutive, sepsis, infections opportunistes) — contre-indication transitoire jusqu'à contrôle. Précautions d'emploi : âge &gt; 65 ans, insuffisance hépatique ou rénale sévère, antécédents d'infections récurrentes, traitement immunosuppresseur concomitant (surveillance), vaccination vivante à contre-indiquer pendant le traitement. À la différence des anti-IL-17, le guselkumab n'est PAS contre-indiqué dans les MICI (maladie de Crohn, rectocolite hémorragique) — bien que l'efficacité dans ces indications ne soit pas documentée en AMM, l'IL-23 ayant un rôle plus complexe dans l'inflammation intestinale que l'IL-17 (les essais anti-IL-23 dans la maladie de Crohn montrent des résultats encourageants en cours d'évaluation).</w:t>
      </w:r>
    </w:p>
    <w:p>
      <w:pPr>
        <w:pStyle w:val="ListBullet"/>
      </w:pPr>
      <w:r>
        <w:t>Effets Indésirables (très fréquents &gt; 10 %) : infections des voies respiratoires hautes (rhinopharyngite 10-15 %). Fréquents (1-10 %) : réactions au site d'injection (érythème, douleur, induration, prurit — 5-8 %), céphalées, arthralgies, diarrhée, gastro-entérite, herpès labial, prurit, rash cutané, urticaire, fatigue, élévation transitoire des transaminases (ALAT, ASAT — habituellement asymptomatique et spontanément résolutive), conjonctivite, candidose buccale ou vaginale (moins fréquente qu'avec les anti-IL-17). Peu fréquents (0,1-1 %) : neutropénie transitoire, infections fongiques unguéales, hypersensibilité, angioedème. Rares (&lt; 0,1 %) : réactions anaphylactiques, tuberculose réactivée (exceptionnelle, signal de pharmacovigilance). Particularités : profil infectieux globalement plus favorable que les anti-TNF ou les anti-IL-17 ; risque de cancer non augmenté par rapport à la population générale (recul de 7 ans dans les essais cliniques). Pas de signal démyélinisant documenté.</w:t>
      </w:r>
    </w:p>
    <w:p>
      <w:r/>
      <w:r>
        <w:rPr>
          <w:b/>
        </w:rPr>
        <w:t>Prévention et Gestion des Effets Indésirables :</w:t>
      </w:r>
      <w:r/>
    </w:p>
    <w:p>
      <w:pPr>
        <w:pStyle w:val="ListBullet"/>
      </w:pPr>
      <w:r>
        <w:t>Mesures Préventives : Bilan pré-thérapeutique obligatoire similaire à celui des anti-IL-17 : (a) dépistage de la tuberculose par IDR à la tuberculine (5 UI PPD) ou IGRA (Quantiferon-TB Gold Plus) — en cas de positivité, traitement d'une tuberculose latente par isoniazide 5 mg/kg/j pendant 6 à 9 semaines avant initiation ; (b) sérologies VHB (HBsAg, anti-HBs, anti-HBc), VHC, VIH ; (c) bilan hépatique (ALAT, ASAT, PAL, γ-GT, bilirubine) ; (d) NFS-plaquettes, ionogramme, urée, créatinine, CRP ; (e) examen dermatologique complet (PASI, DLQI) ; (f) statut vaccinal à jour ; (g) vaccins vivants à administrer au moins 4 semaines AVANT initiation, contre-indiqués pendant le traitement ; (h) interrogationatoire MICI (non contre-indiqué mais à évaluer), maladie démyélinisante, cancer récent. Information détaillée du patient, remise de carte de patient, éducation à l'auto-administration.</w:t>
      </w:r>
    </w:p>
    <w:p>
      <w:pPr>
        <w:pStyle w:val="ListBullet"/>
      </w:pPr>
      <w:r>
        <w:t>Conduite à Tenir : En cas de candidose buccale : antifongique topique (nystatine suspension 4 mL × 4/j, clotrimazole comprimé à sucer 10 mg × 5/j) ou systémique (fluconazole 50 mg/j × 7 jours) ; pas d'arrêt du guselkumab. En cas d'infection sévère : interruption transitoire jusqu'à contrôle, reprise après guérison. En cas de réaction au site d'injection : antihistaminiques locaux ou systémiques, rotation des sites, pas d'arrêt. En cas de cytolyse hépatique (ALAT/ASAT &gt; 3× LSN) : surveillance rapprochée, recherche d'autres causes (viral, médicamenteux, alcool), pas d'arrêt en première intention ; si cytolyse &gt; 5× LSN ou cholestase : interruption transitoire. En cas de neutropénie &lt; 1,5 G/L : surveillance ; &lt; 1,0 G/L ou infection : interruption transitoire. En cas de suspicion de tuberculose : arrêt immédiat, consultation infectiologique, recherche BK. En cas de chirurgie programmée majeure : interruption 4 à 8 semaines avant (demi-vie d'élimination de 15-18 jours).</w:t>
      </w:r>
    </w:p>
    <w:p>
      <w:r/>
      <w:r>
        <w:rPr>
          <w:b/>
        </w:rPr>
        <w:t>Interactions Médicamenteuses :</w:t>
      </w:r>
      <w:r/>
    </w:p>
    <w:p>
      <w:pPr>
        <w:pStyle w:val="ListBullet"/>
      </w:pPr>
      <w:r>
        <w:t>Le guselkumab est métabolisé par catabolisme protéique non cytochromal (dégradation enzymatique par protéases lysosomales, pas d'implication du CYP450). Aucune interaction avec les inducteurs ou inhibiteurs enzymatiques n'est attendue.</w:t>
      </w:r>
    </w:p>
    <w:p>
      <w:pPr>
        <w:pStyle w:val="ListBullet"/>
      </w:pPr>
      <w:r>
        <w:t>Vaccins vivants atténués (ROR, varicelle, fièvre jaune, BCG, rotavirus, vaccin oral poliomyélite, vaccin intranasal grippal atténué, vaccin typhoïdique oral Ty21a) : CONTRE-INDICATION ABSOLUE pendant le traitement et jusqu'à 4-8 semaines après l'arrêt. À administrer au moins 4 semaines avant initiation.</w:t>
      </w:r>
    </w:p>
    <w:p>
      <w:pPr>
        <w:pStyle w:val="ListBullet"/>
      </w:pPr>
      <w:r>
        <w:t>Vaccins inactivés (grippe saisonnière, pneumocoque, hépatite A et B, tétanos, poliomyélite injectable, méningocoque, COVID-19, HPV) : autorisés et recommandés ; réponse immunitaire conservée.</w:t>
      </w:r>
    </w:p>
    <w:p>
      <w:pPr>
        <w:pStyle w:val="ListBullet"/>
      </w:pPr>
      <w:r>
        <w:t>Association avec immunosuppresseurs (méthotrexate ≤ 20 mg/semaine, azathioprine, ciclosporine) : possible (surtout dans le rhumatisme psoriasique où l'association au méthotrexate est fréquente) avec surveillance renforcée.</w:t>
      </w:r>
    </w:p>
    <w:p>
      <w:pPr>
        <w:pStyle w:val="ListBullet"/>
      </w:pPr>
      <w:r>
        <w:t>Association avec d'autres biothérapies : CONTRE-INDICATION ABSOLUE.</w:t>
      </w:r>
    </w:p>
    <w:p>
      <w:pPr>
        <w:pStyle w:val="ListBullet"/>
      </w:pPr>
      <w:r>
        <w:t>Aucune interaction notable avec les anticoagulants, antiagrégants, statines, antihypertenseurs, antidiabétiques, anticonvulsivants, antidépresseurs.</w:t>
      </w:r>
    </w:p>
    <w:p>
      <w:r/>
      <w:r>
        <w:rPr>
          <w:b/>
        </w:rPr>
        <w:t>Grossesse et Allaitement (CRAT) :</w:t>
      </w:r>
      <w:r/>
    </w:p>
    <w:p>
      <w:pPr>
        <w:pStyle w:val="ListBullet"/>
      </w:pPr>
      <w:r>
        <w:t>Grossesse : les données animales (singe cynomolgus) n'ont pas montré d'effet tératogène ni d'embryotoxicité, mais les données humaines sont limitées (registre de grossesses sous biothérapies). Le CRAT classe le guselkumab en "à éviter par mesure de prudence" pendant la grossesse, en raison du passage transplacentaire passif des IgG1 via le FcRn à partir du 2e trimestre (immunosuppression néonatale théorique transitoire — BCG et vaccins vivants contre-indiqués chez le nouveau-né pendant 6 mois). Contraception efficace pendant le traitement et 12 semaines après l'arrêt (10 à 12 semaines = 5 demi-vies). En cas de projet de grossesse : discussion pluridisciplinaire ; privilégier si possible la ciclosporine ou le traitement topique ; interruption avant conception si la maladie le permet. En cas de grossesse survenue sous traitement : ne pas procéder à un avortement thérapeutique de principe, arrêter le guselkumab, surveillance échographique.</w:t>
      </w:r>
    </w:p>
    <w:p>
      <w:pPr>
        <w:pStyle w:val="ListBullet"/>
      </w:pPr>
      <w:r>
        <w:t>Allaitement : le guselkumab est excrété en très faible quantité dans le lait maternel (IgG passivement excrétés, dégradation dans le tractus digestif du nouveau-né, absorption négligeable). Le CRAT conclut à un allaitement POSSIBLE en raison de la biodisponibilité orale nulle de l'anticorps monoclonal. Cependant, en pratique, l'allaitement est généralement déconseillé en raison du risque infectieux néonatal théorique et du manque de recul.</w:t>
      </w:r>
    </w:p>
    <w:p>
      <w:pPr>
        <w:pStyle w:val="ListBullet"/>
      </w:pPr>
      <w:r>
        <w:t>Fertilité : pas d'effet délétère documenté sur la fertilité féminine ou masculine.</w:t>
      </w:r>
    </w:p>
    <w:p>
      <w:r/>
      <w:r>
        <w:rPr>
          <w:b/>
        </w:rPr>
        <w:t>Posologie et Mode d'administration (Standard) :</w:t>
      </w:r>
      <w:r/>
    </w:p>
    <w:p>
      <w:pPr>
        <w:pStyle w:val="ListBullet"/>
      </w:pPr>
      <w:r>
        <w:t>Adulte — Psoriasis en plaques : 100 mg à S0 et S4 (deux injections sous-cutanées de 100 mg à 4 semaines d'intervalle), puis 100 mg toutes les 8 semaines à partir de S12 (soit S12, S20, S28…). Schéma d'espacement maximal (toutes les 8 semaines) — avantage majeur en termes de qualité de vie et d'observance par rapport aux anti-IL-17 (toutes les 4 semaines) ou aux anti-TNF (toutes les 1 à 2 semaines).</w:t>
      </w:r>
    </w:p>
    <w:p>
      <w:pPr>
        <w:pStyle w:val="ListBullet"/>
      </w:pPr>
      <w:r>
        <w:t>Adulte — Rhumatisme psoriasique : 100 mg à S0, S4, puis toutes les 8 semaines. En cas de réponse insuffisante à S16, espacement à toutes les 4 semaines possible (hors AMM européenne mais validé aux États-Unis).</w:t>
      </w:r>
    </w:p>
    <w:p>
      <w:pPr>
        <w:pStyle w:val="ListBullet"/>
      </w:pPr>
      <w:r>
        <w:t>Enfant (≥ 12 ans, arthrite psoriasique) : 100 mg à S0, S4, puis toutes les 8 semaines (enfant ≥ 40 kg). Enfant &lt; 40 kg : 50 mg selon le même schéma (forme 50 mg non disponible en Algérie).</w:t>
      </w:r>
    </w:p>
    <w:p>
      <w:pPr>
        <w:pStyle w:val="ListBullet"/>
      </w:pPr>
      <w:r>
        <w:t>Insuffisance rénale ou hépatique : pas d'adaptation posologique.</w:t>
      </w:r>
    </w:p>
    <w:p>
      <w:pPr>
        <w:pStyle w:val="ListBullet"/>
      </w:pPr>
      <w:r>
        <w:t>Sujet âgé (&gt; 65 ans) : pas d'adaptation, surveillance infectieuse renforcée.</w:t>
      </w:r>
    </w:p>
    <w:p>
      <w:pPr>
        <w:pStyle w:val="ListBullet"/>
      </w:pPr>
      <w:r>
        <w:t>Mode d'administration : voie sous-cutanée stricte, au niveau de la cuisse, de l'abdomen ou du bras. Rotation des sites d'injection. Ne pas injecter dans une zone cutanée lésée. Auto-administration possible après formation. Conservation au réfrigérateur (2-8 °C), ne pas congeler. Sortir le stylo 15-30 minutes avant l'injection.</w:t>
      </w:r>
    </w:p>
    <w:p>
      <w:r/>
      <w:r>
        <w:rPr>
          <w:b/>
        </w:rPr>
        <w:t>Surveillance Biologique et Suivi Clinique :</w:t>
      </w:r>
      <w:r/>
    </w:p>
    <w:p>
      <w:pPr>
        <w:pStyle w:val="ListBullet"/>
      </w:pPr>
      <w:r>
        <w:t>Bilan pré-thérapeutique : identique à celui des anti-IL-17 (tuberculine/IGRA, sérologies VHB/VHC/VIH, NFS-plaquettes, bilan hépatique, bilan rénal, ionogramme, CRP, examen dermatologique PASI/DLQI, statut vaccinal, interrogationatoire MICI/démyélinisation/cancer).</w:t>
      </w:r>
    </w:p>
    <w:p>
      <w:pPr>
        <w:pStyle w:val="ListBullet"/>
      </w:pPr>
      <w:r>
        <w:t>Suivi thérapeutique : consultation dermatologique à S4 (tolérance, PASI 50), S12 (PASI 75), S20 (PASI 90), puis tous les 3 mois la première année, tous les 6 mois ensuite. PASI 90 à S16-S20 = succès. DLQI à l'initiation, S16, puis annuel.</w:t>
      </w:r>
    </w:p>
    <w:p>
      <w:pPr>
        <w:pStyle w:val="ListBullet"/>
      </w:pPr>
      <w:r>
        <w:t>Surveillance biologique : NFS-plaquettes tous les 3 mois la première année puis tous les 6 mois. Bilan hépatique tous les 3 mois la première année (ALAT, ASAT, γ-GT, PAL). Pas de surveillance systématique des anticorps anti-médicament.</w:t>
      </w:r>
    </w:p>
    <w:p>
      <w:pPr>
        <w:pStyle w:val="ListBullet"/>
      </w:pPr>
      <w:r>
        <w:t>Surveillance infectieuse : éducation aux signes d'alerte (fièvre, toux, diarrhée chronique, sueurs nocturnes, troubles visuels). Interdiction des vaccins vivants. Interruption transitoire en cas d'intervention chirurgicale majeure programmée (4-8 semaines avant).</w:t>
      </w:r>
    </w:p>
    <w:p>
      <w:r/>
      <w:r>
        <w:rPr>
          <w:b/>
        </w:rPr>
        <w:t>Arbitrage et Bénéfices des Formes Galéniques :</w:t>
      </w:r>
      <w:r/>
    </w:p>
    <w:p>
      <w:r>
        <w:t>Le guselkumab est disponible en Algérie uniquement en stylo prérempli de 100 mg (Tremfya®). Le stylo auto-injecteur prérempli offre une injection en une seule pression, sans visibilité de l'aiguille (cachée), avec déclenchement automatique et clic sonore de fin d'injection. Il est particulièrement adapté aux patients phobiques de l'aiguille, aux patients âgés avec dextérité réduite et à l'auto-administration en toute autonomie. La dose unitaire de 100 mg couvre tous les schémas posologiques standards adultes et adolescents ≥ 40 kg. La formation initiale par un infirmier d'éducation thérapeutique est obligatoire. La seringue préremplie (commercialisée en Europe mais non disponible dans la nomenclature algérienne active) offre une alternative pour les patients préférant le contrôle visuel de l'injection — son indisponibilité en Algérie impose le recours au stylo. Le schéma d'espacement à 8 semaines en entretien est un avantage compétitif majeur vs les anti-IL-17 (4 semaines) et les anti-TNF (1-2 semaines) en termes d'observance, de qualité de vie et de coût.</w:t>
      </w:r>
    </w:p>
    <w:p>
      <w:r/>
      <w:r>
        <w:rPr>
          <w:b/>
        </w:rPr>
        <w:t>Instructions et Conseils au Patient :</w:t>
      </w:r>
      <w:r/>
    </w:p>
    <w:p>
      <w:pPr>
        <w:pStyle w:val="ListBullet"/>
      </w:pPr>
      <w:r>
        <w:t>Communication au comptoir : « Le guselkumab (Tremfya®) est un médicament biomoléculaire qui cible spécifiquement une protéine appelée interleukine 23 (IL-23), responsable de l'inflammation psoriasique. Il s'administre en injection sous-cutanée à l'aide d'un stylo prérempli, à domicile après formation. Le schéma est très simple : 2 injections la première semaine (à S0 et S4), puis une injection toutes les 8 semaines en entretien (soit 6 à 7 injections par an seulement — un confort important par rapport aux traitements hebdomadaires ou bihebdomadaires). L'efficacité est maximale à S16-S20 (peau claire ou presque claire chez 8 patients sur 10), et l'espacement à 8 semaines permet de maintenir cette efficacité à long terme. Les effets indésirables les plus fréquents sont des rhumes bénins (rhinopharyngite) et des réactions au site d'injection (rougeur, démangeaison). Prévenez votre médecin en cas de fièvre, de toux persistante, de diarrhée chronique, de sueurs nocturnes ou de troubles visuels. Les vaccins vivants (ROR, fièvre jaune, BCG, varicelle) sont strictement interdits pendant le traitement. Les vaccins inactivés (grippe, COVID, pneumocoque, hépatite B) sont recommandés. Le médicament se conserve au réfrigérateur (2-8 °C), ne pas congeler. Sortir le stylo 15 à 30 minutes avant l'injection. »</w:t>
      </w:r>
    </w:p>
    <w:p>
      <w:pPr>
        <w:pStyle w:val="ListBullet"/>
      </w:pPr>
      <w:r>
        <w:t>Observance : calendrier d'administration à jour (carnet de suivi ou application smartphone), alertes de rappel, ne jamais interrompre sans avis médical (risque de rechute en 12 à 16 semaines), prévoir une réserve de stylos pour les déplacements (sac isotherme avec accumulateur de froid).</w:t>
      </w:r>
    </w:p>
    <w:p>
      <w:pPr>
        <w:pStyle w:val="ListBullet"/>
      </w:pPr>
      <w:r>
        <w:t>Hygiène de vie : éviter le contact avec des personnes malades, lavage des mains, consultation rapide en cas de signe infectieux.</w:t>
      </w:r>
    </w:p>
    <w:p>
      <w:pPr>
        <w:pStyle w:val="ListBullet"/>
      </w:pPr>
      <w:r>
        <w:t>Femmes en âge de procréer : contraception efficace pendant le traitement et 12 semaines après l'arrêt.</w:t>
      </w:r>
    </w:p>
    <w:p>
      <w:pPr>
        <w:pStyle w:val="ListBullet"/>
      </w:pPr>
      <w:r>
        <w:t>Suivi : consultation dermatologique à S4, S12, S20, puis tous les 3 à 6 mois.</w:t>
      </w:r>
    </w:p>
    <w:p>
      <w:r/>
      <w:r>
        <w:rPr>
          <w:b/>
        </w:rPr>
        <w:t>Notes, Règles d'Or &amp; Pièges au Comptoir :</w:t>
      </w:r>
      <w:r/>
    </w:p>
    <w:p>
      <w:pPr>
        <w:pStyle w:val="ListBullet"/>
      </w:pPr>
      <w:r>
        <w:t>Piège : ne pas oublier le dépistage tuberculeux pré-thérapeutique (IDR ou IGRA) malgré le risque tuberculeux moindre qu'avec les anti-TNF.</w:t>
      </w:r>
    </w:p>
    <w:p>
      <w:pPr>
        <w:pStyle w:val="ListBullet"/>
      </w:pPr>
      <w:r>
        <w:t>Piège : vérifier le statut vaccinal avant initiation — les vaccins vivants (ROR, BCG, fièvre jaune, varicelle) doivent être administrés au moins 4 semaines AVANT la première injection de guselkumab, puis sont contre-indiqués pendant le traitement.</w:t>
      </w:r>
    </w:p>
    <w:p>
      <w:pPr>
        <w:pStyle w:val="ListBullet"/>
      </w:pPr>
      <w:r>
        <w:t>Règle : le schéma d'induction comporte 2 injections seulement (S0 et S4), contrairement au sécukinumab qui en comporte 5 (S0, S1, S2, S3, S4) — simplification majeure de la phase d'initiation, ne pas confondre les schémas.</w:t>
      </w:r>
    </w:p>
    <w:p>
      <w:pPr>
        <w:pStyle w:val="ListBullet"/>
      </w:pPr>
      <w:r>
        <w:t>Règle : évaluer la réponse à S16-S20 (PASI 90 = succès ; PASI 75-89 = succès partiel ; PASI &lt; 50 = échec primaire, switch à envisager vers anti-IL-17 ou autre mécanisme).</w:t>
      </w:r>
    </w:p>
    <w:p>
      <w:pPr>
        <w:pStyle w:val="ListBullet"/>
      </w:pPr>
      <w:r>
        <w:t>Piège : la survenue d'une candidose buccale est moins fréquente qu'avec les anti-IL-17 — à ne pas confondre avec un échec thérapeutique.</w:t>
      </w:r>
    </w:p>
    <w:p>
      <w:pPr>
        <w:pStyle w:val="ListBullet"/>
      </w:pPr>
      <w:r>
        <w:t>Règle : pas d'arrêt systématique en cas d'intervention chirurgicale mineure (chirurgie cutanée, dentisterie) ; interruption 4 à 8 semaines avant chirurgie majeure.</w:t>
      </w:r>
    </w:p>
    <w:p>
      <w:pPr>
        <w:pStyle w:val="ListBullet"/>
      </w:pPr>
      <w:r>
        <w:t>Piège : oubli d'une injection d'entretien (toutes les 8 semaines) — injecter dès que possible, ne pas doubler, reprendre le schéma à 8 semaines à partir de la dernière injection.</w:t>
      </w:r>
    </w:p>
    <w:p>
      <w:pPr>
        <w:pStyle w:val="ListBullet"/>
      </w:pPr>
      <w:r>
        <w:t>Règle : conservation au réfrigérateur (2-8 °C), ne pas congeler, ne pas secouer, vérifier la limpidité de la solution avant injection.</w:t>
      </w:r>
    </w:p>
    <w:p>
      <w:pPr>
        <w:pStyle w:val="ListBullet"/>
      </w:pPr>
      <w:r>
        <w:t>Piège : ne pas confondre le guselkumab (Tremfya®, anti-IL-23 p19) avec l'ustékimumab (Stelara®, anti-p40 IL-12/23) — schéma d'administration et profil différents.</w:t>
      </w:r>
    </w:p>
    <w:p>
      <w:pPr>
        <w:pStyle w:val="ListBullet"/>
      </w:pPr>
      <w:r>
        <w:t>Règle : le guselkumab n'est PAS contre-indiqué dans les MICI (à la différence des anti-IL-17) — avantage compétitif en pratique clinique pour les patients ayant un psoriasis associé à une MICI connue.</w:t>
      </w:r>
    </w:p>
    <w:p>
      <w:pPr>
        <w:pStyle w:val="Heading3"/>
      </w:pPr>
      <w:r>
        <w:t>126.2.2 DCI : Risankizumab</w:t>
      </w:r>
    </w:p>
    <w:p>
      <w:r/>
      <w:r>
        <w:rPr>
          <w:b/>
        </w:rPr>
        <w:t>Liste des Catégories :</w:t>
      </w:r>
      <w:r>
        <w:t xml:space="preserve"> Dermatologie ; Antipsoriasique systémique ; Anticorps monoclonal recombinant humain IgG1κ ; Anti-interleukine 23 (sous-unité p19) ; Immunomodulateur ; Prescription hospitalière spécialisée (dermatologie, gastro-entérologie) ; Liste I.</w:t>
      </w:r>
    </w:p>
    <w:p>
      <w:r>
        <w:t>Le risankizumab, commercialisé sous le nom de Skyrizi® par AbbVie (anciennement développé par Boehringer Ingelheim puis cédé à AbbVie), est un anticorps monoclonal anti-IL-23 p19 ayant obtenu une AMM européenne en avril 2019 pour le psoriasis en plaques modéré à sévère de l'adulte. Issu du programme UltIMMa (UltIMMa-1 et UltIMMa-2 de phase III), il a démontré une efficacité supérieure à l'ustékimumab (anti-p40) en termes de PASI 90 (75 % vs 42 % à S16) et PASI 100 (36 % vs 17 %). Son efficacité à long terme est remarquable : PASI 90 maintenu chez 80 à 87 % des patients à 5 ans (étude LIMMITLESS-5), faisant de lui l'une des biothérapies les plus efficaces à long terme en dermatologie. Une extension d'AMM a été obtenue pour le psoriasis en plaques de l'adolescent à partir de 12 ans (2021), pour le rhumatisme psoriasique (2022) et pour la maladie de Crohn modérée à sévère (2022, schéma IV puis SC) — première biothérapie anti-IL-23p19 ayant démontré une efficacité dans la maladie de Crohn (essais FORTIFY, ADVANCE). En Algérie, le risankizumab est disponible en seringue préremplie de 150 mg/mL (conditionnement B/01), avec un schéma d'administration simple : S0, S4, puis toutes les 12 semaines en entretien — l'espacement le plus large de toutes les biothérapies psoriasis disponibles.</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SKYRIZI</w:t>
            </w:r>
          </w:p>
        </w:tc>
        <w:tc>
          <w:tcPr>
            <w:tcW w:type="dxa" w:w="1559"/>
          </w:tcPr>
          <w:p>
            <w:r>
              <w:rPr>
                <w:sz w:val="20"/>
              </w:rPr>
              <w:t>LABORATOIRES ABBVIE</w:t>
            </w:r>
          </w:p>
        </w:tc>
        <w:tc>
          <w:tcPr>
            <w:tcW w:type="dxa" w:w="1559"/>
          </w:tcPr>
          <w:p>
            <w:r>
              <w:rPr>
                <w:sz w:val="20"/>
              </w:rPr>
              <w:t>Solution injectable</w:t>
            </w:r>
          </w:p>
        </w:tc>
        <w:tc>
          <w:tcPr>
            <w:tcW w:type="dxa" w:w="1559"/>
          </w:tcPr>
          <w:p>
            <w:r>
              <w:rPr>
                <w:sz w:val="20"/>
              </w:rPr>
              <w:t>150 mg / 1 mL (seringue préremplie en stylo)</w:t>
            </w:r>
          </w:p>
        </w:tc>
        <w:tc>
          <w:tcPr>
            <w:tcW w:type="dxa" w:w="1559"/>
          </w:tcPr>
          <w:p>
            <w:r>
              <w:rPr>
                <w:sz w:val="20"/>
              </w:rPr>
              <w:t>B/01 seringue préremplie en stylo</w:t>
            </w:r>
          </w:p>
        </w:tc>
        <w:tc>
          <w:tcPr>
            <w:tcW w:type="dxa" w:w="1559"/>
          </w:tcPr>
          <w:p>
            <w:r>
              <w:rPr>
                <w:sz w:val="20"/>
              </w:rPr>
              <w:t>Liste I</w:t>
            </w:r>
          </w:p>
        </w:tc>
      </w:tr>
    </w:tbl>
    <w:p/>
    <w:p>
      <w:r/>
      <w:r>
        <w:rPr>
          <w:i/>
        </w:rPr>
        <w:t>(Note : la nomenclature algérienne ne référence que la seringue préremplie de 150 mg/mL en conditionnement unitaire B/01. Le stylo auto-injecteur prérempli commercialisé en Europe sous la même DCI n'est pas référencé dans la nomenclature algérienne active. Le risankizumab est délivré exclusivement via le circuit hospitalier spécialisé en dermatologie.)</w:t>
      </w:r>
      <w:r/>
    </w:p>
    <w:p>
      <w:r/>
      <w:r>
        <w:rPr>
          <w:b/>
        </w:rPr>
        <w:t>Sous-classe et Mécanisme d'action :</w:t>
      </w:r>
      <w:r/>
    </w:p>
    <w:p>
      <w:pPr>
        <w:pStyle w:val="ListBullet"/>
      </w:pPr>
      <w:r>
        <w:t>Sous-classe : Anticorps monoclonal recombinant humain de classe IgG1κ, anti-interleukine 23 (sous-unité p19 spécifique de l'IL-23, sans action sur l'IL-12). Même classe que le guselkumab, second représentant disponible en Algérie.</w:t>
      </w:r>
    </w:p>
    <w:p>
      <w:pPr>
        <w:pStyle w:val="ListBullet"/>
      </w:pPr>
      <w:r>
        <w:t>Mécanisme d'action : le risankizumab se lie avec une haute affinité (KD ~ 30 pM) à la sous-unité p19 de l'IL-23 (humaine et cynomolgus), neutralisant son interaction avec le récepteur IL-23R/IL-12Rβ1. Mécanisme identique à celui du guselkumab : blocage spécifique de l'IL-23 sans action sur l'IL-12, supprimant la polarisation Th17, la production d'IL-17A/F, IL-22 et GM-CSF, restaurant la différenciation épidermique et la barrière cutanée. Le risankizumab se distingue du guselkumab par : (i) une affinité légèrement supérieure (30 pM vs 3-6 pM pour le guselkumab selon les sources — différences minimes et probablement non cliniquement significatives) ; (ii) un schéma d'administration plus espacé (toutes les 12 semaines en entretien vs toutes les 8 semaines pour le guselkumab) — avantage compétitif majeur en termes d'observance et de qualité de vie ; (iii) une AMM dans la maladie de Crohn (schéma IV intraveineux puis sous-cutané), unique parmi les anti-IL-23 p19 — l'essai ADVANCE a montré une rémission endoscopique à S52 chez 32 % des patients vs 12 % sous placebo. L'efficacité dans le psoriasis est légèrement supérieure ou équivalente à celle du guselkumab (PASI 90 à S16 : 75 % vs 73 %), avec un maintien d'efficacité à 5 ans exceptionnel (PASI 90 chez 87 % dans LIMMITLESS-5). Le blocage spécifique de l'IL-23 (sans action sur l'IL-12) explique le profil de tolérance favorable : risque infectieux similaire au placebo, pas de signal démyélinisant, pas de signal carcinologique à 5 ans, pas d'immunosuppression profonde.</w:t>
      </w:r>
    </w:p>
    <w:p>
      <w:r/>
      <w:r>
        <w:rPr>
          <w:b/>
        </w:rPr>
        <w:t>Profil Pharmacologique :</w:t>
      </w:r>
      <w:r/>
    </w:p>
    <w:p>
      <w:pPr>
        <w:pStyle w:val="ListBullet"/>
      </w:pPr>
      <w:r>
        <w:t>Indications (AMM européenne en vigueur) : (1) Psoriasis en plaques modéré à sévère de l'adulte éligible à un traitement systémique (photothérapie ou thérapie systémique) ; (2) Psoriasis en plaques modéré à sévère de l'adolescent à partir de 12 ans (poids ≥ 30 kg) en cas de réponse insuffisante ou de contre-indication aux autres traitements systémiques ; (3) Rhumatisme psoriasique actif de l'adulte (en monothérapie ou en association au méthotrexate) ; (4) Maladie de Crohn modérée à sévère de l'adulte en cas de réponse insuffisante, perte de réponse ou intolérance aux anti-TNF (schéma IV puis SC).</w:t>
      </w:r>
    </w:p>
    <w:p>
      <w:pPr>
        <w:pStyle w:val="ListBullet"/>
      </w:pPr>
      <w:r>
        <w:t>Contre-indications : (1) Hypersensibilité à la substance active ou à l'un des excipients ; (2) Infections sévères actives (tuberculose évolutive, sepsis, infections opportunistes) — contre-indication transitoire jusqu'à contrôle. Précautions : âge &gt; 65 ans, insuffisance hépatique ou rénale sévère, antécédents d'infections récurrentes, traitement immunosuppresseur concomitant, vaccination vivante contre-indiquée. Comme le guselkumab, le risankizumab n'est PAS contre-indiqué dans les MICI — il est au contraire indiqué dans la maladie de Crohn.</w:t>
      </w:r>
    </w:p>
    <w:p>
      <w:pPr>
        <w:pStyle w:val="ListBullet"/>
      </w:pPr>
      <w:r>
        <w:t>Effets Indésirables (très fréquents &gt; 10 %) : infections des voies respiratoires hautes (rhinopharyngite 12-15 %). Fréquents (1-10 %) : réactions au site d'injection (érythème, douleur, prurit — 3-5 %), céphalées, arthralgies, fatigue, prurit, rash cutané, urticaire, diarrhée, candidose buccale ou vaginale (moins fréquente qu'avec les anti-IL-17). Peu fréquents (0,1-1 %) : neutropénie transitoire, infections fongiques unguéales, élévation transitoire des transaminases, hypersensibilité. Rares (&lt; 0,1 %) : réactions anaphylactiques. Particularités : profil infectieux très favorable, similaire au placebo dans les essais cliniques. Pas de signal carcinologique à 5 ans, pas de signal démyélinisant, pas de signal tuberculeux (extrêmement rare).</w:t>
      </w:r>
    </w:p>
    <w:p>
      <w:r/>
      <w:r>
        <w:rPr>
          <w:b/>
        </w:rPr>
        <w:t>Prévention et Gestion des Effets Indésirables :</w:t>
      </w:r>
      <w:r/>
    </w:p>
    <w:p>
      <w:pPr>
        <w:pStyle w:val="ListBullet"/>
      </w:pPr>
      <w:r>
        <w:t>Mesures Préventives : Bilan pré-thérapeutique identique à celui des anti-IL-17 et du guselkumab : (a) dépistage de la tuberculose par IDR à la tuberculine ou IGRA (Quantiferon-TB Gold Plus) ; en cas de positivité, traitement d'une tuberculose latente par isoniazide 5 mg/kg/j × 6-9 semaines avant initiation ; (b) sérologies VHB (HBsAg, anti-HBs, anti-HBc), VHC, VIH — prophylaxie antivirale (entécavir, ténofovir) en cas d'hépatite B latente (anti-HBc+ sans immunisation) ; (c) bilan hépatique (ALAT, ASAT, PAL, γ-GT, bilirubine) ; (d) NFS-plaquettes, ionogramme, urée, créatinine, CRP ; (e) examen dermatologique complet (PASI, DLQI) ; (f) statut vaccinal ; (g) vaccins vivants à administrer au moins 4 semaines AVANT initiation, contre-indiqués pendant le traitement ; (h) interrogationatoire MICI, maladie démyélinisante, cancer récent. Pour la maladie de Crohn : coloscopie avec biopsies, score SES-CD, calprotectine fécale.</w:t>
      </w:r>
    </w:p>
    <w:p>
      <w:pPr>
        <w:pStyle w:val="ListBullet"/>
      </w:pPr>
      <w:r>
        <w:t>Conduite à Tenir : En cas de candidose : antifongique topique ou systémique, pas d'arrêt du risankizumab. En cas d'infection sévère : interruption transitoire, reprise après guérison. En cas de réaction au site d'injection : antihistaminiques, rotation des sites, pas d'arrêt. En cas de cytolyse hépatique &gt; 3× LSN : surveillance, recherche d'autres causes ; &gt; 5× LSN : interruption transitoire. En cas de neutropénie &lt; 1,0 G/L : surveillance rapprochée, interruption transitoire si infection. En cas de suspicion de tuberculose : arrêt immédiat, recherche BK. En cas de chirurgie programmée majeure : interruption 4 à 8 semaines avant (demi-vie d'élimination 28-32 jours).</w:t>
      </w:r>
    </w:p>
    <w:p>
      <w:r/>
      <w:r>
        <w:rPr>
          <w:b/>
        </w:rPr>
        <w:t>Interactions Médicamenteuses :</w:t>
      </w:r>
      <w:r/>
    </w:p>
    <w:p>
      <w:pPr>
        <w:pStyle w:val="ListBullet"/>
      </w:pPr>
      <w:r>
        <w:t>Le risankizumab est métabolisé par catabolisme protéique non cytochromal (dégradation enzymatique par protéases lysosomales, pas d'implication du CYP450). Aucune interaction avec les inducteurs ou inhibiteurs enzymatiques n'est attendue.</w:t>
      </w:r>
    </w:p>
    <w:p>
      <w:pPr>
        <w:pStyle w:val="ListBullet"/>
      </w:pPr>
      <w:r>
        <w:t>Vaccins vivants atténués : CONTRE-INDICATION ABSOLUE pendant le traitement et jusqu'à 4-8 semaines après l'arrêt. À administrer au moins 4 semaines avant initiation.</w:t>
      </w:r>
    </w:p>
    <w:p>
      <w:pPr>
        <w:pStyle w:val="ListBullet"/>
      </w:pPr>
      <w:r>
        <w:t>Vaccins inactivés : autorisés et recommandés ; réponse immunitaire conservée.</w:t>
      </w:r>
    </w:p>
    <w:p>
      <w:pPr>
        <w:pStyle w:val="ListBullet"/>
      </w:pPr>
      <w:r>
        <w:t>Association avec immunosuppresseurs (méthotrexate, azathioprine, 6-mercaptopurine dans la maladie de Crohn) : possible avec surveillance renforcée.</w:t>
      </w:r>
    </w:p>
    <w:p>
      <w:pPr>
        <w:pStyle w:val="ListBullet"/>
      </w:pPr>
      <w:r>
        <w:t>Association avec d'autres biothérapies : CONTRE-INDICATION ABSOLUE.</w:t>
      </w:r>
    </w:p>
    <w:p>
      <w:pPr>
        <w:pStyle w:val="ListBullet"/>
      </w:pPr>
      <w:r>
        <w:t>Aucune interaction notable avec les anticoagulants, antiagrégants, statines, antihypertenseurs, antidiabétiques, anticonvulsivants, antidépresseurs.</w:t>
      </w:r>
    </w:p>
    <w:p>
      <w:r/>
      <w:r>
        <w:rPr>
          <w:b/>
        </w:rPr>
        <w:t>Grossesse et Allaitement (CRAT) :</w:t>
      </w:r>
      <w:r/>
    </w:p>
    <w:p>
      <w:pPr>
        <w:pStyle w:val="ListBullet"/>
      </w:pPr>
      <w:r>
        <w:t>Grossesse : les données animales (singe cynomolgus) n'ont pas montré d'effet tératogène ni d'embryotoxicité. Les données humaines sont limitées (registre de grossesses sous biothérapies). Le CRAT classe le risankizumab en "à éviter par mesure de prudence" pendant la grossesse, en raison du passage transplacentaire passif des IgG1 via le FcRn à partir du 2e trimestre (immunosuppression néonatale transitoire théorique — vaccins vivants contre-indiqués chez le nouveau-né pendant 6 mois). Contraception efficace pendant le traitement et 21 semaines après l'arrêt (5 demi-vies ≈ 21 semaines). En cas de projet de grossesse : discussion pluridisciplinaire ; privilégier si possible la ciclosporine au 1er trimestre ; interruption avant conception si la maladie le permet. En cas de grossesse sous traitement : pas d'avortement thérapeutique de principe, arrêt du risankizumab, surveillance échographique.</w:t>
      </w:r>
    </w:p>
    <w:p>
      <w:pPr>
        <w:pStyle w:val="ListBullet"/>
      </w:pPr>
      <w:r>
        <w:t>Allaitement : le risankizumab est excrété en très faible quantité dans le lait maternel (IgG passivement excrétés, dégradation digestive chez le nouveau-né, absorption négligeable). Le CRAT conclut à un allaitement POSSIBLE en raison de la biodisponibilité orale nulle de l'anticorps monoclonal. Cependant, en pratique, l'allaitement est généralement déconseillé en raison du risque infectieux néonatal théorique et du manque de recul.</w:t>
      </w:r>
    </w:p>
    <w:p>
      <w:pPr>
        <w:pStyle w:val="ListBullet"/>
      </w:pPr>
      <w:r>
        <w:t>Fertilité : pas d'effet délétère documenté sur la fertilité féminine ou masculine.</w:t>
      </w:r>
    </w:p>
    <w:p>
      <w:r/>
      <w:r>
        <w:rPr>
          <w:b/>
        </w:rPr>
        <w:t>Posologie et Mode d'administration (Standard) :</w:t>
      </w:r>
      <w:r/>
    </w:p>
    <w:p>
      <w:pPr>
        <w:pStyle w:val="ListBullet"/>
      </w:pPr>
      <w:r>
        <w:t>Adulte — Psoriasis en plaques : 150 mg à S0 et S4 (deux injections sous-cutanées de 150 mg à 4 semaines d'intervalle), puis 150 mg toutes les 12 semaines à partir de S16 (soit S16, S28, S40…). Schéma d'espacement maximal de 12 semaines — l'espacement le plus large de toutes les biothérapies psoriasis disponibles en Algérie. En cas de réponse insuffisante à S16 (PASI &lt; 50), espacement à toutes les 8 semaines possible (hors AMM européenne mais validé aux États-Unis).</w:t>
      </w:r>
    </w:p>
    <w:p>
      <w:pPr>
        <w:pStyle w:val="ListBullet"/>
      </w:pPr>
      <w:r>
        <w:t>Adulte — Rhumatisme psoriasique : 150 mg à S0, S4, puis toutes les 12 semaines.</w:t>
      </w:r>
    </w:p>
    <w:p>
      <w:pPr>
        <w:pStyle w:val="ListBullet"/>
      </w:pPr>
      <w:r>
        <w:t>Adulte — Maladie de Crohn : schéma IV 600 mg à S0, S4, S8 puis SC 360 mg toutes les 8 semaines à partir de S12 (forme 360 mg/2,4 mL non disponible dans la nomenclature algérienne dermatologique — schéma réservé à la prescription gastro-entérologique hospitalière).</w:t>
      </w:r>
    </w:p>
    <w:p>
      <w:pPr>
        <w:pStyle w:val="ListBullet"/>
      </w:pPr>
      <w:r>
        <w:t>Adolescent (12-17 ans, ≥ 30 kg, psoriasis) : 75 mg à S0, S4 puis toutes les 12 semaines (poids ≥ 30 kg et &lt; 50 kg) ; 150 mg à S0, S4 puis toutes les 12 semaines (poids ≥ 50 kg). Forme 75 mg non disponible en Algérie.</w:t>
      </w:r>
    </w:p>
    <w:p>
      <w:pPr>
        <w:pStyle w:val="ListBullet"/>
      </w:pPr>
      <w:r>
        <w:t>Insuffisance rénale ou hépatique : pas d'adaptation posologique.</w:t>
      </w:r>
    </w:p>
    <w:p>
      <w:pPr>
        <w:pStyle w:val="ListBullet"/>
      </w:pPr>
      <w:r>
        <w:t>Sujet âgé (&gt; 65 ans) : pas d'adaptation, surveillance infectieuse renforcée.</w:t>
      </w:r>
    </w:p>
    <w:p>
      <w:pPr>
        <w:pStyle w:val="ListBullet"/>
      </w:pPr>
      <w:r>
        <w:t>Mode d'administration : voie sous-cutanée stricte, au niveau de la cuisse, de l'abdomen ou du bras. Rotation des sites. Auto-administration après formation. Conservation au réfrigérateur (2-8 °C), ne pas congeler.</w:t>
      </w:r>
    </w:p>
    <w:p>
      <w:r/>
      <w:r>
        <w:rPr>
          <w:b/>
        </w:rPr>
        <w:t>Surveillance Biologique et Suivi Clinique :</w:t>
      </w:r>
      <w:r/>
    </w:p>
    <w:p>
      <w:pPr>
        <w:pStyle w:val="ListBullet"/>
      </w:pPr>
      <w:r>
        <w:t>Bilan pré-thérapeutique : identique à celui du guselkumab (tuberculine/IGRA, sérologies VHB/VHC/VIH, NFS-plaquettes, bilan hépatique, bilan rénal, ionogramme, CRP, examen PASI/DLQI, statut vaccinal, interrogationatoire MICI/démyélinisation/cancer).</w:t>
      </w:r>
    </w:p>
    <w:p>
      <w:pPr>
        <w:pStyle w:val="ListBullet"/>
      </w:pPr>
      <w:r>
        <w:t>Suivi thérapeutique : consultation dermatologique à S4 (tolérance), S12 (PASI 75), S16 (décision de poursuivre ou d'intensifier), puis tous les 3 mois la première année, tous les 6 mois ensuite. PASI 90 à S16 = succès. DLQI à l'initiation, S16, puis annuel.</w:t>
      </w:r>
    </w:p>
    <w:p>
      <w:pPr>
        <w:pStyle w:val="ListBullet"/>
      </w:pPr>
      <w:r>
        <w:t>Surveillance biologique : NFS-plaquettes et bilan hépatique tous les 3 mois la première année puis tous les 6 mois. Pas de surveillance systématique des anticorps anti-médicament.</w:t>
      </w:r>
    </w:p>
    <w:p>
      <w:pPr>
        <w:pStyle w:val="ListBullet"/>
      </w:pPr>
      <w:r>
        <w:t>Surveillance infectieuse : éducation aux signes d'alerte. Interdiction des vaccins vivants. Interruption en cas de chirurgie majeure programmée (4-8 semaines avant).</w:t>
      </w:r>
    </w:p>
    <w:p>
      <w:r/>
      <w:r>
        <w:rPr>
          <w:b/>
        </w:rPr>
        <w:t>Arbitrage et Bénéfices des Formes Galéniques :</w:t>
      </w:r>
      <w:r/>
    </w:p>
    <w:p>
      <w:r>
        <w:t>Le risankizumab est disponible en Algérie uniquement en seringue préremplie de 150 mg/mL (Skyrizi®), conditionnement unitaire B/01. La seringue préremplie en stylo permet une injection simple, sans visibilité de l'aiguille (cachée dans le dispositif), avec contrôle visuel de la dose administrée. Elle est adaptée à la plupart des patients auto-injecteurs. Le stylo auto-injecteur prérempli On-body (commercialisé en Europe) n'est pas référencé dans la nomenclature algérienne. La formation initiale par un infirmier d'éducation thérapeutique est obligatoire. La dose unitaire de 150 mg couvre tous les schémas posologiques standards adultes et adolescents ≥ 50 kg. Le schéma d'espacement à 12 semaines en entretien est un avantage compétitif majeur vs le guselkumab (8 semaines), les anti-IL-17 (4 semaines) et les anti-TNF (1-2 semaines) en termes d'observance, de qualité de vie et de coût (4 injections par an seulement en entretien).</w:t>
      </w:r>
    </w:p>
    <w:p>
      <w:r/>
      <w:r>
        <w:rPr>
          <w:b/>
        </w:rPr>
        <w:t>Instructions et Conseils au Patient :</w:t>
      </w:r>
      <w:r/>
    </w:p>
    <w:p>
      <w:pPr>
        <w:pStyle w:val="ListBullet"/>
      </w:pPr>
      <w:r>
        <w:t>Communication au comptoir : « Le risankizumab (Skyrizi®) est un médicament biomoléculaire qui cible spécifiquement l'interleukine 23 (IL-23), protéine clé de l'inflammation psoriasique. Il s'administre en injection sous-cutanée à l'aide d'une seringue préremplie en stylo, à domicile après formation. Le schéma est extrêmement simple : 2 injections la première semaine (à S0 et S4), puis une injection toutes les 12 semaines en entretien (soit seulement 4 injections par an en entretien — un confort incomparable). L'efficacité est maximale à S16 (peau claire ou presque claire chez 8 patients sur 10) et se maintient à long terme (5 ans et plus dans les études). Les effets indésirables les plus fréquents sont des rhumes bénins (rhinopharyngite) et des réactions au site d'injection (rougeur, démangeaison). Prévenez votre médecin en cas de fièvre, de toux persistante, de diarrhée chronique, de sueurs nocturnes ou de troubles visuels. Les vaccins vivants (ROR, fièvre jaune, BCG, varicelle) sont strictement interdits pendant le traitement. Les vaccins inactivés (grippe, COVID, pneumocoque, hépatite B) sont recommandés. Le médicament se conserve au réfrigérateur (2-8 °C), ne pas congeler. Sortir la seringue 15 à 30 minutes avant l'injection. »</w:t>
      </w:r>
    </w:p>
    <w:p>
      <w:pPr>
        <w:pStyle w:val="ListBullet"/>
      </w:pPr>
      <w:r>
        <w:t>Observance : calendrier d'administration à jour, alertes de rappel (12 semaines = 3 mois, plus facile à retenir que 8 ou 4 semaines), ne jamais interrompre sans avis médical (risque de rechute en 12 à 20 semaines), prévoir une réserve de seringues pour les déplacements (sac isotherme avec accumulateur de froid).</w:t>
      </w:r>
    </w:p>
    <w:p>
      <w:pPr>
        <w:pStyle w:val="ListBullet"/>
      </w:pPr>
      <w:r>
        <w:t>Hygiène de vie : éviter le contact avec des personnes malades, lavage des mains, consultation rapide en cas de signe infectieux.</w:t>
      </w:r>
    </w:p>
    <w:p>
      <w:pPr>
        <w:pStyle w:val="ListBullet"/>
      </w:pPr>
      <w:r>
        <w:t>Femmes en âge de procréer : contraception efficace pendant le traitement et 21 semaines après l'arrêt.</w:t>
      </w:r>
    </w:p>
    <w:p>
      <w:pPr>
        <w:pStyle w:val="ListBullet"/>
      </w:pPr>
      <w:r>
        <w:t>Suivi : consultation dermatologique à S4, S12, S16, puis tous les 3 à 6 mois.</w:t>
      </w:r>
    </w:p>
    <w:p>
      <w:r/>
      <w:r>
        <w:rPr>
          <w:b/>
        </w:rPr>
        <w:t>Notes, Règles d'Or &amp; Pièges au Comptoir :</w:t>
      </w:r>
      <w:r/>
    </w:p>
    <w:p>
      <w:pPr>
        <w:pStyle w:val="ListBullet"/>
      </w:pPr>
      <w:r>
        <w:t>Piège : ne pas oublier le dépistage tuberculeux pré-thérapeutique (IDR ou IGRA) malgré le risque tuberculeux très faible sous anti-IL-23.</w:t>
      </w:r>
    </w:p>
    <w:p>
      <w:pPr>
        <w:pStyle w:val="ListBullet"/>
      </w:pPr>
      <w:r>
        <w:t>Piège : vérifier le statut vaccinal avant initiation — les vaccins vivants (ROR, BCG, fièvre jaune, varicelle) doivent être administrés au moins 4 semaines AVANT la première injection de risankizumab.</w:t>
      </w:r>
    </w:p>
    <w:p>
      <w:pPr>
        <w:pStyle w:val="ListBullet"/>
      </w:pPr>
      <w:r>
        <w:t>Règle : le schéma d'induction comporte 2 injections (S0 et S4), similaire au guselkumab, mais l'espacement en entretien est de 12 semaines (vs 8 semaines pour le guselkumab) — avantage compétitif majeur.</w:t>
      </w:r>
    </w:p>
    <w:p>
      <w:pPr>
        <w:pStyle w:val="ListBullet"/>
      </w:pPr>
      <w:r>
        <w:t>Règle : évaluer la réponse à S16 (PASI 90 = succès ; PASI 75-89 = succès partiel, à discuter ; PASI &lt; 50 = échec primaire).</w:t>
      </w:r>
    </w:p>
    <w:p>
      <w:pPr>
        <w:pStyle w:val="ListBullet"/>
      </w:pPr>
      <w:r>
        <w:t>Piège : ne pas confondre la seringue préremplie en stylo (Skyrizi®) avec le stylo auto-injecteur (Tremfya®) — dispositifs d'administration différents mais mécanismes similaires.</w:t>
      </w:r>
    </w:p>
    <w:p>
      <w:pPr>
        <w:pStyle w:val="ListBullet"/>
      </w:pPr>
      <w:r>
        <w:t>Règle : pas d'arrêt systématique en cas d'intervention chirurgicale mineure ; interruption 4 à 8 semaines avant chirurgie majeure.</w:t>
      </w:r>
    </w:p>
    <w:p>
      <w:pPr>
        <w:pStyle w:val="ListBullet"/>
      </w:pPr>
      <w:r>
        <w:t>Piège : oubli d'une injection d'entretien (toutes les 12 semaines) — injecter dès que possible, ne pas doubler, reprendre le schéma à 12 semaines à partir de la dernière injection. L'oubli est particulièrement fréquent avec un espacement aussi long (3 mois) — recommander des alertes sur smartphone ou calendrier.</w:t>
      </w:r>
    </w:p>
    <w:p>
      <w:pPr>
        <w:pStyle w:val="ListBullet"/>
      </w:pPr>
      <w:r>
        <w:t>Règle : conservation au réfrigérateur (2-8 °C), ne pas congeler, ne pas secouer, vérifier la limpidité de la solution avant injection.</w:t>
      </w:r>
    </w:p>
    <w:p>
      <w:pPr>
        <w:pStyle w:val="ListBullet"/>
      </w:pPr>
      <w:r>
        <w:t>Piège : ne pas confondre le risankizumab (Skyrizi®, anti-IL-23 p19) avec l'ustékimumab (Stelara®, anti-p40 IL-12/23) ou le guselkumab (Tremfya®, anti-IL-23 p19) — schémas d'administration et profils différents.</w:t>
      </w:r>
    </w:p>
    <w:p>
      <w:pPr>
        <w:pStyle w:val="ListBullet"/>
      </w:pPr>
      <w:r>
        <w:t>Règle : le risankizumab n'est PAS contre-indiqué dans les MICI — il est au contraire indiqué dans la maladie de Crohn modérée à sévère (avantage compétitif majeur en cas de psoriasis associé à une MICI).</w:t>
      </w:r>
    </w:p>
    <w:p>
      <w:pPr>
        <w:pStyle w:val="ListBullet"/>
      </w:pPr>
      <w:r>
        <w:t>Règle : le risankizumab peut être administré chez l'adolescent à partir de 12 ans (poids ≥ 30 kg) en cas de psoriasis modéré à sévère — extension d'AMM pédiatrique 2021.</w:t>
      </w:r>
    </w:p>
    <w:p>
      <w:pPr>
        <w:pStyle w:val="Heading2"/>
      </w:pPr>
      <w:r>
        <w:t>126.3 Sous-classe : Biothérapies de la dermatite atopique — Anti-IL-4/13 (Dupilumab)</w:t>
      </w:r>
    </w:p>
    <w:p>
      <w:r>
        <w:t xml:space="preserve">La dermatite atopique (DA) est une maladie inflammatoire cutanée chronique prurigineuse dont la prévalence ne cesse d'augmenter dans les pays industrialisés et émergents, atteignant 15 à 20 % des enfants et 2 à 5 % des adultes. Sa physiopathologie associe une anomalie de la barrière cutanée (mutations loss-of-function du gène FLG codant la filaggrine dans 30 à 50 % des cas, anomalies de claudine-1, loricrine, cérédine) et une dysrégulation immunitaire dominée par la polarisation Th2 (production d'IL-4, IL-13, IL-31) avec une composante Th22 (IL-22) et, dans les phases chroniques, Th1 (IFN-γ) et Th17 (IL-17 dans les formes mixtes ou asiatiques). Les cytokines IL-4 et IL-13 sont les médiateurs centraux de la cascade inflammatoire de la DA : elles diminuent l'expression des protéines de la barrière épidermique (filaggrine, loricrine), augmentent la production de chimiokines Th2 (CCL17/TARC, CCL22, CCL26/eotaxin-3), stimulent la production d'IgE par les lymphocytes B (commutation isotypique), inhibent la différenciation des cellules de Langerhans et favorisent la colonisation par Staphylococcus aureus (diminution des peptides antimicrobiens). L'IL-4 et l'IL-13 partagent un récepteur commun, l'IL-4Rα, qui est la sous-unité signalisatrice du récepteur de type I (IL-4Rα/γc, spécifique de l'IL-4) et du récepteur de type II (IL-4Rα/IL-13Rα1, commun à l'IL-4 et l'IL-13). Le </w:t>
      </w:r>
      <w:r>
        <w:rPr>
          <w:b/>
        </w:rPr>
        <w:t>dupilumab</w:t>
      </w:r>
      <w:r>
        <w:t xml:space="preserve"> (Dupixent®, Sanofi/Regeneron), anticorps monoclonal recombinant humain IgG4 anti-IL-4Rα, bloque ces deux récepteurs et inhibe simultanément la signalisation de l'IL-4 et de l'IL-13 — stratégie élégante de double blocage par une cible unique. Le dupilumab a obtenu l'AMM européenne en septembre 2017 pour la DA modérée à sévère de l'adulte, puis des extensions successives ont inclus l'adolescent (12-17 ans) en 2019, l'enfant (6-11 ans) en 2020, et le nourrisson (6 mois à 5 ans) en 2022 — la biothérapie pédiatrique la plus précoce jamais autorisée en dermatologie. Ses autres indications AMM incluent l'asthme eosinophilique sévère (2017), la polypose nasosinusienne chronique avec ethmoïdite (2019), l'œsophagite à éosinophiles (2022) et le prurigo nodulaire (2022). Son efficacité est remarquable : EASI 50 chez 80 % des patients à S16, EASI 75 chez 60 à 70 % à S16, EASI 90 chez 40 à 50 % à S16, avec un maintien à long terme (3 ans et plus). La tolérance est globalement très favorable, dominée par les </w:t>
      </w:r>
      <w:r>
        <w:rPr>
          <w:b/>
        </w:rPr>
        <w:t>conjonctivites</w:t>
      </w:r>
      <w:r>
        <w:t xml:space="preserve"> (effet de classe des anti-IL-4/13, survenant chez 8 à 15 % des patients, le plus souvent modérées et réversibles, mécanisme mal élucidé — possiblement lié à un déséquilibre IL-4/IL-13 vs IL-17 dans la muqueuse conjonctivale) et les réactions au site d'injection. À la différence des biothérapies psoriasis, le dupilumab ne nécessite PAS de dépistage tuberculeux systématique (l'IL-4/13 n'est pas impliquée dans l'immunité anti-mycobactérienne), ni de contre-indication vaccinale vivante stricte en pratique courante (le RCP recommande néanmoins d'éviter les vaccins vivants pendant le traitement par mesure de prudence). Une particularité de la classe est la possible survenue transitoire d'une aggravation paradoxale de la dermatite atopique dans les premières semaines (rare, &lt; 5 %), et d'une arthralgie inflammatoire (1 à 3 %, parfois révélatrice d'un rhumatisme psoriasique latent). L'impact sur le prurit est rapide et spectaculaire (dès S2-S4, diminution de 30 à 50 % du prurit mesuré par l'échelle NRS), avec un effet bénéfique majeur sur le sommeil, la qualité de vie et la santé mentale (diminution des scores de dépression et d'anxiété).</w:t>
      </w:r>
    </w:p>
    <w:p>
      <w:pPr>
        <w:pStyle w:val="Heading3"/>
      </w:pPr>
      <w:r>
        <w:t>126.3.1 DCI : Dupilumab</w:t>
      </w:r>
    </w:p>
    <w:p>
      <w:r/>
      <w:r>
        <w:rPr>
          <w:b/>
        </w:rPr>
        <w:t>Liste des Catégories :</w:t>
      </w:r>
      <w:r>
        <w:t xml:space="preserve"> Dermatologie ; Antiaczémateux systémique ; Anticorps monoclonal recombinant humain IgG4 ; Anti-récepteur de l'interleukine 4 (IL-4Rα) ; Immunomodulateur ; Indications multiples (dermatite atopique, asthme eosinophilique, polypose nasosinusienne, œsophagite à éosinophiles, prurigo nodulaire) ; Prescription hospitalière spécialisée (dermatologie, pneumologie, ORL, gastro-entérologie) ; Liste I.</w:t>
      </w:r>
    </w:p>
    <w:p>
      <w:r>
        <w:t>Le dupilumab, commercialisé sous le nom de Dupixent® par Sanofi Winthrop Industrie (en partenariat avec Regeneron Pharmaceuticals), est le premier anticorps monoclonal anti-IL-4Rα ayant obtenu une AMM européenne (septembre 2017) pour la dermatite atopique modérée à sévère de l'adulte. Issu du programme de développement clinique LIBERTY (essais LIBERTY-AD SOLO 1 et 2, LIBERTY-AD CHRONOS, LIBERTY-AD ADOL, LIBERTY-AD PEDS), il a transformé la prise en charge de la DA sévère de l'adulte et de l'enfant, permettant d'atteindre un EASI 75 chez 60 à 70 % des patients à S16 (vs 10 à 20 % sous placebo) et un EASI 90 chez 40 à 50 %. Ses extensions d'AMM ont été successives : adolescent 12-17 ans (2019), enfant 6-11 ans (2020), nourrisson 6 mois-5 ans (2022) — la biothérapie la plus précoce jamais autorisée en dermatologie pédiatrique. Les autres indications AMM sont l'asthme eosinophilique sévère (2017, adulte et enfant ≥ 6 ans), la polypose nasosinusienne chronique avec ethmoïdite non contrôlée par les corticoïdes nasaux (2019), l'œsophagite à éosinophiles (2022) et le prurigo nodulaire (2022). En Algérie, le dupilumab est disponible en seringue préremplie de 200 mg et 300 mg, avec un schéma d'administration sous-cutané toutes les 2 semaines (q2w) — espacement moins favorable que les anti-IL-17/23 psoriasis mais justifié par la cinétique d'inhibition de la voie IL-4/13. La tolérance est excellente, dominée par les conjonctivites (effet de classe des anti-IL-4/13, 8 à 15 %) et les réactions au site d'injection (5 à 10 %) ; le risque infectieux grave est similaire au placebo.</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DUPIXENT</w:t>
            </w:r>
          </w:p>
        </w:tc>
        <w:tc>
          <w:tcPr>
            <w:tcW w:type="dxa" w:w="1559"/>
          </w:tcPr>
          <w:p>
            <w:r>
              <w:rPr>
                <w:sz w:val="20"/>
              </w:rPr>
              <w:t>SANOFI WINTHROP INDUSTRIE</w:t>
            </w:r>
          </w:p>
        </w:tc>
        <w:tc>
          <w:tcPr>
            <w:tcW w:type="dxa" w:w="1559"/>
          </w:tcPr>
          <w:p>
            <w:r>
              <w:rPr>
                <w:sz w:val="20"/>
              </w:rPr>
              <w:t>Solution injectable sous-cutanée en seringue préremplie</w:t>
            </w:r>
          </w:p>
        </w:tc>
        <w:tc>
          <w:tcPr>
            <w:tcW w:type="dxa" w:w="1559"/>
          </w:tcPr>
          <w:p>
            <w:r>
              <w:rPr>
                <w:sz w:val="20"/>
              </w:rPr>
              <w:t>200 mg</w:t>
            </w:r>
          </w:p>
        </w:tc>
        <w:tc>
          <w:tcPr>
            <w:tcW w:type="dxa" w:w="1559"/>
          </w:tcPr>
          <w:p>
            <w:r>
              <w:rPr>
                <w:sz w:val="20"/>
              </w:rPr>
              <w:t>B/02 seringues préremplies en verre avec dispositif de protection d'aiguille</w:t>
            </w:r>
          </w:p>
        </w:tc>
        <w:tc>
          <w:tcPr>
            <w:tcW w:type="dxa" w:w="1559"/>
          </w:tcPr>
          <w:p>
            <w:r>
              <w:rPr>
                <w:sz w:val="20"/>
              </w:rPr>
              <w:t>Liste I</w:t>
            </w:r>
          </w:p>
        </w:tc>
      </w:tr>
      <w:tr>
        <w:tc>
          <w:tcPr>
            <w:tcW w:type="dxa" w:w="1559"/>
          </w:tcPr>
          <w:p>
            <w:r>
              <w:rPr>
                <w:sz w:val="20"/>
              </w:rPr>
              <w:t>DUPIXENT</w:t>
            </w:r>
          </w:p>
        </w:tc>
        <w:tc>
          <w:tcPr>
            <w:tcW w:type="dxa" w:w="1559"/>
          </w:tcPr>
          <w:p>
            <w:r>
              <w:rPr>
                <w:sz w:val="20"/>
              </w:rPr>
              <w:t>SANOFI WINTHROP INDUSTRIE</w:t>
            </w:r>
          </w:p>
        </w:tc>
        <w:tc>
          <w:tcPr>
            <w:tcW w:type="dxa" w:w="1559"/>
          </w:tcPr>
          <w:p>
            <w:r>
              <w:rPr>
                <w:sz w:val="20"/>
              </w:rPr>
              <w:t>Solution injectable sous-cutanée en seringue préremplie</w:t>
            </w:r>
          </w:p>
        </w:tc>
        <w:tc>
          <w:tcPr>
            <w:tcW w:type="dxa" w:w="1559"/>
          </w:tcPr>
          <w:p>
            <w:r>
              <w:rPr>
                <w:sz w:val="20"/>
              </w:rPr>
              <w:t>300 mg</w:t>
            </w:r>
          </w:p>
        </w:tc>
        <w:tc>
          <w:tcPr>
            <w:tcW w:type="dxa" w:w="1559"/>
          </w:tcPr>
          <w:p>
            <w:r>
              <w:rPr>
                <w:sz w:val="20"/>
              </w:rPr>
              <w:t>B/02 seringues préremplies en verre de 2 mL avec dispositif de protection d'aiguille</w:t>
            </w:r>
          </w:p>
        </w:tc>
        <w:tc>
          <w:tcPr>
            <w:tcW w:type="dxa" w:w="1559"/>
          </w:tcPr>
          <w:p>
            <w:r>
              <w:rPr>
                <w:sz w:val="20"/>
              </w:rPr>
              <w:t>Liste I</w:t>
            </w:r>
          </w:p>
        </w:tc>
      </w:tr>
    </w:tbl>
    <w:p/>
    <w:p>
      <w:r>
        <w:t>Le dupilumab est délivré en Algérie via le circuit hospitalier spécialisé (dermatologie pour la DA et le prurigo, pneumologie pour l'asthme, ORL pour la polypose nasosinusienne, gastro-entérologie pour l'œsophagite à éosinophiles). Les deux dosages disponibles (200 mg et 300 mg) couvrent les schémas posologiques en fonction du poids corporel et de l'indication. Aucun biosimilaire n'est à ce jour disponible en Algérie ou à l'international (brevet en vigueur).</w:t>
      </w:r>
    </w:p>
    <w:p>
      <w:r/>
      <w:r>
        <w:rPr>
          <w:b/>
        </w:rPr>
        <w:t>Sous-classe et Mécanisme d'action :</w:t>
      </w:r>
      <w:r/>
    </w:p>
    <w:p>
      <w:pPr>
        <w:pStyle w:val="ListBullet"/>
      </w:pPr>
      <w:r>
        <w:t>Sous-classe : Anticorps monoclonal recombinant humain de classe IgG4 (mutation S228P pour stabilité, sans Fc effectrice — pas d'ADCC ni de CDC), anti-récepteur de l'interleukine 4 alpha (IL-4Rα, CD124). Chef de file et seule biothérapie anti-IL-4/13 disponible en Algérie (le lébrikizumab anti-IL-13 et le tralokinumab anti-IL-13 ne sont pas encore commercialisés dans la nomenclature algérienne).</w:t>
      </w:r>
    </w:p>
    <w:p>
      <w:pPr>
        <w:pStyle w:val="ListBullet"/>
      </w:pPr>
      <w:r>
        <w:t>Mécanisme d'action : le dupilumab se lie à la sous-unité IL-4Rα (CD124), chaîne alpha du récepteur de l'IL-4. Cette sous-unité est partagée entre deux récepteurs fonctionnels : (i) le récepteur de type I (IL-4Rα / γc), spécifique de l'IL-4, exprimé sur les cellules hématopoïétiques (lymphocytes T, B, éosinophiles, basophiles, mastocytes) ; (ii) le récepteur de type II (IL-4Rα / IL-13Rα1), commun à l'IL-4 et l'IL-13, exprimé sur les cellules épithéliales (cutanées, bronchiques, gastro-intestinales), endothéliales, fibroblastiques et les cellules musculaires lisses. En bloquant IL-4Rα, le dupilumab inhibe simultanément la signalisation de l'IL-4 (via les deux récepteurs de type I et II) ET de l'IL-13 (via le récepteur de type II) — stratégie de double blocage par une cible unique, particulièrement élégante. La signalisation IL-4/13 active la voie JAK-STAT (JAK1/JAK3 → STAT6 → transcription de gènes cibles : CCL17/TARC, CCL22, CCL26/eotaxin-3, IgE, VCAM-1). Le blocage par le dupilumab supprime : (i) la commutation isotypique des lymphocytes B vers la production d'IgE (diminution des IgE totales et spécifiques) ; (ii) le recrutement des éosinophiles (diminution de l'eotaxin-3, CCL26) ; (iii) l'activation des mastocytes et basophiles ; (iv) la polarisation Th2 des lymphocytes T ; (v) la production de chimiokines pro-inflammatoires cutanées (CCL17, CCL22) ; (vi) la diminution de l'expression des protéines de la barrière épidermique (filaggrine, loricrine, claudine-1) — d'où restauration de la barrière cutanée et diminution de la colonisation par S. aureus. L'effet clinique est rapide : diminution du prurit dès S2 (effet sur les fibres nerveuses sensibles à l'IL-31 et à l'IL-4 via TRPA1/TRPV1), amélioration de l'EASI à S4-S8, pic d'efficacité à S16, maintien à long terme. Le dupilumab n'affecte pas la voie Th1 (IFN-γ), Th17 (IL-17) ou Th22 (IL-22), ce qui explique l'absence d'immunosuppression profonde et le profil de tolérance favorable. L'IL-4 et l'IL-13 étant également impliquées dans l'asthme eosinophilique (Th2-high asthma), la polypose nasosinusienne (type 2 inflammation), l'œsophagite à éosinophiles et le prurigo nodulaire (inflammation de type 2), le dupilumab a une efficacité documentée dans toutes ces indications — stratégie multi-indications.</w:t>
      </w:r>
    </w:p>
    <w:p>
      <w:pPr>
        <w:pStyle w:val="ListBullet"/>
      </w:pPr>
      <w:r>
        <w:t>Particularité : la mutation S228P du fragment Fc de l'IgG4 assure la stabilité de l'anticorps et empêche l'échange de demi-anticorps (half-antibody exchange) avec d'autres IgG4 endogènes. L'absence de fonction effectrice (pas d'ADCC, pas de CDC) garantit un profil de tolérance favorable (pas de déplétion cellulaire).</w:t>
      </w:r>
    </w:p>
    <w:p>
      <w:r/>
      <w:r>
        <w:rPr>
          <w:b/>
        </w:rPr>
        <w:t>Profil Pharmacologique :</w:t>
      </w:r>
      <w:r/>
    </w:p>
    <w:p>
      <w:pPr>
        <w:pStyle w:val="ListBullet"/>
      </w:pPr>
      <w:r>
        <w:t>Indications (AMM européenne en vigueur) : (1) Dermatite atopique modérée à sévère de l'adulte éligible à un traitement systémique (initiation : 300 mg à S0 puis 300 mg q2w à partir de S2) ; (2) Dermatite atopique modérée à sévère de l'adolescent (12-17 ans) éligible à un traitement systémique ; (3) Dermatite atopique sévère de l'enfant (6-11 ans, ≥ 15 kg) en cas de réponse insuffisante aux traitements topiques ; (4) Dermatite atopique sévère du nourrisson (6 mois à 5 ans, ≥ 5 kg) en cas de réponse insuffisante aux traitements topiques ; (5) Asthme eosinophilique sévère de l'adulte et de l'enfant ≥ 6 ans en traitement d'entretien add-on (asthme à phénotype Th2 : eosinophiles ≥ 150/μL et/ou FeNO ≥ 20 ppb et/ou test positif à l'allergène) ; (6) Polypose nasosinusienne chronique sévère de l'adulte non contrôlée par les corticoïdes nasaux ; (7) Œsophagite à éosinophiles de l'adulte et de l'enfant ≥ 12 ans (≥ 40 kg) ; (8) Prurigo nodulaire de l'adulte en cas de réponse insuffisante aux traitements topiques et antihistaminiques.</w:t>
      </w:r>
    </w:p>
    <w:p>
      <w:pPr>
        <w:pStyle w:val="ListBullet"/>
      </w:pPr>
      <w:r>
        <w:t>Contre-indications : (1) Hypersensibilité à la substance active ou à l'un des excipients ; (2) Infections sévères actives (rare, le dupilumab n'étant pas immunosuppresseur profond) — contre-indication transitoire jusqu'à contrôle. Précautions : âge &gt; 65 ans, helminthiases (les IL-4/13 sont impliquées dans l'immunité anti-parasitaire — traitement antihelminthique préalable en zone d'endémie, surveillance en cas de réinfestation), vaccination vivante à éviter par mesure de prudence (mais pas de contre-indication absolue si nécessité, contrairement aux biothérapies psoriasis). Survenue possible d'une arthralgie inflammatoire (rare, 1-3 %), d'une conjonctivite (fréquente, 8-15 %), d'une aggravation paradoxale transitoire de la DA dans les premières semaines (rare, &lt; 5 %).</w:t>
      </w:r>
    </w:p>
    <w:p>
      <w:pPr>
        <w:pStyle w:val="ListBullet"/>
      </w:pPr>
      <w:r>
        <w:t>Effets Indésirables (très fréquents &gt; 10 %) : réactions au site d'injection (érythème, œdème, douleur, prurit — 10-15 %), conjonctivite (8-15 %, effet de classe des anti-IL-4/13). Fréquents (1-10 %) : herpès labial ou génital (5-8 %, réactivation virale), rhinopharyngite, céphalées, arthralgies (1-3 %, parfois révélatrice d'un rhumatisme inflammatoire latent), prurit, rash cutané, douleur oropharyngée, nausées, élévation transitoire des éosinophiles (paradoxe : pic transitoire à S4-S8 chez 5-10 % des patients, généralement asymptomatique, résolution spontanée), blépharite, kératite (rare, ~1 %), hypoesthésie buccale. Peu fréquents (0,1-1 %) : vascularite leucocytoclasique (très rare, signal de pharmacovigilance), angioedème, hypersensibilité, réaction anaphylactique (très rare). Rares (&lt; 0,1 %) : réactions systémiques sévères, syndrome DRESS (très rare, signal discuté). Particularités : la conjonctivite sous dupilumab est un effet de classe (également observé avec les autres anti-IL-4/13 en développement) survenant typiquement entre S4 et S16, le plus souvent modérée et réversible (traitement par larmes artificielles, corticoïdes topiques oculaires faibles, cyclosporine collyre 0,1 % dans les formes modérées à sévères, rarement interruption du dupilumab) ; son mécanisme exact reste mal élucidé (hypothèse : déséquilibre IL-4/IL-13 vs IL-17 dans la muqueuse conjonctivale, altération des cellules calciformes conjonctivales, modification du microbiome oculaire). L'élévation transitoire des éosinophiles correspond à la sortie des éosinophiles tissulaires (cutanés, bronchiques) vers le compartiment circulatoire, sans manifestation clinique dans la majorité des cas.</w:t>
      </w:r>
    </w:p>
    <w:p>
      <w:r/>
      <w:r>
        <w:rPr>
          <w:b/>
        </w:rPr>
        <w:t>Prévention et Gestion des Effets Indésirables :</w:t>
      </w:r>
      <w:r/>
    </w:p>
    <w:p>
      <w:pPr>
        <w:pStyle w:val="ListBullet"/>
      </w:pPr>
      <w:r>
        <w:t>Mesures Préventives : Bilan pré-thérapeutique : (a) interrogatoire à la recherche d'une conjonctivite préexistante, d'une sécheresse oculaire, d'un syndrome de Gougerot-Sjögren (facteurs de risque de conjonctivite sous dupilumab) — consultation ophtalmologique préalable si antécédents oculaires ; (b) NFS-plaquettes avec formule (éosinophiles de référence) ; (c) bilan hépatique (ALAT, ASAT, PAL, γ-GT, bilirubine) ; (d) bilan rénal (urée, créatinine) ; (e) total des IgE sériques (souvent très élevés dans la DA sévère, diminuera sous dupilumab — marqueur d'efficacité) ; (f) eosinophiles sanguins ; (g) examen dermatologique complet (EASI, SCORAD, DLQI, prurit NRS) ; (h) statut vaccinal — à jour ; (i) en zone d'endémie parasitaire (Afrique subsaharienne, Algérie Sahel), dépistage et traitement d'une helminthiase préalable (examen parasitologique des selles, sérologie Toxocara, Strongyloides stercoralis) — en cas de positivité, traitement antihelminthique (albendazole 400 mg/j × 3 jours ou ivermectine 200 μg/kg × 1-2 jours) avant initiation ; retraitement en cas de réinfestation pendant le dupilumab (surveillance annuelle). À la différence des biothérapies psoriasis, le dépistage tuberculeux n'est PAS systématique (l'IL-4/13 n'est pas impliquée dans l'immunité anti-mycobactérienne). Les vaccins vivants sont à éviter par mesure de prudence mais ne sont pas une contre-indication absolue (en cas de nécessité épidémiologique — voyage en zone de fièvre jaune, contact varicelle — à discuter au cas par cas).</w:t>
      </w:r>
    </w:p>
    <w:p>
      <w:pPr>
        <w:pStyle w:val="ListBullet"/>
      </w:pPr>
      <w:r>
        <w:t>Conduite à Tenir : En cas de conjonctivite modérée (larmoiement, prurit oculaire, rougeur conjonctivale) : larmes artificielles (acide hyaluronique 0,1-0,4 %, 4-6 instillations/j), antihistaminiques topiques oculaires (olopatadine 0,2 %, 1 goutte × 2/j), dans la majorité des cas suffisant. En cas de conjonctivite modérée à sévère (kératite, douleur, photophobie, baisse d'acuité visuelle) : consultation ophtalmologique urgente, corticoïdes topiques oculaires faibles (fluorométholone 0,1 %, 1 goutte × 3-4/j sur 7-14 jours), cyclosporine collyre 0,1 % (Ikervis®) en deuxième intention, antibiotiques topiques si surinfection bactérienne. Rarement, interruption transitoire du dupilumab (&lt; 1 % des cas). En cas d'arthralgies : bilan biologique (CRP, VS, anti-CCP, facteur rhumatoïde, ACPA), consultation rhumatologique, AINS, pas d'arrêt en première intention (parfois switch vers une autre biothérapie si rhumatisme psoriasique confirmé). En cas de réaction au site d'injection : antihistaminiques, rotation des sites, pas d'arrêt. En cas d'herpès récurrent : valaciclovir 500 mg/j en prophylaxie si &gt; 6 épisodes/an. En cas d'hyperéosinophilie persistante &gt; 1500/μL ou symptomatique (dyspnée, douleur thoracique, neuropathie) : recherche d'une vascularite ou d'un syndrome hyperéosinophilique, interruption transitoire exceptionnelle. En cas de chirurgie programmée : pas d'interruption systématique (demi-vie d'élimination 7-8 jours, retour à l'immunité normale en 4-5 semaines) — à discuter au cas par cas selon le type de chirurgie.</w:t>
      </w:r>
    </w:p>
    <w:p>
      <w:r/>
      <w:r>
        <w:rPr>
          <w:b/>
        </w:rPr>
        <w:t>Interactions Médicamenteuses :</w:t>
      </w:r>
      <w:r/>
    </w:p>
    <w:p>
      <w:pPr>
        <w:pStyle w:val="ListBullet"/>
      </w:pPr>
      <w:r>
        <w:t>Le dupilumab est métabolisé par catabolisme protéique non cytochromal (dégradation enzymatique par protéases lysosomales, pas d'implication du CYP450). Cependant, le dupilumab peut normaliser la concentration des cytokines (IL-4, IL-13) qui elles-mêmes régulent l'expression des CYP450 (en particulier le CYP3A4, CYP2C9, CYP2C19, CYP1A2). Une normalisation de l'expression du CYP450 après initiation du dupilumab peut théoriquement modifier la concentration des médicaments métabolisés par ces enzymes (warfarine, statines, contraceptifs oraux, anticonvulsivants) — surveillance clinique et biologique recommandée lors de l'initiation ou de l'arrêt du dupilumab chez les patients sous ces traitements (en particulier warfarine : surveillance INR ; contraceptifs oraux : efficacité théoriquement inchangée mais surveillance clinique).</w:t>
      </w:r>
    </w:p>
    <w:p>
      <w:pPr>
        <w:pStyle w:val="ListBullet"/>
      </w:pPr>
      <w:r>
        <w:t>Vaccins vivants atténués : à éviter par mesure de prudence pendant le traitement et jusqu'à 4-8 semaines après l'arrêt (le RCP recommande l'évitement sans contre-indication absolue ; à la différence des biothérapies psoriasis, l'administration d'un vaccin vivant en cas de nécessité absolue n'est pas strictement contre-indiquée mais à discuter au cas par cas).</w:t>
      </w:r>
    </w:p>
    <w:p>
      <w:pPr>
        <w:pStyle w:val="ListBullet"/>
      </w:pPr>
      <w:r>
        <w:t>Vaccins inactivés : autorisés et recommandés ; réponse immunitaire conservée.</w:t>
      </w:r>
    </w:p>
    <w:p>
      <w:pPr>
        <w:pStyle w:val="ListBullet"/>
      </w:pPr>
      <w:r>
        <w:t>Association avec immunosuppresseurs (méthotrexate, azathioprine, ciclosporine, mycophénolate) : possible mais surveillance renforcée du fait du risque cumulé d'immunosuppression.</w:t>
      </w:r>
    </w:p>
    <w:p>
      <w:pPr>
        <w:pStyle w:val="ListBullet"/>
      </w:pPr>
      <w:r>
        <w:t>Association avec d'autres biothérapies : à éviter.</w:t>
      </w:r>
    </w:p>
    <w:p>
      <w:pPr>
        <w:pStyle w:val="ListBullet"/>
      </w:pPr>
      <w:r>
        <w:t>Vaccin anti-grippe vivant intranasal (Fluenz®) : éviter par mesure de prudence ; préférer le vaccin inactivé injectable.</w:t>
      </w:r>
    </w:p>
    <w:p>
      <w:pPr>
        <w:pStyle w:val="ListBullet"/>
      </w:pPr>
      <w:r>
        <w:t>Helminthiases : l'IL-4 et l'IL-13 sont impliquées dans l'immunité anti-parasitaire (éosinophiles, IgE, cellules calciformes, mucus). Le dupilumab peut théoriquement diminuer la réponse anti-parasitaire — dépistage et traitement préalable en zone d'endémie, surveillance en cas de réinfestation (examen parasitologique des selles annuel si zone d'endémie).</w:t>
      </w:r>
    </w:p>
    <w:p>
      <w:r/>
      <w:r>
        <w:rPr>
          <w:b/>
        </w:rPr>
        <w:t>Grossesse et Allaitement (CRAT) :</w:t>
      </w:r>
      <w:r/>
    </w:p>
    <w:p>
      <w:pPr>
        <w:pStyle w:val="ListBullet"/>
      </w:pPr>
      <w:r>
        <w:t>Grossesse : les données animales (singe cynomolgus) n'ont pas montré d'effet tératogène ni d'embryotoxicité. Les données humaines issues du registre de grossesses sous dupilumab (Sanofi/Regeneron pregnancy registry) sont rassurantes, avec un taux de malformations congénitales et d'issues défavorables comparable à la population générale (données 2023 sur plusieurs centaines de grossesses exposées). Le CRAT conclut que le dupilumab est "compatible" avec la grossesse si l'indication le justifie (DA sévère avec retentissement maternel majeur, asthme eosinophilique sévère non contrôlé) — le bénéfice maternel (contrôle de la maladie inflammatoire, diminution des poussées qui peuvent aggraver le pronostic obstétrical dans l'asthme) l'emporte sur le risque fœtal théorique (immunosuppression néonatale transitoire par passage transplacentaire passif des IgG4 via le FcRn à partir du 2e trimestre, faible mais non nul — les IgG4 traversant moins la barrière que les IgG1). Contraception conseillée pendant le traitement et 8-12 semaines après l'arrêt (5 demi-vies ≈ 8-10 semaines). En cas de projet de grossesse : ne pas interrompre le dupilumab si l'indication le justifie (DA sévère, asthme eosinophilique sévère non contrôlé) ; discussion pluridisciplinaire (dermatologue/pneumologue-gynécologue). En cas de grossesse sous dupilumab : ne pas interrompre de principe, surveillance obstétricale et néonatale standard. Les vaccins vivants sont à éviter chez le nouveau-né pendant les 6 premiers mois (immunosuppression transitoire théorique).</w:t>
      </w:r>
    </w:p>
    <w:p>
      <w:pPr>
        <w:pStyle w:val="ListBullet"/>
      </w:pPr>
      <w:r>
        <w:t>Allaitement : le dupilumab est excrété en très faible quantité dans le lait maternel (IgG4 passivement excrétés, dégradation digestive chez le nouveau-né, absorption négligeable). Le CRAT conclut à un allaitement POSSIBLE en raison de la biodisponibilité orale nulle de l'anticorps monoclonal et de l'absence d'effet délétère documenté chez le nouveau-né allaité (données rassurantes du registre). L'allaitement est donc autorisé sous dupilumab — un avantage compétitif majeur par rapport aux autres biothérapies (anti-TNF, anti-IL-17, anti-IL-23) pour les jeunes femmes souhaitant allaiter.</w:t>
      </w:r>
    </w:p>
    <w:p>
      <w:pPr>
        <w:pStyle w:val="ListBullet"/>
      </w:pPr>
      <w:r>
        <w:t>Fertilité : pas d'effet délétère documenté sur la fertilité féminine ou masculine.</w:t>
      </w:r>
    </w:p>
    <w:p>
      <w:r/>
      <w:r>
        <w:rPr>
          <w:b/>
        </w:rPr>
        <w:t>Posologie et Mode d'administration (Standard) :</w:t>
      </w:r>
      <w:r/>
    </w:p>
    <w:p>
      <w:pPr>
        <w:pStyle w:val="ListBullet"/>
      </w:pPr>
      <w:r>
        <w:t>Adulte — Dermatite atopique : dose de charge 600 mg à S0 (2 injections de 300 mg à des sites différents le même jour), puis 300 mg toutes les 2 semaines à partir de S2 (soit S2, S4, S6…). Schéma d'entretien q2w. En cas de réponse complète stable à S16-S20 (EASI 90), espacement à 300 mg toutes les 4 semaines possible (hors AMM européenne mais validé aux États-Unis et pratique courante).</w:t>
      </w:r>
    </w:p>
    <w:p>
      <w:pPr>
        <w:pStyle w:val="ListBullet"/>
      </w:pPr>
      <w:r>
        <w:t>Adulte — Asthme eosinophilique : dose de charge 400 mg à S0 (1 injection de 200 mg + 1 injection de 200 mg le même jour, ou 2 injections de 200 mg), puis 200 mg toutes les 2 semaines à partir de S2. Dose plus élevée (300 mg q2w) possible pour asthme sévère avec dépendance aux corticoïdes oraux.</w:t>
      </w:r>
    </w:p>
    <w:p>
      <w:pPr>
        <w:pStyle w:val="ListBullet"/>
      </w:pPr>
      <w:r>
        <w:t>Adulte — Polypose nasosinusienne : 300 mg q2w (dose de charge 600 mg à S0).</w:t>
      </w:r>
    </w:p>
    <w:p>
      <w:pPr>
        <w:pStyle w:val="ListBullet"/>
      </w:pPr>
      <w:r>
        <w:t>Adulte — Œsophagite à éosinophiles : 300 mg q2w (dose de charge 600 mg à S0).</w:t>
      </w:r>
    </w:p>
    <w:p>
      <w:pPr>
        <w:pStyle w:val="ListBullet"/>
      </w:pPr>
      <w:r>
        <w:t>Adulte — Prurigo nodulaire : 600 mg à S0 puis 300 mg q2w à partir de S2.</w:t>
      </w:r>
    </w:p>
    <w:p>
      <w:pPr>
        <w:pStyle w:val="ListBullet"/>
      </w:pPr>
      <w:r>
        <w:t>Adolescent (12-17 ans) — Dermatite atopique : si poids &lt; 60 kg : dose de charge 400 mg à S0 (2 injections de 200 mg), puis 200 mg q2w ; si poids ≥ 60 kg : schéma adulte (600 mg à S0 puis 300 mg q2w).</w:t>
      </w:r>
    </w:p>
    <w:p>
      <w:pPr>
        <w:pStyle w:val="ListBullet"/>
      </w:pPr>
      <w:r>
        <w:t>Enfant (6-11 ans) — Dermatite atopique : si poids 15-30 kg : dose de charge 600 mg à S0 puis 300 mg q4w (espacement q4w pour les enfants) ; si poids ≥ 30 kg : dose de charge 400 mg à S0 puis 200 mg q2w, ou 600 mg à S0 puis 300 mg q4w.</w:t>
      </w:r>
    </w:p>
    <w:p>
      <w:pPr>
        <w:pStyle w:val="ListBullet"/>
      </w:pPr>
      <w:r>
        <w:t>Nourrisson (6 mois à 5 ans) — Dermatite atopique : si poids 5-15 kg : 200 mg à S0 puis 200 mg q4w ; si poids 15-30 kg : 300 mg à S0 puis 300 mg q4w.</w:t>
      </w:r>
    </w:p>
    <w:p>
      <w:pPr>
        <w:pStyle w:val="ListBullet"/>
      </w:pPr>
      <w:r>
        <w:t>Insuffisance rénale ou hépatique : pas d'adaptation posologique.</w:t>
      </w:r>
    </w:p>
    <w:p>
      <w:pPr>
        <w:pStyle w:val="ListBullet"/>
      </w:pPr>
      <w:r>
        <w:t>Sujet âgé (&gt; 65 ans) : pas d'adaptation, surveillance infectieuse renforcée.</w:t>
      </w:r>
    </w:p>
    <w:p>
      <w:pPr>
        <w:pStyle w:val="ListBullet"/>
      </w:pPr>
      <w:r>
        <w:t>Mode d'administration : voie sous-cutanée stricte, au niveau de la cuisse, de l'abdomen ou du bras. Rotation des sites. Auto-administration possible après formation. Conservation au réfrigérateur (2-8 °C), ne pas congeler. Sortir la seringue 15-30 minutes avant l'injection.</w:t>
      </w:r>
    </w:p>
    <w:p>
      <w:r/>
      <w:r>
        <w:rPr>
          <w:b/>
        </w:rPr>
        <w:t>Surveillance Biologique et Suivi Clinique :</w:t>
      </w:r>
      <w:r/>
    </w:p>
    <w:p>
      <w:pPr>
        <w:pStyle w:val="ListBullet"/>
      </w:pPr>
      <w:r>
        <w:t>Bilan pré-thérapeutique : (a) NFS-plaquettes avec formule (éosinophiles de référence, souvent élevés dans la DA sévère — parfois &gt; 1000/μL) ; (b) bilan hépatique (ALAT, ASAT, PAL, γ-GT, bilirubine) ; (c) bilan rénal (urée, créatinine) ; (d) IgE totales (souvent très élevées dans la DA sévère, marqueur d'activité, diminution sous traitement) ; (e) IgE spécifiques (si allergie documentée) ; (f) examen dermatologique complet (EASI, SCORAD, DLQI, prurit NRS) ; (g) interrogationatoire conjonctivite, sécheresse oculaire, helminthiases, arthralgies ; (h) consultation ophtalmologique préalable si antécédents oculaires ; (i) statut vaccinal. Pas de dépistage tuberculeux systématique.</w:t>
      </w:r>
    </w:p>
    <w:p>
      <w:pPr>
        <w:pStyle w:val="ListBullet"/>
      </w:pPr>
      <w:r>
        <w:t>Suivi thérapeutique : consultation dermatologique à S4 (tolérance, EASI 50), S8 (EASI 75), S16 (EASI 90, décision de poursuivre ou d'espacer), puis tous les 3 mois la première année, tous les 6 mois ensuite. Prurit NRS à chaque visite (effet sur le prurit dès S2-S4, souvent précoce et spectaculaire). DLQI à l'initiation, S16, puis annuel. POEM (Patient-Oriented Eczema Measure) à l'initiation et à chaque visite.</w:t>
      </w:r>
    </w:p>
    <w:p>
      <w:pPr>
        <w:pStyle w:val="ListBullet"/>
      </w:pPr>
      <w:r>
        <w:t>Surveillance biologique : NFS-plaquettes avec formule (éosinophiles) à S4, S8, S16 puis tous les 6 mois (recherche d'hyperéosinophilie transitoire, généralement spontanément résolutive en 4-8 semaines ; persistance &gt; 1500/μL ou symptomatique = recherche d'une vascularite ou d'un syndrome hyperéosinophilique). IgE totales à S16 et annuel (marqueur d'efficacité, attendu à diminuer progressivement sous traitement). Pas de surveillance systématique des anticorps anti-médicament.</w:t>
      </w:r>
    </w:p>
    <w:p>
      <w:pPr>
        <w:pStyle w:val="ListBullet"/>
      </w:pPr>
      <w:r>
        <w:t>Surveillance ophtalmologique : interrogatoire systématique à chaque visite sur des signes oculaires (larmoiement, prurit, rougeur, photophobie, sécheresse). Consultation ophtalmologique si symptômes. Dans les formes modérées à sévères, collyre corticoïde ou cyclosporine.</w:t>
      </w:r>
    </w:p>
    <w:p>
      <w:pPr>
        <w:pStyle w:val="ListBullet"/>
      </w:pPr>
      <w:r>
        <w:t>Surveillance infectieuse : éducation aux signes d'alerte (fièvre, herpès récurrent). Pas de restriction vaccinale vivante absolue mais évitement par prudence.</w:t>
      </w:r>
    </w:p>
    <w:p>
      <w:r/>
      <w:r>
        <w:rPr>
          <w:b/>
        </w:rPr>
        <w:t>Arbitrage et Bénéfices des Formes Galéniques :</w:t>
      </w:r>
      <w:r/>
    </w:p>
    <w:p>
      <w:r>
        <w:t>Le dupilumab est disponible en Algérie en deux dosages : 200 mg (B/02 seringues préremplies en verre avec dispositif de protection d'aiguille) et 300 mg (B/02 seringues préremplies en verre de 2 mL avec dispositif de protection d'aiguille). Les deux dosages sont nécessaires pour couvrir tous les schémas posologiques : 200 mg (1 injection) pour les enfants &lt; 30 kg, les asthmes eosinophiliques et l'adolescent &lt; 60 kg ; 300 mg (1 injection) pour l'adulte standard, l'adolescent ≥ 60 kg et l'enfant ≥ 30 kg ; 600 mg (2 injections de 300 mg) pour la dose de charge adulte ; 400 mg (2 injections de 200 mg) pour la dose de charge de l'adolescent &lt; 60 kg. Les deux dosages sont en seringue préremplie avec dispositif de protection d'aiguille (système de sécurité passive — l'aiguille se rétracte automatiquement après injection, prévention des accidents d'exposition au sang). La seringue préremplie offre un contrôle visuel du volume injecté et de l'aiguille ; le stylo auto-injecteur prérempli (commercialisé en Europe sous le nom Dupixent® pen) n'est pas référencé dans la nomenclature algérienne active. La formation initiale par un infirmier d'éducation thérapeutique est obligatoire. Le schéma d'entretien q2w (toutes les 2 semaines) est moins favorable que celui des anti-IL-23 psoriasis (toutes les 8 à 12 semaines) en termes d'observance, mais la sévérité de la DA et la fréquence des poussées justifient cet espacement.</w:t>
      </w:r>
    </w:p>
    <w:p>
      <w:r/>
      <w:r>
        <w:rPr>
          <w:b/>
        </w:rPr>
        <w:t>Instructions et Conseils au Patient :</w:t>
      </w:r>
      <w:r/>
    </w:p>
    <w:p>
      <w:pPr>
        <w:pStyle w:val="ListBullet"/>
      </w:pPr>
      <w:r>
        <w:t>Communication au comptoir : « Le dupilumab (Dupixent®) est un médicament biomoléculaire qui cible spécifiquement deux protéines responsables de l'inflammation de la dermatite atopique : l'interleukine 4 et l'interleukine 13. Il s'administre en injection sous-cutanée à l'aide d'une seringue préremplie, à domicile après formation. Le schéma initial est une dose double à S0 (2 injections le même jour), puis une injection toutes les 2 semaines en entretien. Les premiers signes d'efficacité apparaissent très rapidement — souvent dès la 2e semaine (diminution du prurit, amélioration du sommeil), et l'efficacité maximale est atteinte à 4 mois (peau claire ou presque claire chez 6 à 7 patients sur 10). Les effets indésirables les plus fréquents sont : (1) les réactions au site d'injection (rougeur, démangeaison) — bénignes et transitoires ; (2) les conjonctivites (yeux rouges, larmoiement, prurit oculaire) — effet de classe des anti-IL-4/13, le plus souvent modérées et réversibles, à traiter par larmes artificielles et collyre antihistaminique ; (3) l'herpès labial récurrent. Prévenez immédiatement votre médecin en cas de douleur oculaire, de baisse d'acuité visuelle, de photophobie (consultation ophtalmologique urgente), d'arthralgies inflammatoires (réveil nocturne, raideur matinale), de fièvre. Les vaccins vivants (ROR, fièvre jaune, BCG, varicelle) sont à éviter par mesure de prudence pendant le traitement. Les vaccins inactivés (grippe, COVID, pneumocoque, hépatite B) sont recommandés. Le médicament se conserve au réfrigérateur (2-8 °C), ne pas congeler. Sortir la seringue 15 à 30 minutes avant l'injection. »</w:t>
      </w:r>
    </w:p>
    <w:p>
      <w:pPr>
        <w:pStyle w:val="ListBullet"/>
      </w:pPr>
      <w:r>
        <w:t>Observance : calendrier d'administration à jour (carnet ou application smartphone), alertes de rappel q2w, ne jamais interrompre sans avis médical (risque de rechute en 8 à 12 semaines), prévoir une réserve de seringues pour les déplacements.</w:t>
      </w:r>
    </w:p>
    <w:p>
      <w:pPr>
        <w:pStyle w:val="ListBullet"/>
      </w:pPr>
      <w:r>
        <w:t>Hygiène de vie : émollients en application quotidienne (xérèse cutanée majeure dans la DA, à traiter par émollients même en peau saine sous dupilumab), douches tièdes courtes, savon doux syndet sans parfum, éviter les irritants (laine, parfums, détergents agressifs), dépistage des allergies de contact (patch-tests si suspicion).</w:t>
      </w:r>
    </w:p>
    <w:p>
      <w:pPr>
        <w:pStyle w:val="ListBullet"/>
      </w:pPr>
      <w:r>
        <w:t>Femmes en âge de procréer : contraception conseillée pendant le traitement et 8-12 semaines après l'arrêt. Grossesse possible sous dupilumab si l'indication le justifie (DA sévère, asthme eosinophilique non contrôlé). Allaitement possible sous dupilumab (autorisation CRAT).</w:t>
      </w:r>
    </w:p>
    <w:p>
      <w:pPr>
        <w:pStyle w:val="ListBullet"/>
      </w:pPr>
      <w:r>
        <w:t>Suivi : consultation dermatologique à S4, S8, S16, puis tous les 3 à 6 mois. Suivi ophtalmologique si symptômes oculaires.</w:t>
      </w:r>
    </w:p>
    <w:p>
      <w:r/>
      <w:r>
        <w:rPr>
          <w:b/>
        </w:rPr>
        <w:t>Notes, Règles d'Or &amp; Pièges au Comptoir :</w:t>
      </w:r>
      <w:r/>
    </w:p>
    <w:p>
      <w:pPr>
        <w:pStyle w:val="ListBullet"/>
      </w:pPr>
      <w:r>
        <w:t>Piège : ne pas oublier la recherche d'une conjonctivite préexistante ou d'un syndrome sec oculaire avant initiation — facteur de risque majeur de conjonctivite sous dupilumab ; consulter un ophtalmologue préalable si antécédents oculaires.</w:t>
      </w:r>
    </w:p>
    <w:p>
      <w:pPr>
        <w:pStyle w:val="ListBullet"/>
      </w:pPr>
      <w:r>
        <w:t>Piège : la survenue d'une conjonctivite sous dupilumab n'est PAS un échec du traitement — ne pas interrompre le dupilumab en première intention ; traiter par larmes artificielles, antihistaminiques topiques oculaires, corticoïdes topiques faibles ; exceptionnellement interruption transitoire si conjonctivite sévère (kératite, ulcération).</w:t>
      </w:r>
    </w:p>
    <w:p>
      <w:pPr>
        <w:pStyle w:val="ListBullet"/>
      </w:pPr>
      <w:r>
        <w:t>Règle : le schéma d'induction comporte une dose de charge à S0 (600 mg pour l'adulte = 2 injections de 300 mg à des sites différents le même jour) — son non-respect expose à une réponse suboptimale et à un échec thérapeutique.</w:t>
      </w:r>
    </w:p>
    <w:p>
      <w:pPr>
        <w:pStyle w:val="ListBullet"/>
      </w:pPr>
      <w:r>
        <w:t>Règle : évaluer la réponse à S16 (EASI 75 = succès, EASI 90 = succès complet, EASI 50-74 = succès partiel, EASI &lt; 50 = échec primaire).</w:t>
      </w:r>
    </w:p>
    <w:p>
      <w:pPr>
        <w:pStyle w:val="ListBullet"/>
      </w:pPr>
      <w:r>
        <w:t>Piège : l'hyperéosinophilie transitoire (jusqu'à 1500-3000/μL) survenant à S4-S8 chez 5-10 % des patients est généralement asymptomatique et spontanément résolutive en 4-8 semaines — ne pas interrompre le dupilumab de principe ; surveiller en cas de persistance &gt; 1500/μL ou de symptômes (dyspnée, douleur thoracique, neuropathie).</w:t>
      </w:r>
    </w:p>
    <w:p>
      <w:pPr>
        <w:pStyle w:val="ListBullet"/>
      </w:pPr>
      <w:r>
        <w:t>Règle : l'effet sur le prurit est précoce (dès S2-S4, diminution de 30 à 50 % du NRS) — à utiliser comme marqueur d'observance et d'efficacité précoce.</w:t>
      </w:r>
    </w:p>
    <w:p>
      <w:pPr>
        <w:pStyle w:val="ListBullet"/>
      </w:pPr>
      <w:r>
        <w:t>Piège : la survenue d'arthralgies inflammatoires sous dupilumab (1-3 %) peut révéler un rhumatisme psoriasique latent ou un rhumatisme inflammatoire — bilan rhumatologique (CRP, VS, anti-CCP, facteur rhumatoïde) et consultation spécialisée.</w:t>
      </w:r>
    </w:p>
    <w:p>
      <w:pPr>
        <w:pStyle w:val="ListBullet"/>
      </w:pPr>
      <w:r>
        <w:t>Règle : pas d'arrêt systématique en cas d'intervention chirurgicale programmée — à discuter au cas par cas selon le type de chirurgie et l'avis chirurgical.</w:t>
      </w:r>
    </w:p>
    <w:p>
      <w:pPr>
        <w:pStyle w:val="ListBullet"/>
      </w:pPr>
      <w:r>
        <w:t>Piège : oubli d'une injection d'entretien (toutes les 2 semaines) — injecter dès que possible, ne pas doubler, reprendre le schéma à 2 semaines à partir de la dernière injection.</w:t>
      </w:r>
    </w:p>
    <w:p>
      <w:pPr>
        <w:pStyle w:val="ListBullet"/>
      </w:pPr>
      <w:r>
        <w:t>Règle : conservation au réfrigérateur (2-8 °C), ne pas congeler, ne pas secouer, vérifier la limpidité de la solution avant injection (ne pas injecter si trouble, colorée ou contenant des particules).</w:t>
      </w:r>
    </w:p>
    <w:p>
      <w:pPr>
        <w:pStyle w:val="ListBullet"/>
      </w:pPr>
      <w:r>
        <w:t>Piège : ne pas confondre les dosages 200 mg et 300 mg — schémas posologiques différents selon le poids, l'âge et l'indication ; toujours vérifier la prescription, le poids du patient et l'indication avant dispensation.</w:t>
      </w:r>
    </w:p>
    <w:p>
      <w:pPr>
        <w:pStyle w:val="ListBullet"/>
      </w:pPr>
      <w:r>
        <w:t>Règle : en zone d'endémie parasitaire (Sahel, Afrique subsaharienne), dépistage et traitement d'une helminthiase préalable (examen parasitologique des selles, sérologie Strongyloides) — le dupilumab peut diminuer la réponse anti-parasitaire (immunité Th2).</w:t>
      </w:r>
    </w:p>
    <w:p>
      <w:pPr>
        <w:pStyle w:val="Heading2"/>
      </w:pPr>
      <w:r>
        <w:t>126.4 Sous-classe : Inhibiteurs JAK — Dermatite atopique (Baricitinib)</w:t>
      </w:r>
    </w:p>
    <w:p>
      <w:r>
        <w:t xml:space="preserve">Les inhibiteurs de Janus kinases (JAK) représentent une nouvelle classe thérapeutique de petite molécule orale, issue de la transposition au domaine dermatologique des succès initiaux en rhumatologie (baricitinib, tofacitinib dans la polyarthrite rhumatoïde) et en hématologie (ruxolitinib dans la myélofibrose, MPN). Les Janus kinases sont une famille de quatre tyrosines kinases intracellulaires (JAK1, JAK2, JAK3, TYK2) associées aux récepteurs des cytokines de type I et II, qui catalysent la phosphorylation des protéines STAT (Signal Transducer and Activator of Transcription) après liaison du ligand cytokinique au récepteur membranaire. La voie JAK-STAT est ainsi le canal de signalisation intracellulaire de plus de 50 cytokines et facteurs de croissance, incluant : (i) les cytokines Th2 (IL-4, IL-13 via JAK1/JAK3 → STAT6) ; (ii) les cytokines Th1 (IFN-γ via JAK1/JAK2 → STAT1) ; (iii) les cytokines Th17 (IL-6, IL-21, IL-23 via JAK1/JAK2/TYK2 → STAT3) ; (iv) les cytokines pro-inflammatoires (IL-2, IL-7, IL-9, IL-15 via JAK1/JAK3 → STAT5) ; (v) les cytokines hématopoïétiques (EPO, TPO, GM-CSF via JAK2 → STAT5) ; (vi) les interférons de type I (IFN-α/β via JAK1/TYK2 → STAT1/STAT2). Le blocage des JAK permet donc une inhibition multi-cytokinique simultanée, particulièrement pertinente dans la dermatite atopique où plusieurs voies sont impliquées (Th2 dominante, mais aussi Th1, Th17 et Th22 dans certaines formes). Le </w:t>
      </w:r>
      <w:r>
        <w:rPr>
          <w:b/>
        </w:rPr>
        <w:t>baricitinib</w:t>
      </w:r>
      <w:r>
        <w:t xml:space="preserve"> (Olumiant®, Eli Lilly puis Biopharm en Algérie), inhibiteur oral JAK1/JAK2 (avec une activité moindre sur JAK3 et TYK2), a obtenu l'AMM européenne pour la polyarthrite rhumatoïde (2017), la maladie du greffon contre l'hôte (2021), l'alopécie areata sévère de l'adulte (2022) et la dermatite atopique modérée à sévère de l'adulte (2023, après refus initial par le CHMP en 2020 puis réévaluation). L'AMM dermatite atopique est restreinte à l'adulte éligible à un traitement systémique, en cas de réponse insuffisante, de contre-indication ou d'intolérance au dupilumab — positionnement en deuxième ligne après biothérapie injectable. Le profil d'effets indésirables est dominé par les infections (voies respiratoires hautes, herpès zoster, tuberculose à dépister), les perturbations lipidiques (augmentation LDL-c, HDL-c, triglycérides), les cytopénies (neutropénie, anémie, thrombopénie, lymphopénie), et surtout les </w:t>
      </w:r>
      <w:r>
        <w:rPr>
          <w:b/>
        </w:rPr>
        <w:t>événements thrombotiques veineux et artériels</w:t>
      </w:r>
      <w:r>
        <w:t xml:space="preserve"> (EP, TVP, infarctus du myocarde, AVC — signal de pharmacovigilance renforcé par l'EMA PRAC en 2022-2023, justifiant des restrictions d'AMM et l'obligation de prescrire en deuxième intention après biothérapie injectable). D'autres inhibiteurs JAK1 sélectifs (upadacitinib, abrocitinib) ont une AMM européenne pour la dermatite atopique mais ne sont pas encore commercialisés dans la nomenclature algérienne active ; ils exposent à un profil d'effets indésirables similaire (thrombose, infections, dyslipidémie). Les principaux avantages de la classe JAK en dermatologie sont : (1) la voie orale (comprimé, observance facilitée par rapport aux injections sous-cutanées) ; (2) la rapidité d'action (efficacité dès S1-S2, supérieure au dupilumab en vitesse de réponse) ; (3) la simplicité galénique (1 à 2 comprimés/j) ; (4) le coût potentiellement inférieur aux biothérapies injectables à terme. Les principaux inconvénients sont : (1) le profil d'effets indésirables (thrombose, infections, dyslipidémie, cytopénies) qui limite l'usage en première intention ; (2) la surveillance biologique rapprochée (NFS, lipides, hépatique) ; (3) la restriction d'AMM à l'adulte (pas d'AMM pédiatrique en dermatite atopique) ; (4) les précautions en cas de grossesse (tératogénicité animale, contre-indication absolue). Le dépistage tuberculeux pré-thérapeutique est systématique, les vaccins vivants sont contre-indiqués, et une surveillance cardiovasculaire et thrombotique est nécessaire chez les patients à risque.</w:t>
      </w:r>
    </w:p>
    <w:p>
      <w:pPr>
        <w:pStyle w:val="Heading3"/>
      </w:pPr>
      <w:r>
        <w:t>126.4.1 DCI : Baricitinib</w:t>
      </w:r>
    </w:p>
    <w:p>
      <w:r/>
      <w:r>
        <w:rPr>
          <w:b/>
        </w:rPr>
        <w:t>Liste des Catégories :</w:t>
      </w:r>
      <w:r>
        <w:t xml:space="preserve"> Dermatologie ; Antiaczémateux systémique ; Rhumatologie ; Antirhumatismal de fond synthétique (DMARD ciblé) ; Inhibiteur de Janus kinase (JAK1/JAK2) ; Petite molécule orale ; Immunomodulateur ; Indications multiples (polyarthrite rhumatoïde, dermatite atopique, alopécie areata, GVHD) ; Prescription hospitalière spécialisée initiale (dermatologie, rhumatologie) ; Liste I.</w:t>
      </w:r>
    </w:p>
    <w:p>
      <w:r>
        <w:t>Le baricitinib, commercialisé sous le nom d'Olumiant® par Eli Lilly and Company (développé en partenariat avec Incyte), puis par Biopharm en Algérie (fabrication locale sous licence), est un inhibiteur oral de Janus kinase de type JAK1/JAK2 de la famille des pyrrolopyrimidines. Il a obtenu l'AMM européenne en février 2017 pour la polyarthrite rhumatoïde modérée à sévère de l'adulte en cas de réponse insuffisante ou d'intolérance aux DMARDs conventionnels (méthotrexate), puis des extensions successives ont inclus la maladie du greffon contre l'hôte (2021), l'alopécie areata sévère de l'adulte (2022) et la dermatite atopique modérée à sévère de l'adulte (2023, après réévaluation par le CHMP à la suite d'un refus initial en 2020). Cette dernière AMM est restreinte à l'adulte éligible à un traitement systémique, en cas de réponse insuffisante, de contre-indication ou d'intolérance au dupilumab — positionnement en deuxième ligne après biothérapie injectable, en raison du signal de pharmacovigilance thrombotique (EMA PRAC 2022-2023). Le baricitinib a également été utilisé (hors AMM initiale, puis AMM temporaire) dans la COVID-19 sévère (en association à la dexaméthasone chez les patients hospitalisés nécessitant oxygénothérapie, essai RECOVERY), avec une réduction de mortalité documentée. En Algérie, le baricitinib est disponible en comprimés pelliculés à 2 mg et 4 mg (Boîte de 28), conditionnement adapté à la prise orale quotidienne. Sa tolérance est dominée par les infections (herpès zoster, tuberculose à dépister), les perturbations lipidiques (augmentation LDL-c, HDL-c, triglycérides), les cytopénies (neutropénie, lymphopénie), les événements thrombotiques veineux et artériels (TVP, EP, infarctus du myocarde, AVC — signal renforcé), et les élévations des transaminases.</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OLUMIANT</w:t>
            </w:r>
          </w:p>
        </w:tc>
        <w:tc>
          <w:tcPr>
            <w:tcW w:type="dxa" w:w="1559"/>
          </w:tcPr>
          <w:p>
            <w:r>
              <w:rPr>
                <w:sz w:val="20"/>
              </w:rPr>
              <w:t>BIOPHARM</w:t>
            </w:r>
          </w:p>
        </w:tc>
        <w:tc>
          <w:tcPr>
            <w:tcW w:type="dxa" w:w="1559"/>
          </w:tcPr>
          <w:p>
            <w:r>
              <w:rPr>
                <w:sz w:val="20"/>
              </w:rPr>
              <w:t>Comprimé pelliculé</w:t>
            </w:r>
          </w:p>
        </w:tc>
        <w:tc>
          <w:tcPr>
            <w:tcW w:type="dxa" w:w="1559"/>
          </w:tcPr>
          <w:p>
            <w:r>
              <w:rPr>
                <w:sz w:val="20"/>
              </w:rPr>
              <w:t>2 mg</w:t>
            </w:r>
          </w:p>
        </w:tc>
        <w:tc>
          <w:tcPr>
            <w:tcW w:type="dxa" w:w="1559"/>
          </w:tcPr>
          <w:p>
            <w:r>
              <w:rPr>
                <w:sz w:val="20"/>
              </w:rPr>
              <w:t>B/28</w:t>
            </w:r>
          </w:p>
        </w:tc>
        <w:tc>
          <w:tcPr>
            <w:tcW w:type="dxa" w:w="1559"/>
          </w:tcPr>
          <w:p>
            <w:r>
              <w:rPr>
                <w:sz w:val="20"/>
              </w:rPr>
              <w:t>Liste I</w:t>
            </w:r>
          </w:p>
        </w:tc>
      </w:tr>
      <w:tr>
        <w:tc>
          <w:tcPr>
            <w:tcW w:type="dxa" w:w="1559"/>
          </w:tcPr>
          <w:p>
            <w:r>
              <w:rPr>
                <w:sz w:val="20"/>
              </w:rPr>
              <w:t>OLUMIANT</w:t>
            </w:r>
          </w:p>
        </w:tc>
        <w:tc>
          <w:tcPr>
            <w:tcW w:type="dxa" w:w="1559"/>
          </w:tcPr>
          <w:p>
            <w:r>
              <w:rPr>
                <w:sz w:val="20"/>
              </w:rPr>
              <w:t>BIOPHARM</w:t>
            </w:r>
          </w:p>
        </w:tc>
        <w:tc>
          <w:tcPr>
            <w:tcW w:type="dxa" w:w="1559"/>
          </w:tcPr>
          <w:p>
            <w:r>
              <w:rPr>
                <w:sz w:val="20"/>
              </w:rPr>
              <w:t>Comprimé pelliculé</w:t>
            </w:r>
          </w:p>
        </w:tc>
        <w:tc>
          <w:tcPr>
            <w:tcW w:type="dxa" w:w="1559"/>
          </w:tcPr>
          <w:p>
            <w:r>
              <w:rPr>
                <w:sz w:val="20"/>
              </w:rPr>
              <w:t>4 mg</w:t>
            </w:r>
          </w:p>
        </w:tc>
        <w:tc>
          <w:tcPr>
            <w:tcW w:type="dxa" w:w="1559"/>
          </w:tcPr>
          <w:p>
            <w:r>
              <w:rPr>
                <w:sz w:val="20"/>
              </w:rPr>
              <w:t>B/28</w:t>
            </w:r>
          </w:p>
        </w:tc>
        <w:tc>
          <w:tcPr>
            <w:tcW w:type="dxa" w:w="1559"/>
          </w:tcPr>
          <w:p>
            <w:r>
              <w:rPr>
                <w:sz w:val="20"/>
              </w:rPr>
              <w:t>Liste I</w:t>
            </w:r>
          </w:p>
        </w:tc>
      </w:tr>
    </w:tbl>
    <w:p/>
    <w:p>
      <w:r>
        <w:t>Le baricitinib est délivré en Algérie via le circuit hospitalier spécialisé (dermatologie pour la dermatite atopique, rhumatologie pour la polyarthrite rhumatoïde, médecine interne pour l'alopécie areata, hématologie pour la GVHD), sur prescription initiale d'un médecin spécialiste. La fabrication locale par Biopharm (partenaire Eli Lilly en Algérie) garantit un accès élargi à ce traitement coûteux. Les deux dosages (2 mg et 4 mg) couvrent les schémas posologiques en fonction de l'indication et de la tolérance. La dose de charge de 4 mg est utilisée en dermatologie atopique (4 mg/j pendant 2 semaines en induction), suivie d'une dose d'entretien de 2 mg/j (parfois 4 mg/j en cas de réponse insuffisante). La dose de 4 mg/j est également utilisée dans l'alopécie areata sévère (induction et entretien). La dose de 2 mg/j est la dose standard dans la polyarthrite rhumatoïde.</w:t>
      </w:r>
    </w:p>
    <w:p>
      <w:r/>
      <w:r>
        <w:rPr>
          <w:b/>
        </w:rPr>
        <w:t>Sous-classe et Mécanisme d'action :</w:t>
      </w:r>
      <w:r/>
    </w:p>
    <w:p>
      <w:pPr>
        <w:pStyle w:val="ListBullet"/>
      </w:pPr>
      <w:r>
        <w:t>Sous-classe : Inhibiteur oral de petite molécule de la famille des pyrrolopyrimidines, inhibiteur sélectif des Janus kinases JAK1 et JAK2 (IC50 ~ 5,9 nM et 5,7 nM respectivement), avec une activité moindre sur JAK3 (IC50 ~ 560 nM) et TYK2 (IC50 ~ 53 nM). Membre de la classe des inhibiteurs JAK de première génération (avec le tofacitinib JAK1/3, le ruxolitinib JAK1/2, le fedratinib JAK2).</w:t>
      </w:r>
    </w:p>
    <w:p>
      <w:pPr>
        <w:pStyle w:val="ListBullet"/>
      </w:pPr>
      <w:r>
        <w:t>Mécanisme d'action : les Janus kinases (JAK1, JAK2, JAK3, TYK2) sont des tyrosines kinases intracellulaires non récepteur, associées de manière constitutive aux récepteurs membranaires des cytokines de type I (hématopoïétines : EPO, TPO, GM-CSF, IL-3, IL-5) et de type II (interférons, IL-10 famille, IL-12/23). Après liaison de la cytokine à son récepteur, les JAKs se phosphorylent mutuellement (transphosphorylation) puis phosphorynent les résidus tyrosine du récepteur, créant des sites de recrutement pour les protéines STAT (STAT1 à STAT7) qui, après phosphorylation par les JAKs, dimérisent, transloquent dans le noyau et activent la transcription des gènes cibles. Le baricitinib inhibe compétitivement le site de liaison de l'ATP dans le domaine catalytique des JAK1 et JAK2, bloquant ainsi la phosphorylation et la signalisation JAK-STAT pour un large éventail de cytokines : (i) cytokines Th2 (IL-4, IL-13 via JAK1/JAK3 → STAT6) — pertinent dans la DA ; (ii) cytokines Th1 (IFN-γ via JAK1/JAK2 → STAT1) ; (iii) cytokines Th17 (IL-6, IL-21, IL-23 via JAK1/JAK2/TYK2 → STAT3) ; (iv) cytokines pro-inflammatoires (IL-2, IL-7, IL-9, IL-15 via JAK1/JAK3 → STAT5) ; (v) cytokines hématopoïétiques (EPO, TPO, GM-CSF via JAK2 → STAT5) — d'où le risque d'anémie et de neutropénie ; (vi) interférons de type I (IFN-α/β via JAK1/TYK2 → STAT1/STAT2). Le baricitinib, en bloquant JAK1/JAK2, exerce un effet anti-inflammatoire multi-cytokinique particulièrement pertinent dans la DA (voie Th2 dominante mais aussi Th1 et Th17), mais aussi dans la polyarthrite rhumatoïde (Th1, Th17), l'alopécie areata (cytokines cytotoxiques IFN-γ, IL-15) et la GVHD. L'inhibition de JAK2 expose à un risque d'anémie, de thrombopénie et de neutropénie (JAK2 étant critique pour la signalisation EPO, TPO, GM-CSF), mais aussi à un effet potentiellement protecteur sur la thrombose (paradoxalement, le baricitinib est associé à un risque accru de thrombose, possiblement par un mécanisme indirect d'altération de la fonction plaquettaire ou endothéliale indépendant de JAK2). L'inhibition de JAK1/JAK3 (via la croisée de baricitinib sur JAK1) supprime également la signalisation des IL-2, IL-4, IL-7, IL-9, IL-15 et IL-21, ce qui affecte l'immunité T régulatrice et l'immunité anti-virale (d'où le risque de réactivation herpétique, de zona, de tuberculose).</w:t>
      </w:r>
    </w:p>
    <w:p>
      <w:pPr>
        <w:pStyle w:val="ListBullet"/>
      </w:pPr>
      <w:r>
        <w:t>Particularité pharmacologique : le baricitinib a une sélectivité JAK1/JAK2 supérieure au tofacitinib (JAK1/JAK3) — ce qui pourrait expliquer un profil d'effets indésirables différent (en particulier sur la signalisation IL-6 et IFN-γ, et le risque d'anémie via JAK2/EPO). Sa sélectivité pour JAK1/JAK2 vs JAK3 pourrait réduire le risque de neutropénie sévère (JAK3 étant critique pour la signalisation IL-7 et la lymphopoïèse T) mais aussi le risque de lymphome (signal discuté sous tofacitinib).</w:t>
      </w:r>
    </w:p>
    <w:p>
      <w:r/>
      <w:r>
        <w:rPr>
          <w:b/>
        </w:rPr>
        <w:t>Profil Pharmacologique :</w:t>
      </w:r>
      <w:r/>
    </w:p>
    <w:p>
      <w:pPr>
        <w:pStyle w:val="ListBullet"/>
      </w:pPr>
      <w:r>
        <w:t>Indications (AMM européenne en vigueur) : (1) Polyarthrite rhumatoïde active modérée à sévère de l'adulte en cas de réponse insuffisante ou d'intolérance à un ou plusieurs DMARDs conventionnels (méthotrexate en première intention) — dose recommandée : 2 mg/j (4 mg/j possible en cas de réponse insuffisante) ; (2) Maladie du greffon contre l'hôte (GVHD) aiguë ou chronique de l'adulte et de l'enfant ≥ 12 ans en cas de réponse insuffisante aux corticoïdes et au ruxolitinib — dose 4 mg/j ; (3) Alopécie areata sévère de l'adulte (≥ 50 % de perte capillaire, alopecia totalis ou universalis) — dose 2 mg/j (4 mg/j possible en induction puis 2 mg/j en entretien) ; (4) Dermatite atopique modérée à sévère de l'adulte éligible à un traitement systémique, en cas de réponse insuffisante, de contre-indication ou d'intolérance au dupilumab — dose de charge 4 mg/j × 2 semaines puis 2 mg/j en entretien (4 mg/j possible en cas de réponse insuffisante). Hors AMM : COVID-19 sévère hospitalisée nécessitant oxygénothérapie (en association à la dexaméthasone, dose 4 mg/j × 14 jours ou jusqu'à sortie d'hôpital, sur la base de l'essai RECOVERY — AMM temporaire d'urgence révoquée en 2023 avec la fin de la pandémie).</w:t>
      </w:r>
    </w:p>
    <w:p>
      <w:pPr>
        <w:pStyle w:val="ListBullet"/>
      </w:pPr>
      <w:r>
        <w:t>Contre-indications : (1) Hypersensibilité à la substance active ou à l'un des excipients ; (2) Infections sévères actives (tuberculose évolutive, sepsis, infections opportunistes) — contre-indication transitoire jusqu'à contrôle ; (3) Grossesse (CI absolue, données animales tératogènes) ; (4) Allaitement (CI absolue) ; (5) Insuffisance hépatique sévère (Child-Pugh C) ; (6) Vaccins vivants pendant le traitement. Précautions d'emploi : âge &gt; 65 ans (surveillance infectieuse et thrombotique renforcée), insuffisance rénale modérée à sévère (adaptation posologique), antécédents thrombotiques veineux ou artériels (TVP, EP, infarctus du myocarde, AVC — éviter ou utiliser avec prudence extrême), facteurs de risque cardiovasculaire (HTA, diabète, dyslipidémie, tabagisme, obésité), cancer récent, traitement immunosuppresseur concomitant, helminthiases (zone d'endémie), cytopénies préexistantes.</w:t>
      </w:r>
    </w:p>
    <w:p>
      <w:pPr>
        <w:pStyle w:val="ListBullet"/>
      </w:pPr>
      <w:r>
        <w:t>Effets Indésirables (très fréquents &gt; 10 %) : infections des voies respiratoires hautes (rhinopharyngite 15-20 %), nausées (10-12 %), herpes simplex labial ou génital (10-15 %). Fréquents (1-10 %) : herpes zoster (5-8 % — risque plus élevé qu'avec les anti-TNF ou anti-IL-17, prophylaxie par vaccin Shingrix® recommandée avant initiation), réactions au site d'injection (non applicable, voie orale), céphalées, arthralgies, fatigue, élévation des transaminases (ALAT, ASAT — 5-8 %, généralement asymptomatique), élévation des lipides (LDL-c +10-15 %, HDL-c +10-15 %, triglycérides +5-10 % — augmentation précoce à S4-S8, à surveiller et traiter par statine si LDL-c &gt; 1,9 g/L ou haut risque CV), neutropénie (5-10 %, généralement modérée), lymphopénie (3-5 %), anémie (2-4 %, en lien avec l'inhibition JAK2/EPO), thrombopénie (1-3 %), infection urinaire, gastro-entérite, candidose, prurit, rash cutané, acné. Peu fréquents (0,1-1 %) : thrombose veineuse profonde (TVP), embolie pulmonaire (EP) — signal de pharmacovigilance renforcé EMA PRAC 2022-2023 justifiant la restriction d'AMM en deuxième intention après biothérapie injectable ; événements artériels thrombotiques (infarctus du myocarde, AVC, mort subite d'origine cardiaque) — signal observé avec tous les inhibiteurs JAK (tofacitinib ORAL Surveillance, baricitinib, upadacitinib) ; réactions d'hypersensibilité, angioedème, diverticulite (1 %, risque de perforation digestive), cancers (1 % à 1 an, signal discuté — surtout cancers cutanés non mélaniques et lymphomes), tuberculose réactivée (rare, signal persistant). Rares (&lt; 0,1 %) : réactions anaphylactiques, MDS/LAM (myélodysplasie, leucémie aiguë myéloïde — signal de pharmacovigilance à long terme discuté, similaire aux autres immunosuppresseurs puissants), maladie démyélinisante. Particularités : le profil d'effets indésirables du baricitinib justifie une surveillance biologique rapprochée (NFS-plaquettes mensuelle pendant 3 mois puis trimestrielle ; bilan lipidique à S4, S8, S12 puis tous les 6 mois ; bilan hépatique mensuel 3 mois puis trimestriel ; D-dimères en cas de signe clinique évocateur de thrombose) et un dépistage pré-thérapeutique systématique de la tuberculose (IDR ou IGRA), des hépatites B et C, du VIH, et un interrogatoire cardiovasculaire complet (facteurs de risque, antécédents thrombotiques personnels et familiaux).</w:t>
      </w:r>
    </w:p>
    <w:p>
      <w:r/>
      <w:r>
        <w:rPr>
          <w:b/>
        </w:rPr>
        <w:t>Prévention et Gestion des Effets Indésirables :</w:t>
      </w:r>
      <w:r/>
    </w:p>
    <w:p>
      <w:pPr>
        <w:pStyle w:val="ListBullet"/>
      </w:pPr>
      <w:r>
        <w:t>Mesures Préventives : Bilan pré-thérapeutique obligatoire complet : (a) dépistage de la tuberculose par IDR à la tuberculine (5 UI PPD RT23, seuil ≥ 5 mm) ou IGRA (Quantiferon-TB Gold Plus) — en cas de positivité, traitement d'une tuberculose latente par isoniazide 5 mg/kg/j × 6-9 semaines (ou rifampicine 10 mg/kg/j × 4 semaines, plus courte mais plus inductrice) avant initiation ; (b) sérologies VHB (HBsAg, anti-HBs, anti-HBc), VHC, VIH — en cas d'hépatite B latente (anti-HBc+ sans immunisation), prophylaxie antivirale par entécavir 0,5 mg/j ou ténofovir 245 mg/j pendant toute la durée du traitement et 12 mois après arrêt ; (c) bilan hépatique complet (ALAT, ASAT, PAL, γ-GT, bilirubine) ; (d) NFS-plaquettes avec formule (neutrophiles, lymphocytes, hématocrite/hémoglobine, plaquettes — référence) ; (e) bilan rénal (urée, créatinine, DFG CKD-EPI) — adaptation posologique si DFG 30-60 mL/min (dose max 2 mg/j), contre-indication si DFG &lt; 30 mL/min ; (f) bilan lipidique complet (LDL-c, HDL-c, triglycérides, apolipoprotéine B) — surveillance à S4, S8, S12 puis tous les 6 mois ; statine à introduire si LDL-c &gt; 1,9 g/L ou haut risque CV ; (g) électrophorèse des protéines sériques et dosage des IgG/IgA/IgM ; (h) interrogatoire cardiovasculaire complet (facteurs de risque : HTA, diabète, dyslipidémie, tabagisme, obésité, antécédents personnels ou familiaux de thrombose veineuse ou artérielle, syndrome des antiphospholipides) — si haut risque thrombotique, éviter le baricitinib en première intention et privilégier le dupilumab ; (i) interrogationatoire cancer (personnel, familial, cutané) — examen dermatologique complet et recherche de cancers cutanés avant initiation ; (j) statut vaccinal — à jour : tétanos, poliomyélite, diphtérie, coqueluche, pneumocoque, grippe saisonnière, hépatite B, SARS-CoV-2, papillomavirus ; vaccination herpès zoster par le vaccin recombinant Shingrix® (2 doses à 2 mois d'intervalle) à administrer AVANT initiation (le vaccin vivant Zostavax® est contre-indiqué pendant le traitement) ; (k) vaccins vivants (ROR, varicelle, fièvre jaune, BCG, rotavirus, vaccin intranasal grippal atténué) à administrer AU MOINS 4 SEMAINES AVANT initiation, contre-indiqués pendant le traitement ; (l) interrogationatoire MICI, maladie démyélinisante, diverticulite. Information détaillée du patient, remise de carte de patient, éducation à l'observance et aux signes d'alerte (fièvre, toux, dyspnée, douleur thoracique, gonflement d'un membre inférieur, symptômes neurologiques, troubles visuels).</w:t>
      </w:r>
    </w:p>
    <w:p>
      <w:pPr>
        <w:pStyle w:val="ListBullet"/>
      </w:pPr>
      <w:r>
        <w:t>Conduite à Tenir : En cas d'infection sévère (pneumonie, sepsis, infection opportuniste, tuberculose) : interruption immédiate du baricitinib, traitement anti-infectieux adapté, surveillance hospitalière si nécessaire, reprise après guérison complète et bilan infectieux négatif. En cas de zona (herpès zoster) : valaciclovir 1000 mg × 3/j pendant 7 jours (ou aciclovir IV 10 mg/kg/8h dans les formes disséminées ou ophtalmiques), pas d'arrêt en première intention si zona localisé non compliqué ; arrêt transitoire si zona disséminé, ophtalmique, méningé ou chez l'immunodéprimé. En cas de tuberculose : arrêt immédiat, traitement antituberculeux quadrithérapie standard 6 mois (Isoniazide + Rifampicine + Pyrazinamide + Éthambutol 2 mois, puis Isoniazide + Rifampicine 4 mois), reprise éventuelle après guérison et avis infectiologique (à discuter au cas par cas). En cas de neutropénie &lt; 1,5 G/L : surveillance hebdomadaire ; &lt; 1,0 G/L : interruption transitoire jusqu'à récupération ; &lt; 0,5 G/L ou infection : arrêt définitif. En cas de lymphopénie &lt; 0,5 G/L : interruption transitoire. En cas d'anémie &lt; 10 g/dL : surveillance ; &lt; 8 g/dL : interruption transitoire et recherche d'une cause (carence martiale, hémolyse, saignement occulte). En cas de thrombopénie &lt; 100 G/L : surveillance ; &lt; 50 G/L : interruption transitoire. En cas de cytolyse hépatique &gt; 3× LSN : surveillance rapprochée, recherche d'autres causes ; &gt; 5× LSN : interruption transitoire. En cas d'élévation du LDL-c &gt; 1,9 g/L ou haut risque CV : régime alimentaire, statine (atorvastatine 10-20 mg/j, rosuvastatine 5-10 mg/j), surveillance trimestrielle. En cas de suspicion de thrombose veineuse (douleur du mollet, œdème unilatéral, dyspnée, douleur thoracique, hémoptysie) : arrêt immédiat du baricitinib, consultation urgente, dosage D-dimères, écho-Doppler veineux des membres inférieurs, angio-TDM pulmonaire si suspicion d'EP, anticoagulation curative (HBPM puis AVK ou AOD) pendant 3-6 mois ; pas de reprise du baricitinib (switch vers dupilumab ou autre classe). En cas de syndrome coronaire aigu ou AVC : arrêt immédiat, prise en charge urgente spécialisée, pas de reprise. En cas de chirurgie programmée : interruption 1 semaine avant (demi-vie d'élimination 12-16 heures, retour à l'immunité normale en 5 demi-vies ≈ 3-4 jours) ; reprise après cicatrisation complète (10-15 jours). En cas de cancer : arrêt définitif, consultation oncologique. En cas de grossesse (découverte fortuite) : arrêt immédiat, échographie de contrôle, pas d'avortement thérapeutique de principe (données animales tératogènes mais données humaines limitées rassurantes).</w:t>
      </w:r>
    </w:p>
    <w:p>
      <w:r/>
      <w:r>
        <w:rPr>
          <w:b/>
        </w:rPr>
        <w:t>Interactions Médicamenteuses :</w:t>
      </w:r>
      <w:r/>
    </w:p>
    <w:p>
      <w:pPr>
        <w:pStyle w:val="ListBullet"/>
      </w:pPr>
      <w:r>
        <w:t>CYP3A4 (métabolisme principal du baricitinib) : inducteurs enzymatiques (rifampicine, phénytoïne, carbamazépine, phénobarbital, dexaméthasone IV, millepertuis) → diminution majeure de l'ASC du baricitinib (jusqu'à -75 % avec rifampicine), à éviter. Inhibiteurs (kétoconazole, itraconazole, voriconazole, posaconazole, clarithromycine, érythromycine, ritonavir, cobicistat) → augmentation modérée de l'ASC (jusqu'à ×2), surveillance des EI mais pas d'adaptation posologique systématique.</w:t>
      </w:r>
    </w:p>
    <w:p>
      <w:pPr>
        <w:pStyle w:val="ListBullet"/>
      </w:pPr>
      <w:r>
        <w:t>Transporteurs : le baricitinib est substrat des transporteurs OAT3 (Organic Anion Transporter 3), MATE1 (Multidrug And Toxin Extrusion 1), MATE2-K et P-gp. Inhibiteurs de l'OAT3 (probenécide) → augmentation majeure de l'ASC (jusqu'à ×2), à éviter ou adapter la dose. Inhibiteurs de la P-gp et de la BCRP (ciclosporine, kétoconazole, vérapamil, diltiazem) → augmentation modérée, surveillance. Substrats de l'OATP1B1/B3 (statines : simvastatine, atorvastatine, rosuvastatine) → pas d'interaction cliniquement significative.</w:t>
      </w:r>
    </w:p>
    <w:p>
      <w:pPr>
        <w:pStyle w:val="ListBullet"/>
      </w:pPr>
      <w:r>
        <w:t>Vaccins vivants atténués (ROR, varicelle, fièvre jaune, BCG, rotavirus, vaccin oral poliomyélite, vaccin intranasal grippal atténué, vaccin typhoïdique oral Ty21a) : CONTRE-INDICATION ABSOLUE pendant le traitement et jusqu'à 4-8 semaines après l'arrêt. À administrer au moins 4 semaines avant initiation. Vaccin Zostavax® (vivant atténué contre le zona) : contre-indiqué pendant le traitement — préférer le vaccin recombinant Shingrix® (non vivant, autorisé et recommandé avant initiation).</w:t>
      </w:r>
    </w:p>
    <w:p>
      <w:pPr>
        <w:pStyle w:val="ListBullet"/>
      </w:pPr>
      <w:r>
        <w:t>Vaccins inactivés (grippe saisonnière injectable, pneumocoque, hépatite A et B, tétanos, poliomyélite injectable Salk, méningocoque, COVID-19, HPV, Shingrix®) : autorisés et recommandés pendant le traitement ; réponse immunitaire conservée (légère diminution possible, cliniquement non significative).</w:t>
      </w:r>
    </w:p>
    <w:p>
      <w:pPr>
        <w:pStyle w:val="ListBullet"/>
      </w:pPr>
      <w:r>
        <w:t>Association avec immunosuppresseurs (méthotrexate ≤ 20 mg/semaine, azathioprine, ciclosporine, mycophénolate, léflunomide, anti-TNF, anti-IL-6, anti-CD20, autres biothérapies) : à éviter en raison du risque cumulé d'immunosuppression et d'infections sévères. Le méthotrexate à faible dose (≤ 10 mg/semaine) peut être associé dans la polyarthrite rhumatoïde avec surveillance renforcée.</w:t>
      </w:r>
    </w:p>
    <w:p>
      <w:pPr>
        <w:pStyle w:val="ListBullet"/>
      </w:pPr>
      <w:r>
        <w:t>Association avec d'autres inhibiteurs JAK (tofacitinib, upadacitinib, abrocitinib, ruxolitinib, fedratinib, filgotinib) : CONTRE-INDICATION ABSOLUE (risque cumulé d'immunosuppression, de cytopénies et de thrombose).</w:t>
      </w:r>
    </w:p>
    <w:p>
      <w:pPr>
        <w:pStyle w:val="ListBullet"/>
      </w:pPr>
      <w:r>
        <w:t>Anticoagulants oraux (warfarine, AVK) : surveillance INR renforcée (le baricitinib peut normaliser l'expression du CYP450 et modifier l'INR), préférer les AOD (apixaban, rivaroxaban, dabigatran) en cas de nécessité.</w:t>
      </w:r>
    </w:p>
    <w:p>
      <w:pPr>
        <w:pStyle w:val="ListBullet"/>
      </w:pPr>
      <w:r>
        <w:t>Statines (simvastatine, atorvastatine, rosuvastatine) : pas d'interaction cliniquement significative, mais surveillance de la tolérance hépatique et musculaire (potentialisation théorique du risque de rhabdomyolyse).</w:t>
      </w:r>
    </w:p>
    <w:p>
      <w:pPr>
        <w:pStyle w:val="ListBullet"/>
      </w:pPr>
      <w:r>
        <w:t>Médicaments allongeant le QTc : surveillance ECG (peu de signal documenté pour le baricitinib mais principe de précaution).</w:t>
      </w:r>
    </w:p>
    <w:p>
      <w:r/>
      <w:r>
        <w:rPr>
          <w:b/>
        </w:rPr>
        <w:t>Grossesse et Allaitement (CRAT) :</w:t>
      </w:r>
      <w:r/>
    </w:p>
    <w:p>
      <w:pPr>
        <w:pStyle w:val="ListBullet"/>
      </w:pPr>
      <w:r>
        <w:t>Grossesse : CONTRE-INDICATION ABSOLUE. Données animales tératogènes chez le rat et le lapin (anomalies squelettiques, cardiovasculaires, retard de croissance fœtale, mort embryo-fœtale à exposition comparable ou inférieure à l'humain). Données humaines limitées (registre de grossesses sous baricitinib Eli Lilly) — les quelques cas rapportés ne montrent pas de surcroît de malformations majeures mais le recul est insuffisant. Contraception efficace OBLIGATOIRE (double méthode : condom + contraception orale ou dispositif intra-utérin) chez la femme en âge de procréer pendant le traitement et pendant au moins 1 semaine après l'arrêt (cinq demi-vies ≈ 5 jours, recommandation RCP). Chez l'homme traité : pas de contre-indication à la paternité selon les données animales actuelles, mais contraception conseillée par mesure de prudence pendant le traitement et 1 semaine après l'arrêt. En cas de projet de grossesse : interruption du baricitinib 1 semaine avant conception (cinq demi-vies), switch vers dupilumab (compatible avec la grossesse) ou ciclosporine (autorise au 1er trimestre). En cas de découverte d'une grossesse sous baricitinib : arrêt IMMÉDIAT, échographie de contrôle à visée morphologique (en particulier 1er et 2e trimestres), pas d'avortement thérapeutique de principe (données humaines limitées mais rassurantes), déclaration à un centre de pharmacovigilance (CRAT, réseau français des centres régionaux de pharmacovigilance).</w:t>
      </w:r>
    </w:p>
    <w:p>
      <w:pPr>
        <w:pStyle w:val="ListBullet"/>
      </w:pPr>
      <w:r>
        <w:t>Allaitement : CONTRE-INDICATION ABSOLUE. Le baricitinib est excrété dans le lait maternel chez l'animal (rat), avec un rapport lait/plasma ~1,5 ; l'excrétion humaine n'est pas documentée mais supposée. Risque théorique d'immunosuppression et de cytopénies chez le nouveau-né allaité. Allaitement à interrompre pendant toute la durée du traitement et 1 semaine après l'arrêt (cinq demi-vies).</w:t>
      </w:r>
    </w:p>
    <w:p>
      <w:pPr>
        <w:pStyle w:val="ListBullet"/>
      </w:pPr>
      <w:r>
        <w:t>Fertilité : pas d'effet délétère documenté sur la fertilité féminine ou masculine aux doses thérapeutiques (données animales rassurantes). Cependant, à doses supraphysiologiques, altération de la spermatogenèse documentée chez l'animal.</w:t>
      </w:r>
    </w:p>
    <w:p>
      <w:r/>
      <w:r>
        <w:rPr>
          <w:b/>
        </w:rPr>
        <w:t>Posologie et Mode d'administration (Standard) :</w:t>
      </w:r>
      <w:r/>
    </w:p>
    <w:p>
      <w:pPr>
        <w:pStyle w:val="ListBullet"/>
      </w:pPr>
      <w:r>
        <w:t>Adulte — Dermatite atopique : dose de charge 4 mg/j (2 comprimés de 2 mg, ou 1 comprimé de 4 mg) pendant 2 semaines en induction, puis 2 mg/j (1 comprimé de 2 mg) en entretien à partir de S2. En cas de réponse insuffisante à S16 (EASI 50-74), reprise à 4 mg/j possible (mais avec risque accru d'EI, en particulier thrombotique). En cas de réponse complète stable à S24-S36 (EASI 90), espacement à 2 mg un jour sur deux possible (hors AMM).</w:t>
      </w:r>
    </w:p>
    <w:p>
      <w:pPr>
        <w:pStyle w:val="ListBullet"/>
      </w:pPr>
      <w:r>
        <w:t>Adulte — Polyarthrite rhumatoïde : 2 mg/j (1 comprimé de 2 mg) en continu. En cas de réponse insuffisante à S12, augmentation à 4 mg/j (mais risque accru d'EI).</w:t>
      </w:r>
    </w:p>
    <w:p>
      <w:pPr>
        <w:pStyle w:val="ListBullet"/>
      </w:pPr>
      <w:r>
        <w:t>Adulte — Alopécie areata sévère : 2 mg/j en continu (4 mg/j en induction pendant 2 semaines possible dans les formes très sévères).</w:t>
      </w:r>
    </w:p>
    <w:p>
      <w:pPr>
        <w:pStyle w:val="ListBullet"/>
      </w:pPr>
      <w:r>
        <w:t>Adulte — GVHD : 4 mg/j en continu (réduction à 2 mg/j après réponse clinique stable).</w:t>
      </w:r>
    </w:p>
    <w:p>
      <w:pPr>
        <w:pStyle w:val="ListBullet"/>
      </w:pPr>
      <w:r>
        <w:t>Adulte — COVID-19 sévère (hors AMM, utilisation historique) : 4 mg/j × 14 jours ou jusqu'à sortie d'hôpital.</w:t>
      </w:r>
    </w:p>
    <w:p>
      <w:pPr>
        <w:pStyle w:val="ListBullet"/>
      </w:pPr>
      <w:r>
        <w:t>Insuffisance rénale modérée (DFG 30-60 mL/min) : dose maximale 2 mg/j (pas de dose de charge 4 mg). Contre-indication absolue si DFG &lt; 30 mL/min.</w:t>
      </w:r>
    </w:p>
    <w:p>
      <w:pPr>
        <w:pStyle w:val="ListBullet"/>
      </w:pPr>
      <w:r>
        <w:t>Insuffisance hépatique légère à modérée (Child-Pugh A-B) : pas d'adaptation posologique. Contre-indication absolue si insuffisance hépatique sévère (Child-Pugh C).</w:t>
      </w:r>
    </w:p>
    <w:p>
      <w:pPr>
        <w:pStyle w:val="ListBullet"/>
      </w:pPr>
      <w:r>
        <w:t>Sujet âgé (&gt; 65 ans) : pas d'adaptation systématique, surveillance infectieuse et thrombotique renforcée (posologie maximale 2 mg/j à privilégier).</w:t>
      </w:r>
    </w:p>
    <w:p>
      <w:pPr>
        <w:pStyle w:val="ListBullet"/>
      </w:pPr>
      <w:r>
        <w:t>Enfant et adolescent &lt; 18 ans : pas d'AMM en dermatologie (données de tolérance et d'efficacité insuffisantes). AMM limitée à la GVHD ≥ 12 ans.</w:t>
      </w:r>
    </w:p>
    <w:p>
      <w:pPr>
        <w:pStyle w:val="ListBullet"/>
      </w:pPr>
      <w:r>
        <w:t>Mode d'administration : voie orale stricte, comprimé pelliculé à avaler entier avec un verre d'eau, avec ou sans nourriture (l'alimentation ne modifie pas l'absorption). Ne pas écraser, ne pas croquer, ne pas diviser (comprimé pelliculé à libération immédiate). Heure de prise fixe (matin ou soir, selon la préférence du patient et l'observance). Conservation à température ambiante (&lt; 25 °C), à l'abri de l'humidité.</w:t>
      </w:r>
    </w:p>
    <w:p>
      <w:r/>
      <w:r>
        <w:rPr>
          <w:b/>
        </w:rPr>
        <w:t>Surveillance Biologique et Suivi Clinique :</w:t>
      </w:r>
      <w:r/>
    </w:p>
    <w:p>
      <w:pPr>
        <w:pStyle w:val="ListBullet"/>
      </w:pPr>
      <w:r>
        <w:t>Bilan pré-thérapeutique (obligatoire) : (a) Tuberculine (IDR 5 UI PPD RT23 ou IGRA Quantiferon-TB Gold Plus) — si positif, traitement d'une TBL avant initiation ; (b) sérologies VHB (HBsAg, anti-HBs, anti-HBc), VHC, VIH — prophylaxie antivirale si HBsAg+ ou anti-HBc+ sans immunisation ; (c) bilan hépatique complet (ALAT, ASAT, PAL, γ-GT, bilirubine totale et conjuguée) ; (d) NFS-plaquettes avec formule et réticulocytes (neutrophiles, lymphocytes, hématocrite/hémoglobine, plaquettes) ; (e) bilan rénal (urée, créatinine, DFG CKD-EPI) — contre-indication si DFG &lt; 30 mL/min ; (f) bilan lipidique complet (LDL-c, HDL-c, triglycérides, apolipoprotéine B) ; (g) électrophorèse des protéines sériques et dosage des IgG/IgA/IgM ; (h) CRP, VS ; (i) ECG (référence, allongement du QTc à surveiller en cas d'association à d'autres médicaments allongeant le QT) ; (j) examen dermatologique complet (EASI, SCORAD, DLQI, prurit NRS) ; (k) interrogatoire cardiovasculaire (facteurs de risque : HTA, diabète, dyslipidémie, tabagisme, obésité ; antécédents personnels et familiaux de thrombose veineuse ou artérielle) ; (l) statut vaccinal — vaccin Shingrix® (zona, 2 doses à 2 mois) à administrer avant initiation ; vaccins vivants à administrer au moins 4 semaines avant initiation ; (m) examen dermatologique à la recherche d'un cancer cutané (carcinome basocellulaire, spinocellulaire, mélanome).</w:t>
      </w:r>
    </w:p>
    <w:p>
      <w:pPr>
        <w:pStyle w:val="ListBullet"/>
      </w:pPr>
      <w:r>
        <w:t>Surveillance biologique sous traitement : (a) NFS-plaquettes mensuelle pendant 3 mois, puis trimestrielle la première année, puis tous les 6 mois (recherche de neutropénie &lt; 1,5 G/L, lymphopénie &lt; 0,5 G/L, anémie &lt; 10 g/dL, thrombopénie &lt; 100 G/L) ; (b) bilan hépatique mensuel 3 mois puis trimestriel (ALAT, ASAT, γ-GT, PAL, bilirubine) ; (c) bilan lipidique à S4, S8, S12 puis tous les 6 mois (LDL-c, HDL-c, triglycérides) — statine si LDL-c &gt; 1,9 g/L ou haut risque CV ; (d) bilan rénal trimestriel (créatinine, DFG) ; (e) CRP, VS trimestrielle.</w:t>
      </w:r>
    </w:p>
    <w:p>
      <w:pPr>
        <w:pStyle w:val="ListBullet"/>
      </w:pPr>
      <w:r>
        <w:t>Surveillance clinique : éducation aux signes d'alerte (fièvre, toux persistante, dyspnée, douleur thoracique, gonflement d'un membre inférieur, rougeur d'un mollet, symptômes neurologiques, troubles visuels, perte de poids, sueurs nocturnes, diarrhée chronique). Interrogatoire cardiovasculaire à chaque visite. Examen dermatologique complet tous les 6 mois (surveillance cancer cutané). Pas de surveillance systématique des anticorps anti-médicament (petite molécule, pas d'immunogénicité).</w:t>
      </w:r>
    </w:p>
    <w:p>
      <w:pPr>
        <w:pStyle w:val="ListBullet"/>
      </w:pPr>
      <w:r>
        <w:t>Surveillance thrombotique : pas de surveillance biologique systématique (D-dimères seulement en cas de suspicion clinique de thrombose). Éducation aux signes de TVP/EP (douleur du mollet, œdème unilatéral, dyspnée, douleur thoracique, hémoptysie) et aux signes d'événement artériel (douleur thoracique constrictive, dyspnée, syncope, déficit neurologique brutal).</w:t>
      </w:r>
    </w:p>
    <w:p>
      <w:pPr>
        <w:pStyle w:val="ListBullet"/>
      </w:pPr>
      <w:r>
        <w:t>Suivi thérapeutique : consultation dermatologique à S2 (tolérance, EASI 50), S4, S8, S16 (décision de poursuivre ou d'intensifier), puis tous les 3 mois la première année, tous les 6 mois ensuite. EASI 75 à S16 = succès. DLQI à l'initiation, S16, puis annuel.</w:t>
      </w:r>
    </w:p>
    <w:p>
      <w:r/>
      <w:r>
        <w:rPr>
          <w:b/>
        </w:rPr>
        <w:t>Arbitrage et Bénéfices des Formes Galéniques :</w:t>
      </w:r>
      <w:r/>
    </w:p>
    <w:p>
      <w:r>
        <w:t>Le baricitinib est disponible en Algérie en comprimés pelliculés à 2 mg et 4 mg (Olumiant®, Biopharm, B/28). Les deux dosages sont nécessaires pour couvrir les schémas posologiques en fonction de l'indication et de la tolérance : 2 mg (1 comprimé) pour la dose d'entretien standard (DA, PR, AA) ; 4 mg (1 comprimé de 4 mg, ou 2 comprimés de 2 mg) pour la dose de charge (DA induction 2 semaines), l'alopécie areata sévère, la GVHD et la polyarthrite rhumatoïde en intensification. La fabrication locale par Biopharm (partenaire Eli Lilly en Algérie) garantit un accès élargi et un coût potentiellement inférieur aux biothérapies importées. La forme comprimé pelliculé offre une administration simple, orale, sans injection sous-cutanée — avantage compétitif majeur par rapport aux biothérapies injectables (dupilumab) en termes d'observance, de qualité de vie et de préférence du patient. Les comprimés doivent être avalés entiers, sans écraser ni croquer (le comprimé pelliculé protège de l'amertume et assure une libération immédiate optimale). En cas d'incapacité à avaler (rare en pratique adulte), dispersion dans un verre d'eau ou de compote immédiatement avant ingestion (hors AMM, à valider avec le pharmacien). La conservation à température ambiante (&lt; 25 °C), à l'abri de l'humidité, simplifie le stockage par rapport aux biothérapies injectables (à conserver au réfrigérateur).</w:t>
      </w:r>
    </w:p>
    <w:p>
      <w:r/>
      <w:r>
        <w:rPr>
          <w:b/>
        </w:rPr>
        <w:t>Instructions et Conseils au Patient :</w:t>
      </w:r>
      <w:r/>
    </w:p>
    <w:p>
      <w:pPr>
        <w:pStyle w:val="ListBullet"/>
      </w:pPr>
      <w:r>
        <w:t>Communication au comptoir : « Le baricitinib (Olumiant®) est un médicament immunomodulateur oral qui bloque l'action de plusieurs protéines responsables de l'inflammation de votre maladie (dermatite atopique, polyarthrite, alopécie). Il se prend sous forme de comprimé avalé entier avec un verre d'eau, à heure fixe (matin ou soir), avec ou sans nourriture. Le schéma initial est de 4 mg/j (2 comprimés de 2 mg, ou 1 comprimé de 4 mg) pendant 2 semaines, puis 2 mg/j (1 comprimé de 2 mg) en entretien à partir de S2. Les premiers signes d'efficacité apparaissent dès la 1re ou 2e semaine (diminution du prurit), et l'efficacité maximale est atteinte à 4 mois (peau claire ou presque claire chez 4 à 5 patients sur 10). Les effets indésirables les plus fréquents sont : (1) les infections (rhumes, herpès, zona) — à signaler rapidement ; (2) l'augmentation du cholestérol — surveillance sanguine à S4, S8, S12 ; (3) les maux de tête et nausées — transitoires. Prévenez IMMÉDIATEMENT votre médecin en cas de : fièvre, toux persistante, dyspnée, douleur thoracique, gonflement d'un membre inférieur, rougeur et douleur d'un mollet, symptômes neurologiques (déficit brutal), troubles visuels, sueurs nocturnes, perte de poids (signes de thrombose, d'infection sévère ou de tuberculose). Les vaccins vivants (ROR, fièvre jaune, BCG, varicelle) sont strictement interdits pendant le traitement. Les vaccins inactivés (grippe, COVID, pneumocoque, hépatite B, Shingrix® contre le zona) sont recommandés. Le médicament se conserve à température ambiante (&lt; 25 °C), à l'abri de l'humidité. Pour les femmes en âge de procréer : CONTRACEPTION OBLIGATOIRE pendant le traitement et 1 semaine après l'arrêt (le baricitinib est contre-indiqué pendant la grossesse). »</w:t>
      </w:r>
    </w:p>
    <w:p>
      <w:pPr>
        <w:pStyle w:val="ListBullet"/>
      </w:pPr>
      <w:r>
        <w:t>Observance : prise à heure fixe (matin ou soir), calendrier d'administration à jour, ne jamais interrompre sans avis médical (risque de rechute en 4 à 8 semaines), ne pas doubler la dose en cas d'oubli (prendre la dose oubliée si &lt; 12 heures depuis l'heure habituelle, sinon sauter la dose et reprendre le schéma normal).</w:t>
      </w:r>
    </w:p>
    <w:p>
      <w:pPr>
        <w:pStyle w:val="ListBullet"/>
      </w:pPr>
      <w:r>
        <w:t>Hygiène de vie : alimentation équilibrée (limiter les apports en graisses saturées et en cholestérol en raison de l'augmentation du LDL-c), activité physique régulière (prévention cardiovasculaire), éviter le tabagisme (facteur de risque CV et thrombotique), éviter le pamplemousse (inhibiteur du CYP3A4) et le millepertuis (inducteur), consulter rapidement en cas de signe infectieux.</w:t>
      </w:r>
    </w:p>
    <w:p>
      <w:pPr>
        <w:pStyle w:val="ListBullet"/>
      </w:pPr>
      <w:r>
        <w:t>Femmes en âge de procréer : double contraception obligatoire pendant le traitement et 1 semaine après l'arrêt. Test de grossesse avant initiation. En cas de souhait de grossesse : interruption 1 semaine avant conception (cinq demi-vies), switch vers dupilumab (compatible avec la grossesse) ou ciclosporine.</w:t>
      </w:r>
    </w:p>
    <w:p>
      <w:pPr>
        <w:pStyle w:val="ListBullet"/>
      </w:pPr>
      <w:r>
        <w:t>Suivi : consultation dermatologique à S2, S4, S8, S16, puis tous les 3 à 6 mois. Surveillance sanguine mensuelle 3 mois, puis trimestrielle (NFS, lipides, hépatique). Éducation aux signes de thrombose.</w:t>
      </w:r>
    </w:p>
    <w:p>
      <w:r/>
      <w:r>
        <w:rPr>
          <w:b/>
        </w:rPr>
        <w:t>Notes, Règles d'Or &amp; Pièges au Comptoir :</w:t>
      </w:r>
      <w:r/>
    </w:p>
    <w:p>
      <w:pPr>
        <w:pStyle w:val="ListBullet"/>
      </w:pPr>
      <w:r>
        <w:t>Piège : ne jamais oublier le dépistage tuberculeux pré-thérapeutique (IDR ou IGRA) — la tuberculose réactivée sous baricitinib est rare mais documentée et potentiellement grave.</w:t>
      </w:r>
    </w:p>
    <w:p>
      <w:pPr>
        <w:pStyle w:val="ListBullet"/>
      </w:pPr>
      <w:r>
        <w:t>Piège : ne jamais autoriser un vaccin vivant (ROR, BCG, fièvre jaune, varicelle, vaccin intranasal grippe atténué, Zostavax® zona vivant) pendant le traitement — contre-indication absolue. Le vaccin Shingrix® (zona recombinant non vivant) est en revanche recommandé AVANT initiation.</w:t>
      </w:r>
    </w:p>
    <w:p>
      <w:pPr>
        <w:pStyle w:val="ListBullet"/>
      </w:pPr>
      <w:r>
        <w:t>Règle : le baricitinib est CONTRE-INDIQUÉ pendant la grossesse (tératogène animal) — double contraception obligatoire chez la femme en âge de procréer pendant le traitement et 1 semaine après l'arrêt. Chez l'homme, contraception conseillée par mesure de prudence.</w:t>
      </w:r>
    </w:p>
    <w:p>
      <w:pPr>
        <w:pStyle w:val="ListBullet"/>
      </w:pPr>
      <w:r>
        <w:t>Piège : la survenue d'une thrombose veineuse (TVP, EP) ou d'un événement artériel (infarctus du myocarde, AVC) sous baricitinib impose l'arrêt IMMÉDIAT et DÉFINITIF, sans reprise — switch vers une autre classe (dupilumab dans la DA, anti-TNF dans la PR, JAK1 sélectif discuté).</w:t>
      </w:r>
    </w:p>
    <w:p>
      <w:pPr>
        <w:pStyle w:val="ListBullet"/>
      </w:pPr>
      <w:r>
        <w:t>Règle : le baricitinib est positionné en DEUXIÈME INTENTION après biothérapie injectable (dupilumab dans la DA, anti-TNF ou anti-IL-6 dans la PR) en raison du signal de pharmacovigilance thrombotique (EMA PRAC 2022-2023) — ne pas initier en première intention sauf cas particulier (refus du patient pour les injections, contre-indication au dupilumab).</w:t>
      </w:r>
    </w:p>
    <w:p>
      <w:pPr>
        <w:pStyle w:val="ListBullet"/>
      </w:pPr>
      <w:r>
        <w:t>Règle : évaluer la réponse à S16 (EASI 75 = succès, EASI 50-74 = succès partiel à discuter, EASI &lt; 50 = échec primaire, switch à envisager vers dupilumab ou autre classe).</w:t>
      </w:r>
    </w:p>
    <w:p>
      <w:pPr>
        <w:pStyle w:val="ListBullet"/>
      </w:pPr>
      <w:r>
        <w:t>Piège : la prise de baricitinib expose à un risque accru d'herpès zoster (zona) — vaccination préalable par Shingrix® (2 doses à 2 mois d'intervalle) fortement recommandée avant initiation ; en cas de zona sous traitement, valaciclovir 1000 mg × 3/j × 7 jours.</w:t>
      </w:r>
    </w:p>
    <w:p>
      <w:pPr>
        <w:pStyle w:val="ListBullet"/>
      </w:pPr>
      <w:r>
        <w:t>Règle : surveillance lipidique à S4, S8, S12 puis tous les 6 mois — statine (atorvastatine, rosuvastatine) si LDL-c &gt; 1,9 g/L ou haut risque cardiovasculaire.</w:t>
      </w:r>
    </w:p>
    <w:p>
      <w:pPr>
        <w:pStyle w:val="ListBullet"/>
      </w:pPr>
      <w:r>
        <w:t>Piège : oubli d'une prise (quotidienne) — prendre la dose oubliée si &lt; 12 heures depuis l'heure habituelle, sinon sauter et reprendre le schéma normal le lendemain ; ne jamais doubler la dose.</w:t>
      </w:r>
    </w:p>
    <w:p>
      <w:pPr>
        <w:pStyle w:val="ListBullet"/>
      </w:pPr>
      <w:r>
        <w:t>Règle : conservation à température ambiante (&lt; 25 °C), à l'abri de l'humidité, dans l'emballage d'origine.</w:t>
      </w:r>
    </w:p>
    <w:p>
      <w:pPr>
        <w:pStyle w:val="ListBullet"/>
      </w:pPr>
      <w:r>
        <w:t>Piège : interaction avec les inducteurs enzymatiques puissants (rifampicine, phénytoïne, carbamazépine, millepertuis) → diminution majeure de l'efficacité ; éviter ces associations ou surveiller la réponse clinique et adapter la dose.</w:t>
      </w:r>
    </w:p>
    <w:p>
      <w:pPr>
        <w:pStyle w:val="ListBullet"/>
      </w:pPr>
      <w:r>
        <w:t>Règle : en cas d'intervention chirurgicale programmée, interruption 1 semaine avant (cinq demi-vies ≈ 5 jours), reprise après cicatrisation complète (10-15 jours).</w:t>
      </w:r>
    </w:p>
    <w:p>
      <w:pPr>
        <w:pStyle w:val="ListBullet"/>
      </w:pPr>
      <w:r>
        <w:t>Piège : ne pas confondre les dosages 2 mg et 4 mg — schéma différent selon l'indication et la phase (induction vs entretien) ; toujours vérifier la prescription avant dispensation.</w:t>
      </w:r>
    </w:p>
    <w:p>
      <w:pPr>
        <w:pStyle w:val="ListBullet"/>
      </w:pPr>
      <w:r>
        <w:t>Règle : chez le sujet âgé &gt; 65 ans, privilégier la dose de 2 mg/j (surveillance infectieuse et thrombotique renforcée).</w:t>
      </w:r>
    </w:p>
    <w:p>
      <w:pPr>
        <w:pStyle w:val="Heading2"/>
      </w:pPr>
      <w:r>
        <w:t>126.5 Tableau comparatif synthétique des 5 biothérapies dermatologiques</w:t>
      </w:r>
    </w:p>
    <w:tbl>
      <w:tblPr>
        <w:tblStyle w:val="LightGrid-Accent1"/>
        <w:tblW w:type="auto" w:w="0"/>
        <w:tblLook w:firstColumn="1" w:firstRow="1" w:lastColumn="0" w:lastRow="0" w:noHBand="0" w:noVBand="1" w:val="04A0"/>
      </w:tblPr>
      <w:tblGrid>
        <w:gridCol w:w="850"/>
        <w:gridCol w:w="850"/>
        <w:gridCol w:w="850"/>
        <w:gridCol w:w="850"/>
        <w:gridCol w:w="850"/>
        <w:gridCol w:w="850"/>
        <w:gridCol w:w="850"/>
        <w:gridCol w:w="850"/>
        <w:gridCol w:w="850"/>
        <w:gridCol w:w="850"/>
        <w:gridCol w:w="850"/>
      </w:tblGrid>
      <w:tr>
        <w:tc>
          <w:tcPr>
            <w:tcW w:type="dxa" w:w="850"/>
          </w:tcPr>
          <w:p>
            <w:r>
              <w:rPr>
                <w:b/>
                <w:sz w:val="20"/>
              </w:rPr>
              <w:t>DCI (Marque)</w:t>
            </w:r>
          </w:p>
        </w:tc>
        <w:tc>
          <w:tcPr>
            <w:tcW w:type="dxa" w:w="850"/>
          </w:tcPr>
          <w:p>
            <w:r>
              <w:rPr>
                <w:b/>
                <w:sz w:val="20"/>
              </w:rPr>
              <w:t>Classe</w:t>
            </w:r>
          </w:p>
        </w:tc>
        <w:tc>
          <w:tcPr>
            <w:tcW w:type="dxa" w:w="850"/>
          </w:tcPr>
          <w:p>
            <w:r>
              <w:rPr>
                <w:b/>
                <w:sz w:val="20"/>
              </w:rPr>
              <w:t>Cible</w:t>
            </w:r>
          </w:p>
        </w:tc>
        <w:tc>
          <w:tcPr>
            <w:tcW w:type="dxa" w:w="850"/>
          </w:tcPr>
          <w:p>
            <w:r>
              <w:rPr>
                <w:b/>
                <w:sz w:val="20"/>
              </w:rPr>
              <w:t>Indication principale</w:t>
            </w:r>
          </w:p>
        </w:tc>
        <w:tc>
          <w:tcPr>
            <w:tcW w:type="dxa" w:w="850"/>
          </w:tcPr>
          <w:p>
            <w:r>
              <w:rPr>
                <w:b/>
                <w:sz w:val="20"/>
              </w:rPr>
              <w:t>Voie</w:t>
            </w:r>
          </w:p>
        </w:tc>
        <w:tc>
          <w:tcPr>
            <w:tcW w:type="dxa" w:w="850"/>
          </w:tcPr>
          <w:p>
            <w:r>
              <w:rPr>
                <w:b/>
                <w:sz w:val="20"/>
              </w:rPr>
              <w:t>Posologie standard</w:t>
            </w:r>
          </w:p>
        </w:tc>
        <w:tc>
          <w:tcPr>
            <w:tcW w:type="dxa" w:w="850"/>
          </w:tcPr>
          <w:p>
            <w:r>
              <w:rPr>
                <w:b/>
                <w:sz w:val="20"/>
              </w:rPr>
              <w:t>EI signature</w:t>
            </w:r>
          </w:p>
        </w:tc>
        <w:tc>
          <w:tcPr>
            <w:tcW w:type="dxa" w:w="850"/>
          </w:tcPr>
          <w:p>
            <w:r>
              <w:rPr>
                <w:b/>
                <w:sz w:val="20"/>
              </w:rPr>
              <w:t>CI majeures</w:t>
            </w:r>
          </w:p>
        </w:tc>
        <w:tc>
          <w:tcPr>
            <w:tcW w:type="dxa" w:w="850"/>
          </w:tcPr>
          <w:p>
            <w:r>
              <w:rPr>
                <w:b/>
                <w:sz w:val="20"/>
              </w:rPr>
              <w:t>Dépistage TB</w:t>
            </w:r>
          </w:p>
        </w:tc>
        <w:tc>
          <w:tcPr>
            <w:tcW w:type="dxa" w:w="850"/>
          </w:tcPr>
          <w:p>
            <w:r>
              <w:rPr>
                <w:b/>
                <w:sz w:val="20"/>
              </w:rPr>
              <w:t>Vaccins vivants</w:t>
            </w:r>
          </w:p>
        </w:tc>
        <w:tc>
          <w:tcPr>
            <w:tcW w:type="dxa" w:w="850"/>
          </w:tcPr>
          <w:p>
            <w:r>
              <w:rPr>
                <w:b/>
                <w:sz w:val="20"/>
              </w:rPr>
              <w:t>Grossesse</w:t>
            </w:r>
          </w:p>
        </w:tc>
      </w:tr>
      <w:tr>
        <w:tc>
          <w:tcPr>
            <w:tcW w:type="dxa" w:w="850"/>
          </w:tcPr>
          <w:p>
            <w:r>
              <w:rPr>
                <w:sz w:val="20"/>
              </w:rPr>
              <w:t>**Sécukinumab** (Cosentyx®)</w:t>
            </w:r>
          </w:p>
        </w:tc>
        <w:tc>
          <w:tcPr>
            <w:tcW w:type="dxa" w:w="850"/>
          </w:tcPr>
          <w:p>
            <w:r>
              <w:rPr>
                <w:sz w:val="20"/>
              </w:rPr>
              <w:t>AcM IgG1κ</w:t>
            </w:r>
          </w:p>
        </w:tc>
        <w:tc>
          <w:tcPr>
            <w:tcW w:type="dxa" w:w="850"/>
          </w:tcPr>
          <w:p>
            <w:r>
              <w:rPr>
                <w:sz w:val="20"/>
              </w:rPr>
              <w:t>IL-17A</w:t>
            </w:r>
          </w:p>
        </w:tc>
        <w:tc>
          <w:tcPr>
            <w:tcW w:type="dxa" w:w="850"/>
          </w:tcPr>
          <w:p>
            <w:r>
              <w:rPr>
                <w:sz w:val="20"/>
              </w:rPr>
              <w:t>Psoriasis en plaques, rhumatisme psoriasique, spondylarthrite, maladie de Verneuil</w:t>
            </w:r>
          </w:p>
        </w:tc>
        <w:tc>
          <w:tcPr>
            <w:tcW w:type="dxa" w:w="850"/>
          </w:tcPr>
          <w:p>
            <w:r>
              <w:rPr>
                <w:sz w:val="20"/>
              </w:rPr>
              <w:t>SC</w:t>
            </w:r>
          </w:p>
        </w:tc>
        <w:tc>
          <w:tcPr>
            <w:tcW w:type="dxa" w:w="850"/>
          </w:tcPr>
          <w:p>
            <w:r>
              <w:rPr>
                <w:sz w:val="20"/>
              </w:rPr>
              <w:t>300 mg S0-S4 puis 300 mg q4w</w:t>
            </w:r>
          </w:p>
        </w:tc>
        <w:tc>
          <w:tcPr>
            <w:tcW w:type="dxa" w:w="850"/>
          </w:tcPr>
          <w:p>
            <w:r>
              <w:rPr>
                <w:sz w:val="20"/>
              </w:rPr>
              <w:t>Candidose, IRH, réactions site</w:t>
            </w:r>
          </w:p>
        </w:tc>
        <w:tc>
          <w:tcPr>
            <w:tcW w:type="dxa" w:w="850"/>
          </w:tcPr>
          <w:p>
            <w:r>
              <w:rPr>
                <w:sz w:val="20"/>
              </w:rPr>
              <w:t>MICI, infections sévères</w:t>
            </w:r>
          </w:p>
        </w:tc>
        <w:tc>
          <w:tcPr>
            <w:tcW w:type="dxa" w:w="850"/>
          </w:tcPr>
          <w:p>
            <w:r>
              <w:rPr>
                <w:sz w:val="20"/>
              </w:rPr>
              <w:t>OUI (IDR/IGRA)</w:t>
            </w:r>
          </w:p>
        </w:tc>
        <w:tc>
          <w:tcPr>
            <w:tcW w:type="dxa" w:w="850"/>
          </w:tcPr>
          <w:p>
            <w:r>
              <w:rPr>
                <w:sz w:val="20"/>
              </w:rPr>
              <w:t>Contre-indiqués</w:t>
            </w:r>
          </w:p>
        </w:tc>
        <w:tc>
          <w:tcPr>
            <w:tcW w:type="dxa" w:w="850"/>
          </w:tcPr>
          <w:p>
            <w:r>
              <w:rPr>
                <w:sz w:val="20"/>
              </w:rPr>
              <w:t>À éviter</w:t>
            </w:r>
          </w:p>
        </w:tc>
      </w:tr>
      <w:tr>
        <w:tc>
          <w:tcPr>
            <w:tcW w:type="dxa" w:w="850"/>
          </w:tcPr>
          <w:p>
            <w:r>
              <w:rPr>
                <w:sz w:val="20"/>
              </w:rPr>
              <w:t>**Guselkumab** (Tremfya®)</w:t>
            </w:r>
          </w:p>
        </w:tc>
        <w:tc>
          <w:tcPr>
            <w:tcW w:type="dxa" w:w="850"/>
          </w:tcPr>
          <w:p>
            <w:r>
              <w:rPr>
                <w:sz w:val="20"/>
              </w:rPr>
              <w:t>AcM IgG1λ</w:t>
            </w:r>
          </w:p>
        </w:tc>
        <w:tc>
          <w:tcPr>
            <w:tcW w:type="dxa" w:w="850"/>
          </w:tcPr>
          <w:p>
            <w:r>
              <w:rPr>
                <w:sz w:val="20"/>
              </w:rPr>
              <w:t>IL-23 (p19)</w:t>
            </w:r>
          </w:p>
        </w:tc>
        <w:tc>
          <w:tcPr>
            <w:tcW w:type="dxa" w:w="850"/>
          </w:tcPr>
          <w:p>
            <w:r>
              <w:rPr>
                <w:sz w:val="20"/>
              </w:rPr>
              <w:t>Psoriasis en plaques, rhumatisme psoriasique</w:t>
            </w:r>
          </w:p>
        </w:tc>
        <w:tc>
          <w:tcPr>
            <w:tcW w:type="dxa" w:w="850"/>
          </w:tcPr>
          <w:p>
            <w:r>
              <w:rPr>
                <w:sz w:val="20"/>
              </w:rPr>
              <w:t>SC</w:t>
            </w:r>
          </w:p>
        </w:tc>
        <w:tc>
          <w:tcPr>
            <w:tcW w:type="dxa" w:w="850"/>
          </w:tcPr>
          <w:p>
            <w:r>
              <w:rPr>
                <w:sz w:val="20"/>
              </w:rPr>
              <w:t>100 mg S0, S4 puis q8w</w:t>
            </w:r>
          </w:p>
        </w:tc>
        <w:tc>
          <w:tcPr>
            <w:tcW w:type="dxa" w:w="850"/>
          </w:tcPr>
          <w:p>
            <w:r>
              <w:rPr>
                <w:sz w:val="20"/>
              </w:rPr>
              <w:t>IRH, réactions site</w:t>
            </w:r>
          </w:p>
        </w:tc>
        <w:tc>
          <w:tcPr>
            <w:tcW w:type="dxa" w:w="850"/>
          </w:tcPr>
          <w:p>
            <w:r>
              <w:rPr>
                <w:sz w:val="20"/>
              </w:rPr>
              <w:t>Infections sévères</w:t>
            </w:r>
          </w:p>
        </w:tc>
        <w:tc>
          <w:tcPr>
            <w:tcW w:type="dxa" w:w="850"/>
          </w:tcPr>
          <w:p>
            <w:r>
              <w:rPr>
                <w:sz w:val="20"/>
              </w:rPr>
              <w:t>OUI (IDR/IGRA)</w:t>
            </w:r>
          </w:p>
        </w:tc>
        <w:tc>
          <w:tcPr>
            <w:tcW w:type="dxa" w:w="850"/>
          </w:tcPr>
          <w:p>
            <w:r>
              <w:rPr>
                <w:sz w:val="20"/>
              </w:rPr>
              <w:t>Contre-indiqués</w:t>
            </w:r>
          </w:p>
        </w:tc>
        <w:tc>
          <w:tcPr>
            <w:tcW w:type="dxa" w:w="850"/>
          </w:tcPr>
          <w:p>
            <w:r>
              <w:rPr>
                <w:sz w:val="20"/>
              </w:rPr>
              <w:t>À éviter</w:t>
            </w:r>
          </w:p>
        </w:tc>
      </w:tr>
      <w:tr>
        <w:tc>
          <w:tcPr>
            <w:tcW w:type="dxa" w:w="850"/>
          </w:tcPr>
          <w:p>
            <w:r>
              <w:rPr>
                <w:sz w:val="20"/>
              </w:rPr>
              <w:t>**Risankizumab** (Skyrizi®)</w:t>
            </w:r>
          </w:p>
        </w:tc>
        <w:tc>
          <w:tcPr>
            <w:tcW w:type="dxa" w:w="850"/>
          </w:tcPr>
          <w:p>
            <w:r>
              <w:rPr>
                <w:sz w:val="20"/>
              </w:rPr>
              <w:t>AcM IgG1κ</w:t>
            </w:r>
          </w:p>
        </w:tc>
        <w:tc>
          <w:tcPr>
            <w:tcW w:type="dxa" w:w="850"/>
          </w:tcPr>
          <w:p>
            <w:r>
              <w:rPr>
                <w:sz w:val="20"/>
              </w:rPr>
              <w:t>IL-23 (p19)</w:t>
            </w:r>
          </w:p>
        </w:tc>
        <w:tc>
          <w:tcPr>
            <w:tcW w:type="dxa" w:w="850"/>
          </w:tcPr>
          <w:p>
            <w:r>
              <w:rPr>
                <w:sz w:val="20"/>
              </w:rPr>
              <w:t>Psoriasis en plaques (adulte et ado), rhumatisme psoriasique, maladie de Crohn</w:t>
            </w:r>
          </w:p>
        </w:tc>
        <w:tc>
          <w:tcPr>
            <w:tcW w:type="dxa" w:w="850"/>
          </w:tcPr>
          <w:p>
            <w:r>
              <w:rPr>
                <w:sz w:val="20"/>
              </w:rPr>
              <w:t>SC</w:t>
            </w:r>
          </w:p>
        </w:tc>
        <w:tc>
          <w:tcPr>
            <w:tcW w:type="dxa" w:w="850"/>
          </w:tcPr>
          <w:p>
            <w:r>
              <w:rPr>
                <w:sz w:val="20"/>
              </w:rPr>
              <w:t>150 mg S0, S4 puis q12w</w:t>
            </w:r>
          </w:p>
        </w:tc>
        <w:tc>
          <w:tcPr>
            <w:tcW w:type="dxa" w:w="850"/>
          </w:tcPr>
          <w:p>
            <w:r>
              <w:rPr>
                <w:sz w:val="20"/>
              </w:rPr>
              <w:t>IRH, réactions site</w:t>
            </w:r>
          </w:p>
        </w:tc>
        <w:tc>
          <w:tcPr>
            <w:tcW w:type="dxa" w:w="850"/>
          </w:tcPr>
          <w:p>
            <w:r>
              <w:rPr>
                <w:sz w:val="20"/>
              </w:rPr>
              <w:t>Infections sévères</w:t>
            </w:r>
          </w:p>
        </w:tc>
        <w:tc>
          <w:tcPr>
            <w:tcW w:type="dxa" w:w="850"/>
          </w:tcPr>
          <w:p>
            <w:r>
              <w:rPr>
                <w:sz w:val="20"/>
              </w:rPr>
              <w:t>OUI (IDR/IGRA)</w:t>
            </w:r>
          </w:p>
        </w:tc>
        <w:tc>
          <w:tcPr>
            <w:tcW w:type="dxa" w:w="850"/>
          </w:tcPr>
          <w:p>
            <w:r>
              <w:rPr>
                <w:sz w:val="20"/>
              </w:rPr>
              <w:t>Contre-indiqués</w:t>
            </w:r>
          </w:p>
        </w:tc>
        <w:tc>
          <w:tcPr>
            <w:tcW w:type="dxa" w:w="850"/>
          </w:tcPr>
          <w:p>
            <w:r>
              <w:rPr>
                <w:sz w:val="20"/>
              </w:rPr>
              <w:t>À éviter</w:t>
            </w:r>
          </w:p>
        </w:tc>
      </w:tr>
      <w:tr>
        <w:tc>
          <w:tcPr>
            <w:tcW w:type="dxa" w:w="850"/>
          </w:tcPr>
          <w:p>
            <w:r>
              <w:rPr>
                <w:sz w:val="20"/>
              </w:rPr>
              <w:t>**Dupilumab** (Dupixent®)</w:t>
            </w:r>
          </w:p>
        </w:tc>
        <w:tc>
          <w:tcPr>
            <w:tcW w:type="dxa" w:w="850"/>
          </w:tcPr>
          <w:p>
            <w:r>
              <w:rPr>
                <w:sz w:val="20"/>
              </w:rPr>
              <w:t>AcM IgG4</w:t>
            </w:r>
          </w:p>
        </w:tc>
        <w:tc>
          <w:tcPr>
            <w:tcW w:type="dxa" w:w="850"/>
          </w:tcPr>
          <w:p>
            <w:r>
              <w:rPr>
                <w:sz w:val="20"/>
              </w:rPr>
              <w:t>IL-4Rα (IL-4 + IL-13)</w:t>
            </w:r>
          </w:p>
        </w:tc>
        <w:tc>
          <w:tcPr>
            <w:tcW w:type="dxa" w:w="850"/>
          </w:tcPr>
          <w:p>
            <w:r>
              <w:rPr>
                <w:sz w:val="20"/>
              </w:rPr>
              <w:t>Dermatite atopique (adulte, ado, enfant, nourrisson), asthme, polypose, œsophagite à éosinophiles, prurigo</w:t>
            </w:r>
          </w:p>
        </w:tc>
        <w:tc>
          <w:tcPr>
            <w:tcW w:type="dxa" w:w="850"/>
          </w:tcPr>
          <w:p>
            <w:r>
              <w:rPr>
                <w:sz w:val="20"/>
              </w:rPr>
              <w:t>SC</w:t>
            </w:r>
          </w:p>
        </w:tc>
        <w:tc>
          <w:tcPr>
            <w:tcW w:type="dxa" w:w="850"/>
          </w:tcPr>
          <w:p>
            <w:r>
              <w:rPr>
                <w:sz w:val="20"/>
              </w:rPr>
              <w:t>600 mg S0 puis 300 mg q2w</w:t>
            </w:r>
          </w:p>
        </w:tc>
        <w:tc>
          <w:tcPr>
            <w:tcW w:type="dxa" w:w="850"/>
          </w:tcPr>
          <w:p>
            <w:r>
              <w:rPr>
                <w:sz w:val="20"/>
              </w:rPr>
              <w:t>Conjonctivite, réactions site, herpès</w:t>
            </w:r>
          </w:p>
        </w:tc>
        <w:tc>
          <w:tcPr>
            <w:tcW w:type="dxa" w:w="850"/>
          </w:tcPr>
          <w:p>
            <w:r>
              <w:rPr>
                <w:sz w:val="20"/>
              </w:rPr>
              <w:t>Infections sévères</w:t>
            </w:r>
          </w:p>
        </w:tc>
        <w:tc>
          <w:tcPr>
            <w:tcW w:type="dxa" w:w="850"/>
          </w:tcPr>
          <w:p>
            <w:r>
              <w:rPr>
                <w:sz w:val="20"/>
              </w:rPr>
              <w:t>NON (prudence)</w:t>
            </w:r>
          </w:p>
        </w:tc>
        <w:tc>
          <w:tcPr>
            <w:tcW w:type="dxa" w:w="850"/>
          </w:tcPr>
          <w:p>
            <w:r>
              <w:rPr>
                <w:sz w:val="20"/>
              </w:rPr>
              <w:t>À éviter (prudence)</w:t>
            </w:r>
          </w:p>
        </w:tc>
        <w:tc>
          <w:tcPr>
            <w:tcW w:type="dxa" w:w="850"/>
          </w:tcPr>
          <w:p>
            <w:r>
              <w:rPr>
                <w:sz w:val="20"/>
              </w:rPr>
              <w:t>Compatible si nécessaire</w:t>
            </w:r>
          </w:p>
        </w:tc>
      </w:tr>
      <w:tr>
        <w:tc>
          <w:tcPr>
            <w:tcW w:type="dxa" w:w="850"/>
          </w:tcPr>
          <w:p>
            <w:r>
              <w:rPr>
                <w:sz w:val="20"/>
              </w:rPr>
              <w:t>**Baricitinib** (Olumiant®)</w:t>
            </w:r>
          </w:p>
        </w:tc>
        <w:tc>
          <w:tcPr>
            <w:tcW w:type="dxa" w:w="850"/>
          </w:tcPr>
          <w:p>
            <w:r>
              <w:rPr>
                <w:sz w:val="20"/>
              </w:rPr>
              <w:t>Inhibiteur JAK1/2 oral</w:t>
            </w:r>
          </w:p>
        </w:tc>
        <w:tc>
          <w:tcPr>
            <w:tcW w:type="dxa" w:w="850"/>
          </w:tcPr>
          <w:p>
            <w:r>
              <w:rPr>
                <w:sz w:val="20"/>
              </w:rPr>
              <w:t>JAK1/JAK2</w:t>
            </w:r>
          </w:p>
        </w:tc>
        <w:tc>
          <w:tcPr>
            <w:tcW w:type="dxa" w:w="850"/>
          </w:tcPr>
          <w:p>
            <w:r>
              <w:rPr>
                <w:sz w:val="20"/>
              </w:rPr>
              <w:t>Dermatite atopique (2e intention), polyarthrite rhumatoïde, alopécie areata, GVHD</w:t>
            </w:r>
          </w:p>
        </w:tc>
        <w:tc>
          <w:tcPr>
            <w:tcW w:type="dxa" w:w="850"/>
          </w:tcPr>
          <w:p>
            <w:r>
              <w:rPr>
                <w:sz w:val="20"/>
              </w:rPr>
              <w:t>Orale</w:t>
            </w:r>
          </w:p>
        </w:tc>
        <w:tc>
          <w:tcPr>
            <w:tcW w:type="dxa" w:w="850"/>
          </w:tcPr>
          <w:p>
            <w:r>
              <w:rPr>
                <w:sz w:val="20"/>
              </w:rPr>
              <w:t>4 mg/j × 2 sem puis 2 mg/j</w:t>
            </w:r>
          </w:p>
        </w:tc>
        <w:tc>
          <w:tcPr>
            <w:tcW w:type="dxa" w:w="850"/>
          </w:tcPr>
          <w:p>
            <w:r>
              <w:rPr>
                <w:sz w:val="20"/>
              </w:rPr>
              <w:t>Infections, dyslipidémie, thrombose, cytopénies, zona</w:t>
            </w:r>
          </w:p>
        </w:tc>
        <w:tc>
          <w:tcPr>
            <w:tcW w:type="dxa" w:w="850"/>
          </w:tcPr>
          <w:p>
            <w:r>
              <w:rPr>
                <w:sz w:val="20"/>
              </w:rPr>
              <w:t>Grossesse, allaitement, insuffisance hépatique sévère</w:t>
            </w:r>
          </w:p>
        </w:tc>
        <w:tc>
          <w:tcPr>
            <w:tcW w:type="dxa" w:w="850"/>
          </w:tcPr>
          <w:p>
            <w:r>
              <w:rPr>
                <w:sz w:val="20"/>
              </w:rPr>
              <w:t>OUI (IDR/IGRA)</w:t>
            </w:r>
          </w:p>
        </w:tc>
        <w:tc>
          <w:tcPr>
            <w:tcW w:type="dxa" w:w="850"/>
          </w:tcPr>
          <w:p>
            <w:r>
              <w:rPr>
                <w:sz w:val="20"/>
              </w:rPr>
              <w:t>Contre-indiqués (Shingrix® recommandé)</w:t>
            </w:r>
          </w:p>
        </w:tc>
        <w:tc>
          <w:tcPr>
            <w:tcW w:type="dxa" w:w="850"/>
          </w:tcPr>
          <w:p>
            <w:r>
              <w:rPr>
                <w:sz w:val="20"/>
              </w:rPr>
              <w:t>CONTRE-INDICATION ABSOLUE</w:t>
            </w:r>
          </w:p>
        </w:tc>
      </w:tr>
    </w:tbl>
    <w:p/>
    <w:p>
      <w:pPr>
        <w:pStyle w:val="Heading2"/>
      </w:pPr>
      <w:r>
        <w:t>126.6 Synthèse pédagogique et messages clés</w:t>
      </w:r>
    </w:p>
    <w:p>
      <w:pPr>
        <w:pStyle w:val="Heading3"/>
      </w:pPr>
      <w:r>
        <w:t>Messages clés à retenir</w:t>
      </w:r>
    </w:p>
    <w:p>
      <w:pPr>
        <w:pStyle w:val="ListNumber"/>
      </w:pPr>
      <w:r/>
      <w:r>
        <w:rPr>
          <w:b/>
        </w:rPr>
        <w:t>La révolution des biothérapies a transformé le pronostic du psoriasis sévère et de la dermatite atopique sévère</w:t>
      </w:r>
      <w:r>
        <w:t xml:space="preserve"> : objectif thérapeutique désormais peau claire ou presque claire (PASI 90 / EASI 90) chez une majorité de patients à S16, avec maintien d'efficacité à 5 ans et au-delà.</w:t>
      </w:r>
    </w:p>
    <w:p>
      <w:pPr>
        <w:pStyle w:val="ListNumber"/>
      </w:pPr>
      <w:r/>
      <w:r>
        <w:rPr>
          <w:b/>
        </w:rPr>
        <w:t>Les anti-IL-17 (sécukinumab) sont contre-indiqués dans les MICI</w:t>
      </w:r>
      <w:r>
        <w:t xml:space="preserve"> (maladie de Crohn, rectocolite hémorragique) en raison d'une aggravation paradoxale documentée — interrogationatoire systématique à l'anamnèse.</w:t>
      </w:r>
    </w:p>
    <w:p>
      <w:pPr>
        <w:pStyle w:val="ListNumber"/>
      </w:pPr>
      <w:r/>
      <w:r>
        <w:rPr>
          <w:b/>
        </w:rPr>
        <w:t>Les anti-IL-23 p19 (guselkumab, risankizumab) ne sont PAS contre-indiqués dans les MICI</w:t>
      </w:r>
      <w:r>
        <w:t xml:space="preserve"> (le risankizumab est même indiqué dans la maladie de Crohn) — avantage compétitif en cas de psoriasis associé à une MICI.</w:t>
      </w:r>
    </w:p>
    <w:p>
      <w:pPr>
        <w:pStyle w:val="ListNumber"/>
      </w:pPr>
      <w:r/>
      <w:r>
        <w:rPr>
          <w:b/>
        </w:rPr>
        <w:t>Le schéma d'administration diffère selon la biothérapie</w:t>
      </w:r>
      <w:r>
        <w:t xml:space="preserve"> : sécukinumab (q4w), guselkumab (q8w), risankizumab (q12w — espacement maximal, 4 injections par an en entretien), dupilumab (q2w), baricitinib (quotidien oral).</w:t>
      </w:r>
    </w:p>
    <w:p>
      <w:pPr>
        <w:pStyle w:val="ListNumber"/>
      </w:pPr>
      <w:r/>
      <w:r>
        <w:rPr>
          <w:b/>
        </w:rPr>
        <w:t>Le dépistage tuberculeux pré-thérapeutique est systématique pour les anti-IL-17, anti-IL-23 et inhibiteurs JAK</w:t>
      </w:r>
      <w:r>
        <w:t xml:space="preserve"> (IDR à la tuberculine ou IGRA Quantiferon-TB Gold Plus) — non requis pour le dupilumab.</w:t>
      </w:r>
    </w:p>
    <w:p>
      <w:pPr>
        <w:pStyle w:val="ListNumber"/>
      </w:pPr>
      <w:r/>
      <w:r>
        <w:rPr>
          <w:b/>
        </w:rPr>
        <w:t>Les vaccins vivants (ROR, varicelle, fièvre jaune, BCG, vaccin intranasal grippe atténué, Zostavax®) sont contre-indiqués pendant les biothérapies psoriasis et le baricitinib</w:t>
      </w:r>
      <w:r>
        <w:t xml:space="preserve"> — à administrer au moins 4 semaines AVANT initiation. Le dupilumab recommande l'évitement par mesure de prudence (pas de CI absolue).</w:t>
      </w:r>
    </w:p>
    <w:p>
      <w:pPr>
        <w:pStyle w:val="ListNumber"/>
      </w:pPr>
      <w:r/>
      <w:r>
        <w:rPr>
          <w:b/>
        </w:rPr>
        <w:t>La conjonctivite sous dupilumab</w:t>
      </w:r>
      <w:r>
        <w:t xml:space="preserve"> (effet de classe des anti-IL-4/13, 8-15 %) est le plus souvent modérée et réversible — à traiter par larmes artificielles, antihistaminiques topiques oculaires, corticoïdes faibles ou cyclosporine collyre 0,1 % ; rarement interruption transitoire.</w:t>
      </w:r>
    </w:p>
    <w:p>
      <w:pPr>
        <w:pStyle w:val="ListNumber"/>
      </w:pPr>
      <w:r/>
      <w:r>
        <w:rPr>
          <w:b/>
        </w:rPr>
        <w:t>Le baricitinib expose à un risque thrombotique veineux et artériel</w:t>
      </w:r>
      <w:r>
        <w:t xml:space="preserve"> (TVP, EP, infarctus du myocarte, AVC — signal EMA PRAC 2022-2023) — positionnement en deuxième intention après dupilumab dans la DA ; arrêt immédiat et définitif en cas de thrombose.</w:t>
      </w:r>
    </w:p>
    <w:p>
      <w:pPr>
        <w:pStyle w:val="ListNumber"/>
      </w:pPr>
      <w:r/>
      <w:r>
        <w:rPr>
          <w:b/>
        </w:rPr>
        <w:t>Le baricitinib est CONTRE-INDIQUÉ pendant la grossesse</w:t>
      </w:r>
      <w:r>
        <w:t xml:space="preserve"> (tératogène animal) — double contraception obligatoire chez la femme en âge de procréer pendant le traitement et 1 semaine après l'arrêt. Le dupilumab est compatible avec la grossesse si l'indication le justifie.</w:t>
      </w:r>
    </w:p>
    <w:p>
      <w:pPr>
        <w:pStyle w:val="ListNumber"/>
      </w:pPr>
      <w:r/>
      <w:r>
        <w:rPr>
          <w:b/>
        </w:rPr>
        <w:t>L'efficacité des anti-IL-23 p19 est légèrement supérieure aux anti-IL-17</w:t>
      </w:r>
      <w:r>
        <w:t xml:space="preserve"> (PASI 90 à S16 : 75-80 % vs 60-70 %) et l'espacement en entretien est plus large (q8w-q12w vs q4w) — préférer les anti-IL-23 en première intention chez les patients naïfs de biothérapie.</w:t>
      </w:r>
    </w:p>
    <w:p>
      <w:pPr>
        <w:pStyle w:val="ListNumber"/>
      </w:pPr>
      <w:r/>
      <w:r>
        <w:rPr>
          <w:b/>
        </w:rPr>
        <w:t>L'évaluation de la réponse thérapeutique se fait à S16</w:t>
      </w:r>
      <w:r>
        <w:t xml:space="preserve"> (PASI 90 pour le psoriasis, EASI 75 pour la DA) — en cas d'échec primaire (PASI &lt; 50 ou EASI &lt; 50), switch vers une autre classe de mécanisme différent.</w:t>
      </w:r>
    </w:p>
    <w:p>
      <w:pPr>
        <w:pStyle w:val="ListNumber"/>
      </w:pPr>
      <w:r/>
      <w:r>
        <w:rPr>
          <w:b/>
        </w:rPr>
        <w:t>Le dupilumab a une AMM élargie à l'enfant dès 6 mois</w:t>
      </w:r>
      <w:r>
        <w:t xml:space="preserve"> dans la DA sévère (extension 2022) — la biothérapie pédiatrique la plus précoce jamais autorisée en dermatologie ; à l'inverse, le baricitinib n'a pas d'AMM pédiatrique en dermatologie.</w:t>
      </w:r>
    </w:p>
    <w:p>
      <w:pPr>
        <w:pStyle w:val="ListNumber"/>
      </w:pPr>
      <w:r/>
      <w:r>
        <w:rPr>
          <w:b/>
        </w:rPr>
        <w:t>Le coût des biothérapies reste un enjeu majeur en Algérie</w:t>
      </w:r>
      <w:r>
        <w:t xml:space="preserve"> : le baricitinib (Olumiant®) est fabriqué localement par Biopharm, garantissant un accès élargi et un coût potentiellement inférieur aux biothérapies injectables importées (Cosentyx®, Tremfya®, Skyrizi®, Dupixent®).</w:t>
      </w:r>
    </w:p>
    <w:p>
      <w:pPr>
        <w:pStyle w:val="ListNumber"/>
      </w:pPr>
      <w:r/>
      <w:r>
        <w:rPr>
          <w:b/>
        </w:rPr>
        <w:t>L'éducation thérapeutique et l'observance sont des piliers du succès</w:t>
      </w:r>
      <w:r>
        <w:t xml:space="preserve"> : calendrier d'administration à jour, alertes de rappel, ne jamais interrompre sans avis médical (risque de rechute), prévoir une réserve pour les déplacements (sac isotherme pour les biothérapies injectables).</w:t>
      </w:r>
    </w:p>
    <w:p>
      <w:pPr>
        <w:pStyle w:val="ListNumber"/>
      </w:pPr>
      <w:r/>
      <w:r>
        <w:rPr>
          <w:b/>
        </w:rPr>
        <w:t>La coordination pluridisciplinaire</w:t>
      </w:r>
      <w:r>
        <w:t xml:space="preserve"> (dermatologue, rhumatologue, ophtalmologue, gastro-entérologue, infectiologue, gynécologue) est essentielle pour optimiser la prise en charge des patients sous biothérapie dermatologique, en particulier pour le dépistage pré-thérapeutique, la surveillance biologique et la gestion des effets indésirables.</w:t>
      </w:r>
    </w:p>
    <w:p>
      <w:pPr>
        <w:pStyle w:val="ListNumber"/>
      </w:pPr>
      <w:r/>
      <w:r>
        <w:rPr>
          <w:b/>
        </w:rPr>
        <w:t>La pharmacie d'officine algérienne joue un rôle clé</w:t>
      </w:r>
      <w:r>
        <w:t xml:space="preserve"> : vérification de la prescription (initiation hospitalière, dose, schéma), éducation du patient (auto-administration, signes d'alerte, conservation, observance), coordination avec le prescripteur hospitalier, dépistage des interactions médicamenteuses (inducteurs enzymatiques, vaccins vivants), conseil à la patiente en âge de procréer (contraception obligatoire pour le baricitinib, compatible pour le dupilumab).</w:t>
      </w:r>
    </w:p>
    <w:p>
      <w:pPr>
        <w:pStyle w:val="Heading2"/>
      </w:pPr>
      <w:r>
        <w:t>Conclusion</w:t>
      </w:r>
    </w:p>
    <w:p>
      <w:r>
        <w:t>Les biothérapies dermatologiques ont transformé la prise en charge du psoriasis sévère et de la dermatite atopique sévère, permettant d'atteindre un objectif thérapeutique autrefois inenvisageable : la peau claire ou presque claire chez une majorité de patients à 16 semaines, avec un maintien d'efficacité à 5 ans et au-delà. Les cinq DCIs traitées dans ce chapitre — sécukinumab (Cosentyx®), guselkumab (Tremfya®), risankizumab (Skyrizi®), dupilumab (Dupixent®) et baricitinib (Olumiant®) — représentent l'essentiel de l'arsenal biothérapeutique disponible en Algérie en 2026. Leurs profils d'efficacité et de tolérance diffèrent : les anti-IL-23 p19 (guselkumab, risankizumab) offrent l'efficacité maximale avec l'espacement le plus large (q8w-q12w), le dupilumab reste la biothérapie de référence de la dermatite atopique avec une tolérance exceptionnelle et une AMM pédiatrique dès 6 mois, le sécukinumab conserve une place de choix dans le psoriasis (efficacité rapide, AMM Verneuil et PPG) mais reste contre-indiqué dans les MICI, et le baricitinib ouvre la voie de la thérapie orale JAK en dermatologie (avec des restrictions liées au signal thrombotique et une contre-indication absolue pendant la grossesse). Le dépistage pré-thérapeutique tuberculeux (anti-IL-17, anti-IL-23, JAK), la vérification du statut vaccinal (vaccins vivants à administrer avant initiation), le bilan biologique complet (NFS, hépatique, rénal, lipidique, sérologies) et l'éducation thérapeutique du patient sont les pierres angulaires d'une prescription sécurisée. La pharmacie d'officine algérienne, en lien avec les services hospitaliers spécialisés en dermatologie, joue un rôle essentiel dans la dispensation, l'éducation, la surveillance et la traçabilité de ces traitements coûteux mais potentiellement transformateurs.</w:t>
      </w:r>
    </w:p>
    <w:p>
      <w:r/>
      <w:r>
        <w:rPr>
          <w:b/>
        </w:rPr>
        <w:t>Sources mobilisées :</w:t>
      </w:r>
      <w:r>
        <w:t xml:space="preserve"> VIDAL 2025, ANSM (RCP et avis de la Commission de la Transparence), Thériaque, CRAT (Centre de Renseignement sur les Agents Tératogènes), EADV (European Academy of Dermatology and Venereology) Guidelines 2022-2024, EuroGuiDerm Psoriasis Guidelines 2021, UpToDate, EMA EPAR (European Public Assessment Reports), RECAP (registre de pharmacovigilance), PRAC (Pharmacovigilance Risk Assessment Committee) 2022-2023.</w:t>
      </w:r>
    </w:p>
    <w:p>
      <w:r/>
      <w:r>
        <w:rPr>
          <w:i/>
        </w:rPr>
        <w:t>Fin du Fascicule XIII — Dermatologie</w:t>
      </w:r>
      <w:r/>
    </w:p>
    <w:p>
      <w:r/>
      <w:r>
        <w:rPr>
          <w:i/>
        </w:rPr>
        <w:t>Chapitre 126 — Biothérapies dermatologiques</w:t>
      </w:r>
      <w:r/>
    </w:p>
    <w:p>
      <w:r/>
      <w:r>
        <w:rPr>
          <w:i/>
        </w:rPr>
        <w:t>Achévement du livre de Pharmacologie Clinique</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Dermatologie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