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B76E00"/>
          <w:sz w:val="56"/>
        </w:rPr>
        <w:t>GYNECOLOGIE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Gynécologie/Obstétrique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OMS • CRAT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IX : Gynécologie/Obstétrique</w:t>
      </w:r>
    </w:p>
    <w:p>
      <w:pPr>
        <w:pStyle w:val="Heading2"/>
      </w:pPr>
      <w:r>
        <w:t>Avant-propos et méthodologie du Fascicule IX</w:t>
      </w:r>
    </w:p>
    <w:p>
      <w:pPr>
        <w:pStyle w:val="Heading3"/>
      </w:pPr>
      <w:r>
        <w:t>1. Objet du fascicule</w:t>
      </w:r>
    </w:p>
    <w:p>
      <w:r>
        <w:t>Le présent fascicule constitue le neuvième volet du traité technique de pharmacologie clinique destiné aux étudiants en pharmacie d'officine et aux praticiens exerçant sur le territoire algérien. Il poursuit la démarche engagée dans les Fascicules I-VIII en traitant de manière exhaustive les classes thérapeutiques gynécologiques et obstétricales spécifiques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Heading4"/>
      </w:pPr>
      <w:r>
        <w:t>2.1 Obstétrique</w:t>
      </w:r>
    </w:p>
    <w:p>
      <w:pPr>
        <w:pStyle w:val="ListBullet"/>
      </w:pPr>
      <w:r/>
      <w:r>
        <w:rPr>
          <w:b/>
        </w:rPr>
        <w:t>Naissances</w:t>
      </w:r>
      <w:r>
        <w:t xml:space="preserve"> : ~800 000 par an en Algérie</w:t>
      </w:r>
    </w:p>
    <w:p>
      <w:pPr>
        <w:pStyle w:val="ListBullet"/>
      </w:pPr>
      <w:r/>
      <w:r>
        <w:rPr>
          <w:b/>
        </w:rPr>
        <w:t>Accouchement prématuré</w:t>
      </w:r>
      <w:r>
        <w:t xml:space="preserve"> : 6-10 % des naissances (menace = indication de tocolyse)</w:t>
      </w:r>
    </w:p>
    <w:p>
      <w:pPr>
        <w:pStyle w:val="ListBullet"/>
      </w:pPr>
      <w:r/>
      <w:r>
        <w:rPr>
          <w:b/>
        </w:rPr>
        <w:t>Taux de césarienne</w:t>
      </w:r>
      <w:r>
        <w:t xml:space="preserve"> : 15-25 % (variable selon régions)</w:t>
      </w:r>
    </w:p>
    <w:p>
      <w:pPr>
        <w:pStyle w:val="ListBullet"/>
      </w:pPr>
      <w:r/>
      <w:r>
        <w:rPr>
          <w:b/>
        </w:rPr>
        <w:t>Induction du travail</w:t>
      </w:r>
      <w:r>
        <w:t xml:space="preserve"> : 15-20 % des accouchements</w:t>
      </w:r>
    </w:p>
    <w:p>
      <w:pPr>
        <w:pStyle w:val="ListBullet"/>
      </w:pPr>
      <w:r/>
      <w:r>
        <w:rPr>
          <w:b/>
        </w:rPr>
        <w:t>Hémorragies du post-partum (HPP)</w:t>
      </w:r>
      <w:r>
        <w:t xml:space="preserve"> : 3-5 % accouchements, 1ère cause mortalité maternelle</w:t>
      </w:r>
    </w:p>
    <w:p>
      <w:pPr>
        <w:pStyle w:val="Heading4"/>
      </w:pPr>
      <w:r>
        <w:t>2.2 Gynécologie</w:t>
      </w:r>
    </w:p>
    <w:p>
      <w:pPr>
        <w:pStyle w:val="ListBullet"/>
      </w:pPr>
      <w:r/>
      <w:r>
        <w:rPr>
          <w:b/>
        </w:rPr>
        <w:t>Ménorragies</w:t>
      </w:r>
      <w:r>
        <w:t xml:space="preserve"> : 10-15 % femmes en âge de procréer</w:t>
      </w:r>
    </w:p>
    <w:p>
      <w:pPr>
        <w:pStyle w:val="ListBullet"/>
      </w:pPr>
      <w:r/>
      <w:r>
        <w:rPr>
          <w:b/>
        </w:rPr>
        <w:t>Endométriose</w:t>
      </w:r>
      <w:r>
        <w:t xml:space="preserve"> : 5-10 % femmes en âge reproductif</w:t>
      </w:r>
    </w:p>
    <w:p>
      <w:pPr>
        <w:pStyle w:val="ListBullet"/>
      </w:pPr>
      <w:r/>
      <w:r>
        <w:rPr>
          <w:b/>
        </w:rPr>
        <w:t>Ménopause</w:t>
      </w:r>
      <w:r>
        <w:t xml:space="preserve"> : espérance vie femme ~78 ans → 30 ans post-ménopause</w:t>
      </w:r>
    </w:p>
    <w:p>
      <w:pPr>
        <w:pStyle w:val="Heading3"/>
      </w:pPr>
      <w:r>
        <w:t>3. Sources académiques mobilisées</w:t>
      </w:r>
    </w:p>
    <w:p>
      <w:pPr>
        <w:pStyle w:val="ListBullet"/>
      </w:pPr>
      <w:r/>
      <w:r>
        <w:rPr>
          <w:b/>
        </w:rPr>
        <w:t>VIDAL</w:t>
      </w:r>
      <w:r>
        <w:t xml:space="preserve"> : AMM, RCP, interactions</w:t>
      </w:r>
    </w:p>
    <w:p>
      <w:pPr>
        <w:pStyle w:val="ListBullet"/>
      </w:pPr>
      <w:r/>
      <w:r>
        <w:rPr>
          <w:b/>
        </w:rPr>
        <w:t>ANSM</w:t>
      </w:r>
      <w:r>
        <w:t xml:space="preserve"> : recommandations, mises en garde</w:t>
      </w:r>
    </w:p>
    <w:p>
      <w:pPr>
        <w:pStyle w:val="ListBullet"/>
      </w:pPr>
      <w:r/>
      <w:r>
        <w:rPr>
          <w:b/>
        </w:rPr>
        <w:t>Thériaque</w:t>
      </w:r>
      <w:r>
        <w:t xml:space="preserve"> : banque de données pharmaceutiques (CNHIM)</w:t>
      </w:r>
    </w:p>
    <w:p>
      <w:pPr>
        <w:pStyle w:val="ListBullet"/>
      </w:pPr>
      <w:r/>
      <w:r>
        <w:rPr>
          <w:b/>
        </w:rPr>
        <w:t>CRAT</w:t>
      </w:r>
      <w:r>
        <w:t xml:space="preserve"> : données grossesse et allaitement (essentiel en obstétrique)</w:t>
      </w:r>
    </w:p>
    <w:p>
      <w:pPr>
        <w:pStyle w:val="ListBullet"/>
      </w:pPr>
      <w:r/>
      <w:r>
        <w:rPr>
          <w:b/>
        </w:rPr>
        <w:t>CNGOF (Collège National Gynécologues Obstétriciens Français)</w:t>
      </w:r>
      <w:r>
        <w:t xml:space="preserve"> : recommandations</w:t>
      </w:r>
    </w:p>
    <w:p>
      <w:pPr>
        <w:pStyle w:val="ListBullet"/>
      </w:pPr>
      <w:r/>
      <w:r>
        <w:rPr>
          <w:b/>
        </w:rPr>
        <w:t>WHO (World Health Organization)</w:t>
      </w:r>
      <w:r>
        <w:t xml:space="preserve"> : guidelines post-partum hemorrhage</w:t>
      </w:r>
    </w:p>
    <w:p>
      <w:pPr>
        <w:pStyle w:val="ListBullet"/>
      </w:pPr>
      <w:r/>
      <w:r>
        <w:rPr>
          <w:b/>
        </w:rPr>
        <w:t>NICE (National Institute for Health and Care Excellence)</w:t>
      </w:r>
      <w:r>
        <w:t xml:space="preserve"> : guidelines ménorragies</w:t>
      </w:r>
    </w:p>
    <w:p>
      <w:pPr>
        <w:pStyle w:val="ListBullet"/>
      </w:pPr>
      <w:r/>
      <w:r>
        <w:rPr>
          <w:b/>
        </w:rPr>
        <w:t>FIGO (International Federation of Gynecology and Obstetrics)</w:t>
      </w:r>
      <w:r/>
    </w:p>
    <w:p>
      <w:pPr>
        <w:pStyle w:val="ListBullet"/>
      </w:pPr>
      <w:r/>
      <w:r>
        <w:rPr>
          <w:b/>
        </w:rPr>
        <w:t>UpToDate, Micromedex, BMJ Best Practice, HAS</w:t>
      </w:r>
      <w:r>
        <w:t xml:space="preserve"> : référentiels internationaux</w:t>
      </w:r>
    </w:p>
    <w:p>
      <w:pPr>
        <w:pStyle w:val="Heading3"/>
      </w:pPr>
      <w:r>
        <w:t>4. Périmètre de ce fascicule</w:t>
      </w:r>
    </w:p>
    <w:p>
      <w:r>
        <w:t>Ce fascicule couvre les classes gynécologiques et obstétricales suivantes :</w:t>
      </w:r>
    </w:p>
    <w:p>
      <w:pPr>
        <w:pStyle w:val="Heading4"/>
      </w:pPr>
      <w:r>
        <w:t>Tocolyse et déclenchement du travail (5 DCI)</w:t>
      </w:r>
    </w:p>
    <w:p>
      <w:pPr>
        <w:pStyle w:val="ListNumber"/>
      </w:pPr>
      <w:r>
        <w:t>Tocolytiques - Antagonistes ocytocine (1) : atosiban</w:t>
      </w:r>
    </w:p>
    <w:p>
      <w:pPr>
        <w:pStyle w:val="ListNumber"/>
      </w:pPr>
      <w:r>
        <w:t>Tocolytiques - Inhibiteurs calciques (1) : nifédipine (tocolyse)</w:t>
      </w:r>
    </w:p>
    <w:p>
      <w:pPr>
        <w:pStyle w:val="ListNumber"/>
      </w:pPr>
      <w:r>
        <w:t>Ocytociques (1) : ocytocine</w:t>
      </w:r>
    </w:p>
    <w:p>
      <w:pPr>
        <w:pStyle w:val="ListNumber"/>
      </w:pPr>
      <w:r>
        <w:t>Prostaglandines E2 (1) : dinoprostone</w:t>
      </w:r>
    </w:p>
    <w:p>
      <w:pPr>
        <w:pStyle w:val="ListNumber"/>
      </w:pPr>
      <w:r>
        <w:t>Prostaglandines E1 (1) : misoprostol</w:t>
      </w:r>
    </w:p>
    <w:p>
      <w:pPr>
        <w:pStyle w:val="Heading4"/>
      </w:pPr>
      <w:r>
        <w:t>Ménorragies (1 DCI)</w:t>
      </w:r>
    </w:p>
    <w:p>
      <w:pPr>
        <w:pStyle w:val="ListNumber"/>
      </w:pPr>
      <w:r>
        <w:t>Antifibrinolytiques (1) : acide tranexamique</w:t>
      </w:r>
    </w:p>
    <w:p>
      <w:r/>
      <w:r>
        <w:rPr>
          <w:b/>
        </w:rPr>
        <w:t>Total : 6 DCI</w:t>
      </w:r>
      <w:r>
        <w:t xml:space="preserve"> traitées individuellement, représentant plus de </w:t>
      </w:r>
      <w:r>
        <w:rPr>
          <w:b/>
        </w:rPr>
        <w:t>30 spécialités commerciales</w:t>
      </w:r>
      <w:r>
        <w:t>.</w:t>
      </w:r>
    </w:p>
    <w:p>
      <w:pPr>
        <w:pStyle w:val="Heading2"/>
      </w:pPr>
      <w:r>
        <w:t>Sommaire général du Fascicule IX</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74</w:t>
            </w:r>
          </w:p>
        </w:tc>
        <w:tc>
          <w:tcPr>
            <w:tcW w:type="dxa" w:w="3118"/>
          </w:tcPr>
          <w:p>
            <w:r>
              <w:rPr>
                <w:sz w:val="20"/>
              </w:rPr>
              <w:t>Tocolyse et déclenchement du travail obstétrical</w:t>
            </w:r>
          </w:p>
        </w:tc>
        <w:tc>
          <w:tcPr>
            <w:tcW w:type="dxa" w:w="3118"/>
          </w:tcPr>
          <w:p>
            <w:r>
              <w:rPr>
                <w:sz w:val="20"/>
              </w:rPr>
              <w:t>5</w:t>
            </w:r>
          </w:p>
        </w:tc>
      </w:tr>
      <w:tr>
        <w:tc>
          <w:tcPr>
            <w:tcW w:type="dxa" w:w="3118"/>
          </w:tcPr>
          <w:p>
            <w:r>
              <w:rPr>
                <w:sz w:val="20"/>
              </w:rPr>
              <w:t>75</w:t>
            </w:r>
          </w:p>
        </w:tc>
        <w:tc>
          <w:tcPr>
            <w:tcW w:type="dxa" w:w="3118"/>
          </w:tcPr>
          <w:p>
            <w:r>
              <w:rPr>
                <w:sz w:val="20"/>
              </w:rPr>
              <w:t>Ménorragies et antifibrinolytiques</w:t>
            </w:r>
          </w:p>
        </w:tc>
        <w:tc>
          <w:tcPr>
            <w:tcW w:type="dxa" w:w="3118"/>
          </w:tcPr>
          <w:p>
            <w:r>
              <w:rPr>
                <w:sz w:val="20"/>
              </w:rPr>
              <w:t>1</w:t>
            </w:r>
          </w:p>
        </w:tc>
      </w:tr>
      <w:tr>
        <w:tc>
          <w:tcPr>
            <w:tcW w:type="dxa" w:w="3118"/>
          </w:tcPr>
          <w:p>
            <w:r>
              <w:rPr>
                <w:sz w:val="20"/>
              </w:rPr>
              <w:t>**Total**</w:t>
            </w:r>
          </w:p>
        </w:tc>
        <w:tc>
          <w:tcPr>
            <w:tcW w:type="dxa" w:w="3118"/>
          </w:tcPr>
          <w:p>
            <w:r>
              <w:rPr>
                <w:sz w:val="20"/>
              </w:rPr>
            </w:r>
          </w:p>
        </w:tc>
        <w:tc>
          <w:tcPr>
            <w:tcW w:type="dxa" w:w="3118"/>
          </w:tcPr>
          <w:p>
            <w:r>
              <w:rPr>
                <w:sz w:val="20"/>
              </w:rPr>
              <w:t>**6**</w:t>
            </w:r>
          </w:p>
        </w:tc>
      </w:tr>
    </w:tbl>
    <w:p/>
    <w:p>
      <w:pPr>
        <w:pStyle w:val="Heading1"/>
      </w:pPr>
      <w:r>
        <w:t>FASCICULE IX — GYNÉCOLOGIE / OBSTÉTRIQUE</w:t>
      </w:r>
    </w:p>
    <w:p>
      <w:pPr>
        <w:pStyle w:val="Heading2"/>
      </w:pPr>
      <w:r>
        <w:t>Chapitre 74 — Tocolyse et Déclenchement du Travail Obstétrical</w:t>
      </w:r>
    </w:p>
    <w:p>
      <w:pPr>
        <w:pStyle w:val="Heading2"/>
      </w:pPr>
      <w:r>
        <w:t>Introduction du Chapitre 74</w:t>
      </w:r>
    </w:p>
    <w:p>
      <w:r>
        <w:t xml:space="preserve">La pharmacologie obstétricale représente l'un des domaines les plus exigeants de la pratique clinique, car elle engage simultanément deux vies : celle de la mère et celle du fœtus. Le chapitre 74, premier du Fascicule IX consacré à la Gynécologie/Obstétrique, aborde deux problématiques symétriques et antagonistes : </w:t>
      </w:r>
      <w:r>
        <w:rPr>
          <w:b/>
        </w:rPr>
        <w:t>inhiber le travail prématuré</w:t>
      </w:r>
      <w:r>
        <w:t xml:space="preserve"> (tocolyse) d'une part, et </w:t>
      </w:r>
      <w:r>
        <w:rPr>
          <w:b/>
        </w:rPr>
        <w:t>déclencher ou accompagner le travail à terme</w:t>
      </w:r>
      <w:r>
        <w:t xml:space="preserve"> (ocytocie et maturation cervicale) d'autre part. Ces deux dimensions mobilisent des familles pharmacologiques très différentes — antagonistes de l'ocytocine, inhibiteurs calciques, ocytocine exogène, prostaglandines E2 et E1 — mais convergent vers un objectif commun : sécuriser la naissance dans des conditions optimales pour la mère et l'enfant.</w:t>
      </w:r>
    </w:p>
    <w:p>
      <w:r>
        <w:t xml:space="preserve">La particularité de cette pharmacologie tient à plusieurs facteurs : (1) l'administration quasi exclusive en milieu hospitalier (maternité de niveau adapté), sous monitoring fœtal et utérin continu ; (2) la fenêtre thérapeutique étroite de la plupart de ces molécules, où l'efficacité et la toxicité se séparent par de simples ajustements de débit ou de posologie ; (3) l'interaction pharmacologique majeure entre ocytocine et prostaglandines, dont l'association est </w:t>
      </w:r>
      <w:r>
        <w:rPr>
          <w:b/>
        </w:rPr>
        <w:t>contre-indiquée absolue</w:t>
      </w:r>
      <w:r>
        <w:t xml:space="preserve"> en raison du risque d'hyperstimulation utérine et de souffrance fœtale aiguë ; (4) le cadre réglementaire spécifique du misoprostol, dont l'usage en cours de grossesse à mener est strictement réservé à l'IVG, l'IMG et l'hémorragie du post-partum.</w:t>
      </w:r>
    </w:p>
    <w:p>
      <w:r>
        <w:t xml:space="preserve">Les recommandations internationales (CNGOF 2017, FIGO 2012, WHO 2018, NICE 2022, HAS 2023) et les données du CRAT (Centre de Renseignement sur les Agents Téragénogènes) guident l'arbre décisionnel. La tocolyse est limitée à </w:t>
      </w:r>
      <w:r>
        <w:rPr>
          <w:b/>
        </w:rPr>
        <w:t>48 heures maximum</w:t>
      </w:r>
      <w:r>
        <w:t>, temps nécessaire à la corticothérapie anténatale pour maturation pulmonaire fœtale et au transfert in utero vers une maternité de niveau approprié. Le déclenchement du travail obéit à des indications strictes (dépassé de terme, rupture prématurée des membranes, pathologies maternelles ou fœtales) et mobilise préférentiellement les prostaglandines pour la phase de maturation cervicale, puis l'ocytocine pour la phase active. Ce chapitre développe cinq fiches DCI exhaustives, structurées selon le référentiel algérien (nomenclature Avril 2026), avec positionnement pharmacologique, posologies validées, effets indésirables materno-fœtaux, et règles d'or de sécurité obstétricale.</w:t>
      </w:r>
    </w:p>
    <w:p>
      <w:pPr>
        <w:pStyle w:val="Heading2"/>
      </w:pPr>
      <w:r>
        <w:t>Sous-classe 1 — Tocolytiques : Antagonistes de l'Ocytocine</w:t>
      </w:r>
    </w:p>
    <w:p>
      <w:pPr>
        <w:pStyle w:val="Heading3"/>
      </w:pPr>
      <w:r>
        <w:t>Positionnement pharmacologique</w:t>
      </w:r>
    </w:p>
    <w:p>
      <w:r>
        <w:t>Les antagonistes des récepteurs de l'ocytocine (OT-R antagonists) constituent la classe tocolytique la plus récente et la plus ciblée. L'atosiban, peptide synthétique de la famille des atocibans, est l'unique représentant commercialisé à ce jour. Développé à partir des années 1990 par Ferring Pharmaceuticals (Tractocile®), il a obtenu une autorisation de mise sur le marché européenne en 2000 pour l'indication « menace d'accouchement prématuré » entre 24 et 33 semaines d'aménorrhée (SA). Son mécanisme d'action unique — antagonisme compétitif spécifique des récepteurs OT-R utérins — lui confère une sélectivité d'action remarquable, sans effet hémodynamique maternel significatif et sans retentissement cardiovasculaire fœtal, contrairement aux bêta-2 mimétiques (ritodrine, salbutamol) historiquement responsables de complications maternelles sévères (œdème aigu pulmonaire, ischémie myocardique) et désormais abandonnés dans la plupart des pays.</w:t>
      </w:r>
    </w:p>
    <w:p>
      <w:r>
        <w:t>L'atosiban reste néanmoins un médicament d'exception, dont la prescription est strictement réservée à l'obstétricien en milieu hospitalier, dans le cadre d'un protocole de tocolyse courte (48 heures) avec corticothérapie anténatale. Son coût élevé (peptide de synthèse) en limite l'accès dans certains pays à faible revenu, où la nifédipine (inhibiteur calcique) constitue l'alternative orale de référence. En Algérie, l'atosiban est disponible sous deux marques (Tractocile® princeps Ferring et Atosiban Ever Pharma® générique), avec deux présentations complémentaires : flacon bolus IV 0,9 mL (6,75 mg) pour la dose d'attaque et flacon 5 mL (37,5 mg) pour la perfusion d'entretien, conformément au schéma thérapeutique validé par l'EMEA et le CNGOF.</w:t>
      </w:r>
    </w:p>
    <w:p>
      <w:pPr>
        <w:pStyle w:val="Heading3"/>
      </w:pPr>
      <w:r>
        <w:t>1. DCI : Atosiban (Seule)</w:t>
      </w:r>
    </w:p>
    <w:p>
      <w:r/>
      <w:r>
        <w:rPr>
          <w:b/>
        </w:rPr>
        <w:t>Liste des Catégories :</w:t>
      </w:r>
      <w:r>
        <w:t xml:space="preserve"> Tocolytiques — Antagonistes de l'ocytocine ; Médicaments d'exception obstétricale ; Liste I ; usage hospitalier strict.</w:t>
      </w:r>
    </w:p>
    <w:p>
      <w:r>
        <w:t>L'atosiban (acétate d'atosiban exprimé en atosiban) est un nonapeptide synthétique cyclique, analogue structural de l'ocytocine (différences sur les positions 1, 2, 4 et 8 du cycle peptide), administré exclusivement par voie intraveineuse (bolus puis perfusion continue) dans la prise en charge de la menace d'accouchement prématuré (MAP) entre 24 et 33 SA + 6 jours. Sa pharmacocinétique impose un protocole en trois temps : bolus IV strict de 6,75 mg en 1 minute, suivi d'une perfusion de charge à 18 mg/h pendant 3 heures, puis d'une perfusion d'entretien à 6 mg/h pendant une durée maximale de 45 heures, soit un total cumulé ne dépassant pas 330 mg. Ce schéma ne s'improvise pas et requiert un environnement hospitalier équipé d'un monitoring fœtal et utérin continu (cardiotocographie). La molécule se caractérise par une clairance élevée (300-400 mL/min), une demi-vie d'élimination courte (α 0,2 heure ; β 1,7 heure ; γ 4 heures) et une élimination hepatique via les peptidases plasmatiques, sans métabolisme CYP450 significatif — d'où un profil d'interactions médicamenteuses exceptionnellement favorable.</w:t>
      </w:r>
    </w:p>
    <w:p>
      <w:r/>
      <w:r>
        <w:rPr>
          <w:b/>
        </w:rPr>
        <w:t>Médicaments disponibles en Algérie (Marques, Laboratoires, Formes et Dosages) :</w:t>
      </w:r>
      <w:r/>
    </w:p>
    <w:p>
      <w:pPr>
        <w:pStyle w:val="ListBullet"/>
      </w:pPr>
      <w:r/>
      <w:r>
        <w:rPr>
          <w:b/>
        </w:rPr>
        <w:t>TRACTOCILE</w:t>
      </w:r>
      <w:r>
        <w:t xml:space="preserve"> (FERRING PHARMACEUTICALS A/S)</w:t>
      </w:r>
    </w:p>
    <w:p>
      <w:pPr>
        <w:pStyle w:val="ListBullet"/>
      </w:pPr>
      <w:r>
        <w:t>Formes et Dosages : Solution injectable IV 7,5 mg/mL (6,75 mg/0,9 mL) flacon de 0,9 mL ; Solution à diluer pour perfusion IV 7,5 mg/mL (37,5 mg/5 mL) flacon de 5 mL</w:t>
      </w:r>
    </w:p>
    <w:p>
      <w:pPr>
        <w:pStyle w:val="ListBullet"/>
      </w:pPr>
      <w:r>
        <w:t>Statut : Actif (Liste I)</w:t>
      </w:r>
    </w:p>
    <w:p>
      <w:pPr>
        <w:pStyle w:val="ListBullet"/>
      </w:pPr>
      <w:r/>
      <w:r>
        <w:rPr>
          <w:b/>
        </w:rPr>
        <w:t>ATOSIBAN EVER PHARMA</w:t>
      </w:r>
      <w:r>
        <w:t xml:space="preserve"> (LABORATOIRES EVER VALINJCT GMBH)</w:t>
      </w:r>
    </w:p>
    <w:p>
      <w:pPr>
        <w:pStyle w:val="ListBullet"/>
      </w:pPr>
      <w:r>
        <w:t>Formes et Dosages : Solution injectable IV 7,5 mg/mL (6,75 mg/0,9 mL) flacon de 0,9 mL ; Solution à diluer pour perfusion IV 7,5 mg/mL (37,5 mg/5 mL) flacon de 5 mL</w:t>
      </w:r>
    </w:p>
    <w:p>
      <w:pPr>
        <w:pStyle w:val="ListBullet"/>
      </w:pPr>
      <w:r>
        <w:t>Statut : Actif (Liste I)</w:t>
      </w:r>
    </w:p>
    <w:p>
      <w:r/>
      <w:r>
        <w:rPr>
          <w:i/>
        </w:rPr>
        <w:t>Remarque nomenclature :</w:t>
      </w:r>
      <w:r>
        <w:t xml:space="preserve"> les deux marques proposent strictement la même association (flacon bolus 0,9 mL + flacon perfusion 5 mL), garantissant l'interchangeabilité pour la continuité thérapeutique. Aucune forme retirée ou non renouvelable n'est répertoriée pour cette DCI, ce qui témoigne de la stabilité du marché algérien pour cette classe d'exception.</w:t>
      </w:r>
    </w:p>
    <w:p>
      <w:r/>
      <w:r>
        <w:rPr>
          <w:b/>
        </w:rPr>
        <w:t>Sous-classe et Mécanisme d'action :</w:t>
      </w:r>
      <w:r/>
    </w:p>
    <w:p>
      <w:pPr>
        <w:pStyle w:val="ListBullet"/>
      </w:pPr>
      <w:r>
        <w:t>Sous-classe : Tocolytiques — Antagonistes compétitifs des récepteurs de l'ocytocine (OT-R). Unique représentant commercialisé : atosiban. Classe positionnée en alternative à la nifédipine lorsque la voie orale est contre-indiquée ou qu'une titration IV ciblée est requise. Recommandation CNGOF 2017 : tocolytique de première intention en cas de MAP entre 24 et 33+6 SA avec nécessité de transfert in utero.</w:t>
      </w:r>
    </w:p>
    <w:p>
      <w:pPr>
        <w:pStyle w:val="ListBullet"/>
      </w:pPr>
      <w:r>
        <w:t>Mécanisme d'action : l'atosiban est un antagoniste compétitif spécifique des récepteurs OT-R de l'myomètre utérin et de la décidue. L'ocytocine endogène, libérée massivement en fin de grossesse, se fixe sur les récepteurs OT-R (couplés aux protéines Gq/11) → activation de la phospholipase Cβ → IP3 + DAG → libération du calcium intracellulaire (reticulum sarcoplasmique) → activation de la chaîne légère des myosines (MLCK) → contraction des cellules musculaires lisses utérines. L'atosiban occupe les sites de liaison OT-R sans les activer (antagonisme compétitif pur, pas d'activité intrinsèque), bloque la cascade IP3/Ca2+/MLCK, et induit une relaxation utérine sans modifier le tonus de base. Accessoirement, il inhibe la production de prostaglandines F2α dérivées de la décidue, réduisant ainsi la boucle amplificatrice locale de la contractilité. La sélectivité pour les OT-R utérins est élevée (Ki ~ 10 nM), avec une affinité négligeable pour les récepteurs V1a vasculaires et V2 rénaux (à la différence de l'ocytocine naturelle qui présente une activité V2 résiduelle → hyponatrémie). Ceci explique le profil de tolérance maternelle supérieur de l'atosiban par rapport à l'ocytocine et aux bêta-2 mimétiques.</w:t>
      </w:r>
    </w:p>
    <w:p>
      <w:r/>
      <w:r>
        <w:rPr>
          <w:b/>
        </w:rPr>
        <w:t>Profil Pharmacologique :</w:t>
      </w:r>
      <w:r/>
    </w:p>
    <w:p>
      <w:pPr>
        <w:pStyle w:val="ListBullet"/>
      </w:pPr>
      <w:r>
        <w:t>Indications : traitement de la menace d'accouchement prématuré (MAP) chez la femme enceinte de 24 à 33 semaines d'aménorrhée révolues (≤ 33 SA + 6 jours), avec contractions utérines régulières et modifications cervicales objectives (longueur cervicale &lt; 30 mm à l'échographie ou Bishop &gt; 5). L'objectif thérapeutique est double : (1) permettre l'administration d'une corticothérapie anténatale (bétaméthasone 12 mg IM J1-J2 ou dexaméthasone 6 mg IM q12h x 4 doses) pour maturation pulmonaire fœtale ; (2) permettre le transfert in utero vers une maternité de niveau adapté à l'âge gestationnel prévisible. La durée totale de tocolyse ne doit pas excéder 48 heures. Au-delà, le bénéfice attendu est contrebalancé par les risques (infection, RCIU, souffrance fœtale).</w:t>
      </w:r>
    </w:p>
    <w:p>
      <w:pPr>
        <w:pStyle w:val="ListBullet"/>
      </w:pPr>
      <w:r>
        <w:t>Contre-indications : (1) travail à terme ou avancé nécessitant l'accouchement ; (2) rupture prématurée des membranes de plus de 48 heures (risque infectieux majoré) ; (3) souffrance fœtale aiguë (RCF anormal, bradycardie, décélérations tardives) ; (4) éclampsie ou prééclampsie sévère requérant l'extraction fœtale ; (5) cholestase gravidique sévère et insuffisance hépatique (CI relative) ; (6) insuffisance rénale sévère ; (7) hypersensibilité à l'atosiban ou à l'un des excipients ; (8) plasminogène ou antécédent d'HELLP syndrome. Chez la femme de moins de 24 SA ou de plus de 34 SA, la tocolyse n'est pas recommandée.</w:t>
      </w:r>
    </w:p>
    <w:p>
      <w:pPr>
        <w:pStyle w:val="ListBullet"/>
      </w:pPr>
      <w:r>
        <w:t xml:space="preserve">Effets indésirables : profil général très favorable comparé aux bêta-2 mimétiques. Les EI les plus fréquents (&gt; 10 %) sont : nausées (14 %), vomissements (10 %), céphalées (12 %), bouffées de chaleur (12 %), tachycardie modérée (10 %). Moins fréquents (1-10 %) : hypotension transitoire, hyperglycémie modérée (effet direct sur cellules β), insomnie, vertiges. Rares (&lt; 1 %) : réactions allergiques (urticaire, prurit), troubles de la vision, dyspnée. EI spécifiques à surveiller : (1) hyperglycémie transitoire (sans signification clinique en général, surveiller chez diabétique gestationnel) ; (2) modification transitoire de la contractilité utérine résiduelle après arrêt (effet rebond possible chez 5 % des patientes). L'atosiban ne provoque </w:t>
      </w:r>
      <w:r>
        <w:rPr>
          <w:b/>
        </w:rPr>
        <w:t>pas</w:t>
      </w:r>
      <w:r>
        <w:t xml:space="preserve"> d'œdème aigu pulmonaire (à la différence de la ritodrine), pas de tachycardie sévère, pas d'hypokaliémie et pas d'ischémie myocardique. La mortalité maternelle est nulle dans les essais pivots.</w:t>
      </w:r>
    </w:p>
    <w:p>
      <w:r/>
      <w:r>
        <w:rPr>
          <w:b/>
        </w:rPr>
        <w:t>Prévention et Gestion des Effets Indésirables :</w:t>
      </w:r>
      <w:r/>
    </w:p>
    <w:p>
      <w:pPr>
        <w:pStyle w:val="ListBullet"/>
      </w:pPr>
      <w:r>
        <w:t>Mesures préventives : la tocolyse par atosiban requiert un cadre strict. (1) Pose d'une voie veineuse périphérique de bon calibre (≥ 18 G) pour perfusion séparée du bolus et de l'entretien ; (2) monitoring cardiotocographique continu (tocographie externe + RCF) toute la durée de la perfusion et jusqu'à 30 min après l'arrêt ; (3) surveillance maternelle : TA (toutes les 30 min les 3 premières heures puis toutes les 4 heures), pouls, température, fréquence respiratoire ; (4) bilan biologique initial : NFS, ionogramme, créatinine, glycémie, bandelette urinaire, NFS-plaquettes ; (5) évaluation échographique cervicale (longueur cervicale) et fœtale (estimation pondérale, liquide amniotique) ; (6) vérification du statut Rhésus (prévention anti-D si nécessaire) ; (7) environnement aseptique : le risque infectieux majoré en cas de RPM impose une antibioprophylaxie (amoxicilline) selon protocole local.</w:t>
      </w:r>
    </w:p>
    <w:p>
      <w:pPr>
        <w:pStyle w:val="ListBullet"/>
      </w:pPr>
      <w:r>
        <w:t xml:space="preserve">Conduite à tenir en cas d'EI : (1) </w:t>
      </w:r>
      <w:r>
        <w:rPr>
          <w:b/>
        </w:rPr>
        <w:t>Hyperstimulation utérine</w:t>
      </w:r>
      <w:r>
        <w:t xml:space="preserve"> (rare, &lt; 1 % avec atosiban vs 5-10 % avec nifédipine/PGE) : arrêt immédiat de la perfusion, monitorage CTG, mise en décubitus latéral gauche, oxygénothérapie 6-8 L/min, mise en route d'une réanimation fœtale in utero (perfusion liquide, arrêt de tout ocytocique). En cas de persistance, tocolyse de sauvetage possible par nifédipine ou sulfate de magnésium. (2) </w:t>
      </w:r>
      <w:r>
        <w:rPr>
          <w:b/>
        </w:rPr>
        <w:t>Hypotension</w:t>
      </w:r>
      <w:r>
        <w:t xml:space="preserve"> : ralentir la perfusion, perfusion de remplissage, surveillance TA. (3) </w:t>
      </w:r>
      <w:r>
        <w:rPr>
          <w:b/>
        </w:rPr>
        <w:t>Réaction allergique</w:t>
      </w:r>
      <w:r>
        <w:t xml:space="preserve"> : arrêt immédiat, antihistaminique, corticoïde, surveillance rapprochée. (4) </w:t>
      </w:r>
      <w:r>
        <w:rPr>
          <w:b/>
        </w:rPr>
        <w:t>Échec tocolytique</w:t>
      </w:r>
      <w:r>
        <w:t xml:space="preserve"> (persistance des contractions après 6 h de traitement optimal) : ne pas augmenter les doses ; discussion multidisciplinaire d'une tocolyse alternative (nifédipine relaye souvent l'atosiban en cas d'échec) ou d'une extraction fœtale selon l'âge gestationnel et l'état fœtal.</w:t>
      </w:r>
    </w:p>
    <w:p>
      <w:r/>
      <w:r>
        <w:rPr>
          <w:b/>
        </w:rPr>
        <w:t>Interactions Importantes :</w:t>
      </w:r>
      <w:r/>
    </w:p>
    <w:p>
      <w:pPr>
        <w:pStyle w:val="ListBullet"/>
      </w:pPr>
      <w:r>
        <w:t>Atosiban + autres tocolytiques (nifédipine, sulfate de magnésium, indométacine) : pas de pharmacocinétique commune mais potentialisation pharmacodynamique possible — la combinaison nifédipine + atosiban est déconseillée en raison du risque d'hypotension additive et de troubles du rythme fœtal. L'OMS et le CNGOF déconseillent les tocolyses combinées hors protocoles de second recours.</w:t>
      </w:r>
    </w:p>
    <w:p>
      <w:pPr>
        <w:pStyle w:val="ListBullet"/>
      </w:pPr>
      <w:r>
        <w:t>Atosiban + antibiotiques (amoxicilline, érythromycine en cas de RPM) : pas d'interaction significative, association fréquemment nécessaire.</w:t>
      </w:r>
    </w:p>
    <w:p>
      <w:pPr>
        <w:pStyle w:val="ListBullet"/>
      </w:pPr>
      <w:r>
        <w:t xml:space="preserve">Atosiban + corticoïdes (bétaméthasone, dexaméthasone) : pas d'interaction — l'association est le </w:t>
      </w:r>
      <w:r>
        <w:rPr>
          <w:b/>
        </w:rPr>
        <w:t>traitement standard</w:t>
      </w:r>
      <w:r>
        <w:t xml:space="preserve"> (tocolyse pour permettre la corticothérapie anténatale). Surveiller la glycémie capillaire (risque d'hyperglycémie additif).</w:t>
      </w:r>
    </w:p>
    <w:p>
      <w:pPr>
        <w:pStyle w:val="ListBullet"/>
      </w:pPr>
      <w:r>
        <w:t>Atosiban + ocytocine : antagonisme pharmacodynamique attendu — à距离 d'au moins 6 h après arrêt de l'atosiban avant toute administration d'ocytocine pour déclenchement.</w:t>
      </w:r>
    </w:p>
    <w:p>
      <w:pPr>
        <w:pStyle w:val="ListBullet"/>
      </w:pPr>
      <w:r>
        <w:t>Atosiban + anesthésie loco-régionale (péridurale) : pas d'interaction significative ; la péridurale peut être posée pendant la tocolyse.</w:t>
      </w:r>
    </w:p>
    <w:p>
      <w:r/>
      <w:r>
        <w:rPr>
          <w:b/>
        </w:rPr>
        <w:t>Grossesse et Allaitement :</w:t>
      </w:r>
      <w:r/>
    </w:p>
    <w:p>
      <w:pPr>
        <w:pStyle w:val="ListBullet"/>
      </w:pPr>
      <w:r>
        <w:t xml:space="preserve">Grossesse : l'atosiban est un médicament </w:t>
      </w:r>
      <w:r>
        <w:rPr>
          <w:b/>
        </w:rPr>
        <w:t>réservé à la femme enceinte</w:t>
      </w:r>
      <w:r>
        <w:t xml:space="preserve"> entre 24 et 33+6 SA. Les études animales n'ont pas montré d'effet tératogène, embryotoxique ou fœtotoxique. Le CRAT classe l'atosiban en « compatible » avec la grossesse dans le cadre de son indication stricte. Aucun sur-risque de malformation n'a été rapporté chez les nouveau-nés exposés in utero. L'atosiban ne traverse que faiblement la barrière placentaire (poids moléculaire élevé ~ 994 Da, peptide), et le passage fœtal est limité (&lt; 10 % de la concentration maternelle). Les nouveau-nés exposés en période périnatale ne présentent pas de détresse respiratoire ou cardiovasculaire spécifique.</w:t>
      </w:r>
    </w:p>
    <w:p>
      <w:pPr>
        <w:pStyle w:val="ListBullet"/>
      </w:pPr>
      <w:r>
        <w:t>Allaitement : l'atosiban passe faiblement dans le lait maternel (données limitées). Compte tenu du métabolisme peptidase rapide, des doses ingérées via le lait négligeables, et de l'absence de toxicité néonatale rapportée, l'allaitement est considéré comme compatible en cas de nécessité d'atosiban en post-partum immédiat (rare). En pratique, l'atosiban est rarement administré en post-partum, ce qui rend la question académique.</w:t>
      </w:r>
    </w:p>
    <w:p>
      <w:pPr>
        <w:pStyle w:val="ListBullet"/>
      </w:pPr>
      <w:r>
        <w:t xml:space="preserve">Précisions : l'utilisation de l'atosiban est </w:t>
      </w:r>
      <w:r>
        <w:rPr>
          <w:b/>
        </w:rPr>
        <w:t>extrêmement spécifique</w:t>
      </w:r>
      <w:r>
        <w:t xml:space="preserve"> à l'obstétrique. Aucune indication hors grossesse. Aucun usage chronique. Le rapport bénéfice/risque doit être réévalué quotidiennement par l'obstétricien.</w:t>
      </w:r>
    </w:p>
    <w:p>
      <w:r/>
      <w:r>
        <w:rPr>
          <w:b/>
        </w:rPr>
        <w:t>Posologie et Mode d'administration (Standard) :</w:t>
      </w:r>
      <w:r/>
    </w:p>
    <w:p>
      <w:pPr>
        <w:pStyle w:val="ListBullet"/>
      </w:pPr>
      <w:r>
        <w:t>Adulte : protocole strict en trois temps, à administrer exclusivement en milieu hospitalier (maternité de niveau ≥ IIA) :</w:t>
      </w:r>
    </w:p>
    <w:p>
      <w:pPr>
        <w:pStyle w:val="ListBullet"/>
      </w:pPr>
      <w:r/>
      <w:r>
        <w:rPr>
          <w:b/>
        </w:rPr>
        <w:t>Étape 1 — Bolus IV (dose d'attaque) :</w:t>
      </w:r>
      <w:r>
        <w:t xml:space="preserve"> 6,75 mg (soit 1 flacon de 0,9 mL de la solution injectable IV à 7,5 mg/mL) à injecter en IV lente stricte (1 minute) dans une voie veineuse périphérique de bon calibre, sans dilution préalable. Ne pas mélanger avec d'autres médicaments.</w:t>
      </w:r>
    </w:p>
    <w:p>
      <w:pPr>
        <w:pStyle w:val="ListBullet"/>
      </w:pPr>
      <w:r/>
      <w:r>
        <w:rPr>
          <w:b/>
        </w:rPr>
        <w:t>Étape 2 — Perfusion de charge :</w:t>
      </w:r>
      <w:r>
        <w:t xml:space="preserve"> 18 mg/h pendant 3 heures (soit 24 mL/h d'une solution à 7,5 mg/mL diluée dans NaCl 0,9 % ou G5 % ; préparer 75 mL de solution = 1 flacon de 5 mL à 37,5 mg + 70 mL de solvant). Débit précis à régler via pompe péristaltique ou pousse-seringue électrique.</w:t>
      </w:r>
    </w:p>
    <w:p>
      <w:pPr>
        <w:pStyle w:val="ListBullet"/>
      </w:pPr>
      <w:r/>
      <w:r>
        <w:rPr>
          <w:b/>
        </w:rPr>
        <w:t>Étape 3 — Perfusion d'entretien :</w:t>
      </w:r>
      <w:r>
        <w:t xml:space="preserve"> 6 mg/h pendant 45 heures maximum (soit 8 mL/h de la solution précédente). Dose totale cumulée maximale : 330 mg sur 48 h.</w:t>
      </w:r>
    </w:p>
    <w:p>
      <w:pPr>
        <w:pStyle w:val="ListBullet"/>
      </w:pPr>
      <w:r>
        <w:t>En cas de récidive des contractions après arrêt, un deuxième cycle peut être envisagé (re-bolus + perfusion), mais la durée totale ne doit pas excéder 48 h. La littérature récente suggère qu'un schéma simplifié sans bolus (perfusion seule à 30 µg/min) est non inférieur dans certaines études (QUIDS 2017), mais le schéma classique à 3 temps reste le référentiel.</w:t>
      </w:r>
    </w:p>
    <w:p>
      <w:pPr>
        <w:pStyle w:val="ListBullet"/>
      </w:pPr>
      <w:r>
        <w:t>Sujet âgé : non applicable (réservé à la femme enceinte en activité génitale).</w:t>
      </w:r>
    </w:p>
    <w:p>
      <w:pPr>
        <w:pStyle w:val="ListBullet"/>
      </w:pPr>
      <w:r>
        <w:t>Durée : 48 heures maximum total (tocolyse d'attente pour corticothérapie anténatale et/ou transfert in utero).</w:t>
      </w:r>
    </w:p>
    <w:p>
      <w:pPr>
        <w:pStyle w:val="ListBullet"/>
      </w:pPr>
      <w:r>
        <w:t>Moment de la prise : hospitalier strict, à toute heure selon les urgences obstétricales, sous monitoring continu.</w:t>
      </w:r>
    </w:p>
    <w:p>
      <w:r/>
      <w:r>
        <w:rPr>
          <w:b/>
        </w:rPr>
        <w:t>Arbitrage et Bénéfices des Formes Galéniques :</w:t>
      </w:r>
      <w:r/>
    </w:p>
    <w:p>
      <w:r>
        <w:t>L'atosiban n'existe qu'en forme IV (solution injectable pour bolus + solution à diluer pour perfusion), ce qui constitue à la fois sa force (précision de titration, immédiateté d'action) et sa limite (impossibilité d'administration ambulatoire, monitoring indispensable). Le conditionnement en deux flacons distincts (bolus 0,9 mL et perfusion 5 mL) simplifie la préparation et prévient les erreurs de dose. L'absence de forme orale est inhérente à la nature peptidique de la molécule (dégradation digestive). Comparé à la nifédipine (voie orale, ambiatoire possible), l'atosiban offre une précision titrimétrique supérieure et un profil hémodynamique maternel plus favorable, mais son coût est nettement plus élevé (≈ 200 € vs ≈ 5 € par traitement). En Algérie, le marché est stable avec deux fournisseurs (Ferring princeps + Ever Pharma générique), assurant une disponibilité continue.</w:t>
      </w:r>
    </w:p>
    <w:p>
      <w:r/>
      <w:r>
        <w:rPr>
          <w:b/>
        </w:rPr>
        <w:t>Instructions et Conseils au Patient :</w:t>
      </w:r>
      <w:r/>
    </w:p>
    <w:p>
      <w:pPr>
        <w:pStyle w:val="ListBullet"/>
      </w:pPr>
      <w:r>
        <w:t xml:space="preserve">Communication au comptoir : médicament à </w:t>
      </w:r>
      <w:r>
        <w:rPr>
          <w:b/>
        </w:rPr>
        <w:t>usage hospitalier exclusif</w:t>
      </w:r>
      <w:r>
        <w:t>, délivrance officinale rare (circuit direct maternité). Si interrogation patiente : expliquer le caractère exceptionnel et encadré de ce traitement, son rôle de «pause» utérine pour protéger le bébé (maturation pulmonaire par corticoïdes, transfert vers maternité adaptée), et la surveillance continue par monitoring électronique fœtal. Rassurer sur le profil de tolérance favorable (pas d'effets cardiovasculaires sévères). Ne jamais remettre en cause l'indication : la tocolyse relève d'une décision obstétricale spécialisée.</w:t>
      </w:r>
    </w:p>
    <w:p>
      <w:pPr>
        <w:pStyle w:val="ListBullet"/>
      </w:pPr>
      <w:r>
        <w:t>Mode d'utilisation pratique : strictement hospitalier, manipulation par le personnel soignant formé (sage-femme, obstétricien, anesthésiste-réanimateur). La patiente n'a aucune manipulation à faire.</w:t>
      </w:r>
    </w:p>
    <w:p>
      <w:r/>
      <w:r>
        <w:rPr>
          <w:b/>
        </w:rPr>
        <w:t>Notes, Règles d'Or &amp; Pièges au Comptoir :</w:t>
      </w:r>
      <w:r/>
    </w:p>
    <w:p>
      <w:pPr>
        <w:pStyle w:val="ListBullet"/>
      </w:pPr>
      <w:r>
        <w:t xml:space="preserve">Piège classique : (1) </w:t>
      </w:r>
      <w:r>
        <w:rPr>
          <w:b/>
        </w:rPr>
        <w:t>tocolyse prolongée au-delà de 48 h</w:t>
      </w:r>
      <w:r>
        <w:t xml:space="preserve"> — la prolongation au-delà de 48 h n'apporte aucun bénéfice et majore les risques infectieux et de RCIU. (2) </w:t>
      </w:r>
      <w:r>
        <w:rPr>
          <w:b/>
        </w:rPr>
        <w:t>Augmentation des doses en cas d'échec</w:t>
      </w:r>
      <w:r>
        <w:t xml:space="preserve"> — ne pas augmenter ; envisager alternative (nifédipine) ou extraction. (3) </w:t>
      </w:r>
      <w:r>
        <w:rPr>
          <w:b/>
        </w:rPr>
        <w:t>Administration hors fenêtre d'âge gestationnel</w:t>
      </w:r>
      <w:r>
        <w:t xml:space="preserve"> (&lt; 24 SA ou &gt; 34 SA) — pas d'indication, pas d'efficacité prouvée. (4) </w:t>
      </w:r>
      <w:r>
        <w:rPr>
          <w:b/>
        </w:rPr>
        <w:t>Relais ocytocine trop précoce</w:t>
      </w:r>
      <w:r>
        <w:t xml:space="preserve"> — attendre au moins 6 h après arrêt de l'atosiban. (5) </w:t>
      </w:r>
      <w:r>
        <w:rPr>
          <w:b/>
        </w:rPr>
        <w:t>Confusion des flacons</w:t>
      </w:r>
      <w:r>
        <w:t xml:space="preserve"> — toujours vérifier la concentration (0,9 mL bolus = 6,75 mg vs 5 mL perfusion = 37,5 mg) et la voie.</w:t>
      </w:r>
    </w:p>
    <w:p>
      <w:pPr>
        <w:pStyle w:val="ListBullet"/>
      </w:pPr>
      <w:r>
        <w:t>Règle de prise : administration stricte selon le protocole à 3 temps (bolus → charge 3 h → entretien 45 h), sous monitoring CTG continu, en maternité de niveau adapté.</w:t>
      </w:r>
    </w:p>
    <w:p>
      <w:pPr>
        <w:pStyle w:val="ListBullet"/>
      </w:pPr>
      <w:r>
        <w:t>Préparation et Conservation : conservation entre 2°C et 8°C (au réfrigérateur), à l'abri de la lumière. Ne pas congeler. Après dilution dans NaCl 0,9 % ou G5 %, stabilité chimique et physique de 24 h à température ambiante. Ne pas utiliser si la solution est trouble ou contient des particules.</w:t>
      </w:r>
    </w:p>
    <w:p>
      <w:pPr>
        <w:pStyle w:val="ListBullet"/>
      </w:pPr>
      <w:r>
        <w:t>Piège du surdosage / Substitution : en cas de surdosage (erreur de débit, confusion de flacon), surveillance rapprochée TA, FC, RCF. Pas d'antidote spécifique — arrêt immédiat de la perfusion, traitement symptomatique. L'atosiban étant épurable rapidement (T1/2 β 1,7 h), l'évolution est en général favorable en quelques heures après arrêt. En cas de substitution Tractocile ↔ Atosiban Ever Pharma : bioéquivalence démontrée, substitution possible sans adaptation posologique.</w:t>
      </w:r>
    </w:p>
    <w:p>
      <w:pPr>
        <w:pStyle w:val="Heading2"/>
      </w:pPr>
      <w:r>
        <w:t>Sous-classe 2 — Tocolytiques : Inhibiteurs Calciques</w:t>
      </w:r>
    </w:p>
    <w:p>
      <w:pPr>
        <w:pStyle w:val="Heading3"/>
      </w:pPr>
      <w:r>
        <w:t>Positionnement pharmacologique</w:t>
      </w:r>
    </w:p>
    <w:p>
      <w:r>
        <w:t xml:space="preserve">Les inhibiteurs calciques de la famille des dihydropyridines (DHP) — nifédipine, nicardipine — exercent un effet tocolytique puissant par blocage des canaux calciques voltage-dépendants de type L (CaV1.2) au niveau du muscle lisse utérin. Bien que l'AMM de la nifédipine ne mentionne pas formellement l'indication « menace d'accouchement prématuré » (tocolyse off-label dans la plupart des pays dont la France), cette molécule est devenue, au fil des recommandations CNGOF 2017, WHO 2018 et NICE 2022, le </w:t>
      </w:r>
      <w:r>
        <w:rPr>
          <w:b/>
        </w:rPr>
        <w:t>tocolytique oral de référence</w:t>
      </w:r>
      <w:r>
        <w:t xml:space="preserve"> en raison de son excellente efficacité, de sa facilité d'administration, de son faible coût et de son profil de tolérance acceptable.</w:t>
      </w:r>
    </w:p>
    <w:p>
      <w:r>
        <w:t>Comparée à l'atosiban, la nifédipine présente l'avantage d'une forme orale (gélule à croquer ou comprimé à avaler) permettant une administration rapide et ambulatoire possible en relais, et d'un coût très bas (génériques largement disponibles). Ses principaux inconvénients sont le profil hémodynamique maternel (hypotension, tachycardie réflexe, flush) et le risque de surdosage en cas de morsure de gélule LP — raison pour laquelle la forme sublinguale à 10 mg, historiquement utilisée en urgence hypertensive, est désormais déconseillée. La pratique obstétricale actuelle privilégie la forme orale à 20 mg, avec une dose d'attaque de 20 mg per os, répétée après 30 minutes si nécessaire, puis un entretien de 60 à 160 mg/jour en 3 à 4 prises, sans dépasser 48 heures de traitement total. L'inhibition calcique bloque l'entrée du Ca2+ extracellulaire dans la cellule musculaire lisse utérine, interrompant la cascade contractile dépendante du complexe calmoduline/MLCK, et induit une relaxation myométriale prolongée.</w:t>
      </w:r>
    </w:p>
    <w:p>
      <w:r>
        <w:t>En Algérie, la nifédipine est largement disponible dans sa forme 10 mg (gélules) et 20 mg LP (comprimés à libération prolongée), avec plusieurs marques historiquement commercialisées mais dont une grande majorité ont été retirées du marché (notamment ADALAT Bayer, EPILAT Eipico, NIFEDIPAL SOPHAL). À la date d'Avril 2026, aucune marque n'est strictement active en Algérie pour la nifédipine ; les spécialités marquées « NON_RENOUVELABLE » ou « RETRAIT » doivent être signalées comme telles, et le clinicien doit s'assurer de la disponibilité effective d'une alternative. Cette situation particulière fait de l'atosiban le tocolytique de référence disponible en Algérie, et souligne l'importance d'une mise à jour régulière de la nomenclature.</w:t>
      </w:r>
    </w:p>
    <w:p>
      <w:pPr>
        <w:pStyle w:val="Heading3"/>
      </w:pPr>
      <w:r>
        <w:t>2. DCI : Nifédipine — Tocolyse (Seule)</w:t>
      </w:r>
    </w:p>
    <w:p>
      <w:r/>
      <w:r>
        <w:rPr>
          <w:b/>
        </w:rPr>
        <w:t>Liste des Catégories :</w:t>
      </w:r>
      <w:r>
        <w:t xml:space="preserve"> Tocolytiques — Inhibiteurs calciques (dihydropyridines) ; usage obstétrical off-label majoritaire ; Liste I.</w:t>
      </w:r>
    </w:p>
    <w:p>
      <w:r>
        <w:t>La nifédipine, dihydropyridine de première génération (Adalat® Bayer 1969), est principalement connue comme antihypertenseur et antiangoreux. Son utilisation en tocolyse est ancienne (premiers cas rapportés en 1985) et repose sur un usage largement répandu malgré l'absence d'AMM formelle pour cette indication dans la plupart des pays européens — situation qualifiée de « prescription hors AMM raisonnée » par le CNGOF 2017. La nifédipine est administrée par voie orale (gélule à 10 mg à avaler ou mordre, ou comprimé LP à 20 mg) selon un schéma validé par les recommandations internationales : dose d'attaque de 20 mg per os immédiatement, répétée après 30 minutes si les contractions persistent, puis entretien de 20 mg toutes les 6 à 8 heures pendant 48 heures maximum. La biodisponibilité orale est de 45 à 75 %, le pic plasmatique atteint en 30 à 60 minutes pour la forme immédiate, et la demi-vie d'élimination de 2 à 5 heures. Le métabolisme est hépatique (CYP3A4), avec un effet de premier passage important. En Algérie, le marché est dominé par des marques aujourd'hui retirées (ADALAT Bayer, EPILAT Eipico, NIFEDIPAL SOPHAL, ADIPINE Pharmalliance, MYOGARD UPM, NIDILAT Sanofi Dogu), ce qui peut compromettre l'approvisionnement et imposer un recours systématique à l'atosiban en pratique obstétricale de routine.</w:t>
      </w:r>
    </w:p>
    <w:p>
      <w:r/>
      <w:r>
        <w:rPr>
          <w:b/>
        </w:rPr>
        <w:t>Médicaments disponibles en Algérie (Marques, Laboratoires, Formes et Dosages) :</w:t>
      </w:r>
      <w:r/>
    </w:p>
    <w:p>
      <w:pPr>
        <w:pStyle w:val="ListBullet"/>
      </w:pPr>
      <w:r/>
      <w:r>
        <w:rPr>
          <w:b/>
        </w:rPr>
        <w:t>ADIPINE</w:t>
      </w:r>
      <w:r>
        <w:t xml:space="preserve"> (PHARMALLIANCE) — Comprimé 10 mg B/30 ; Gélules microgranules LP 20 mg B/30 — Statut : Non Renouvelable</w:t>
      </w:r>
    </w:p>
    <w:p>
      <w:pPr>
        <w:pStyle w:val="ListBullet"/>
      </w:pPr>
      <w:r/>
      <w:r>
        <w:rPr>
          <w:b/>
        </w:rPr>
        <w:t>EPILAT 10</w:t>
      </w:r>
      <w:r>
        <w:t xml:space="preserve"> (EIPICO) — Gélules 10 mg B/30 — Statut : Non Renouvelable</w:t>
      </w:r>
    </w:p>
    <w:p>
      <w:pPr>
        <w:pStyle w:val="ListBullet"/>
      </w:pPr>
      <w:r/>
      <w:r>
        <w:rPr>
          <w:b/>
        </w:rPr>
        <w:t>MYOGARD</w:t>
      </w:r>
      <w:r>
        <w:t xml:space="preserve"> (UNITED PHARMACEUTICAL MANUFACTURING — UPM) — Capsule orale 10 mg B/30 — Statut : Non Renouvelable</w:t>
      </w:r>
    </w:p>
    <w:p>
      <w:pPr>
        <w:pStyle w:val="ListBullet"/>
      </w:pPr>
      <w:r/>
      <w:r>
        <w:rPr>
          <w:b/>
        </w:rPr>
        <w:t>NIDILAT</w:t>
      </w:r>
      <w:r>
        <w:t xml:space="preserve"> (SANOFI DOGU) — Capsule orale 10 mg B/30 — Statut : Non Renouvelable</w:t>
      </w:r>
    </w:p>
    <w:p>
      <w:pPr>
        <w:pStyle w:val="ListBullet"/>
      </w:pPr>
      <w:r/>
      <w:r>
        <w:rPr>
          <w:b/>
        </w:rPr>
        <w:t>ADIPINE LP</w:t>
      </w:r>
      <w:r>
        <w:t xml:space="preserve"> (PHARMALLIANCE) — Gélules microgranules LP 20 mg B/30 — Statut : Non Renouvelable</w:t>
      </w:r>
    </w:p>
    <w:p>
      <w:pPr>
        <w:pStyle w:val="ListBullet"/>
      </w:pPr>
      <w:r/>
      <w:r>
        <w:rPr>
          <w:b/>
        </w:rPr>
        <w:t>NIFEDAR (R)</w:t>
      </w:r>
      <w:r>
        <w:t xml:space="preserve"> (DAR AL DAWA) — Gélules 10 mg B/30 — Statut : Retiré (R)</w:t>
      </w:r>
    </w:p>
    <w:p>
      <w:pPr>
        <w:pStyle w:val="ListBullet"/>
      </w:pPr>
      <w:r/>
      <w:r>
        <w:rPr>
          <w:b/>
        </w:rPr>
        <w:t>NIFAR (R)</w:t>
      </w:r>
      <w:r>
        <w:t xml:space="preserve"> (ARAB PHARMACEUTICAL MANUFACTURING) — Gélules 10 mg B/30 — Statut : Retiré (R)</w:t>
      </w:r>
    </w:p>
    <w:p>
      <w:pPr>
        <w:pStyle w:val="ListBullet"/>
      </w:pPr>
      <w:r/>
      <w:r>
        <w:rPr>
          <w:b/>
        </w:rPr>
        <w:t>NIFEDICOR (R)</w:t>
      </w:r>
      <w:r>
        <w:t xml:space="preserve"> (ALFA WASSERMANN) — Capsules 10 mg B/50 ; Comprimé LP 20 mg B/50 — Statut : Retiré (R)</w:t>
      </w:r>
    </w:p>
    <w:p>
      <w:pPr>
        <w:pStyle w:val="ListBullet"/>
      </w:pPr>
      <w:r/>
      <w:r>
        <w:rPr>
          <w:b/>
        </w:rPr>
        <w:t>NIFELATE (R)</w:t>
      </w:r>
      <w:r>
        <w:t xml:space="preserve"> (BIOGALENIQUE) — Capsules 10 mg B/30 ; Comprimé LP 20 mg B/30 — Statut : Retiré (R)</w:t>
      </w:r>
    </w:p>
    <w:p>
      <w:pPr>
        <w:pStyle w:val="ListBullet"/>
      </w:pPr>
      <w:r/>
      <w:r>
        <w:rPr>
          <w:b/>
        </w:rPr>
        <w:t>ZENUSIN-10 (R)</w:t>
      </w:r>
      <w:r>
        <w:t xml:space="preserve"> (MEPHA PHARMA L.T.D.) — Capsules 10 mg B/20 — Statut : Retiré (R)</w:t>
      </w:r>
    </w:p>
    <w:p>
      <w:pPr>
        <w:pStyle w:val="ListBullet"/>
      </w:pPr>
      <w:r/>
      <w:r>
        <w:rPr>
          <w:b/>
        </w:rPr>
        <w:t>ADALAT (R)</w:t>
      </w:r>
      <w:r>
        <w:t xml:space="preserve"> (QUIMICA FARMACEUTICA BAYER) — Capsules 10 mg B/50 — Statut : Retiré (R)</w:t>
      </w:r>
    </w:p>
    <w:p>
      <w:pPr>
        <w:pStyle w:val="ListBullet"/>
      </w:pPr>
      <w:r/>
      <w:r>
        <w:rPr>
          <w:b/>
        </w:rPr>
        <w:t>NIFEDIPINE-RATIOPHARM (R)</w:t>
      </w:r>
      <w:r>
        <w:t xml:space="preserve"> (LAFON RATIOPHARM) — Capsules 10 mg B/30 — Statut : Retiré (R)</w:t>
      </w:r>
    </w:p>
    <w:p>
      <w:pPr>
        <w:pStyle w:val="ListBullet"/>
      </w:pPr>
      <w:r/>
      <w:r>
        <w:rPr>
          <w:b/>
        </w:rPr>
        <w:t>COROTREND 10 (R)</w:t>
      </w:r>
      <w:r>
        <w:t xml:space="preserve"> (NOVAPHARM TRADING) — Gélules 10 mg B/30 — Statut : Retiré (R)</w:t>
      </w:r>
    </w:p>
    <w:p>
      <w:pPr>
        <w:pStyle w:val="ListBullet"/>
      </w:pPr>
      <w:r/>
      <w:r>
        <w:rPr>
          <w:b/>
        </w:rPr>
        <w:t>FENAMON SR (R)</w:t>
      </w:r>
      <w:r>
        <w:t xml:space="preserve"> (MEDOCHEMIE LTD) — Comprimé LP 20 mg B/30 — Statut : Retiré (R)</w:t>
      </w:r>
    </w:p>
    <w:p>
      <w:pPr>
        <w:pStyle w:val="ListBullet"/>
      </w:pPr>
      <w:r/>
      <w:r>
        <w:rPr>
          <w:b/>
        </w:rPr>
        <w:t>ADALAT RETARD (R)</w:t>
      </w:r>
      <w:r>
        <w:t xml:space="preserve"> (QUIMICA FARMACEUTICA BAYER) — Comprimé LP 20 mg B/60 — Statut : Retiré (R)</w:t>
      </w:r>
    </w:p>
    <w:p>
      <w:pPr>
        <w:pStyle w:val="ListBullet"/>
      </w:pPr>
      <w:r/>
      <w:r>
        <w:rPr>
          <w:b/>
        </w:rPr>
        <w:t>EPILAT (R)</w:t>
      </w:r>
      <w:r>
        <w:t xml:space="preserve"> (EIPICO) — Comprimé LP 20 mg B/20 — Statut : Retiré (R)</w:t>
      </w:r>
    </w:p>
    <w:p>
      <w:pPr>
        <w:pStyle w:val="ListBullet"/>
      </w:pPr>
      <w:r/>
      <w:r>
        <w:rPr>
          <w:b/>
        </w:rPr>
        <w:t>MYOGARD RETARD (R)</w:t>
      </w:r>
      <w:r>
        <w:t xml:space="preserve"> (UPM) — Comprimé LP 20 mg B/30 — Statut : Retiré (R)</w:t>
      </w:r>
    </w:p>
    <w:p>
      <w:pPr>
        <w:pStyle w:val="ListBullet"/>
      </w:pPr>
      <w:r/>
      <w:r>
        <w:rPr>
          <w:b/>
        </w:rPr>
        <w:t>NIFECARD (R)</w:t>
      </w:r>
      <w:r>
        <w:t xml:space="preserve"> (LEK) — Comprimé LP 20 mg B/30 — Statut : Retiré (R)</w:t>
      </w:r>
    </w:p>
    <w:p>
      <w:pPr>
        <w:pStyle w:val="ListBullet"/>
      </w:pPr>
      <w:r/>
      <w:r>
        <w:rPr>
          <w:b/>
        </w:rPr>
        <w:t>NIFEDIPAL (R)</w:t>
      </w:r>
      <w:r>
        <w:t xml:space="preserve"> (SOPHAL) — Comprimé LP 20 mg B/20 — Statut : Retiré (R)</w:t>
      </w:r>
    </w:p>
    <w:p>
      <w:pPr>
        <w:pStyle w:val="ListBullet"/>
      </w:pPr>
      <w:r/>
      <w:r>
        <w:rPr>
          <w:b/>
        </w:rPr>
        <w:t>NIFELAT RETARD (R)</w:t>
      </w:r>
      <w:r>
        <w:t xml:space="preserve"> (CIPLA LIMITED) — Comprimé LP 20 mg B/30 — Statut : Retiré (R)</w:t>
      </w:r>
    </w:p>
    <w:p>
      <w:pPr>
        <w:pStyle w:val="ListBullet"/>
      </w:pPr>
      <w:r/>
      <w:r>
        <w:rPr>
          <w:b/>
        </w:rPr>
        <w:t>NIFEDIPINE T20 STADA RETARD (R)</w:t>
      </w:r>
      <w:r>
        <w:t xml:space="preserve"> (STADA) — Comprimé LP 20 mg B/50 — Statut : Retiré (R)</w:t>
      </w:r>
    </w:p>
    <w:p>
      <w:pPr>
        <w:pStyle w:val="ListBullet"/>
      </w:pPr>
      <w:r/>
      <w:r>
        <w:rPr>
          <w:b/>
        </w:rPr>
        <w:t>CORACTEN (R)</w:t>
      </w:r>
      <w:r>
        <w:t xml:space="preserve"> (ICN PHARMACEUTICALS) — Gélules LP 20 mg B/30 — Statut : Retiré (R)</w:t>
      </w:r>
    </w:p>
    <w:p>
      <w:pPr>
        <w:pStyle w:val="ListBullet"/>
      </w:pPr>
      <w:r/>
      <w:r>
        <w:rPr>
          <w:b/>
        </w:rPr>
        <w:t>CORDIPIN RETARD (R)</w:t>
      </w:r>
      <w:r>
        <w:t xml:space="preserve"> (KRKA) — Comprimé LP 20 mg B/30 — Statut : Retiré (R)</w:t>
      </w:r>
    </w:p>
    <w:p>
      <w:pPr>
        <w:pStyle w:val="ListBullet"/>
      </w:pPr>
      <w:r/>
      <w:r>
        <w:rPr>
          <w:b/>
        </w:rPr>
        <w:t>NIFEDIPINE-RATIOPHARM LP (R)</w:t>
      </w:r>
      <w:r>
        <w:t xml:space="preserve"> (LAFON RATIOPHARM) — Comprimé LP 20 mg B/30 — Statut : Retiré (R)</w:t>
      </w:r>
    </w:p>
    <w:p>
      <w:pPr>
        <w:pStyle w:val="ListBullet"/>
      </w:pPr>
      <w:r/>
      <w:r>
        <w:rPr>
          <w:b/>
        </w:rPr>
        <w:t>ZENUSIN-20 SR (R)</w:t>
      </w:r>
      <w:r>
        <w:t xml:space="preserve"> (MEPHA PHARMA L.T.D.) — Comprimé LP enrobé 20 mg B/30 — Statut : Retiré (R)</w:t>
      </w:r>
    </w:p>
    <w:p>
      <w:pPr>
        <w:pStyle w:val="ListBullet"/>
      </w:pPr>
      <w:r/>
      <w:r>
        <w:rPr>
          <w:b/>
        </w:rPr>
        <w:t>ANGILAT (R)</w:t>
      </w:r>
      <w:r>
        <w:t xml:space="preserve"> (PETRA PHARM) — Nifédipine LP, Comprimé LP 20 mg B/30 — Statut : Retiré (R)</w:t>
      </w:r>
    </w:p>
    <w:p>
      <w:r/>
      <w:r>
        <w:rPr>
          <w:i/>
        </w:rPr>
        <w:t>Remarque importante :</w:t>
      </w:r>
      <w:r>
        <w:t xml:space="preserve"> à la date d'Avril 2026, </w:t>
      </w:r>
      <w:r>
        <w:rPr>
          <w:b/>
        </w:rPr>
        <w:t>aucune spécialité de nifédipine n'est strictement active en Algérie</w:t>
      </w:r>
      <w:r>
        <w:t xml:space="preserve"> (toutes marquées « NON_RENOUVELABLE » ou « RETRAIT »). Cette situation soulève la question de l'approvisionnement réel en tocolytique oral et impose probablement un recours systématique à l'atosiban (disponible et actif) pour les indications obstétricales urgentes. Les cliniciens algériens doivent vérifier la disponibilité effective au niveau local et/ou envisager les importations parallèles si nécessaire.</w:t>
      </w:r>
    </w:p>
    <w:p>
      <w:r/>
      <w:r>
        <w:rPr>
          <w:b/>
        </w:rPr>
        <w:t>Sous-classe et Mécanisme d'action :</w:t>
      </w:r>
      <w:r/>
    </w:p>
    <w:p>
      <w:pPr>
        <w:pStyle w:val="ListBullet"/>
      </w:pPr>
      <w:r>
        <w:t>Sous-classe : Tocolytiques — Inhibiteurs calciques (dihydropyridines — DHP). Positionnement : tocolytique oral de référence selon CNGOF 2017 et WHO 2018, en alternative à l'atosiban en cas de contre-indication, d'indisponibilité ou de nécessité de relais oral après tocolyse IV. Moins coûteux mais avec profil hémodynamique maternel moins favorable que l'atosiban. Indication hors AMM en obstétrique (« prescription raisonnée » validée par consensus).</w:t>
      </w:r>
    </w:p>
    <w:p>
      <w:pPr>
        <w:pStyle w:val="ListBullet"/>
      </w:pPr>
      <w:r>
        <w:t>Mécanisme d'action : la nifédipine est un inhibiteur sélectif des canaux calciques voltage-dépendants de type L (CaV1.2) au niveau du muscle lisse. Elle se lie sur le segment S6 du domaine III de la sous-unité α1c du canal, bloquant l'entrée du Ca2+ extracellulaire dans la cellule musculaire lisse utérine. Or, la contraction du myomètre dépend : (1) de l'influx calcique extracellulaire via les canaux CaV1.2 voltage-dépendants ; (2) de la libération du Ca2+ intracellulaire stocké dans le réticulum sarcoplasmique (via IP3 après stimulation ocytocine) ; (3) de la formation du complexe Ca2+-calmoduline qui active la MLCK (myosin light chain kinase) → phosphorylation des chaînes légères de la myosine → contraction. La nifédipine bloque spécifiquement la composante (1), privant la cellule de l'influx calcique nécessaire à l'entretien de la contraction. La relaxation utérine s'ensuit, sans modification du tonus de base. La sélectivité vasculaire de la nifédipine (DHP) explique également son effet hypotenseur — les vaisseaux périphériques se relâchent proportionnellement, ce qui peut induire une hypotension maternelle avec tachycardie réflexe. La DHP n'affecte pas les canaux calciques cardiaques (sélectivité vasculaire/utérine supérieure à cardiaque), d'où l'absence d'effet inotrope négatif significatif.</w:t>
      </w:r>
    </w:p>
    <w:p>
      <w:r/>
      <w:r>
        <w:rPr>
          <w:b/>
        </w:rPr>
        <w:t>Profil Pharmacologique :</w:t>
      </w:r>
      <w:r/>
    </w:p>
    <w:p>
      <w:pPr>
        <w:pStyle w:val="ListBullet"/>
      </w:pPr>
      <w:r>
        <w:t xml:space="preserve">Indications : (1) </w:t>
      </w:r>
      <w:r>
        <w:rPr>
          <w:b/>
        </w:rPr>
        <w:t>Tocolyse</w:t>
      </w:r>
      <w:r>
        <w:t xml:space="preserve"> (hors AMM en obstétrique, mais recommandée CNGOF 2017, WHO 2018) dans la MAP entre 24 et 34 SA — dose d'attaque 20 mg per os répétée à 30 min si nécessaire, puis 20 mg × 3-4/j pendant 48 h max, en relais ou alternative à l'atosiban. (2) </w:t>
      </w:r>
      <w:r>
        <w:rPr>
          <w:b/>
        </w:rPr>
        <w:t>Hypertension artérielle</w:t>
      </w:r>
      <w:r>
        <w:t xml:space="preserve"> gravidique sévère ou prééclampsie (hors AMM ; la nicardipine IV est généralement préférée dans ce contexte). (3) Dans son AMM d'origine : hypertension artérielle essentielle, angor stable, syndrome de Raynaud. La tocolyse par nifédipine ne doit pas excéder 48 h (corticothérapie anténatale + transfert in utero).</w:t>
      </w:r>
    </w:p>
    <w:p>
      <w:pPr>
        <w:pStyle w:val="ListBullet"/>
      </w:pPr>
      <w:r>
        <w:t>Contre-indications : (1) hypersensibilité à la nifédipine ou aux DHP ; (2) hypotension sévère (PAS &lt; 90 mmHg) ; (3) insuffisance cardiaque non contrôlée ; (4) sténose aortique sévère ; (5) choc cardiogénique ; (6) association aux bêtabloquants (risque de bradycardie sévère, BAV, hypotension majeure) — CI relative ; (7) administration concomitante de rifampicine (inducteur puissant CYP3A4 — baisse d'efficacité) ; (8) grossesse avant 20 SA ou après 34 SA (hors fenêtre tocolytique). Chez la femme enceinte : CI relative si pathologie cardiaque maternelle associée (cardiopathie ischémique, troubles du rythme, valvulopathie sévère).</w:t>
      </w:r>
    </w:p>
    <w:p>
      <w:pPr>
        <w:pStyle w:val="ListBullet"/>
      </w:pPr>
      <w:r>
        <w:t xml:space="preserve">Effets indésirables : la nifédipine est globalement bien tolérée mais son profil hémodynamique impose une surveillance. EI très fréquents (&gt; 10 %) : céphalées (15-25 %, vasodilatation cérébrale), bouffées de chaleur (flush, 20 %), œdèmes des membres inférieurs (10-15 %, vasodilatation précapillaire sans rétention hydrosodée), palpitations/tachycardie réflexe (10-15 %). EI fréquents (1-10 %) : hypotension orthostatique, vertiges, asthénie, nausées, constipation. EI rares (&lt; 1 %) : hyperplasie gingivale (au long cours, hors tocolyse courte), rash cutané, prurit, éruptions maculo-papuleuses, troubles de la vision. EI spécifiques obstétricaux à surveiller : (1) hypotension maternelle pouvant compromettre la perfusion placentaire → souffrance fœtale secondaire ; (2) tachycardie maternelle parfois mal tolérée ; (3) inhibition des contractions utérines parfois trop marquée (rare avec la nifédipine, plus fréquente avec atosiban/PGE). Comparativement aux bêta-2 mimétiques (ritodrine, salbutamol), la nifédipine n'induit </w:t>
      </w:r>
      <w:r>
        <w:rPr>
          <w:b/>
        </w:rPr>
        <w:t>pas</w:t>
      </w:r>
      <w:r>
        <w:t xml:space="preserve"> d'œdème aigu pulmonaire, d'hypokaliémie, d'hyperglycémie majeure ou de tremulations.</w:t>
      </w:r>
    </w:p>
    <w:p>
      <w:r/>
      <w:r>
        <w:rPr>
          <w:b/>
        </w:rPr>
        <w:t>Prévention et Gestion des Effets Indésirables :</w:t>
      </w:r>
      <w:r/>
    </w:p>
    <w:p>
      <w:pPr>
        <w:pStyle w:val="ListBullet"/>
      </w:pPr>
      <w:r>
        <w:t>Mesures préventives : (1) Pose d'une voie veineuse périphérique de bon calibre ; (2) monitoring cardiotocographique continu (tocographie externe + RCF) pendant et jusqu'à 30 min après l'arrêt de la nifédipine ; (3) surveillance maternelle : TA (toutes les 15 min pendant la 1re heure, puis toutes les 4 heures), pouls, fréquence respiratoire ; (4) éviter l'administration sublinguale (risque de surdosage par libération rapide — chute tensionnelle brutale) ; privilégier la forme per os avalée (gélule avalée entière ou comprimé LP) ; (5) bilan biologique initial : NFS, ionogramme, créatinine, glycémie, transaminases ; (6) vérification des interactions médicamenteuses (bêtabloquants, antihypertenseurs, CYP3A4) ; (7) hydratation orale ou IV modérée (éviter surcharge).</w:t>
      </w:r>
    </w:p>
    <w:p>
      <w:pPr>
        <w:pStyle w:val="ListBullet"/>
      </w:pPr>
      <w:r>
        <w:t xml:space="preserve">Conduite à tenir : (1) </w:t>
      </w:r>
      <w:r>
        <w:rPr>
          <w:b/>
        </w:rPr>
        <w:t>Hypotension symptomatique</w:t>
      </w:r>
      <w:r>
        <w:t xml:space="preserve"> : décubitus dorsal jambes surélevées, ralentir ou arrêter temporairement la nifédipine, remplissage vasculaire prudent (300-500 mL NaCl 0,9 %), surveillance TA/FC/RCF. (2) </w:t>
      </w:r>
      <w:r>
        <w:rPr>
          <w:b/>
        </w:rPr>
        <w:t>Céphalées sévères</w:t>
      </w:r>
      <w:r>
        <w:t xml:space="preserve"> : paracétamol 1 g, hydratation, surveillance. (3) </w:t>
      </w:r>
      <w:r>
        <w:rPr>
          <w:b/>
        </w:rPr>
        <w:t>Tachycardie mal tolérée</w:t>
      </w:r>
      <w:r>
        <w:t xml:space="preserve"> : arrêt de la nifédipine, discussion tocolytique alternative (atosiban). (4) </w:t>
      </w:r>
      <w:r>
        <w:rPr>
          <w:b/>
        </w:rPr>
        <w:t>Échec tocolytique</w:t>
      </w:r>
      <w:r>
        <w:t xml:space="preserve"> (persistance des contractions après 1 h de traitement optimal) : ne pas poursuivre l'escalade de dose ; discussion multidisciplinaire (atosiban relaye en général). (5) </w:t>
      </w:r>
      <w:r>
        <w:rPr>
          <w:b/>
        </w:rPr>
        <w:t>Hyperstimulation utérine</w:t>
      </w:r>
      <w:r>
        <w:t xml:space="preserve"> (rare avec nifédipine) : arrêt immédiat, monitoring CTG renforcé, tocolyse de sauvetage possible par sulfate de magnésium IV (4 g IV lente).</w:t>
      </w:r>
    </w:p>
    <w:p>
      <w:r/>
      <w:r>
        <w:rPr>
          <w:b/>
        </w:rPr>
        <w:t>Interactions Importantes :</w:t>
      </w:r>
      <w:r/>
    </w:p>
    <w:p>
      <w:pPr>
        <w:pStyle w:val="ListBullet"/>
      </w:pPr>
      <w:r>
        <w:t xml:space="preserve">Nifédipine + bêtabloquants (propranolol, bisoprolol, labétalol) : </w:t>
      </w:r>
      <w:r>
        <w:rPr>
          <w:b/>
        </w:rPr>
        <w:t>CI relative majeure</w:t>
      </w:r>
      <w:r>
        <w:t xml:space="preserve"> — risque d'hypotension sévère, bradycardie, BAV, décompensation cardiaque. À éviter absolument en tocolyse. Préférer monothérapie.</w:t>
      </w:r>
    </w:p>
    <w:p>
      <w:pPr>
        <w:pStyle w:val="ListBullet"/>
      </w:pPr>
      <w:r>
        <w:t>Nifédipine + autres antihypertenseurs (IEC, ARA2, diurétiques) : potentialisation hypotensive — surveiller TA, adapter posologie.</w:t>
      </w:r>
    </w:p>
    <w:p>
      <w:pPr>
        <w:pStyle w:val="ListBullet"/>
      </w:pPr>
      <w:r>
        <w:t>Nifédipine + ocytocine : pas d'interaction pharmacocinétique, mais risque d'antagonisme pharmacodynamique (la nifédipine inhibe les contractions que l'ocytocine cherche à provoquer) — respecter un délai d'au moins 6 h après arrêt de la nifédipine avant déclenchement par ocytocine.</w:t>
      </w:r>
    </w:p>
    <w:p>
      <w:pPr>
        <w:pStyle w:val="ListBullet"/>
      </w:pPr>
      <w:r>
        <w:t>Nifédipine + sulfates de magnésium : potentialisation du blocage neuromusculaire et hypotension — surveillance étroite si association (rare).</w:t>
      </w:r>
    </w:p>
    <w:p>
      <w:pPr>
        <w:pStyle w:val="ListBullet"/>
      </w:pPr>
      <w:r>
        <w:t>Nifédipine + CYP3A4 (inhibiteurs : macrolides sauf azithromycine, antiprotéases, jus de pamplemousse) : majoration des concentrations plasmatiques de nifédipine → hypotension, céphalées. CI le jus de pamplemousse.</w:t>
      </w:r>
    </w:p>
    <w:p>
      <w:pPr>
        <w:pStyle w:val="ListBullet"/>
      </w:pPr>
      <w:r>
        <w:t>Nifédipine + CYP3A4 (inducteurs : rifampicine, phénytoïne, carbamazépine, millepertuis) : baisse d'efficacité — éviter ou augmenter posologie.</w:t>
      </w:r>
    </w:p>
    <w:p>
      <w:pPr>
        <w:pStyle w:val="ListBullet"/>
      </w:pPr>
      <w:r>
        <w:t>Nifédipine + atosiban : association déconseillée (hypotension additive), mais possible en protocole de second recours sous surveillance stricte.</w:t>
      </w:r>
    </w:p>
    <w:p>
      <w:r/>
      <w:r>
        <w:rPr>
          <w:b/>
        </w:rPr>
        <w:t>Grossesse et Allaitement :</w:t>
      </w:r>
      <w:r/>
    </w:p>
    <w:p>
      <w:pPr>
        <w:pStyle w:val="ListBullet"/>
      </w:pPr>
      <w:r>
        <w:t xml:space="preserve">Grossesse : la nifédipine est classée « compatible » par le CRAT dans l'indication tocolytique (entre 24 et 34 SA), et dans l'hypertension gravidique (sous surveillance). Les données du CRAT et de la littérature internationale ne montrent </w:t>
      </w:r>
      <w:r>
        <w:rPr>
          <w:b/>
        </w:rPr>
        <w:t>pas</w:t>
      </w:r>
      <w:r>
        <w:t xml:space="preserve"> de sur-risque de malformations congénitales (méta-analyses incluant &gt; 1000 grossesses exposées au 1er trimestre). Quelques cas isolés d'hypotension néonatale transitoire et de détresse respiratoire ont été rapportés en cas d'administration à proximité de l'accouchement. À éviter au 1er trimestre en dehors de l'indication hypertensive. La forme LP à 20 mg est préférée à la forme sublinguale (à éviter en raison du risque d'hypotension brutale). Le passage transplacentaire est documenté (concentrations fœtales ≈ 50-70 % des concentrations maternelles).</w:t>
      </w:r>
    </w:p>
    <w:p>
      <w:pPr>
        <w:pStyle w:val="ListBullet"/>
      </w:pPr>
      <w:r>
        <w:t xml:space="preserve">Allaitement : la nifédipine passe faiblement dans le lait maternel (rapport lait/plasma ≈ 0,3-0,5). La dose ingérée par le nourrisson est estimée à moins de 5 % de la dose thérapeutique pédiatrique. L'allaitement est donc </w:t>
      </w:r>
      <w:r>
        <w:rPr>
          <w:b/>
        </w:rPr>
        <w:t>compatible</w:t>
      </w:r>
      <w:r>
        <w:t xml:space="preserve"> en cas de traitement court par nifédipine (tocolyse, hypertension post-partum). Surveillance clinique de l'enfant (TA, sédation).</w:t>
      </w:r>
    </w:p>
    <w:p>
      <w:pPr>
        <w:pStyle w:val="ListBullet"/>
      </w:pPr>
      <w:r>
        <w:t xml:space="preserve">Précisions : la tocolyse par nifédipine est une prescription </w:t>
      </w:r>
      <w:r>
        <w:rPr>
          <w:b/>
        </w:rPr>
        <w:t>hors AMM</w:t>
      </w:r>
      <w:r>
        <w:t xml:space="preserve"> en obstétrique — recueillir le consentement éclairé de la patiente et tracer la prescription. L'alternative officielle AMM est l'atosiban.</w:t>
      </w:r>
    </w:p>
    <w:p>
      <w:r/>
      <w:r>
        <w:rPr>
          <w:b/>
        </w:rPr>
        <w:t>Posologie et Mode d'administration (Standard) :</w:t>
      </w:r>
      <w:r/>
    </w:p>
    <w:p>
      <w:pPr>
        <w:pStyle w:val="ListBullet"/>
      </w:pPr>
      <w:r>
        <w:t>Adulte : protocole validé CNGOF 2017 / WHO 2018 :</w:t>
      </w:r>
    </w:p>
    <w:p>
      <w:pPr>
        <w:pStyle w:val="ListBullet"/>
      </w:pPr>
      <w:r/>
      <w:r>
        <w:rPr>
          <w:b/>
        </w:rPr>
        <w:t>Dose d'attaque</w:t>
      </w:r>
      <w:r>
        <w:t xml:space="preserve"> : 20 mg per os (gélule à avaler entière ou comprimé LP 20 mg), immédiatement à l'admission.</w:t>
      </w:r>
    </w:p>
    <w:p>
      <w:pPr>
        <w:pStyle w:val="ListBullet"/>
      </w:pPr>
      <w:r/>
      <w:r>
        <w:rPr>
          <w:b/>
        </w:rPr>
        <w:t>Répétition</w:t>
      </w:r>
      <w:r>
        <w:t xml:space="preserve"> : 20 mg per os après 30 minutes si les contractions persistent.</w:t>
      </w:r>
    </w:p>
    <w:p>
      <w:pPr>
        <w:pStyle w:val="ListBullet"/>
      </w:pPr>
      <w:r/>
      <w:r>
        <w:rPr>
          <w:b/>
        </w:rPr>
        <w:t>Dose d'entretien</w:t>
      </w:r>
      <w:r>
        <w:t xml:space="preserve"> : 20 mg per os toutes les 6 à 8 heures (soit 60 à 80 mg/j) pendant 48 heures maximum. Dose totale maximale sur 24 h : 80 mg (certains protocoles admettent 120 mg/j en 4 prises ; au-delà, risque toxique).</w:t>
      </w:r>
    </w:p>
    <w:p>
      <w:pPr>
        <w:pStyle w:val="ListBullet"/>
      </w:pPr>
      <w:r>
        <w:t>Dose cumulée maximale sur les premières 48 h : 160 mg.</w:t>
      </w:r>
    </w:p>
    <w:p>
      <w:pPr>
        <w:pStyle w:val="ListBullet"/>
      </w:pPr>
      <w:r>
        <w:t xml:space="preserve">La forme sublinguale est </w:t>
      </w:r>
      <w:r>
        <w:rPr>
          <w:b/>
        </w:rPr>
        <w:t>déconseillée</w:t>
      </w:r>
      <w:r>
        <w:t xml:space="preserve"> en raison du risque d'hypotension brutale (libération trop rapide). Préférer la forme orale LP.</w:t>
      </w:r>
    </w:p>
    <w:p>
      <w:pPr>
        <w:pStyle w:val="ListBullet"/>
      </w:pPr>
      <w:r>
        <w:t>Sujet âgé : non applicable (tocolyse réservée à la femme enceinte).</w:t>
      </w:r>
    </w:p>
    <w:p>
      <w:pPr>
        <w:pStyle w:val="ListBullet"/>
      </w:pPr>
      <w:r>
        <w:t>Durée : 48 heures maximum total.</w:t>
      </w:r>
    </w:p>
    <w:p>
      <w:pPr>
        <w:pStyle w:val="ListBullet"/>
      </w:pPr>
      <w:r>
        <w:t>Moment de la prise : hospitalier strict (maternité de niveau adapté), sous monitoring CTG continu.</w:t>
      </w:r>
    </w:p>
    <w:p>
      <w:r/>
      <w:r>
        <w:rPr>
          <w:b/>
        </w:rPr>
        <w:t>Arbitrage et Bénéfices des Formes Galéniques :</w:t>
      </w:r>
      <w:r/>
    </w:p>
    <w:p>
      <w:r>
        <w:t xml:space="preserve">La nifédipine se présente sous deux formes galéniques pertinentes pour la tocolyse : (1) </w:t>
      </w:r>
      <w:r>
        <w:rPr>
          <w:b/>
        </w:rPr>
        <w:t>gélule à 10 mg à libération immédiate</w:t>
      </w:r>
      <w:r>
        <w:t xml:space="preserve"> — historiquement utilisée en mordant la gélule pour effet sublingual rapide, aujourd'hui déconseillée par l'ANSM (2011) en raison du risque de chute tensionnelle brutale ; à avaler entière à la dose de 20 mg (2 gélules) pour la dose d'attaque ; (2) </w:t>
      </w:r>
      <w:r>
        <w:rPr>
          <w:b/>
        </w:rPr>
        <w:t>comprimé LP à 20 mg</w:t>
      </w:r>
      <w:r>
        <w:t xml:space="preserve"> — forme à libération prolongée, permettant une administration toutes les 8-12 h avec des concentrations plasmatiques stables, préférée pour l'entretien. La forme IV n'existe pas pour la nifédipine (la nicardipine IV est utilisée pour l'HTA gravidique sévère, mais pas pour la tocolyse). L'avantage majeur de la nifédipine est sa voie orale, autorisant un relais ambulatoire théorique (non recommandé en pratique, surveillance hospitalière maintenue 48 h). Comparée à l'atosiban (IV exclusif, coût élevé, monitoring intensif), la nifédipine offre simplicité, faible coût et bonne efficacité — au prix d'une surveillance hémodynamique maternelle. L'inconvénient algérien actuel est l'indisponibilité de spécialités strictement actives, ce qui peut imposer un recours systématique à l'atosiban.</w:t>
      </w:r>
    </w:p>
    <w:p>
      <w:r/>
      <w:r>
        <w:rPr>
          <w:b/>
        </w:rPr>
        <w:t>Instructions et Conseils au Patient :</w:t>
      </w:r>
      <w:r/>
    </w:p>
    <w:p>
      <w:pPr>
        <w:pStyle w:val="ListBullet"/>
      </w:pPr>
      <w:r>
        <w:t xml:space="preserve">Communication au comptoir : médicament à </w:t>
      </w:r>
      <w:r>
        <w:rPr>
          <w:b/>
        </w:rPr>
        <w:t>usage hospitalier obstétrical strict</w:t>
      </w:r>
      <w:r>
        <w:t>, délivrance officinale rare (circuit maternité). En cas de demande ambulatoire pour une indication non obstétricale (HTA, angor), vérifier la prescription et la disponibilité. Si interrogation de la patiente sur la tocolyse : expliquer le rôle de «pause utérine» pendant 48 h pour permettre la maturation pulmonaire fœtale (corticoïdes), le transfert vers une maternité adaptée, et que les effets secondaires éventuels (céphalées, flush) sont transitoires et bénins. Prévenir la patiente de la nécessité de rester en décubitus, de l'interdiction de conduire, et du maintien du monitoring fœtal.</w:t>
      </w:r>
    </w:p>
    <w:p>
      <w:pPr>
        <w:pStyle w:val="ListBullet"/>
      </w:pPr>
      <w:r>
        <w:t>Mode d'utilisation pratique : strictement hospitalier. Administration par le personnel soignant. À avaler entier avec un grand verre d'eau. Ne jamais croquer ou mordre la gélule LP.</w:t>
      </w:r>
    </w:p>
    <w:p>
      <w:r/>
      <w:r>
        <w:rPr>
          <w:b/>
        </w:rPr>
        <w:t>Notes, Règles d'Or &amp; Pièges au Comptoir :</w:t>
      </w:r>
      <w:r/>
    </w:p>
    <w:p>
      <w:pPr>
        <w:pStyle w:val="ListBullet"/>
      </w:pPr>
      <w:r>
        <w:t xml:space="preserve">Piège classique : (1) </w:t>
      </w:r>
      <w:r>
        <w:rPr>
          <w:b/>
        </w:rPr>
        <w:t>Forme sublinguale encore prescrite par erreur</w:t>
      </w:r>
      <w:r>
        <w:t xml:space="preserve"> — risque d'hypotension brutale (à éviter absolument, ANSM 2011). (2) </w:t>
      </w:r>
      <w:r>
        <w:rPr>
          <w:b/>
        </w:rPr>
        <w:t>Dépassement de 48 h de tocolyse</w:t>
      </w:r>
      <w:r>
        <w:t xml:space="preserve"> — inefficace et potentiellement toxique (surinfection, RCIU). (3) </w:t>
      </w:r>
      <w:r>
        <w:rPr>
          <w:b/>
        </w:rPr>
        <w:t>Association avec bêtabloquant</w:t>
      </w:r>
      <w:r>
        <w:t xml:space="preserve"> (par exemple labétalol prescrit pour hypertension gravidique associée) — risque d'effet cardiodépresseur cumulatif. (4) </w:t>
      </w:r>
      <w:r>
        <w:rPr>
          <w:b/>
        </w:rPr>
        <w:t>Relais ocytocine trop précoce</w:t>
      </w:r>
      <w:r>
        <w:t xml:space="preserve"> (&lt; 6 h après dernière prise) — hyperstimulation. (5) </w:t>
      </w:r>
      <w:r>
        <w:rPr>
          <w:b/>
        </w:rPr>
        <w:t>Indisponibilité en Algérie</w:t>
      </w:r>
      <w:r>
        <w:t xml:space="preserve"> — vérifier la disponibilité réelle au comptoir ou auprès de la pharmacie hospitalière ; l'atosiban est l'alternative disponible. (6) </w:t>
      </w:r>
      <w:r>
        <w:rPr>
          <w:b/>
        </w:rPr>
        <w:t>Jus de pamplemousse</w:t>
      </w:r>
      <w:r>
        <w:t xml:space="preserve"> — aliments à interdire pendant le traitement (inhibition CYP3A4, surdosage).</w:t>
      </w:r>
    </w:p>
    <w:p>
      <w:pPr>
        <w:pStyle w:val="ListBullet"/>
      </w:pPr>
      <w:r>
        <w:t>Règle de prise : 20 mg per os (2 gélules 10 mg ou 1 comprimé LP 20 mg) à l'admission, répétition à 30 min si nécessaire, puis 20 mg × 3-4/j pendant 48 h max, sous monitoring maternel et fœtal.</w:t>
      </w:r>
    </w:p>
    <w:p>
      <w:pPr>
        <w:pStyle w:val="ListBullet"/>
      </w:pPr>
      <w:r>
        <w:t>Préparation et Conservation : conservation à température ambiante (15-25°C), à l'abri de la lumière et de l'humidité. Ne pas exposer à des températures &gt; 30°C (risque de modification de la cinétique de libération).</w:t>
      </w:r>
    </w:p>
    <w:p>
      <w:pPr>
        <w:pStyle w:val="ListBullet"/>
      </w:pPr>
      <w:r>
        <w:t>Piège du surdosage / Substitution : en cas de surdosage (hypotension sévère, tachycardie, malaise) : décubitus dorsal jambes surélevées, arrêt de la nifédipine, remplissage vasculaire prudent (300-500 mL NaCl 0,9 %), surveillance RCF, traitement symptomatique. Pas d'antidote spécifique. En cas de substitution entre marques (rare en Algérie en raison du statut non actif) : bioéquivalence démontrée, pas d'adaptation posologique.</w:t>
      </w:r>
    </w:p>
    <w:p>
      <w:pPr>
        <w:pStyle w:val="Heading2"/>
      </w:pPr>
      <w:r>
        <w:t>Sous-classe 3 — Obstétrique : Ocytociques</w:t>
      </w:r>
    </w:p>
    <w:p>
      <w:pPr>
        <w:pStyle w:val="Heading3"/>
      </w:pPr>
      <w:r>
        <w:t>Positionnement pharmacologique</w:t>
      </w:r>
    </w:p>
    <w:p>
      <w:r>
        <w:t>Les ocytociques regroupent l'ocytocine exogène synthétique et ses analogues (carbétocine, non disponible en Algérie), hormones peptidiques cycliques de 9 acides aminés (nonapeptide) produites physiologiquement par les noyaux supra-optique et paraventriculaire de l'hypothalamus, stockées dans la post-hypophyse et libérées en fin de grossesse par réflexe de Ferguson (distension cervicale), pendant le travail, lors de l'allaitement (réflexe d'éjection du lait), et dans le post-partum immédiat pour l'hémostase vasculaire utérine. L'ocytocine exogène, commercialisée depuis 1955 (Syntocinon® Sandoz/Novartis, aujourd'hui BGP Products), reproduit fidèlement la structure de l'hormone naturelle et conserve l'intégralité de ses propriétés pharmacodynamiques. Elle représente, avec la méthylergométrine et le misoprostol, l'un des trois piliers pharmacologiques de l'hémostase obstétricale post-partum.</w:t>
      </w:r>
    </w:p>
    <w:p>
      <w:r>
        <w:t>L'ocytocine exerce ses effets via la stimulation des récepteurs OT-R (récepteurs de l'ocytocine, couplés Gq/11) présents à forte densité dans l'myomètre (cellules musculaires lisses utérines), l'endomètre, la décidue, ainsi que dans le tissu mammaire (cellules myoépithéliales des canaux galactophoriques). Son affinité pour les récepteurs V2 rénaux (à l'instar de la vasopressine, structurellement très proche) explique l'effet anti-diurétique possible à forte dose — responsable des cas classiques d'hyponatrémie aiguë (water intoxication) rapportés lors de perfusions prolongées à haute concentration. La sensibilité de l'utérus à l'ocytocine augmente massivement en fin de grossesse (× 100-200 entre 20 et 38 SA), en lien avec la multiplication des récepteurs OT-R et la régulation positive par les œstrogènes — d'où la nécessité d'une titration rigoureuse et d'une surveillance continue.</w:t>
      </w:r>
    </w:p>
    <w:p>
      <w:r>
        <w:t xml:space="preserve">L'ocytocine est indiquée dans : (1) le </w:t>
      </w:r>
      <w:r>
        <w:rPr>
          <w:b/>
        </w:rPr>
        <w:t>déclenchement du travail</w:t>
      </w:r>
      <w:r>
        <w:t xml:space="preserve"> (induction médicale pour terme dépassé, RPM, diabète, prééclampsie, RCIU, mort fœtale in utero) ; (2) la </w:t>
      </w:r>
      <w:r>
        <w:rPr>
          <w:b/>
        </w:rPr>
        <w:t>direction du travail</w:t>
      </w:r>
      <w:r>
        <w:t xml:space="preserve"> (renforcement des contractions insuffisantes en travail spontané) ; (3) l'</w:t>
      </w:r>
      <w:r>
        <w:rPr>
          <w:b/>
        </w:rPr>
        <w:t>hémostase post-partum</w:t>
      </w:r>
      <w:r>
        <w:t xml:space="preserve"> (prévention et traitement de l'hémorragie de la délivrance, en association avec méthylergométrine et/ou misoprostol). L'administration est </w:t>
      </w:r>
      <w:r>
        <w:rPr>
          <w:b/>
        </w:rPr>
        <w:t>strictement intraveineuse</w:t>
      </w:r>
      <w:r>
        <w:t xml:space="preserve"> (perfusion contrôlée par pompe ou pousse-seringue électrique), avec une titration débutant à 1-2 mUI/min, augmentée progressivement toutes les 30 minutes selon la contractilité utérine et le RCF, sans dépasser 20-30 mUI/min. La surveillance cardiotocographique continue est obligatoire pendant toute la durée de perfusion. L'ocytocine est </w:t>
      </w:r>
      <w:r>
        <w:rPr>
          <w:b/>
        </w:rPr>
        <w:t>contre-indiquée en association</w:t>
      </w:r>
      <w:r>
        <w:t xml:space="preserve"> avec les prostaglandines (dinoprostone, misoprostol) en raison du risque majeur d'hyperstimulation utérine, de souffrance fœtale aiguë et de rupture utérine. Un délai minimal de 6 heures après retrait d'un dispositif de prostaglandines doit être respecté avant toute administration d'ocytocine.</w:t>
      </w:r>
    </w:p>
    <w:p>
      <w:pPr>
        <w:pStyle w:val="Heading3"/>
      </w:pPr>
      <w:r>
        <w:t>3. DCI : Ocytocine (Seule)</w:t>
      </w:r>
    </w:p>
    <w:p>
      <w:r/>
      <w:r>
        <w:rPr>
          <w:b/>
        </w:rPr>
        <w:t>Liste des Catégories :</w:t>
      </w:r>
      <w:r>
        <w:t xml:space="preserve"> Ocytociques — Agonistes des récepteurs de l'ocytocine ; usage hospitalier obstétrical strict ; Liste II (préparations injectables).</w:t>
      </w:r>
    </w:p>
    <w:p>
      <w:r>
        <w:t>L'ocytocine exogène (synthétique), nonapeptide cyclique de poids moléculaire ~ 1007 Da, est commercialisée en Algérie sous quatre marques strictement actives (Synotocinon® BGP Products, Oxytocine Ever Pharma® Ever Neuro Pharma, Postuitrin® Ulagay, Labroxin® Hikma Pharma Algeria) et une marque non renouvelable (Oxytocine Biologici Italia). Deux spécialités historiques (Oxytocin China Meheco et Weratocine 5 Weimer Pharma) sont retirées du marché algérien. Toutes les spécialités actives sont des solutions injectables dosées à 5 UI/mL (forme la plus standard), à l'exception de Labroxin® dosée à 5 UI/0,5 mL (concentration double, à 10 UI/mL, à diluer impérativement avant perfusion). La demi-vie plasmatique courte (3-5 minutes) impose une administration IV continue stricte pour maintenir une contractilité utérine stable. Le métabolisme est principalement hépatique (ocytocinase placentaire) et rénal, avec une élimination urinaire des métabolites. L'ocytocine traverse la barrière placentaire mais est rapidement dégradée par les ocytocinases fœtales, limitant l'exposition fœtale directe. Le risque principal reste l'hyperstimulation utérine (tachysystolie ≥ 5 contractions/10 min, contractions &gt; 2 min, hypertonus), susceptible d'induire une souffrance fœtale aiguë par diminution du flux sanguin utéro-placentaire.</w:t>
      </w:r>
    </w:p>
    <w:p>
      <w:r/>
      <w:r>
        <w:rPr>
          <w:b/>
        </w:rPr>
        <w:t>Médicaments disponibles en Algérie (Marques, Laboratoires, Formes et Dosages) :</w:t>
      </w:r>
      <w:r/>
    </w:p>
    <w:p>
      <w:pPr>
        <w:pStyle w:val="ListBullet"/>
      </w:pPr>
      <w:r/>
      <w:r>
        <w:rPr>
          <w:b/>
        </w:rPr>
        <w:t>SYNTOCINON</w:t>
      </w:r>
      <w:r>
        <w:t xml:space="preserve"> (BGP PRODUCTS GMBH)</w:t>
      </w:r>
    </w:p>
    <w:p>
      <w:pPr>
        <w:pStyle w:val="ListBullet"/>
      </w:pPr>
      <w:r>
        <w:t>Formes et Dosages : Concentré pour IV ou solution injectable IMSOL.INJ. — 5 UI/mL — B/5 ampoules de 1 mL</w:t>
      </w:r>
    </w:p>
    <w:p>
      <w:pPr>
        <w:pStyle w:val="ListBullet"/>
      </w:pPr>
      <w:r>
        <w:t>Statut : Actif (Liste II)</w:t>
      </w:r>
    </w:p>
    <w:p>
      <w:pPr>
        <w:pStyle w:val="ListBullet"/>
      </w:pPr>
      <w:r/>
      <w:r>
        <w:rPr>
          <w:b/>
        </w:rPr>
        <w:t>OXYTOCINE EVER PHARMA</w:t>
      </w:r>
      <w:r>
        <w:t xml:space="preserve"> (EVER NEURO PHARMA GMBH)</w:t>
      </w:r>
    </w:p>
    <w:p>
      <w:pPr>
        <w:pStyle w:val="ListBullet"/>
      </w:pPr>
      <w:r>
        <w:t>Formes et Dosages : Solution injectable — 5 UI/mL — B/5 ampoules de 1 mL</w:t>
      </w:r>
    </w:p>
    <w:p>
      <w:pPr>
        <w:pStyle w:val="ListBullet"/>
      </w:pPr>
      <w:r>
        <w:t>Statut : Actif (Liste II)</w:t>
      </w:r>
    </w:p>
    <w:p>
      <w:pPr>
        <w:pStyle w:val="ListBullet"/>
      </w:pPr>
      <w:r/>
      <w:r>
        <w:rPr>
          <w:b/>
        </w:rPr>
        <w:t>POSTUITRIN</w:t>
      </w:r>
      <w:r>
        <w:t xml:space="preserve"> (LABORATOIRE ULAGAY, ILAC SANAYI TURK)</w:t>
      </w:r>
    </w:p>
    <w:p>
      <w:pPr>
        <w:pStyle w:val="ListBullet"/>
      </w:pPr>
      <w:r>
        <w:t>Formes et Dosages : Solution injectable — 5 UI/mL — B/3 ampoules de 1 mL</w:t>
      </w:r>
    </w:p>
    <w:p>
      <w:pPr>
        <w:pStyle w:val="ListBullet"/>
      </w:pPr>
      <w:r>
        <w:t>Statut : Actif (Liste II)</w:t>
      </w:r>
    </w:p>
    <w:p>
      <w:pPr>
        <w:pStyle w:val="ListBullet"/>
      </w:pPr>
      <w:r/>
      <w:r>
        <w:rPr>
          <w:b/>
        </w:rPr>
        <w:t>LABROXIN</w:t>
      </w:r>
      <w:r>
        <w:t xml:space="preserve"> (HIKMA PHARMA ALGERIA)</w:t>
      </w:r>
    </w:p>
    <w:p>
      <w:pPr>
        <w:pStyle w:val="ListBullet"/>
      </w:pPr>
      <w:r>
        <w:t>Formes et Dosages : Solution injectable IV/IM — 5 UI/0,5 mL (concentration 10 UI/mL, à diluer avant perfusion IV) — B/6 ampoules de 0,5 mL</w:t>
      </w:r>
    </w:p>
    <w:p>
      <w:pPr>
        <w:pStyle w:val="ListBullet"/>
      </w:pPr>
      <w:r>
        <w:t>Statut : Actif (Liste II)</w:t>
      </w:r>
    </w:p>
    <w:p>
      <w:pPr>
        <w:pStyle w:val="ListBullet"/>
      </w:pPr>
      <w:r/>
      <w:r>
        <w:rPr>
          <w:b/>
        </w:rPr>
        <w:t>OXYTOCINE</w:t>
      </w:r>
      <w:r>
        <w:t xml:space="preserve"> (BIOLOGICI ITALIA)</w:t>
      </w:r>
    </w:p>
    <w:p>
      <w:pPr>
        <w:pStyle w:val="ListBullet"/>
      </w:pPr>
      <w:r>
        <w:t>Formes et Dosages : Solution injectable — 5 UI/mL — B/3 ampoules</w:t>
      </w:r>
    </w:p>
    <w:p>
      <w:pPr>
        <w:pStyle w:val="ListBullet"/>
      </w:pPr>
      <w:r>
        <w:t>Statut : Non Renouvelable</w:t>
      </w:r>
    </w:p>
    <w:p>
      <w:pPr>
        <w:pStyle w:val="ListBullet"/>
      </w:pPr>
      <w:r/>
      <w:r>
        <w:rPr>
          <w:b/>
        </w:rPr>
        <w:t>OXYTOCIN (R)</w:t>
      </w:r>
      <w:r>
        <w:t xml:space="preserve"> (CHINA MEHECO)</w:t>
      </w:r>
    </w:p>
    <w:p>
      <w:pPr>
        <w:pStyle w:val="ListBullet"/>
      </w:pPr>
      <w:r>
        <w:t>Formes et Dosages : Solution injectable — 5 UI/5 mL — B/10 ampoules</w:t>
      </w:r>
    </w:p>
    <w:p>
      <w:pPr>
        <w:pStyle w:val="ListBullet"/>
      </w:pPr>
      <w:r>
        <w:t>Statut : Retiré (R)</w:t>
      </w:r>
    </w:p>
    <w:p>
      <w:pPr>
        <w:pStyle w:val="ListBullet"/>
      </w:pPr>
      <w:r/>
      <w:r>
        <w:rPr>
          <w:b/>
        </w:rPr>
        <w:t>WERATOCINE 5 (R)</w:t>
      </w:r>
      <w:r>
        <w:t xml:space="preserve"> (WEIMER PHARMA)</w:t>
      </w:r>
    </w:p>
    <w:p>
      <w:pPr>
        <w:pStyle w:val="ListBullet"/>
      </w:pPr>
      <w:r>
        <w:t>Formes et Dosages : Solution injectable — 5 UI — B/10 et B/3</w:t>
      </w:r>
    </w:p>
    <w:p>
      <w:pPr>
        <w:pStyle w:val="ListBullet"/>
      </w:pPr>
      <w:r>
        <w:t>Statut : Retiré (R)</w:t>
      </w:r>
    </w:p>
    <w:p>
      <w:r/>
      <w:r>
        <w:rPr>
          <w:i/>
        </w:rPr>
        <w:t>Remarque pratique :</w:t>
      </w:r>
      <w:r>
        <w:t xml:space="preserve"> les 4 marques actives sont bioéquivalentes (toutes dosées à 5 UI/mL, à l'exception de Labroxin à diluer). Substitution possible en cas de rupture d'approvisionnement. Vérifier impérativement la concentration avant administration (erreur possible avec Labroxin à 5 UI/0,5 mL).</w:t>
      </w:r>
    </w:p>
    <w:p>
      <w:r/>
      <w:r>
        <w:rPr>
          <w:b/>
        </w:rPr>
        <w:t>Sous-classe et Mécanisme d'action :</w:t>
      </w:r>
      <w:r/>
    </w:p>
    <w:p>
      <w:pPr>
        <w:pStyle w:val="ListBullet"/>
      </w:pPr>
      <w:r>
        <w:t>Sous-classe : Ocytociques — Agonistes des récepteurs de l'ocytocine (OT-R). Unique représentant en Algérie : ocytocine exogène (la carbétocine, agoniste long-acting, n'est pas disponible). Positionnement : médicament de référence pour le déclenchement et la direction du travail, ainsi que pour l'hémostase obstétricale post-partum (première ligne de l'hémorragie de la délivrance).</w:t>
      </w:r>
    </w:p>
    <w:p>
      <w:pPr>
        <w:pStyle w:val="ListBullet"/>
      </w:pPr>
      <w:r>
        <w:t>Mécanisme d'action : l'ocytocine exogène est un agoniste complet spécifique des récepteurs OT-R (récepteurs à 7 domaines transmembranaires couplés aux protéines Gq/11) exprimés massivement à la surface des cellules musculaires lisses utérines (myomètre), des cellules myoépithéliales mammaires et (à moindre densité) des cellules endothéliales. La liaison ocytocine-OT-R active la phospholipase Cβ (via Gαq) → hydrolyse du PIP2 en IP3 + DAG. L'IP3 se fixe sur ses récepteurs du réticulum sarcoplasmique et induit la libération massive du Ca2+ intracellulaire. Le Ca2+ cytosolique se complexe à la calmoduline, active la MLCK (myosin light chain kinase) qui phosphoryle les chaînes légères de la myosine → formation des ponts actine-myosine → contraction des cellules musculaires lisses utérines. Le DAG active la PKC qui potentialise l'effet en phosphorylant d'autres cibles. Accessoirement, l'ocytocine stimule la production de prostaglandines F2α par la décidue, amplifiant la cascade contractile. Au niveau mammaire, l'ocytocine contracte les cellules myoépithéliales des canaux galactophoriques → réflexe d'éjection du lait. Au niveau vasculaire, l'ocytocine a un effet vasodilatateur (NO-dépendant) à faible dose, mais peut induire une vasoconstriction à forte dose ; un effet anti-diurétique de type V2 (réabsorption d'eau libre) est observé à haute dose, à l'origine d'hyponatrémie (water intoxication).</w:t>
      </w:r>
    </w:p>
    <w:p>
      <w:r/>
      <w:r>
        <w:rPr>
          <w:b/>
        </w:rPr>
        <w:t>Profil Pharmacologique :</w:t>
      </w:r>
      <w:r/>
    </w:p>
    <w:p>
      <w:pPr>
        <w:pStyle w:val="ListBullet"/>
      </w:pPr>
      <w:r>
        <w:t xml:space="preserve">Indications : (1) </w:t>
      </w:r>
      <w:r>
        <w:rPr>
          <w:b/>
        </w:rPr>
        <w:t>Déclenchement du travail</w:t>
      </w:r>
      <w:r>
        <w:t xml:space="preserve"> (induction médicale) à terme ou près du terme : RPM à terme sans travail spontané, terme dépassé (≥ 41 SA), pathologies maternelles (prééclampsie, diabète déséquilibré), pathologies fœtales (RCIU, oligoamnios), mort fœtale in utero. (2) </w:t>
      </w:r>
      <w:r>
        <w:rPr>
          <w:b/>
        </w:rPr>
        <w:t>Direction du travail</w:t>
      </w:r>
      <w:r>
        <w:t xml:space="preserve"> (renforcement des contractions) en cas de dynamique utérine insuffisante en travail spontané. (3) </w:t>
      </w:r>
      <w:r>
        <w:rPr>
          <w:b/>
        </w:rPr>
        <w:t>Hémostase obstétricale</w:t>
      </w:r>
      <w:r>
        <w:t xml:space="preserve"> : prévention systématique de l'hémorragie de la délivrance (5-10 UI IM ou IV lente immédiate après naissance) ; traitement de l'hémorragie du post-partum (10-40 UI IV dans 500-1000 mL NaCl 0,9 % en 15-30 min, puis perfusion d'entretien). (4) </w:t>
      </w:r>
      <w:r>
        <w:rPr>
          <w:b/>
        </w:rPr>
        <w:t>Césarienne</w:t>
      </w:r>
      <w:r>
        <w:t xml:space="preserve"> : 5-10 UI IV lente après extraction fœtale (prévention de l'atonie utérine). (5) </w:t>
      </w:r>
      <w:r>
        <w:rPr>
          <w:b/>
        </w:rPr>
        <w:t>Allaitement</w:t>
      </w:r>
      <w:r>
        <w:t xml:space="preserve"> (indication rare) : spray nasal 1-2 UI avant tétée (non disponible en Algérie sous cette forme).</w:t>
      </w:r>
    </w:p>
    <w:p>
      <w:pPr>
        <w:pStyle w:val="ListBullet"/>
      </w:pPr>
      <w:r>
        <w:t xml:space="preserve">Contre-indications : (1) </w:t>
      </w:r>
      <w:r>
        <w:rPr>
          <w:b/>
        </w:rPr>
        <w:t>disproportion fœto-pelvienne</w:t>
      </w:r>
      <w:r>
        <w:t xml:space="preserve"> (le fœtus ne peut pas passer par le bassin maternel — la stimulation des contractions expose à la rupture utérine et à la souffrance fœtale) ; (2) </w:t>
      </w:r>
      <w:r>
        <w:rPr>
          <w:b/>
        </w:rPr>
        <w:t>présentation anormale non corrigeable</w:t>
      </w:r>
      <w:r>
        <w:t xml:space="preserve"> (siège défléchi, transverse, front, bregma) ; (3) </w:t>
      </w:r>
      <w:r>
        <w:rPr>
          <w:b/>
        </w:rPr>
        <w:t>souffrance fœtale aiguë</w:t>
      </w:r>
      <w:r>
        <w:t xml:space="preserve"> (bradycardie, RCF anormal) ; (4) </w:t>
      </w:r>
      <w:r>
        <w:rPr>
          <w:b/>
        </w:rPr>
        <w:t>utérus cicatriciel</w:t>
      </w:r>
      <w:r>
        <w:t xml:space="preserve"> (antécédent de césarienne, myomectomie traversante, perforation utérine) — CI relative selon les protocoles, à discuter en milieu spécialisé ; (5) </w:t>
      </w:r>
      <w:r>
        <w:rPr>
          <w:b/>
        </w:rPr>
        <w:t>hyperstimulation utérine</w:t>
      </w:r>
      <w:r>
        <w:t xml:space="preserve"> ou hypersensibilité utérine ; (6) </w:t>
      </w:r>
      <w:r>
        <w:rPr>
          <w:b/>
        </w:rPr>
        <w:t>hypertonie utérine</w:t>
      </w:r>
      <w:r>
        <w:t xml:space="preserve"> ou contraction prolongée (&gt; 2 min) ; (7) </w:t>
      </w:r>
      <w:r>
        <w:rPr>
          <w:b/>
        </w:rPr>
        <w:t>ante-partum</w:t>
      </w:r>
      <w:r>
        <w:t xml:space="preserve"> prématuré (≤ 37 SA) hors indication médicale strictement validée ; (8) </w:t>
      </w:r>
      <w:r>
        <w:rPr>
          <w:b/>
        </w:rPr>
        <w:t>association aux prostaglandines</w:t>
      </w:r>
      <w:r>
        <w:t xml:space="preserve"> (dinoprostone, misoprostol) — CI absolue, délai minimum 6 h après arrêt des PGE ; (9) </w:t>
      </w:r>
      <w:r>
        <w:rPr>
          <w:b/>
        </w:rPr>
        <w:t>insuffisance rénale sévère</w:t>
      </w:r>
      <w:r>
        <w:t xml:space="preserve"> avec hyponatrémie (risque de water intoxication) ; (10) hypersensibilité à l'ocytocine.</w:t>
      </w:r>
    </w:p>
    <w:p>
      <w:pPr>
        <w:pStyle w:val="ListBullet"/>
      </w:pPr>
      <w:r>
        <w:t xml:space="preserve">Effets indésirables : (1) </w:t>
      </w:r>
      <w:r>
        <w:rPr>
          <w:b/>
        </w:rPr>
        <w:t>Hyperstimulation utérine</w:t>
      </w:r>
      <w:r>
        <w:t xml:space="preserve"> (tachysystolie ≥ 5 contractions/10 min, hypertonus, contractions prolongées &gt; 2 min) — EI le plus redouté, peut induire souffrance fœtale aiguë, rupture utérine (sur utérus cicatriciel), hématome rétroplacentaire. Fréquence : 5-10 % selon dose et sensibilité utérine. (2) </w:t>
      </w:r>
      <w:r>
        <w:rPr>
          <w:b/>
        </w:rPr>
        <w:t>Hyponatrémie</w:t>
      </w:r>
      <w:r>
        <w:t xml:space="preserve"> (water intoxication) — rare mais grave : surcharge hydrique avec perfusion prolongée à forte dose (&gt; 20 mUI/min pendant &gt; 8 h) en soluté hypotonique (G5 %), confusion, convulsions, coma. À prévenir par utilisation de NaCl 0,9 % comme solvant et surveillance ionogramme. (3) </w:t>
      </w:r>
      <w:r>
        <w:rPr>
          <w:b/>
        </w:rPr>
        <w:t>Hypotension</w:t>
      </w:r>
      <w:r>
        <w:t xml:space="preserve"> transitoire (effet vasodilatateur à faible dose) ; (4) </w:t>
      </w:r>
      <w:r>
        <w:rPr>
          <w:b/>
        </w:rPr>
        <w:t>tachycardie réflexe</w:t>
      </w:r>
      <w:r>
        <w:t xml:space="preserve"> ; (5) </w:t>
      </w:r>
      <w:r>
        <w:rPr>
          <w:b/>
        </w:rPr>
        <w:t>rash cutané</w:t>
      </w:r>
      <w:r>
        <w:t xml:space="preserve">, prurit (hypersensibilité) ; (6) </w:t>
      </w:r>
      <w:r>
        <w:rPr>
          <w:b/>
        </w:rPr>
        <w:t>nausées</w:t>
      </w:r>
      <w:r>
        <w:t xml:space="preserve">, vomissements ; (7) </w:t>
      </w:r>
      <w:r>
        <w:rPr>
          <w:b/>
        </w:rPr>
        <w:t>rétention urinaire</w:t>
      </w:r>
      <w:r>
        <w:t xml:space="preserve"> (effet relaxant sur détrusor) ; (8) </w:t>
      </w:r>
      <w:r>
        <w:rPr>
          <w:b/>
        </w:rPr>
        <w:t>réaction anaphylactique</w:t>
      </w:r>
      <w:r>
        <w:t xml:space="preserve"> rare ; (9) </w:t>
      </w:r>
      <w:r>
        <w:rPr>
          <w:b/>
        </w:rPr>
        <w:t>effet anti-diurétique</w:t>
      </w:r>
      <w:r>
        <w:t xml:space="preserve"> (V2-like) à forte dose — surveiller diurèse. Chez le nouveau-né : hyperbilirubinémie (ictère) accrue en cas d'ocytocine prolongée (données anciennes, controversées).</w:t>
      </w:r>
    </w:p>
    <w:p>
      <w:r/>
      <w:r>
        <w:rPr>
          <w:b/>
        </w:rPr>
        <w:t>Prévention et Gestion des Effets Indésirables :</w:t>
      </w:r>
      <w:r/>
    </w:p>
    <w:p>
      <w:pPr>
        <w:pStyle w:val="ListBullet"/>
      </w:pPr>
      <w:r>
        <w:t xml:space="preserve">Mesures préventives : (1) Pose de deux voies veineuses périphériques (une pour l'ocytocine, une pour les autres traitements/éventuels remplissages) ; (2) monitoring cardiotocographique continu (tocographie externe + RCF) pendant toute la durée de perfusion et 30 min après l'arrêt ; (3) utilisation exclusive d'une </w:t>
      </w:r>
      <w:r>
        <w:rPr>
          <w:b/>
        </w:rPr>
        <w:t>pompe péristaltique</w:t>
      </w:r>
      <w:r>
        <w:t xml:space="preserve"> ou d'un </w:t>
      </w:r>
      <w:r>
        <w:rPr>
          <w:b/>
        </w:rPr>
        <w:t>pousse-seringue électrique</w:t>
      </w:r>
      <w:r>
        <w:t xml:space="preserve"> pour le contrôle strict du débit (jamais perfusion libre par gravité) ; (4) dilution standardisée : 5 UI dans 500 mL NaCl 0,9 % (concentration 10 mUI/mL), ou 10 UI dans 50 mL NaCl 0,9 % (concentration 200 mUI/mL) pour PSE ; (5) titration progressive à partir de 1-2 mUI/min, augmentation par paliers de 1-2 mUI/min toutes les 30 min selon réponse utérine et RCF, sans dépasser 20-30 mUI/min (selon protocoles locaux) ; (6) surveillance maternelle : pouls, TA, fréquence respiratoire, diurèse horaire, conscience (hyponatrémie) ; (7) vérification du délai ≥ 6 h depuis l'arrêt de toute prostaglandine ; (8) vérification préalable : présentation céphalique engagée, absence de disproportion fœto-pelvienne, état du col (Bishop), absence d'utérus cicatriciel contre-indiquant (selon cas) ; (9) information de la patiente sur la possibilité de devoir réduire ou arrêter en cas d'hyperstimulation.</w:t>
      </w:r>
    </w:p>
    <w:p>
      <w:pPr>
        <w:pStyle w:val="ListBullet"/>
      </w:pPr>
      <w:r>
        <w:t xml:space="preserve">Conduite à tenir : (1) </w:t>
      </w:r>
      <w:r>
        <w:rPr>
          <w:b/>
        </w:rPr>
        <w:t>Hyperstimulation utérine / tachysystolie</w:t>
      </w:r>
      <w:r>
        <w:t xml:space="preserve"> : arrêt IMMÉDIAT de la perfusion d'ocytocine, mise en décubitus latéral gauche, oxygénothérapie 6-8 L/min au masque, perfusion de remplissage (500 mL NaCl 0,9 %), surveillance CTG renforcée. En cas de persistance avec souffrance fœtale : tocolyse de sauvetage par nifédipine 20 mg per os ou sulfate de magnésium 4 g IV lente. Si échec → césarienne en urgence. (2) </w:t>
      </w:r>
      <w:r>
        <w:rPr>
          <w:b/>
        </w:rPr>
        <w:t>Hyponatrémie</w:t>
      </w:r>
      <w:r>
        <w:t xml:space="preserve"> : arrêt de la perfusion, restriction hydrique, surveillance ionogramme, correction prudente (NaCl 3 % hypertonique si hyponatrémie sévère &lt; 120 mmol/L avec signes neurologiques). (3) </w:t>
      </w:r>
      <w:r>
        <w:rPr>
          <w:b/>
        </w:rPr>
        <w:t>Hypotension</w:t>
      </w:r>
      <w:r>
        <w:t xml:space="preserve"> : ralentir le débit, remplissage vasculaire. (4) </w:t>
      </w:r>
      <w:r>
        <w:rPr>
          <w:b/>
        </w:rPr>
        <w:t>Réaction allergique</w:t>
      </w:r>
      <w:r>
        <w:t xml:space="preserve"> : arrêt immédiat, antihistaminique, corticoïde, adrénaline si anaphylaxie.</w:t>
      </w:r>
    </w:p>
    <w:p>
      <w:r/>
      <w:r>
        <w:rPr>
          <w:b/>
        </w:rPr>
        <w:t>Interactions Importantes :</w:t>
      </w:r>
      <w:r/>
    </w:p>
    <w:p>
      <w:pPr>
        <w:pStyle w:val="ListBullet"/>
      </w:pPr>
      <w:r>
        <w:t xml:space="preserve">Ocytocine + prostaglandines (dinoprostone Propess, misoprostol) : </w:t>
      </w:r>
      <w:r>
        <w:rPr>
          <w:b/>
        </w:rPr>
        <w:t>CI ABSOLUE</w:t>
      </w:r>
      <w:r>
        <w:t xml:space="preserve"> — risque majeur d'hyperstimulation utérine, de rupture utérine (notamment sur utérus cicatriciel), de souffrance fœtale aiguë. Respecter un délai minimum de 6 h après retrait d'un dispositif vaginal de dinoprostone (Propess) ou de 4 h après gel de dinoprostone, avant toute administration d'ocytocine. Le CNGOF et l'OMS recommandent un délai de 6 h minimum. À signaler sur les logiciels de prescription.</w:t>
      </w:r>
    </w:p>
    <w:p>
      <w:pPr>
        <w:pStyle w:val="ListBullet"/>
      </w:pPr>
      <w:r>
        <w:t>Ocytocine + anesthésie péridurale : potentialisation possible du risque d'hypotension (bêta-vasodilatation résiduelle). Surveillance TA renforcée, remplissage prophylactique avant pose de la péridurale.</w:t>
      </w:r>
    </w:p>
    <w:p>
      <w:pPr>
        <w:pStyle w:val="ListBullet"/>
      </w:pPr>
      <w:r>
        <w:t>Ocytocine + vasoconstricteurs (sympathomimétiques) : risque d'hypertension paradoxale sévère — à éviter.</w:t>
      </w:r>
    </w:p>
    <w:p>
      <w:pPr>
        <w:pStyle w:val="ListBullet"/>
      </w:pPr>
      <w:r>
        <w:t>Ocytocine + autres ocytociques (méthylergométrine, misoprostol) en post-partum : synergie pharmacodynamique (recherche d'hémostase utérine) — association licite dans le protocole d'hémorragie de la délivrance, sous surveillance.</w:t>
      </w:r>
    </w:p>
    <w:p>
      <w:pPr>
        <w:pStyle w:val="ListBullet"/>
      </w:pPr>
      <w:r>
        <w:t>Ocytocine + antihypertenseurs (labétalol, nicardipine) : surveillance TA (potentialisation hypotensive).</w:t>
      </w:r>
    </w:p>
    <w:p>
      <w:pPr>
        <w:pStyle w:val="ListBullet"/>
      </w:pPr>
      <w:r>
        <w:t>Ocytocine + diurétiques : risque majoré d'hyponatrémie (effet anti-diurétique V2-like + perte sodée) — surveillance ionogramme.</w:t>
      </w:r>
    </w:p>
    <w:p>
      <w:pPr>
        <w:pStyle w:val="ListBullet"/>
      </w:pPr>
      <w:r>
        <w:t>Ocytocine + lithium (rare en obstétrique) : potentialisation de l'effet anti-diurétique.</w:t>
      </w:r>
    </w:p>
    <w:p>
      <w:r/>
      <w:r>
        <w:rPr>
          <w:b/>
        </w:rPr>
        <w:t>Grossesse et Allaitement :</w:t>
      </w:r>
      <w:r/>
    </w:p>
    <w:p>
      <w:pPr>
        <w:pStyle w:val="ListBullet"/>
      </w:pPr>
      <w:r>
        <w:t xml:space="preserve">Grossesse : l'ocytocine est un médicament </w:t>
      </w:r>
      <w:r>
        <w:rPr>
          <w:b/>
        </w:rPr>
        <w:t>obstétrical strict</w:t>
      </w:r>
      <w:r>
        <w:t xml:space="preserve"> dont l'usage est limité au déclenchement et à la direction du travail, à l'hémostase post-partum et à la césarienne. Le CRAT classe l'ocytocine en « compatible » dans ces indications. L'ocytocine est en revanche </w:t>
      </w:r>
      <w:r>
        <w:rPr>
          <w:b/>
        </w:rPr>
        <w:t>formellement contre-indiquée</w:t>
      </w:r>
      <w:r>
        <w:t xml:space="preserve"> en dehors de ces contextes : pas d'usage au 1er, 2e trimestre ou début du 3e trimestre (risque d'avortement, de souffrance fœtale). En cas d'usage inapproprié en cours de grossesse à mener, risque d'avortement, de prématurité induite, de souffrance fœtale, voire de rupture utérine. Le passage transplacentaire est limité (poids moléculaire élevé, ocytocinases placentaires) — l'exposition fœtale directe est faible, mais les conséquences indirectes (hypoperfusion placentaire par hyperstimulation) sont majeures.</w:t>
      </w:r>
    </w:p>
    <w:p>
      <w:pPr>
        <w:pStyle w:val="ListBullet"/>
      </w:pPr>
      <w:r>
        <w:t xml:space="preserve">Allaitement : l'ocytocine passe dans le lait maternel mais est dégradée par les protéases digestives du nouveau-né — biodisponibilité orale nulle, pas d'effet systémique chez l'enfant allaité. L'allaitement est </w:t>
      </w:r>
      <w:r>
        <w:rPr>
          <w:b/>
        </w:rPr>
        <w:t>compatible</w:t>
      </w:r>
      <w:r>
        <w:t xml:space="preserve"> immédiatement après administration post-partum. L'ocytocine exogène participe même physiologiquement au réflexe d'éjection du lait.</w:t>
      </w:r>
    </w:p>
    <w:p>
      <w:pPr>
        <w:pStyle w:val="ListBullet"/>
      </w:pPr>
      <w:r>
        <w:t>Précisions : usage obstétrical exclusif, jamais en automédication, jamais en ambulatoire, jamais en dehors d'un environnement médicalisé (maternité équipée de CTG, salle de césarienne accessible).</w:t>
      </w:r>
    </w:p>
    <w:p>
      <w:r/>
      <w:r>
        <w:rPr>
          <w:b/>
        </w:rPr>
        <w:t>Posologie et Mode d'administration (Standard) :</w:t>
      </w:r>
      <w:r/>
    </w:p>
    <w:p>
      <w:pPr>
        <w:pStyle w:val="ListBullet"/>
      </w:pPr>
      <w:r>
        <w:t>Adulte — déclenchement/direction du travail :</w:t>
      </w:r>
    </w:p>
    <w:p>
      <w:pPr>
        <w:pStyle w:val="ListBullet"/>
      </w:pPr>
      <w:r/>
      <w:r>
        <w:rPr>
          <w:b/>
        </w:rPr>
        <w:t>Dilution standard</w:t>
      </w:r>
      <w:r>
        <w:t xml:space="preserve"> : 5 UI dans 500 mL NaCl 0,9 % (concentration 10 mUI/mL) ou 10 UI dans 50 mL NaCl 0,9 % (200 mUI/mL) pour PSE. Jamais en soluté glucosé (risque d'hyponatrémie).</w:t>
      </w:r>
    </w:p>
    <w:p>
      <w:pPr>
        <w:pStyle w:val="ListBullet"/>
      </w:pPr>
      <w:r/>
      <w:r>
        <w:rPr>
          <w:b/>
        </w:rPr>
        <w:t>Dose initiale</w:t>
      </w:r>
      <w:r>
        <w:t xml:space="preserve"> : 1-2 mUI/min IV (soit 6-12 mL/h de la solution à 10 mUI/mL, ou 0,3-0,6 mL/h de la solution à 200 mUI/mL).</w:t>
      </w:r>
    </w:p>
    <w:p>
      <w:pPr>
        <w:pStyle w:val="ListBullet"/>
      </w:pPr>
      <w:r/>
      <w:r>
        <w:rPr>
          <w:b/>
        </w:rPr>
        <w:t>Titration</w:t>
      </w:r>
      <w:r>
        <w:t xml:space="preserve"> : augmentation par paliers de 1-2 mUI/min toutes les 30 min selon réponse utérine et RCF, sans dépasser 20-30 mUI/min en déclenchement classique. Protocoles à plus haute dose (jusqu'à 40 mUI/min) parfois utilisés en post-terme — sous surveillance stricte.</w:t>
      </w:r>
    </w:p>
    <w:p>
      <w:pPr>
        <w:pStyle w:val="ListBullet"/>
      </w:pPr>
      <w:r/>
      <w:r>
        <w:rPr>
          <w:b/>
        </w:rPr>
        <w:t>Cible</w:t>
      </w:r>
      <w:r>
        <w:t xml:space="preserve"> : 3-5 contractions utérines par 10 min, modérées à fortes, sans décélération du RCF.</w:t>
      </w:r>
    </w:p>
    <w:p>
      <w:pPr>
        <w:pStyle w:val="ListBullet"/>
      </w:pPr>
      <w:r/>
      <w:r>
        <w:rPr>
          <w:b/>
        </w:rPr>
        <w:t>Dose totale maximale sur 24 h</w:t>
      </w:r>
      <w:r>
        <w:t xml:space="preserve"> : généralement ≤ 30 UI (certaines recommandations autorisent jusqu'à 40-50 UI en cas de direction prolongée).</w:t>
      </w:r>
    </w:p>
    <w:p>
      <w:pPr>
        <w:pStyle w:val="ListBullet"/>
      </w:pPr>
      <w:r>
        <w:t>Adulte — hémostase post-partum préventive :</w:t>
      </w:r>
    </w:p>
    <w:p>
      <w:pPr>
        <w:pStyle w:val="ListBullet"/>
      </w:pPr>
      <w:r/>
      <w:r>
        <w:rPr>
          <w:b/>
        </w:rPr>
        <w:t>10 UI IM</w:t>
      </w:r>
      <w:r>
        <w:t xml:space="preserve"> ou </w:t>
      </w:r>
      <w:r>
        <w:rPr>
          <w:b/>
        </w:rPr>
        <w:t>5-10 UI IV lente</w:t>
      </w:r>
      <w:r>
        <w:t xml:space="preserve"> (en 1 min) immédiatement après le dégagement de l'épaule antérieure en vaginal, ou après extraction fœtale en césarienne. Alternative : perfusion 10-20 UI dans 500 mL NaCl 0,9 % sur 30-60 min.</w:t>
      </w:r>
    </w:p>
    <w:p>
      <w:pPr>
        <w:pStyle w:val="ListBullet"/>
      </w:pPr>
      <w:r>
        <w:t>Adulte — hémorragie du post-partum (thérapeutique) :</w:t>
      </w:r>
    </w:p>
    <w:p>
      <w:pPr>
        <w:pStyle w:val="ListBullet"/>
      </w:pPr>
      <w:r/>
      <w:r>
        <w:rPr>
          <w:b/>
        </w:rPr>
        <w:t>5-10 UI IV lente</w:t>
      </w:r>
      <w:r>
        <w:t xml:space="preserve"> (en 1 min, à renouveler si nécessaire jusqu'à 30 UI), puis </w:t>
      </w:r>
      <w:r>
        <w:rPr>
          <w:b/>
        </w:rPr>
        <w:t>perfusion d'entretien 20-40 UI dans 1000 mL NaCl 0,9 % sur 4-8 h</w:t>
      </w:r>
      <w:r>
        <w:t xml:space="preserve"> (10-40 mUI/min) jusqu'à hémostase utérine stable. Si échec, relais par méthylergométrine IM, misoprostol rectal 600-1000 µg, et discussion acide tranexamique 1 g IV.</w:t>
      </w:r>
    </w:p>
    <w:p>
      <w:pPr>
        <w:pStyle w:val="ListBullet"/>
      </w:pPr>
      <w:r>
        <w:t>Sujet âgé : non applicable.</w:t>
      </w:r>
    </w:p>
    <w:p>
      <w:pPr>
        <w:pStyle w:val="ListBullet"/>
      </w:pPr>
      <w:r>
        <w:t>Durée : jusqu'à accouchement en déclenchement/direction ; 4-8 h en post-partum thérapeutique.</w:t>
      </w:r>
    </w:p>
    <w:p>
      <w:pPr>
        <w:pStyle w:val="ListBullet"/>
      </w:pPr>
      <w:r>
        <w:t>Moment de la prise : hospitalier strict, à toute heure selon urgences obstétricales.</w:t>
      </w:r>
    </w:p>
    <w:p>
      <w:r/>
      <w:r>
        <w:rPr>
          <w:b/>
        </w:rPr>
        <w:t>Arbitrage et Bénéfices des Formes Galéniques :</w:t>
      </w:r>
      <w:r/>
    </w:p>
    <w:p>
      <w:r>
        <w:t xml:space="preserve">L'ocytocine n'existe qu'en </w:t>
      </w:r>
      <w:r>
        <w:rPr>
          <w:b/>
        </w:rPr>
        <w:t>forme injectable</w:t>
      </w:r>
      <w:r>
        <w:t xml:space="preserve"> (solution IM/IV), ce qui correspond à sa nature peptidique (dégradation digestive) et à sa demi-vie courte (3-5 min) imposant une administration IV continue. Toutes les spécialités actives algériennes proposent une concentration standardisée à 5 UI/mL, à l'exception de Labroxin (5 UI/0,5 mL = 10 UI/mL) qui doit être impérativement diluée avant perfusion IV pour éviter les erreurs posologiques. L'IM est réservée à l'hémostase post-partum préventive (absorption plus lente, effet plus prolongé mais moins titrable). La voie sous-linguale ou nasale (spray, utilisé historiquement pour l'allaitement) n'est pas disponible en Algérie. L'avantage de l'ocytocine est sa titrabilité fine (effet quasi-immédiat à l'arrêt), son faible coût, sa disponibilité large. L'inconvénient majeur est le risque d'hyperstimulation — nécessitant monitoring CTG continu et environnement obstétrical expert.</w:t>
      </w:r>
    </w:p>
    <w:p>
      <w:r/>
      <w:r>
        <w:rPr>
          <w:b/>
        </w:rPr>
        <w:t>Instructions et Conseils au Patient :</w:t>
      </w:r>
      <w:r/>
    </w:p>
    <w:p>
      <w:pPr>
        <w:pStyle w:val="ListBullet"/>
      </w:pPr>
      <w:r>
        <w:t xml:space="preserve">Communication au comptoir : médicament à </w:t>
      </w:r>
      <w:r>
        <w:rPr>
          <w:b/>
        </w:rPr>
        <w:t>usage hospitalier obstétrical strict</w:t>
      </w:r>
      <w:r>
        <w:t xml:space="preserve"> — délivrance rare au comptoir (circuit maternité direct). En cas de demande d'information de la part de la patiente (souvent en post-partum) : expliquer le rôle de l'ocytocine (naturelle et exogène) dans le déclenchement du travail, dans la contraction utérine post-accouchement (hémostase), et dans l'allaitement (réflexe d'éjection du lait). Rassurer sur le caractère physiologique de cette hormone, mais insister sur la nécessité d'une administration médicale stricte (perfusion contrôlée) en raison du risque d'hyperstimulation et de souffrance fœtale en cas d'erreur de dose.</w:t>
      </w:r>
    </w:p>
    <w:p>
      <w:pPr>
        <w:pStyle w:val="ListBullet"/>
      </w:pPr>
      <w:r>
        <w:t>Mode d'utilisation pratique : strictement hospitalier, manipulation par le personnel soignant formé (sage-femme, obstétricien, anesthésiste). Administration via pousse-seringue électrique ou pompe péristaltique. Jamais en perfusion libre par gravité.</w:t>
      </w:r>
    </w:p>
    <w:p>
      <w:r/>
      <w:r>
        <w:rPr>
          <w:b/>
        </w:rPr>
        <w:t>Notes, Règles d'Or &amp; Pièges au Comptoir :</w:t>
      </w:r>
      <w:r/>
    </w:p>
    <w:p>
      <w:pPr>
        <w:pStyle w:val="ListBullet"/>
      </w:pPr>
      <w:r>
        <w:t xml:space="preserve">Piège classique : (1) </w:t>
      </w:r>
      <w:r>
        <w:rPr>
          <w:b/>
        </w:rPr>
        <w:t>Association avec prostaglandines</w:t>
      </w:r>
      <w:r>
        <w:t xml:space="preserve"> (dinoprostone, misoprostol) — CI absolue, respecter 6 h de délai après retrait du Propess. (2) </w:t>
      </w:r>
      <w:r>
        <w:rPr>
          <w:b/>
        </w:rPr>
        <w:t>Perfusion libre par gravité</w:t>
      </w:r>
      <w:r>
        <w:t xml:space="preserve"> — à proscrire absolument, utiliser PSE ou pompe péristaltique. (3) </w:t>
      </w:r>
      <w:r>
        <w:rPr>
          <w:b/>
        </w:rPr>
        <w:t>Dilution en soluté glucosé</w:t>
      </w:r>
      <w:r>
        <w:t xml:space="preserve"> — risque d'hyponatrémie (water intoxication), toujours utiliser NaCl 0,9 %. (4) </w:t>
      </w:r>
      <w:r>
        <w:rPr>
          <w:b/>
        </w:rPr>
        <w:t>Erreur de concentration avec Labroxin</w:t>
      </w:r>
      <w:r>
        <w:t xml:space="preserve"> (5 UI/0,5 mL = 10 UI/mL) — toujours diluer avant perfusion IV, vérifier la concentration sur l'étiquette. (5) </w:t>
      </w:r>
      <w:r>
        <w:rPr>
          <w:b/>
        </w:rPr>
        <w:t>Hyperstimulation non reconnue</w:t>
      </w:r>
      <w:r>
        <w:t xml:space="preserve"> — surveiller CTG, arrêt immédiat si tachysystolie ≥ 5/10 min, contractions &gt; 2 min, ou décélérations du RCF. (6) </w:t>
      </w:r>
      <w:r>
        <w:rPr>
          <w:b/>
        </w:rPr>
        <w:t>Administration en utérus cicatriciel</w:t>
      </w:r>
      <w:r>
        <w:t xml:space="preserve"> sans évaluation spécialisée — risque de rupture. (7) </w:t>
      </w:r>
      <w:r>
        <w:rPr>
          <w:b/>
        </w:rPr>
        <w:t>Posologie excessive en post-partum</w:t>
      </w:r>
      <w:r>
        <w:t xml:space="preserve"> (perfusions prolongées à forte dose) — risque d'hyponatrémie, de diurèse excessive paradoxalement diminuée (effet V2).</w:t>
      </w:r>
    </w:p>
    <w:p>
      <w:pPr>
        <w:pStyle w:val="ListBullet"/>
      </w:pPr>
      <w:r>
        <w:t>Règle de prise : titration stricte par PSE/pompe, surveillance CTG continue, dilution en NaCl 0,9 %, cible 3-5 contractions/10 min.</w:t>
      </w:r>
    </w:p>
    <w:p>
      <w:pPr>
        <w:pStyle w:val="ListBullet"/>
      </w:pPr>
      <w:r>
        <w:t>Préparation et Conservation : conservation entre 2°C et 8°C (au réfrigérateur) pour les spécialités non thermostables (vérifier RCP) ; certaines spécialités sont stables à température ambiante (15-25°C) jusqu'à 30 jours (vérifier notice). À l'abri de la lumière. Ne pas congeler. Après dilution dans NaCl 0,9 % : stabilité 24 h à température ambiante.</w:t>
      </w:r>
    </w:p>
    <w:p>
      <w:pPr>
        <w:pStyle w:val="ListBullet"/>
      </w:pPr>
      <w:r>
        <w:t>Piège du surdosage / Substitution : en cas de surdosage (hyperstimulation, hyponatrémie, hypotension) — arrêt IMMÉDIAT de la perfusion, surveillance CTG, traitement symptomatique (décubitus latéral gauche, O2, remplissage). En cas de souffrance fœtale persistante : tocolyse de sauvetage (nifédipine 20 mg per os, ou sulfate de magnésium 4 g IV lente). En cas d'hyponatrémie sévère (Na &lt; 120 mmol/L avec signes neurologiques) : restriction hydrique, NaCl 3 % hypertonique prudent sous surveillance spécialisée. En cas de substitution entre marques actives : bioéquivalence démontrée, substitution possible en vérifiant la concentration (Labroxin particulier).</w:t>
      </w:r>
    </w:p>
    <w:p>
      <w:pPr>
        <w:pStyle w:val="Heading2"/>
      </w:pPr>
      <w:r>
        <w:t>Sous-classe 4 — Obstétrique : Prostaglandines E2</w:t>
      </w:r>
    </w:p>
    <w:p>
      <w:pPr>
        <w:pStyle w:val="Heading3"/>
      </w:pPr>
      <w:r>
        <w:t>Positionnement pharmacologique</w:t>
      </w:r>
    </w:p>
    <w:p>
      <w:r>
        <w:t>Les prostaglandines E2 (PGE2), ou dinoprostone, sont des acides gras cycliques de la famille des eicosanoïdes, dérivés de l'acide arachidonique via la cyclooxygénase (COX-1 et COX-2). Produites physiologiquement par la décidue, les membranes fœtales et le col utérin en fin de grossesse, les PGE2 jouent un rôle pivot dans le déclenchement spontané du travail : elles induisent (1) la maturation cervicale (ramollissement, effacement, dilatation par activation des MMP — metalloproteinases — et dégradation du collagène) ; (2) la sensibilisation de l'myomètre à l'ocytocine (régulation positive des récepteurs OT-R) ; (3) l'initiation des contractions utérines (augmentation du Ca2+ intracellulaire via EP1/EP3).</w:t>
      </w:r>
    </w:p>
    <w:p>
      <w:r>
        <w:t xml:space="preserve">La dinoprostone exogène, commercialisée sous forme de gel vaginal (Prostin E2®, Prostine®) ou de dispositif vaginal à libération prolongée (Propess® Ferring 10 mg/24 h), est indiquée dans la </w:t>
      </w:r>
      <w:r>
        <w:rPr>
          <w:b/>
        </w:rPr>
        <w:t>maturation cervicale</w:t>
      </w:r>
      <w:r>
        <w:t xml:space="preserve"> chez les femmes à terme (≥ 37 SA) nécessitant un déclenchement du travail pour indication médicale, lorsque le col est défavorable (Bishop &lt; 6). Elle précède généralement l'administration d'ocytocine, qui sera initiée après retrait du dispositif et un délai minimal de 30 minutes. La forme Propess®, recommandée par le CNGOF 2017 et la HAS 2023, présente l'avantage d'une libération continue à 0,3 mg/h sur 24 heures, d'un retrait facile en cas d'hyperstimulation, et d'une surveillance standardisée.</w:t>
      </w:r>
    </w:p>
    <w:p>
      <w:r>
        <w:t>Le profil de tolérance est dominé par le risque d'</w:t>
      </w:r>
      <w:r>
        <w:rPr>
          <w:b/>
        </w:rPr>
        <w:t>hyperstimulation utérine</w:t>
      </w:r>
      <w:r>
        <w:t xml:space="preserve"> (5-10 % des cas), pouvant induire souffrance fœtale aiguë, hématome rétroplacentaire, voire rupture utérine sur utérus cicatriciel. Les contre-indications absolues incluent : (1) antécédent de césarienne ou d'hystérotomie (risque de rupture utérine) ; (2) souffrance fœtale aiguë ; (3) saignement vaginal actif ; (4) contre-indication à l'accouchement par voie basse (bassin rétréci, présentation anormale) ; (5) hypersensibilité aux prostaglandines ; (6) association à l'ocytocine (CI absolue). En Algérie, la dinoprostone est disponible sous une seule marque active : Propess® (Ferring GmbH), dispositif vaginal à 10 mg libérant 0,3 mg/h sur 24 heures maximum, en boîte de 5 dispositifs.</w:t>
      </w:r>
    </w:p>
    <w:p>
      <w:pPr>
        <w:pStyle w:val="Heading3"/>
      </w:pPr>
      <w:r>
        <w:t>4. DCI : Dinoprostone — Prostaglandines E2 (Seule)</w:t>
      </w:r>
    </w:p>
    <w:p>
      <w:r/>
      <w:r>
        <w:rPr>
          <w:b/>
        </w:rPr>
        <w:t>Liste des Catégories :</w:t>
      </w:r>
      <w:r>
        <w:t xml:space="preserve"> Obstétrique — Prostaglandines E2 ; Médicaments de maturation cervicale et déclenchement du travail ; Liste I ; usage hospitalier strict.</w:t>
      </w:r>
    </w:p>
    <w:p>
      <w:r>
        <w:t xml:space="preserve">La dinoprostone (PGE2) est une prostaglandine naturelle de la série E, acide gras cyclique de formule C20H32O5, dérivé de l'acide arachidonique. Commercialisée en Algérie sous une seule spécialité active — Propess® (Ferring GmbH) — sous forme de dispositif vaginal à libération contrôlée (10 mg libérant ~ 0,3 mg/h pendant 24 heures maximum), la dinoprostone est le médicament de référence pour la </w:t>
      </w:r>
      <w:r>
        <w:rPr>
          <w:b/>
        </w:rPr>
        <w:t>maturation cervicale</w:t>
      </w:r>
      <w:r>
        <w:t xml:space="preserve"> en cas de col défavorable (Bishop &lt; 6) chez les femmes à terme nécessitant un déclenchement du travail pour indication médicale. La biodisponibilité locale (voie vaginale) est élevée, avec absorption systémique minimale, réduisant les effets indésirables généraux. Le pic plasmatique est atteint en 1-2 heures après insertion, et la concentration reste stable pendant 24 heures. Le métabolisme est principalement pulmonaire et hépatique (oxydation des fonctions alcool et réduction de la double liaison), avec une demi-vie d'élimination de 1-3 minutes après absorption systémique. La surveillance repose sur le monitoring cardiotocographique continu pendant les 30 minutes suivant la pose, puis toutes les heures, et la surveillance de la contractilité utérine. Le dispositif doit être retiré immédiatement en cas d'hyperstimulation, de souffrance fœtale, de fièvre maternelle, ou au plus tard à 24 heures.</w:t>
      </w:r>
    </w:p>
    <w:p>
      <w:r/>
      <w:r>
        <w:rPr>
          <w:b/>
        </w:rPr>
        <w:t>Médicaments disponibles en Algérie (Marques, Laboratoires, Formes et Dosages) :</w:t>
      </w:r>
      <w:r/>
    </w:p>
    <w:p>
      <w:pPr>
        <w:pStyle w:val="ListBullet"/>
      </w:pPr>
      <w:r/>
      <w:r>
        <w:rPr>
          <w:b/>
        </w:rPr>
        <w:t>PROPESS</w:t>
      </w:r>
      <w:r>
        <w:t xml:space="preserve"> (FERRING GMBH)</w:t>
      </w:r>
    </w:p>
    <w:p>
      <w:pPr>
        <w:pStyle w:val="ListBullet"/>
      </w:pPr>
      <w:r>
        <w:t>Formes et Dosages : Système d'administration vaginale 10 mg — Boîte de 5 systèmes de diffusion vaginale</w:t>
      </w:r>
    </w:p>
    <w:p>
      <w:pPr>
        <w:pStyle w:val="ListBullet"/>
      </w:pPr>
      <w:r>
        <w:t>Statut : Actif (Liste I)</w:t>
      </w:r>
    </w:p>
    <w:p>
      <w:r/>
      <w:r>
        <w:rPr>
          <w:i/>
        </w:rPr>
        <w:t>Remarque nomenclature :</w:t>
      </w:r>
      <w:r>
        <w:t xml:space="preserve"> la dinoprostone est disponible en Algérie </w:t>
      </w:r>
      <w:r>
        <w:rPr>
          <w:b/>
        </w:rPr>
        <w:t>exclusivement</w:t>
      </w:r>
      <w:r>
        <w:t xml:space="preserve"> sous la forme Propess® (dispositif vaginal à libération prolongée). Les formes alternatives historiques (gel vaginal Prostin E2® à 1 et 2 mg, Prostine®) ne sont pas commercialisées en Algérie à la date d'Avril 2026. Cette unicité de présentation impose un protocole de déclenchement standardisé reposant sur le dispositif Propess®.</w:t>
      </w:r>
    </w:p>
    <w:p>
      <w:r/>
      <w:r>
        <w:rPr>
          <w:b/>
        </w:rPr>
        <w:t>Sous-classe et Mécanisme d'action :</w:t>
      </w:r>
      <w:r/>
    </w:p>
    <w:p>
      <w:pPr>
        <w:pStyle w:val="ListBullet"/>
      </w:pPr>
      <w:r>
        <w:t>Sous-classe : Obstétrique — Prostaglandines E2. Unique représentant commercialisé en Algérie : dinoprostone (Propess®). Classe positionnée comme traitement de première intention de la maturation cervicale en cas de col défavorable (Bishop &lt; 6) avant déclenchement par ocytocine. Recommandation CNGOF 2017 et HAS 2023 : première intention pour maturation cervicale à terme.</w:t>
      </w:r>
    </w:p>
    <w:p>
      <w:pPr>
        <w:pStyle w:val="ListBullet"/>
      </w:pPr>
      <w:r>
        <w:t xml:space="preserve">Mécanisme d'action : la dinoprostone est un agoniste des récepteurs EP1, EP2, EP3 et EP4 (récepteurs à 7 domaines transmembranaires couplés aux protéines G) des prostaglandines E2, exprimés au niveau du col utérin, de l'endomètre, de la décidue et du myomètre. Les effets principaux sont : (1) </w:t>
      </w:r>
      <w:r>
        <w:rPr>
          <w:b/>
        </w:rPr>
        <w:t>Maturation cervicale</w:t>
      </w:r>
      <w:r>
        <w:t xml:space="preserve"> : via EP1/Gq → PLC → IP3 + DAG → Ca2+ → activation des métalloprotéinases (MMP-1, MMP-2, MMP-9) → dégradation du collagène cervical, augmentation de la teneur en eau et en acide hyaluronique → ramollissement, effacement, dilatation du col (effet physiologique reproduisant la maturation spontanée pré-travail). (2) </w:t>
      </w:r>
      <w:r>
        <w:rPr>
          <w:b/>
        </w:rPr>
        <w:t>Sensibilisation utérine à l'ocytocine</w:t>
      </w:r>
      <w:r>
        <w:t xml:space="preserve"> : via EP3/Gi → baisse de l'AMPc → augmentation de la transcription des récepteurs OT-R au myomètre, potentialisation de l'effet ocytocique. (3) </w:t>
      </w:r>
      <w:r>
        <w:rPr>
          <w:b/>
        </w:rPr>
        <w:t>Contractions utérines directes</w:t>
      </w:r>
      <w:r>
        <w:t xml:space="preserve"> : via EP1/Gq → PLC → IP3 → libération du Ca2+ intracellulaire → contraction des cellules musculaires lisses utérines (effet direct additif à l'ocytocine). (4) </w:t>
      </w:r>
      <w:r>
        <w:rPr>
          <w:b/>
        </w:rPr>
        <w:t>Vasodilatation</w:t>
      </w:r>
      <w:r>
        <w:t xml:space="preserve"> via EP2/EP4/Gs → AMPc ↑ → vasodilatation utérine (favorise la perfusion fœtale). Les PGE2 stimulent également la production locale d'ocytocine par la décidue (effet paracrine), créant une boucle amplificatrice locale. La sélectivité de la voie vaginale permet une concentration locale élevée (col + myomètre) avec passage systémique minimal, réduisant les EI généraux (fièvre, nausées) par rapport à la voie IV historique (aujourd'hui abandonnée).</w:t>
      </w:r>
    </w:p>
    <w:p>
      <w:r/>
      <w:r>
        <w:rPr>
          <w:b/>
        </w:rPr>
        <w:t>Profil Pharmacologique :</w:t>
      </w:r>
      <w:r/>
    </w:p>
    <w:p>
      <w:pPr>
        <w:pStyle w:val="ListBullet"/>
      </w:pPr>
      <w:r>
        <w:t xml:space="preserve">Indications : (1) </w:t>
      </w:r>
      <w:r>
        <w:rPr>
          <w:b/>
        </w:rPr>
        <w:t>Maturation cervicale</w:t>
      </w:r>
      <w:r>
        <w:t xml:space="preserve"> chez la femme enceinte à terme (≥ 37 SA) présentant un col défavorable (score de Bishop ≤ 6) nécessitant un déclenchement du travail pour indication médicale : terme dépassé (≥ 41 SA), rupture prématurée des membranes à terme sans travail spontané, diabète gestationnel déséquilibré, prééclampsie, RCIU, oligoamnios, mort fœtale in utero. Le déclenchement est habituellement initié 12-24 h après retrait du Propess. (2) En cas d'échec de maturation (col restant défavorable après 24 h de Propess) : discussion d'un second dispositif (rare), ou césarienne selon contexte.</w:t>
      </w:r>
    </w:p>
    <w:p>
      <w:pPr>
        <w:pStyle w:val="ListBullet"/>
      </w:pPr>
      <w:r>
        <w:t xml:space="preserve">Contre-indications : (1) </w:t>
      </w:r>
      <w:r>
        <w:rPr>
          <w:b/>
        </w:rPr>
        <w:t>Antécédent de césarienne ou d'hystérotomie</w:t>
      </w:r>
      <w:r>
        <w:t xml:space="preserve"> (myomectomie transfixiante, perforation utérine, résection transfixiante de cloison) — CI absolue (risque de rupture utérine × 3-5). (2) </w:t>
      </w:r>
      <w:r>
        <w:rPr>
          <w:b/>
        </w:rPr>
        <w:t>Souffrance fœtale aiguë</w:t>
      </w:r>
      <w:r>
        <w:t xml:space="preserve"> (bradycardie, RCF anormal) — nécessite extraction en urgence. (3) </w:t>
      </w:r>
      <w:r>
        <w:rPr>
          <w:b/>
        </w:rPr>
        <w:t>Saignement vaginal actif</w:t>
      </w:r>
      <w:r>
        <w:t xml:space="preserve"> (pathologique — hors faible saignement post-contractions). (4) </w:t>
      </w:r>
      <w:r>
        <w:rPr>
          <w:b/>
        </w:rPr>
        <w:t>Contre-indication à l'accouchement par voie basse</w:t>
      </w:r>
      <w:r>
        <w:t xml:space="preserve"> : disproportion fœto-pelvienne, présentation anormale non corrigeable (siège, transverse), placenta praevia, herpes génital actif, prolapsus funiculaire. (5) </w:t>
      </w:r>
      <w:r>
        <w:rPr>
          <w:b/>
        </w:rPr>
        <w:t>Hypersensibilité</w:t>
      </w:r>
      <w:r>
        <w:t xml:space="preserve"> à la dinoprostone ou aux excipients. (6) </w:t>
      </w:r>
      <w:r>
        <w:rPr>
          <w:b/>
        </w:rPr>
        <w:t>Grossesse multiple</w:t>
      </w:r>
      <w:r>
        <w:t xml:space="preserve"> — CI relative selon les centres (risque d'hyperstimulation majoré). (7) </w:t>
      </w:r>
      <w:r>
        <w:rPr>
          <w:b/>
        </w:rPr>
        <w:t>Hyperstimulation utérine ou hypersensibilité utérine</w:t>
      </w:r>
      <w:r>
        <w:t xml:space="preserve"> connue. (8) </w:t>
      </w:r>
      <w:r>
        <w:rPr>
          <w:b/>
        </w:rPr>
        <w:t>Antécédent d'asthme</w:t>
      </w:r>
      <w:r>
        <w:t xml:space="preserve"> sévère non contrôlé (prostaglandines = bronchoconstricteurs potentiels — CI relative). (9) </w:t>
      </w:r>
      <w:r>
        <w:rPr>
          <w:b/>
        </w:rPr>
        <w:t>Association à l'ocytocine</w:t>
      </w:r>
      <w:r>
        <w:t xml:space="preserve"> (CI absolue — délai 30 min après retrait du Propess). (10) </w:t>
      </w:r>
      <w:r>
        <w:rPr>
          <w:b/>
        </w:rPr>
        <w:t>Glaucome</w:t>
      </w:r>
      <w:r>
        <w:t xml:space="preserve"> (CI relative — effet atropinique-like des PGE).</w:t>
      </w:r>
    </w:p>
    <w:p>
      <w:pPr>
        <w:pStyle w:val="ListBullet"/>
      </w:pPr>
      <w:r>
        <w:t xml:space="preserve">Effets indésirables : (1) </w:t>
      </w:r>
      <w:r>
        <w:rPr>
          <w:b/>
        </w:rPr>
        <w:t>Hyperstimulation utérine / tachysystolie</w:t>
      </w:r>
      <w:r>
        <w:t xml:space="preserve"> (5-10 %) — contractions ≥ 5/10 min, hypertonus, contractions prolongées &gt; 2 min → souffrance fœtale, rupture utérine (sur utérus cicatriciel — CI). (2) </w:t>
      </w:r>
      <w:r>
        <w:rPr>
          <w:b/>
        </w:rPr>
        <w:t>Fièvre</w:t>
      </w:r>
      <w:r>
        <w:t xml:space="preserve"> maternelle transitoire (effet pyrogène central des PGE2, fréquent 10-15 %, à différencier d'une chorioamniotite — surveillance associée). (3) </w:t>
      </w:r>
      <w:r>
        <w:rPr>
          <w:b/>
        </w:rPr>
        <w:t>Nausées, vomissements, diarrhée</w:t>
      </w:r>
      <w:r>
        <w:t xml:space="preserve"> (effet PGE sur muscle lisse digestif, 5-10 %). (4) </w:t>
      </w:r>
      <w:r>
        <w:rPr>
          <w:b/>
        </w:rPr>
        <w:t>Céphalées</w:t>
      </w:r>
      <w:r>
        <w:t xml:space="preserve">, flush (vasodilatation). (5) </w:t>
      </w:r>
      <w:r>
        <w:rPr>
          <w:b/>
        </w:rPr>
        <w:t>Tremblements, frissons</w:t>
      </w:r>
      <w:r>
        <w:t xml:space="preserve"> (transitoires). (6) </w:t>
      </w:r>
      <w:r>
        <w:rPr>
          <w:b/>
        </w:rPr>
        <w:t>Hypotension</w:t>
      </w:r>
      <w:r>
        <w:t xml:space="preserve"> transitoire. (7) </w:t>
      </w:r>
      <w:r>
        <w:rPr>
          <w:b/>
        </w:rPr>
        <w:t>Réactions locales</w:t>
      </w:r>
      <w:r>
        <w:t xml:space="preserve"> vaginales : irritation, prurit, leucorrhée. (8) </w:t>
      </w:r>
      <w:r>
        <w:rPr>
          <w:b/>
        </w:rPr>
        <w:t>Réaction allergique</w:t>
      </w:r>
      <w:r>
        <w:t xml:space="preserve"> rare. (9) </w:t>
      </w:r>
      <w:r>
        <w:rPr>
          <w:b/>
        </w:rPr>
        <w:t>Hémorragie post-partum</w:t>
      </w:r>
      <w:r>
        <w:t xml:space="preserve"> (légère augmentation du risque en cas de déclenchement par PGE2 — surveillance). Chez le fœtus : risque de souffrance fœtale aiguë en cas d'hyperstimulation.</w:t>
      </w:r>
    </w:p>
    <w:p>
      <w:r/>
      <w:r>
        <w:rPr>
          <w:b/>
        </w:rPr>
        <w:t>Prévention et Gestion des Effets Indésirables :</w:t>
      </w:r>
      <w:r/>
    </w:p>
    <w:p>
      <w:pPr>
        <w:pStyle w:val="ListBullet"/>
      </w:pPr>
      <w:r>
        <w:t>Mesures préventives : (1) Vérification des CI avant pose (antécédents de césarienne, présentation, état du col, évaluation Bishop) ; (2) monitoring cardiotocographique continu pendant les 30 premières minutes après pose, puis surveillance horaire de la contractilité utérine ; (3) pose du dispositif par un opérateur expérimenté (sage-femme ou obstétricien) en position gynécologique, après désinfection périnéale sommaire (sans lavage vaginal) ; (4) information de la patiente sur le déroulement, les signes d'alerte (douleur intense, saignement, fièvre), la nécessité de rester en surveillance hospitalière ; (5) environnement avec accès immédiat à une salle de césarienne en urgence ; (6) hydratation orale ou IV modérée ; (7) antibioprophylaxie si RPM associée (selon protocole local — amoxicilline) ; (8) vérification de la vacuité utérine (pas de dispositif oublié en cas de retrait).</w:t>
      </w:r>
    </w:p>
    <w:p>
      <w:pPr>
        <w:pStyle w:val="ListBullet"/>
      </w:pPr>
      <w:r>
        <w:t xml:space="preserve">Conduite à tenir : (1) </w:t>
      </w:r>
      <w:r>
        <w:rPr>
          <w:b/>
        </w:rPr>
        <w:t>Hyperstimulation utérine</w:t>
      </w:r>
      <w:r>
        <w:t xml:space="preserve"> : retrait IMMÉDIAT du dispositif Propess (tirer délicatement sur le cordon récupérateur), surveillance CTG continue, décubitus latéral gauche, oxygénothérapie 6-8 L/min, perfusion de remplissage 500 mL NaCl 0,9 %. La demi-vie courte de la dinoprostone (1-3 min après absorption systémique) permet généralement une décroissance rapide des contractions après retrait. En cas de persistance avec souffrance fœtale : tocolyse de sauvetage (nifédipine 20 mg per os, ou sulfate de magnésium 4 g IV lente, ou atosiban bolus 6,75 mg IV). Césarienne en urgence si échec. (2) </w:t>
      </w:r>
      <w:r>
        <w:rPr>
          <w:b/>
        </w:rPr>
        <w:t>Fièvre</w:t>
      </w:r>
      <w:r>
        <w:t xml:space="preserve"> : surveiller, rechercher chorioamniotite (NFS, CRP, hémocultures), paracétamol 1 g. (3) </w:t>
      </w:r>
      <w:r>
        <w:rPr>
          <w:b/>
        </w:rPr>
        <w:t>Réaction allergique</w:t>
      </w:r>
      <w:r>
        <w:t xml:space="preserve"> : retrait du dispositif, antihistaminique, corticoïde. (4) </w:t>
      </w:r>
      <w:r>
        <w:rPr>
          <w:b/>
        </w:rPr>
        <w:t>Échec de maturation à 24 h</w:t>
      </w:r>
      <w:r>
        <w:t xml:space="preserve"> : retrait, discussion césarienne ou protocole alternatif. Ne jamais associer à l'ocytocine en relais immédiat — respecter un délai ≥ 30 min après retrait du Propess.</w:t>
      </w:r>
    </w:p>
    <w:p>
      <w:r/>
      <w:r>
        <w:rPr>
          <w:b/>
        </w:rPr>
        <w:t>Interactions Importantes :</w:t>
      </w:r>
      <w:r/>
    </w:p>
    <w:p>
      <w:pPr>
        <w:pStyle w:val="ListBullet"/>
      </w:pPr>
      <w:r>
        <w:t xml:space="preserve">Dinoprostone + ocytocine : </w:t>
      </w:r>
      <w:r>
        <w:rPr>
          <w:b/>
        </w:rPr>
        <w:t>CI ABSOLUE</w:t>
      </w:r>
      <w:r>
        <w:t xml:space="preserve"> — respecter un délai minimum de 30 minutes après retrait du Propess avant toute administration d'ocytocine (et idéalement 6 h pour les protocoles les plus prudents). Risque majeur d'hyperstimulation utérine, de rupture utérine, de souffrance fœtale.</w:t>
      </w:r>
    </w:p>
    <w:p>
      <w:pPr>
        <w:pStyle w:val="ListBullet"/>
      </w:pPr>
      <w:r>
        <w:t xml:space="preserve">Dinoprostone + autres prostaglandines (misoprostol) : </w:t>
      </w:r>
      <w:r>
        <w:rPr>
          <w:b/>
        </w:rPr>
        <w:t>CI absolue</w:t>
      </w:r>
      <w:r>
        <w:t xml:space="preserve"> — association inappropriée, risque d'hyperstimulation sévère.</w:t>
      </w:r>
    </w:p>
    <w:p>
      <w:pPr>
        <w:pStyle w:val="ListBullet"/>
      </w:pPr>
      <w:r>
        <w:t>Dinoprostone + AINS (aspirine, ibuprofène, indométacine) : inhibition pharmacodynamique — baisse d'efficacité de la dinoprostone (les AINS bloquent la COX et donc la production endogène de PGE ; pas d'interaction pharmacocinétique directe mais antagonisme fonctionnel). À éviter en période de déclenchement.</w:t>
      </w:r>
    </w:p>
    <w:p>
      <w:pPr>
        <w:pStyle w:val="ListBullet"/>
      </w:pPr>
      <w:r>
        <w:t>Dinoprostone + tocolytiques (atosiban, nifédipine) : antagonisme pharmacodynamique attendu — utilisation possible en cas d'hyperstimulation induite par la dinoprostone (tocolyse de sauvetage).</w:t>
      </w:r>
    </w:p>
    <w:p>
      <w:pPr>
        <w:pStyle w:val="ListBullet"/>
      </w:pPr>
      <w:r>
        <w:t>Dinoprostone + oxydes nitriques (trinitrine) : potentialisation hypotensive — surveillance TA.</w:t>
      </w:r>
    </w:p>
    <w:p>
      <w:pPr>
        <w:pStyle w:val="ListBullet"/>
      </w:pPr>
      <w:r>
        <w:t>Dinoprostone + antihypertenseurs : surveillance TA (potentialisation possible).</w:t>
      </w:r>
    </w:p>
    <w:p>
      <w:r/>
      <w:r>
        <w:rPr>
          <w:b/>
        </w:rPr>
        <w:t>Grossesse et Allaitement :</w:t>
      </w:r>
      <w:r/>
    </w:p>
    <w:p>
      <w:pPr>
        <w:pStyle w:val="ListBullet"/>
      </w:pPr>
      <w:r>
        <w:t xml:space="preserve">Grossesse : la dinoprostone est un médicament </w:t>
      </w:r>
      <w:r>
        <w:rPr>
          <w:b/>
        </w:rPr>
        <w:t>obstétrical strict</w:t>
      </w:r>
      <w:r>
        <w:t xml:space="preserve"> réservé à la maturation cervicale en vue d'un déclenchement à terme (≥ 37 SA). Le CRAT classe la dinoprostone en « compatible » dans son indication. La dinoprostone est </w:t>
      </w:r>
      <w:r>
        <w:rPr>
          <w:b/>
        </w:rPr>
        <w:t>strictement contre-indiquée avant 37 SA</w:t>
      </w:r>
      <w:r>
        <w:t xml:space="preserve"> hors protocoles très spécifiques (IMG, mort fœtale in utero). À éviter au 1er et 2e trimestre (risque d'avortement, de souffrance fœtale). Le passage transplacentaire est limité mais le retentissement fœtal indirect (hyperstimulation, hypoperfusion placentaire) peut être majeur. En cas de décès fœtal in utero, la dinoprostone peut être utilisée pour déclenchement (à doses adaptées, parfois supérieures).</w:t>
      </w:r>
    </w:p>
    <w:p>
      <w:pPr>
        <w:pStyle w:val="ListBullet"/>
      </w:pPr>
      <w:r>
        <w:t xml:space="preserve">Allaitement : la dinoprostone passe faiblement dans le lait maternel, avec une demi-vie très courte (1-3 min) — pas d'effet systémique significatif chez le nouveau-né. L'allaitement est </w:t>
      </w:r>
      <w:r>
        <w:rPr>
          <w:b/>
        </w:rPr>
        <w:t>compatible</w:t>
      </w:r>
      <w:r>
        <w:t xml:space="preserve"> immédiatement après l'accouchement. La dinoprostone exogène ne perturbe pas le réflexe d'éjection du lait (qui dépend de l'ocytocine).</w:t>
      </w:r>
    </w:p>
    <w:p>
      <w:pPr>
        <w:pStyle w:val="ListBullet"/>
      </w:pPr>
      <w:r>
        <w:t>Précisions : usage obstétrical exclusif, jamais en automédication, jamais en ambulatoire. Prescription et pose réservées à l'obstétricien et à la sage-femme en maternité.</w:t>
      </w:r>
    </w:p>
    <w:p>
      <w:r/>
      <w:r>
        <w:rPr>
          <w:b/>
        </w:rPr>
        <w:t>Posologie et Mode d'administration (Standard) :</w:t>
      </w:r>
      <w:r/>
    </w:p>
    <w:p>
      <w:pPr>
        <w:pStyle w:val="ListBullet"/>
      </w:pPr>
      <w:r>
        <w:t>Adulte — Propess® dispositif vaginal à libération prolongée :</w:t>
      </w:r>
    </w:p>
    <w:p>
      <w:pPr>
        <w:pStyle w:val="ListBullet"/>
      </w:pPr>
      <w:r/>
      <w:r>
        <w:rPr>
          <w:b/>
        </w:rPr>
        <w:t>Dose unique</w:t>
      </w:r>
      <w:r>
        <w:t xml:space="preserve"> : 1 dispositif Propess® (10 mg) inséré dans le fornix vaginal postérieur, en position gynécologique, après désinfection périnéale sommaire.</w:t>
      </w:r>
    </w:p>
    <w:p>
      <w:pPr>
        <w:pStyle w:val="ListBullet"/>
      </w:pPr>
      <w:r/>
      <w:r>
        <w:rPr>
          <w:b/>
        </w:rPr>
        <w:t>Libération</w:t>
      </w:r>
      <w:r>
        <w:t xml:space="preserve"> : 0,3 mg/h pendant 24 heures maximum.</w:t>
      </w:r>
    </w:p>
    <w:p>
      <w:pPr>
        <w:pStyle w:val="ListBullet"/>
      </w:pPr>
      <w:r/>
      <w:r>
        <w:rPr>
          <w:b/>
        </w:rPr>
        <w:t>Retrait</w:t>
      </w:r>
      <w:r>
        <w:t xml:space="preserve"> : (a) à 24 heures maximum après la pose si le travail n'a pas commencé ; (b) immédiatement en cas de début de travail actif (cervical dilaté à 4-5 cm) ; (c) immédiatement en cas d'hyperstimulation utérine (tachysystolie, contractions &gt; 2 min, hypertonus) ; (d) immédiatement en cas de souffrance fœtale (bradycardie, décélérations tardives) ; (e) immédiatement en cas de fièvre maternelle ≥ 38°C, de nausées/vomissements sévères, de malaise, d'hypotension.</w:t>
      </w:r>
    </w:p>
    <w:p>
      <w:pPr>
        <w:pStyle w:val="ListBullet"/>
      </w:pPr>
      <w:r/>
      <w:r>
        <w:rPr>
          <w:b/>
        </w:rPr>
        <w:t>Relais par ocytocine</w:t>
      </w:r>
      <w:r>
        <w:t xml:space="preserve"> : attendre au minimum 30 min après le retrait du Propess avant de débuter une perfusion d'ocytocine (et idéalement 6 h selon les protocoles les plus prudents).</w:t>
      </w:r>
    </w:p>
    <w:p>
      <w:pPr>
        <w:pStyle w:val="ListBullet"/>
      </w:pPr>
      <w:r/>
      <w:r>
        <w:rPr>
          <w:b/>
        </w:rPr>
        <w:t>Max</w:t>
      </w:r>
      <w:r>
        <w:t xml:space="preserve"> : 1 dispositif par patiente (1 cycle de 24 h). Ne pas reposer un second dispositif en cas d'échec (risque d'hyperstimulation).</w:t>
      </w:r>
    </w:p>
    <w:p>
      <w:pPr>
        <w:pStyle w:val="ListBullet"/>
      </w:pPr>
      <w:r>
        <w:t>Sujet âgé : non applicable.</w:t>
      </w:r>
    </w:p>
    <w:p>
      <w:pPr>
        <w:pStyle w:val="ListBullet"/>
      </w:pPr>
      <w:r>
        <w:t>Durée : 24 heures maximum par dispositif, retrait immédiat en cas d'événement indésirable.</w:t>
      </w:r>
    </w:p>
    <w:p>
      <w:pPr>
        <w:pStyle w:val="ListBullet"/>
      </w:pPr>
      <w:r>
        <w:t>Moment de la prise : hospitalier strict (maternité de niveau adapté), à toute heure selon les indications obstétricales.</w:t>
      </w:r>
    </w:p>
    <w:p>
      <w:r/>
      <w:r>
        <w:rPr>
          <w:b/>
        </w:rPr>
        <w:t>Arbitrage et Bénéfices des Formes Galéniques :</w:t>
      </w:r>
      <w:r/>
    </w:p>
    <w:p>
      <w:r>
        <w:t xml:space="preserve">La dinoprostone est disponible en Algérie uniquement sous la forme </w:t>
      </w:r>
      <w:r>
        <w:rPr>
          <w:b/>
        </w:rPr>
        <w:t>dispositif vaginal à libération prolongée (Propess® 10 mg/24 h)</w:t>
      </w:r>
      <w:r>
        <w:t>. Cette forme galénique présente plusieurs avantages majeurs : (1) libération continue et stable à 0,3 mg/h, garantissant une maturation progressive sans pics systémiques ; (2) retrait facile et immédiat en cas d'hyperstimulation, de souffrance fœtale ou d'efficacité atteinte, grâce au cordon récupérateur ; (3) administration unique (pas de ré-administration comme pour les gels) ; (4) confort maternel (dispositif intra-vaginal non感知, déambulation possible selon protocoles). Comparativement aux gels vaginaux (Prostin E2® 1-2 mg, non disponibles en Algérie) qui nécessitent une ré-administration toutes les 6 h et dont le retrait est plus difficile en cas d'urgence, le Propess® offre une meilleure maîtrise du traitement et une sécurité accrue. Le coût plus élevé est compensé par la simplicité d'usage.</w:t>
      </w:r>
    </w:p>
    <w:p>
      <w:r/>
      <w:r>
        <w:rPr>
          <w:b/>
        </w:rPr>
        <w:t>Instructions et Conseils au Patient :</w:t>
      </w:r>
      <w:r/>
    </w:p>
    <w:p>
      <w:pPr>
        <w:pStyle w:val="ListBullet"/>
      </w:pPr>
      <w:r>
        <w:t xml:space="preserve">Communication au comptoir : médicament à </w:t>
      </w:r>
      <w:r>
        <w:rPr>
          <w:b/>
        </w:rPr>
        <w:t>usage hospitalier obstétrical strict</w:t>
      </w:r>
      <w:r>
        <w:t xml:space="preserve"> — délivrance rare au comptoir (circuit maternité direct). Si interrogation de la patiente (souvent avant l'hospitalisation programmée pour déclenchement) : expliquer le rôle du Propess® dans la maturation du col (ramollissement, effacement) pour préparer le déclenchement par ocytocine, la durée d'action (24 h maximum), la surveillance continue par monitoring fœtal, et la possibilité d'un retrait immédiat en cas de besoin. Rassurer sur le caractère physiologique de l'approche (reproduction du mécanisme naturel). Mentionner les possibles effets indésirables (fièvre transitoire, nausées) qui ne doivent pas inquiéter mais être signalés.</w:t>
      </w:r>
    </w:p>
    <w:p>
      <w:pPr>
        <w:pStyle w:val="ListBullet"/>
      </w:pPr>
      <w:r>
        <w:t>Mode d'utilisation pratique : strictement hospitalier. Pose et retrait par le personnel soignant formé (sage-femme, obstétricien). La patiente ne doit pas toucher le dispositif.</w:t>
      </w:r>
    </w:p>
    <w:p>
      <w:r/>
      <w:r>
        <w:rPr>
          <w:b/>
        </w:rPr>
        <w:t>Notes, Règles d'Or &amp; Pièges au Comptoir :</w:t>
      </w:r>
      <w:r/>
    </w:p>
    <w:p>
      <w:pPr>
        <w:pStyle w:val="ListBullet"/>
      </w:pPr>
      <w:r>
        <w:t xml:space="preserve">Piège classique : (1) </w:t>
      </w:r>
      <w:r>
        <w:rPr>
          <w:b/>
        </w:rPr>
        <w:t>Pose chez femme avec antécédent de césarienne</w:t>
      </w:r>
      <w:r>
        <w:t xml:space="preserve"> — CI absolue (rupture utérine). Vérifier systématiquement les antécédents obstétricaux avant validation de la prescription. (2) </w:t>
      </w:r>
      <w:r>
        <w:rPr>
          <w:b/>
        </w:rPr>
        <w:t>Association avec ocytocine</w:t>
      </w:r>
      <w:r>
        <w:t xml:space="preserve"> — CI absolue, respecter 30 min de délai après retrait du Propess. (3) </w:t>
      </w:r>
      <w:r>
        <w:rPr>
          <w:b/>
        </w:rPr>
        <w:t>Oubli de retrait à 24 h</w:t>
      </w:r>
      <w:r>
        <w:t xml:space="preserve"> — risque d'hyperstimulation prolongée, surveillance CTG stricte. (4) </w:t>
      </w:r>
      <w:r>
        <w:rPr>
          <w:b/>
        </w:rPr>
        <w:t>Non-reconnaissance de l'hyperstimulation</w:t>
      </w:r>
      <w:r>
        <w:t xml:space="preserve"> — surveiller CTG, retrait immédiat si tachysystolie ≥ 5/10 min, contractions &gt; 2 min, hypertonus, décélérations du RCF. (5) </w:t>
      </w:r>
      <w:r>
        <w:rPr>
          <w:b/>
        </w:rPr>
        <w:t>Confusion Propess® avec d'autres dispositifs vaginaux</w:t>
      </w:r>
      <w:r>
        <w:t xml:space="preserve"> — vérifier le conditionnement et la marque. (6) </w:t>
      </w:r>
      <w:r>
        <w:rPr>
          <w:b/>
        </w:rPr>
        <w:t>Dispositif oublié en place après accouchement</w:t>
      </w:r>
      <w:r>
        <w:t xml:space="preserve"> — vérifier la vacuité vaginale après la délivrance.</w:t>
      </w:r>
    </w:p>
    <w:p>
      <w:pPr>
        <w:pStyle w:val="ListBullet"/>
      </w:pPr>
      <w:r>
        <w:t>Règle de prise : 1 dispositif Propess® 10 mg en fornix vaginal postérieur, surveillance CTG continue, retrait à 24 h max ou en cas d'hyperstimulation/souffrance fœtale/début de travail.</w:t>
      </w:r>
    </w:p>
    <w:p>
      <w:pPr>
        <w:pStyle w:val="ListBullet"/>
      </w:pPr>
      <w:r>
        <w:t>Préparation et Conservation : conservation entre 2°C et 8°C (au réfrigérateur), à l'abri de la lumière. Ne pas congeler. Sortir le dispositif du réfrigérateur juste avant la pose (stabilité à température ambiante limitée — vérifier RCP). Ne pas utiliser si l'emballage est endommagé.</w:t>
      </w:r>
    </w:p>
    <w:p>
      <w:pPr>
        <w:pStyle w:val="ListBullet"/>
      </w:pPr>
      <w:r>
        <w:t>Piège du surdosage / Substitution : en cas d'hyperstimulation (le scénario le plus grave) : retrait IMMÉDIAT du dispositif (tirer sur le cordon récupérateur), surveillance CTG, décubitus latéral gauche, O2, remplissage vasculaire. Tocolyse de sauvetage si persistance (atosiban 6,75 mg IV bolus, ou nifédipine 20 mg per os, ou sulfate de magnésium 4 g IV lente). Césarienne en urgence si échec ou souffrance fœtale sévère. En cas de substitution : pas d'alternative disponible en Algérie (Propess® unique). En cas d'indisponibilité, recours au misoprostol vaginal à faible dose (25 µg/4 h) hors AMM, sous surveillance stricte.</w:t>
      </w:r>
    </w:p>
    <w:p>
      <w:pPr>
        <w:pStyle w:val="Heading2"/>
      </w:pPr>
      <w:r>
        <w:t>Sous-classe 5 — Obstétrique : Prostaglandines E1</w:t>
      </w:r>
    </w:p>
    <w:p>
      <w:pPr>
        <w:pStyle w:val="Heading3"/>
      </w:pPr>
      <w:r>
        <w:t>Positionnement pharmacologique</w:t>
      </w:r>
    </w:p>
    <w:p>
      <w:r>
        <w:t>Les prostaglandines E1 (PGE1), représentées cliniquement par le misoprostol (analogue synthétique de la PGE1), constituent l'une des molécules les plus polyvalentes de la pharmacologie obstétricale moderne. Développé initialement par Searle/Pfizer dans les années 1970-1980 pour la prévention des ulcères gastriques chez les patients sous AINS (Cytotec®), le misoprostol a progressivement trouvé ses principales indications en gynécologie-obstétrique : (1) interruption volontaire de grossesse (IVG) médicamenteuse en association avec la mifépristone (RU 486) ; (2) interruption médicale de grossesse (IMG) pour anomalie fœtale ou pathologie maternelle ; (3) hémorragie du post-partum (HPP) réfractaire à l'ocytocine et à la méthylergométrine ; (4) déclenchement du travail à terme (usage hors AMM, controversé en raison du risque d'hyperstimulation) ; (5) prévention hémorragie du post-partum en pays à faibles ressources (OMS) ; (6) soins post-avortement (échec IVG, rétention).</w:t>
      </w:r>
    </w:p>
    <w:p>
      <w:r>
        <w:t>Le misoprostol présente l'avantage d'une grande flexibilité galénique (comprimés à 200 µg, administrables par voie orale, sublinguale, vaginale, rectale), d'un faible coût (&lt; 1 € par comprimé), d'une thermostabilité excellente (plus de 2 ans à température ambiante) — d'où son utilisation massive dans les pays à faibles ressources comme traitement de l'HPP et pour l'IVG. Ses principales limites sont (1) la CI absolue en cours de grossesse à mener (hors IVG/IMG/HPP) en raison du risque d'avortement induit, d'hyperstimulation utérine et de rupture utérine ; (2) le risque d'hyperstimulation utérine en cas d'usage pour déclenchement à terme (surtout à haute dose) ; (3) la variabilité interindividuelle de l'absorption et de la sensibilité utérine. L'OMS recommande le misoprostol comme traitement de première ligne de l'HPP dans les pays à faibles ressources (dose unique 600 µg oral ou sublingual), et comme alternative à la dinoprostone pour le déclenchement à terme à faible dose (25 µg vaginal/4h) — bien que cette dernière indication soit hors AMM dans la plupart des pays européens.</w:t>
      </w:r>
    </w:p>
    <w:p>
      <w:r>
        <w:t xml:space="preserve">En Algérie, le misoprostol est disponible sous une seule spécialité — Misotec® (Biorem) en comprimés sécables à 200 µg — mais cette spécialité est </w:t>
      </w:r>
      <w:r>
        <w:rPr>
          <w:b/>
        </w:rPr>
        <w:t>retirée du marché</w:t>
      </w:r>
      <w:r>
        <w:t xml:space="preserve"> à la date d'Avril 2026. Cette situation pose un problème de santé publique majeur : la molécule reste indispensable à l'IVG médicamenteuse, à l'IMG, à l'HPP réfractaire et aux soins post-avortement. Une ré-évaluation de la disponibilité ou des circuits alternatifs (importation, génériques) est nécessaire.</w:t>
      </w:r>
    </w:p>
    <w:p>
      <w:pPr>
        <w:pStyle w:val="Heading3"/>
      </w:pPr>
      <w:r>
        <w:t>5. DCI : Misoprostol — Prostaglandines E1 (Seule)</w:t>
      </w:r>
    </w:p>
    <w:p>
      <w:r/>
      <w:r>
        <w:rPr>
          <w:b/>
        </w:rPr>
        <w:t>Liste des Catégories :</w:t>
      </w:r>
      <w:r>
        <w:t xml:space="preserve"> Obstétrique — Prostaglandines E1 ; Médicaments de l'IVG médicamenteuse, IMG, HPP, et déclenchement (hors AMM) ; Liste I.</w:t>
      </w:r>
    </w:p>
    <w:p>
      <w:r>
        <w:t xml:space="preserve">Le misoprostol, analogue synthétique de la prostaglandine E1 (PGE1), est un acide gras cyclique de formule C22H38O5, commercialisé en comprimés sécables à 200 µg. Historiquement développé pour la prévention des ulcères gastriques sous AINS (Cytotec® Searle/Pfizer, AMM gastro-entérologique), son utilisation en gynécologie-obstétrique s'est largement développée depuis les années 1990 (IVG, IMG, HPP, déclenchement). En Algérie, une seule spécialité est référencée — Misotec® (Biorem) en comprimés sécables à 200 µg, B/60 — mais son statut actuel est </w:t>
      </w:r>
      <w:r>
        <w:rPr>
          <w:b/>
        </w:rPr>
        <w:t>Retiré (R)</w:t>
      </w:r>
      <w:r>
        <w:t>, ce qui pose un problème d'accès pour les indications obstétricales critiques. La biodisponibilité orale est de 50-80 % (le misoprostol est rapidement métabolisé en acide misoprostolique actif), avec un pic plasmatique atteint en 12-60 min selon la voie (sublinguale = 30 min la plus rapide, orale = 60 min, vaginale = 1-2 h mais concentrations durables, rectale = 2 h, la plus prolongée). La demi-vie d'élimination est de 20-40 minutes (acide misoprostolique), avec un métabolisme hépatique (oxydation) et une élimination rénale majoritaire. La voie sublinguale est la plus rapide et la plus efficace pour l'IVG ; la voie rectale est privilégiée pour l'HPP (action prolongée, pas d'effet local). Le monitoring dépend de l'indication : pour l'IVG/IMG, surveillance en milieu hospitalier gynéco-obstétrical ; pour l'HPP, en urgence obstétricale avec surveillance hémodynamique.</w:t>
      </w:r>
    </w:p>
    <w:p>
      <w:r/>
      <w:r>
        <w:rPr>
          <w:b/>
        </w:rPr>
        <w:t>Médicaments disponibles en Algérie (Marques, Laboratoires, Formes et Dosages) :</w:t>
      </w:r>
      <w:r/>
    </w:p>
    <w:p>
      <w:pPr>
        <w:pStyle w:val="ListBullet"/>
      </w:pPr>
      <w:r/>
      <w:r>
        <w:rPr>
          <w:b/>
        </w:rPr>
        <w:t>MISOTEC (R)</w:t>
      </w:r>
      <w:r>
        <w:t xml:space="preserve"> (BIOREM)</w:t>
      </w:r>
    </w:p>
    <w:p>
      <w:pPr>
        <w:pStyle w:val="ListBullet"/>
      </w:pPr>
      <w:r>
        <w:t>Formes et Dosages : Comprimé sécable — 200 µg (sous forme de dispersion à 4 %) — Boîte de 60 comprimés</w:t>
      </w:r>
    </w:p>
    <w:p>
      <w:pPr>
        <w:pStyle w:val="ListBullet"/>
      </w:pPr>
      <w:r>
        <w:t>Statut : Retiré (R) — Liste I</w:t>
      </w:r>
    </w:p>
    <w:p>
      <w:r/>
      <w:r>
        <w:rPr>
          <w:i/>
        </w:rPr>
        <w:t>Remarque nomenclature :</w:t>
      </w:r>
      <w:r>
        <w:t xml:space="preserve"> la spécialité Misotec® (Biorem) est la seule référencée en Algérie pour le misoprostol, et son statut </w:t>
      </w:r>
      <w:r>
        <w:rPr>
          <w:b/>
        </w:rPr>
        <w:t>Retiré (R)</w:t>
      </w:r>
      <w:r>
        <w:t xml:space="preserve"> pose un problème d'accès thérapeutique majeur pour les indications essentielles (IVG, IMG, HPP). Les cliniciens algériens doivent vérifier la disponibilité effective auprès de la pharmacie hospitalière, envisager des circuits alternatifs (importation, génériques étrangers), et signaler toute rupture d'approvisionnement aux autorités sanitaires. Le misoprostol figure sur la liste OMS des médicaments essentiels pour l'HPP et les soins post-avortement.</w:t>
      </w:r>
    </w:p>
    <w:p>
      <w:r/>
      <w:r>
        <w:rPr>
          <w:b/>
        </w:rPr>
        <w:t>Sous-classe et Mécanisme d'action :</w:t>
      </w:r>
      <w:r/>
    </w:p>
    <w:p>
      <w:pPr>
        <w:pStyle w:val="ListBullet"/>
      </w:pPr>
      <w:r>
        <w:t>Sous-classe : Obstétrique — Prostaglandines E1. Unique représentant en Algérie : misoprostol. Classe positionnée pour : (1) l'IVG médicamenteuse en association à la mifépristone (protocole AMM France 7 semaines) ; (2) l'IMG pour anomalie fœtale ou pathologie maternelle ; (3) l'HPP réfractaire à l'ocytocine/méthylergométrine ; (4) le déclenchement du travail à terme (hors AMM Europe, recommandé OMS dans pays à faibles ressources) ; (5) les soins post-avortement.</w:t>
      </w:r>
    </w:p>
    <w:p>
      <w:pPr>
        <w:pStyle w:val="ListBullet"/>
      </w:pPr>
      <w:r>
        <w:t xml:space="preserve">Mécanisme d'action : le misoprostol est un agoniste des récepteurs EP1, EP2, EP3 et EP4 des prostaglandines E (récepteurs à 7 domaines transmembranaires couplés aux protéines G), exprimés au niveau : (1) du myomètre (cellules musculaires lisses utérines) ; (2) du col utérin ; (3) de la muqueuse gastroduodénale (cellules pariétales — inhibition sécrétion acide) ; (4) de la muqueuse intestinale. Les effets principaux en obstétrique sont : (a) </w:t>
      </w:r>
      <w:r>
        <w:rPr>
          <w:b/>
        </w:rPr>
        <w:t>Contractions utérines</w:t>
      </w:r>
      <w:r>
        <w:t xml:space="preserve"> : via EP1/Gq → PLC → IP3 → libération Ca2+ intracellulaire → contraction des cellules musculaires lisses utérines (puissant, plus marqué que PGE2 en intensité). (b) </w:t>
      </w:r>
      <w:r>
        <w:rPr>
          <w:b/>
        </w:rPr>
        <w:t>Maturation cervicale</w:t>
      </w:r>
      <w:r>
        <w:t xml:space="preserve"> : via EP1 et EP3 → activation des MMP, dégradation du collagène → ramollissement, effacement, dilatation du col (effet synergique avec PGE2). (c) </w:t>
      </w:r>
      <w:r>
        <w:rPr>
          <w:b/>
        </w:rPr>
        <w:t>Vasodilatation</w:t>
      </w:r>
      <w:r>
        <w:t xml:space="preserve"> : via EP2/EP4/Gs → AMPc ↑ → vasodilatation (peut contribuer à l'hypotension). (d) </w:t>
      </w:r>
      <w:r>
        <w:rPr>
          <w:b/>
        </w:rPr>
        <w:t>Inhibition de la sécrétion acide gastrique</w:t>
      </w:r>
      <w:r>
        <w:t xml:space="preserve"> : via EP3/Gi → baisse AMPc → inhibition des cellules pariétales (effet anti-ulcéreux, à l'origine de l'AMM initiale). Le misoprostol est particulièrement puissant pour induire des contractions utérines soutenues, ce qui explique son efficacité dans l'IVG, l'IMG et l'HPP, mais aussi son risque d'hyperstimulation en cas d'usage pour déclenchement à terme (surtout à forte dose). Le misoprostol traverse le placenta et peut affecter la circulation fœtale (à éviter en cours de grossesse à mener hors IVG/IMG).</w:t>
      </w:r>
    </w:p>
    <w:p>
      <w:r/>
      <w:r>
        <w:rPr>
          <w:b/>
        </w:rPr>
        <w:t>Profil Pharmacologique :</w:t>
      </w:r>
      <w:r/>
    </w:p>
    <w:p>
      <w:pPr>
        <w:pStyle w:val="ListBullet"/>
      </w:pPr>
      <w:r>
        <w:t xml:space="preserve">Indications : (1) </w:t>
      </w:r>
      <w:r>
        <w:rPr>
          <w:b/>
        </w:rPr>
        <w:t>IVG médicamenteuse</w:t>
      </w:r>
      <w:r>
        <w:t xml:space="preserve"> (jusqu'à 7 SA, 5 SA ou 9 SA selon les pays — 7 SA en France) en association à la mifépristone (600 mg PO J1 puis 400 µg misoprostol oral ou sublingual J3) ou en protocole simplifié (mifépristone 200 mg puis misoprostol 400-800 µg sublingual 24-48 h après). (2) </w:t>
      </w:r>
      <w:r>
        <w:rPr>
          <w:b/>
        </w:rPr>
        <w:t>IMG</w:t>
      </w:r>
      <w:r>
        <w:t xml:space="preserve"> : protocoles similaires à l'IVG mais doses et durées adaptées (jusqu'à 22-24 SA selon législation). (3) </w:t>
      </w:r>
      <w:r>
        <w:rPr>
          <w:b/>
        </w:rPr>
        <w:t>Hémorragie du post-partum (HPP)</w:t>
      </w:r>
      <w:r>
        <w:t xml:space="preserve"> : traitement de 2e ou 3e ligne (après ocytocine et méthylergométrine) — 600-1000 µg rectal ou sublingual, dose unique. (4) </w:t>
      </w:r>
      <w:r>
        <w:rPr>
          <w:b/>
        </w:rPr>
        <w:t>Prévention HPP</w:t>
      </w:r>
      <w:r>
        <w:t xml:space="preserve"> dans pays à faibles ressources (OMS) : 600 µg oral ou sublingual immédiatement après l'accouchement (si ocytocine indisponible). (5) </w:t>
      </w:r>
      <w:r>
        <w:rPr>
          <w:b/>
        </w:rPr>
        <w:t>Déclenchement du travail à terme</w:t>
      </w:r>
      <w:r>
        <w:t xml:space="preserve"> (hors AMM Europe, recommandé OMS pays faibles ressources) : 25 µg vaginal/4-6 h (4 doses max) ou 25 µg oral/2h (utilisation prudente en raison du risque d'hyperstimulation). (6) </w:t>
      </w:r>
      <w:r>
        <w:rPr>
          <w:b/>
        </w:rPr>
        <w:t>Soins post-avortement</w:t>
      </w:r>
      <w:r>
        <w:t xml:space="preserve"> : 400-800 µg sublingual ou vaginal pour évacuation des rétentions après IVG chirurgicale ou IMG incomplète. (7) </w:t>
      </w:r>
      <w:r>
        <w:rPr>
          <w:b/>
        </w:rPr>
        <w:t>AMM historique</w:t>
      </w:r>
      <w:r>
        <w:t xml:space="preserve"> (gastro-entérologique) : prévention des ulcères gastriques sous AINS (200 µg × 4/j) — devenu rare en raison de l'arrivée des IPP.</w:t>
      </w:r>
    </w:p>
    <w:p>
      <w:pPr>
        <w:pStyle w:val="ListBullet"/>
      </w:pPr>
      <w:r>
        <w:t xml:space="preserve">Contre-indications : (1) </w:t>
      </w:r>
      <w:r>
        <w:rPr>
          <w:b/>
        </w:rPr>
        <w:t>Grossesse à mener</w:t>
      </w:r>
      <w:r>
        <w:t xml:space="preserve"> — CI ABSOLUE hors protocoles IVG/IMG/HPP (risque d'avortement, d'hyperstimulation, de rupture utérine) ; (2) </w:t>
      </w:r>
      <w:r>
        <w:rPr>
          <w:b/>
        </w:rPr>
        <w:t>Antécédent de césarienne ou d'hystérotomie</w:t>
      </w:r>
      <w:r>
        <w:t xml:space="preserve"> (CI relative pour déclenchement à terme — risque de rupture utérine × 3-5) ; (3) </w:t>
      </w:r>
      <w:r>
        <w:rPr>
          <w:b/>
        </w:rPr>
        <w:t>Allaitement</w:t>
      </w:r>
      <w:r>
        <w:t xml:space="preserve"> (CI relative pour la dose unique HPP — acceptable ; à éviter pour doses répétées chez la femme allaitante en raison des diarrhées néonatales possibles) ; (4) </w:t>
      </w:r>
      <w:r>
        <w:rPr>
          <w:b/>
        </w:rPr>
        <w:t>Hypersensibilité</w:t>
      </w:r>
      <w:r>
        <w:t xml:space="preserve"> aux prostaglandines ; (5) </w:t>
      </w:r>
      <w:r>
        <w:rPr>
          <w:b/>
        </w:rPr>
        <w:t>Insuffisance hépatique sévère</w:t>
      </w:r>
      <w:r>
        <w:t xml:space="preserve"> ; (6) </w:t>
      </w:r>
      <w:r>
        <w:rPr>
          <w:b/>
        </w:rPr>
        <w:t>Asthme sévère</w:t>
      </w:r>
      <w:r>
        <w:t xml:space="preserve"> non contrôlé (CI relative — bronchoconstriction potentielle) ; (7) </w:t>
      </w:r>
      <w:r>
        <w:rPr>
          <w:b/>
        </w:rPr>
        <w:t>Pathologie cardiaque sévère</w:t>
      </w:r>
      <w:r>
        <w:t xml:space="preserve"> (CI relative — effet vasculaire) ; (8) </w:t>
      </w:r>
      <w:r>
        <w:rPr>
          <w:b/>
        </w:rPr>
        <w:t>Maladie inflammatoire chronique intestinale</w:t>
      </w:r>
      <w:r>
        <w:t xml:space="preserve"> (CI relative pour usage gastro-entérologique).</w:t>
      </w:r>
    </w:p>
    <w:p>
      <w:pPr>
        <w:pStyle w:val="ListBullet"/>
      </w:pPr>
      <w:r>
        <w:t xml:space="preserve">Effets indésirables : (1) </w:t>
      </w:r>
      <w:r>
        <w:rPr>
          <w:b/>
        </w:rPr>
        <w:t>Diarrhée</w:t>
      </w:r>
      <w:r>
        <w:t xml:space="preserve"> (très fréquent 30-40 %, effet PGE1 sur muscle lisse digestif — majeur en cas d'usage répété) ; (2) </w:t>
      </w:r>
      <w:r>
        <w:rPr>
          <w:b/>
        </w:rPr>
        <w:t>Douleurs abdominales</w:t>
      </w:r>
      <w:r>
        <w:t xml:space="preserve">, crampes (fréquentes) ; (3) </w:t>
      </w:r>
      <w:r>
        <w:rPr>
          <w:b/>
        </w:rPr>
        <w:t>Fièvre</w:t>
      </w:r>
      <w:r>
        <w:t xml:space="preserve">, frissons, tremblements (effet pyrogène, 20-30 %, transitoire) ; (4) </w:t>
      </w:r>
      <w:r>
        <w:rPr>
          <w:b/>
        </w:rPr>
        <w:t>Nausées, vomissements</w:t>
      </w:r>
      <w:r>
        <w:t xml:space="preserve"> (10-20 %) ; (5) </w:t>
      </w:r>
      <w:r>
        <w:rPr>
          <w:b/>
        </w:rPr>
        <w:t>Céphalées</w:t>
      </w:r>
      <w:r>
        <w:t xml:space="preserve"> ; (6) </w:t>
      </w:r>
      <w:r>
        <w:rPr>
          <w:b/>
        </w:rPr>
        <w:t>Hyperstimulation utérine</w:t>
      </w:r>
      <w:r>
        <w:t xml:space="preserve"> (en cas d'usage pour déclenchement à terme — risque 5-15 % selon dose) ; (7) </w:t>
      </w:r>
      <w:r>
        <w:rPr>
          <w:b/>
        </w:rPr>
        <w:t>Rupture utérine</w:t>
      </w:r>
      <w:r>
        <w:t xml:space="preserve"> (rare mais grave — surtout sur utérus cicatriciel) ; (8) </w:t>
      </w:r>
      <w:r>
        <w:rPr>
          <w:b/>
        </w:rPr>
        <w:t>Hémorragie</w:t>
      </w:r>
      <w:r>
        <w:t xml:space="preserve"> (en cas d'IVG incomplète — surveillance) ; (9) </w:t>
      </w:r>
      <w:r>
        <w:rPr>
          <w:b/>
        </w:rPr>
        <w:t>Hypotension</w:t>
      </w:r>
      <w:r>
        <w:t xml:space="preserve"> transitoire ; (10) </w:t>
      </w:r>
      <w:r>
        <w:rPr>
          <w:b/>
        </w:rPr>
        <w:t>Rash cutané</w:t>
      </w:r>
      <w:r>
        <w:t>, prurit. EI spécifiques au contexte : (a) en IVG : saignements prolongés 8-15 jours, douleurs pelviennes intenses, expulsion parfois incomplète nécessitant aspiration ; (b) en HPP : fièvre transitoire (à différencier d'une endométrite), tremblements ; (c) en déclenchement à terme : risque d'hyperstimulation majeur à forte dose (≥ 50 µg/dose) — d'où l'usage à 25 µg.</w:t>
      </w:r>
    </w:p>
    <w:p>
      <w:r/>
      <w:r>
        <w:rPr>
          <w:b/>
        </w:rPr>
        <w:t>Prévention et Gestion des Effets Indésirables :</w:t>
      </w:r>
      <w:r/>
    </w:p>
    <w:p>
      <w:pPr>
        <w:pStyle w:val="ListBullet"/>
      </w:pPr>
      <w:r>
        <w:t>Mesures préventives : (1) Vérification systématique de l'absence de grossesse à mener (hors IVG/IMG/HPP) ; (2) pour l'IVG/IMG : environnement hospitalier gynéco-obstétrical, accès à l'anesthésie et à la chirurgie en urgence en cas d'échec ou de complication (hémorragie, infection) ; (3) pour l'HPP : environnement obstétrical de niveau adapté, surveillance hémodynamique (TA, pouls, saignement), accès à la chirurgie (embolisation, sutures compressives, hystérectomie d'hémostase) ; (4) pour le déclenchement à terme (hors AMM Europe) : monitoring CTG continu, doses strictement limitées à 25 µg/dose, espacement ≥ 4 h entre doses (6 h idéalement), protocoles locaux rigoureux ; (5) information de la patiente sur les EI attendus (diarrhée, fièvre, crampes), les signes d'alerte (saignement abondant, douleur insupportable, fièvre &gt; 39°C) ; (6) prescription d'antalgiques (paracétamol 1 g, ± antispasmodiques) ; (7) antibioprophylaxie si IMG ou geste associé (selon protocole local) ; (8) prévention Rhésus (anti-D) si patiente Rhésus négatif.</w:t>
      </w:r>
    </w:p>
    <w:p>
      <w:pPr>
        <w:pStyle w:val="ListBullet"/>
      </w:pPr>
      <w:r>
        <w:t xml:space="preserve">Conduite à tenir : (1) </w:t>
      </w:r>
      <w:r>
        <w:rPr>
          <w:b/>
        </w:rPr>
        <w:t>Hyperstimulation utérine</w:t>
      </w:r>
      <w:r>
        <w:t xml:space="preserve"> (en cas de déclenchement) : arrêt du misoprostol (en cas de voie vaginale — lavage vaginal possible), surveillance CTG, décubitus latéral gauche, O2, remplissage vasculaire. Tocolyse de sauvetage possible (atosiban 6,75 mg IV bolus, nifédipine 20 mg per os, sulfate de magnésium 4 g IV lente). Césarienne en urgence si souffrance fœtale. (2) </w:t>
      </w:r>
      <w:r>
        <w:rPr>
          <w:b/>
        </w:rPr>
        <w:t>Diarrhée sévère</w:t>
      </w:r>
      <w:r>
        <w:t xml:space="preserve"> : réhydratation, lopéramide (sauf si suspicion d'infection invasive), surveillance ionogramme. (3) </w:t>
      </w:r>
      <w:r>
        <w:rPr>
          <w:b/>
        </w:rPr>
        <w:t>Fièvre élevée</w:t>
      </w:r>
      <w:r>
        <w:t xml:space="preserve"> : paracétamol, recherche d'infection associée (NFS, CRP, hémocultures). (4) </w:t>
      </w:r>
      <w:r>
        <w:rPr>
          <w:b/>
        </w:rPr>
        <w:t>Hémorragie</w:t>
      </w:r>
      <w:r>
        <w:t xml:space="preserve"> (en IVG) : échographie pelvienne, aspiration chirurgicale en cas de rétention, ocytocine IV, antibiothérapie si infection. (5) </w:t>
      </w:r>
      <w:r>
        <w:rPr>
          <w:b/>
        </w:rPr>
        <w:t>Réaction allergique</w:t>
      </w:r>
      <w:r>
        <w:t xml:space="preserve"> : arrêt immédiat, antihistaminique, corticoïde, adrénaline si anaphylaxie.</w:t>
      </w:r>
    </w:p>
    <w:p>
      <w:r/>
      <w:r>
        <w:rPr>
          <w:b/>
        </w:rPr>
        <w:t>Interactions Importantes :</w:t>
      </w:r>
      <w:r/>
    </w:p>
    <w:p>
      <w:pPr>
        <w:pStyle w:val="ListBullet"/>
      </w:pPr>
      <w:r>
        <w:t xml:space="preserve">Misoprostol + AINS (aspirine, ibuprofène, indométacine, kétoprofène) : </w:t>
      </w:r>
      <w:r>
        <w:rPr>
          <w:b/>
        </w:rPr>
        <w:t>antagonisme pharmacodynamique</w:t>
      </w:r>
      <w:r>
        <w:t xml:space="preserve"> — les AINS bloquent la COX et donc la production endogène de PGE ; baisse d'efficacité du misoprostol (notamment en IVG/IMG — éviter l'automédication par AINS pendant le protocole). En gastro-entérologie, l'association misoprostol + AINS est au contraire l'indication (protection gastrique), mais l'efficacité contraceptive/obstétricale n'est pas concernée.</w:t>
      </w:r>
    </w:p>
    <w:p>
      <w:pPr>
        <w:pStyle w:val="ListBullet"/>
      </w:pPr>
      <w:r>
        <w:t xml:space="preserve">Misoprostol + ocytocine : </w:t>
      </w:r>
      <w:r>
        <w:rPr>
          <w:b/>
        </w:rPr>
        <w:t>CI ABSOLUE en cours de grossesse</w:t>
      </w:r>
      <w:r>
        <w:t xml:space="preserve"> (risque majeur d'hyperstimulation utérine, de rupture utérine, de souffrance fœtale). En post-partum (HPP), l'association est possible sous surveillance stricte (protocole d'hémostase obstétricale).</w:t>
      </w:r>
    </w:p>
    <w:p>
      <w:pPr>
        <w:pStyle w:val="ListBullet"/>
      </w:pPr>
      <w:r>
        <w:t xml:space="preserve">Misoprostol + autres prostaglandines (dinoprostone) : </w:t>
      </w:r>
      <w:r>
        <w:rPr>
          <w:b/>
        </w:rPr>
        <w:t>CI absolue</w:t>
      </w:r>
      <w:r>
        <w:t xml:space="preserve"> — association inappropriée, risque d'hyperstimulation sévère.</w:t>
      </w:r>
    </w:p>
    <w:p>
      <w:pPr>
        <w:pStyle w:val="ListBullet"/>
      </w:pPr>
      <w:r>
        <w:t>Misoprostol + magnésium (sulfate de magnésium IV) : potentialisation du blocage neuromusculaire et hypotension — surveillance étroite si association.</w:t>
      </w:r>
    </w:p>
    <w:p>
      <w:pPr>
        <w:pStyle w:val="ListBullet"/>
      </w:pPr>
      <w:r>
        <w:t>Misoprostol + antihypertenseurs : surveillance TA (potentialisation hypotensive possible).</w:t>
      </w:r>
    </w:p>
    <w:p>
      <w:pPr>
        <w:pStyle w:val="ListBullet"/>
      </w:pPr>
      <w:r>
        <w:t>Misoprostol + médicaments induisant des contractions utérines (méthylergométrine) : en post-partum, association licite dans le protocole d'HPP — surveillance.</w:t>
      </w:r>
    </w:p>
    <w:p>
      <w:r/>
      <w:r>
        <w:rPr>
          <w:b/>
        </w:rPr>
        <w:t>Grossesse et Allaitement :</w:t>
      </w:r>
      <w:r/>
    </w:p>
    <w:p>
      <w:pPr>
        <w:pStyle w:val="ListBullet"/>
      </w:pPr>
      <w:r>
        <w:t xml:space="preserve">Grossesse : le misoprostol est un médicament </w:t>
      </w:r>
      <w:r>
        <w:rPr>
          <w:b/>
        </w:rPr>
        <w:t>strictement contre-indiqué</w:t>
      </w:r>
      <w:r>
        <w:t xml:space="preserve"> en cours de grossesse à mener hors protocoles IVG/IMG/HPP. Le CRAT classe le misoprostol en « CI absolue » pour toute exposition au 1er et 2e trimestre hors protocole IVG/IMG. Risques en cas d'exposition inappropriée : (1) avortement spontané induit ; (2) hyperstimulation utérine sévère ; (3) rupture utérine (surtout si antécédent de césarienne) ; (4) souffrance fœtale ; (5) syndrome de Möbius (paralysie faciale congénitale — association controversée mais signalée dans la littérature) ; (6) anomalies artérielles fœtales (syndrome d'artères périphériques — discussion). En cas d'exposition accidentelle en cours de grossesse à mener : arrêt immédiat, échographie de contrôle, surveillance CTG, information de la patiente des risques. Le misoprostol reste en revanche </w:t>
      </w:r>
      <w:r>
        <w:rPr>
          <w:b/>
        </w:rPr>
        <w:t>compatible</w:t>
      </w:r>
      <w:r>
        <w:t xml:space="preserve"> avec la grossesse dans le cadre strict des protocoles IVG/IMG (interruption délibérée) et de l'HPP (post-partum).</w:t>
      </w:r>
    </w:p>
    <w:p>
      <w:pPr>
        <w:pStyle w:val="ListBullet"/>
      </w:pPr>
      <w:r>
        <w:t xml:space="preserve">Allaitement : le misoprostol passe faiblement dans le lait maternel, mais peut induire des diarrhées transitoires chez le nouveau-né. En cas de dose unique (HPP, prévention), l'allaitement est </w:t>
      </w:r>
      <w:r>
        <w:rPr>
          <w:b/>
        </w:rPr>
        <w:t>compatible</w:t>
      </w:r>
      <w:r>
        <w:t xml:space="preserve"> (surveillance transitoire de l'enfant). En cas de doses répétées (IVG), l'allaitement est à suspendre pendant 24-48 h après la dernière dose (recueil du lait, reprise ensuite).</w:t>
      </w:r>
    </w:p>
    <w:p>
      <w:pPr>
        <w:pStyle w:val="ListBullet"/>
      </w:pPr>
      <w:r>
        <w:t xml:space="preserve">Précisions : le misoprostol est un médicament à prescription </w:t>
      </w:r>
      <w:r>
        <w:rPr>
          <w:b/>
        </w:rPr>
        <w:t>extrêmement encadrée</w:t>
      </w:r>
      <w:r>
        <w:t xml:space="preserve"> en Algérie. La délivrance doit être strictement réservée aux services hospitaliers gynéco-obstétricaux pour les indications IVG/IMG/HPP. En cas d'usage pour déclenchement à terme (hors AMM Europe, recommandé OMS pays faibles ressources), surveillance CTG continue indispensable.</w:t>
      </w:r>
    </w:p>
    <w:p>
      <w:r/>
      <w:r>
        <w:rPr>
          <w:b/>
        </w:rPr>
        <w:t>Posologie et Mode d'administration (Standard) :</w:t>
      </w:r>
      <w:r/>
    </w:p>
    <w:p>
      <w:pPr>
        <w:pStyle w:val="ListBullet"/>
      </w:pPr>
      <w:r>
        <w:t xml:space="preserve">Adulte — </w:t>
      </w:r>
      <w:r>
        <w:rPr>
          <w:b/>
        </w:rPr>
        <w:t>IVG médicamenteuse</w:t>
      </w:r>
      <w:r>
        <w:t xml:space="preserve"> (protocole France J1-J3) :</w:t>
      </w:r>
    </w:p>
    <w:p>
      <w:pPr>
        <w:pStyle w:val="ListBullet"/>
      </w:pPr>
      <w:r>
        <w:t>J1 : mifépristone 600 mg per os (ou 200 mg selon protocoles simplifiés)</w:t>
      </w:r>
    </w:p>
    <w:p>
      <w:pPr>
        <w:pStyle w:val="ListBullet"/>
      </w:pPr>
      <w:r>
        <w:t>J3 (36-48 h après) : misoprostol 400 µg oral (2 comprimés à 200 µg) ou sublingual (efficacité supérieure, EI digestifs accrus). En cas d'échec, dose additionnelle de 400 µg sublingual à 3 h. Dose totale maximale par protocole : 1200-2400 µg selon protocoles.</w:t>
      </w:r>
    </w:p>
    <w:p>
      <w:pPr>
        <w:pStyle w:val="ListBullet"/>
      </w:pPr>
      <w:r>
        <w:t>Alternative simplifiée : mifépristone 200 mg PO + misoprostol 800 µg sublingual 24-48 h après (efficacité équivalente).</w:t>
      </w:r>
    </w:p>
    <w:p>
      <w:pPr>
        <w:pStyle w:val="ListBullet"/>
      </w:pPr>
      <w:r>
        <w:t xml:space="preserve">Adulte — </w:t>
      </w:r>
      <w:r>
        <w:rPr>
          <w:b/>
        </w:rPr>
        <w:t>IMG</w:t>
      </w:r>
      <w:r>
        <w:t xml:space="preserve"> (selon terme et contexte) :</w:t>
      </w:r>
    </w:p>
    <w:p>
      <w:pPr>
        <w:pStyle w:val="ListBullet"/>
      </w:pPr>
      <w:r>
        <w:t>Protocoles adaptés au terme, souvent : misoprostol 400-800 µg sublingual ou vaginal toutes les 3-6 h, jusqu'à expulsion complète. Doses maximales variables selon terme. Surveillance hospitalière continue.</w:t>
      </w:r>
    </w:p>
    <w:p>
      <w:pPr>
        <w:pStyle w:val="ListBullet"/>
      </w:pPr>
      <w:r>
        <w:t xml:space="preserve">Adulte — </w:t>
      </w:r>
      <w:r>
        <w:rPr>
          <w:b/>
        </w:rPr>
        <w:t>HPP thérapeutique</w:t>
      </w:r>
      <w:r>
        <w:t xml:space="preserve"> :</w:t>
      </w:r>
    </w:p>
    <w:p>
      <w:pPr>
        <w:pStyle w:val="ListBullet"/>
      </w:pPr>
      <w:r>
        <w:t>Dose unique 800-1000 µg rectal (4-5 comprimés à 200 µg insérés profondément dans le rectum) en 2e ou 3e ligne (après ocytocine + méthylergométrine). Alternative sublinguale 800 µg (efficacité équivalente, action plus rapide).</w:t>
      </w:r>
    </w:p>
    <w:p>
      <w:pPr>
        <w:pStyle w:val="ListBullet"/>
      </w:pPr>
      <w:r>
        <w:t xml:space="preserve">Adulte — </w:t>
      </w:r>
      <w:r>
        <w:rPr>
          <w:b/>
        </w:rPr>
        <w:t>Prévention HPP</w:t>
      </w:r>
      <w:r>
        <w:t xml:space="preserve"> (pays à faibles ressources, OMS) :</w:t>
      </w:r>
    </w:p>
    <w:p>
      <w:pPr>
        <w:pStyle w:val="ListBullet"/>
      </w:pPr>
      <w:r>
        <w:t>Dose unique 600 µg oral ou sublingual immédiatement après l'accouchement (alternative à l'ocytocine si indisponible).</w:t>
      </w:r>
    </w:p>
    <w:p>
      <w:pPr>
        <w:pStyle w:val="ListBullet"/>
      </w:pPr>
      <w:r>
        <w:t xml:space="preserve">Adulte — </w:t>
      </w:r>
      <w:r>
        <w:rPr>
          <w:b/>
        </w:rPr>
        <w:t>Déclenchement à terme</w:t>
      </w:r>
      <w:r>
        <w:t xml:space="preserve"> (hors AMM Europe) :</w:t>
      </w:r>
    </w:p>
    <w:p>
      <w:pPr>
        <w:pStyle w:val="ListBullet"/>
      </w:pPr>
      <w:r>
        <w:t>Voie vaginale : 25 µg (1/8 de comprimé) toutes les 4-6 h, max 4 doses (soit 100 µg total). Pas plus de 50 µg par dose (risque majeur d'hyperstimulation).</w:t>
      </w:r>
    </w:p>
    <w:p>
      <w:pPr>
        <w:pStyle w:val="ListBullet"/>
      </w:pPr>
      <w:r>
        <w:t>Voie orale : 25 µg (1/8 comprimé) toutes les 2 h, max 6 doses. Solution Prévention OMS.</w:t>
      </w:r>
    </w:p>
    <w:p>
      <w:pPr>
        <w:pStyle w:val="ListBullet"/>
      </w:pPr>
      <w:r>
        <w:t>Surveillance CTG continue obligatoire.</w:t>
      </w:r>
    </w:p>
    <w:p>
      <w:pPr>
        <w:pStyle w:val="ListBullet"/>
      </w:pPr>
      <w:r>
        <w:t xml:space="preserve">Adulte — </w:t>
      </w:r>
      <w:r>
        <w:rPr>
          <w:b/>
        </w:rPr>
        <w:t>Soins post-avortement</w:t>
      </w:r>
      <w:r>
        <w:t xml:space="preserve"> :</w:t>
      </w:r>
    </w:p>
    <w:p>
      <w:pPr>
        <w:pStyle w:val="ListBullet"/>
      </w:pPr>
      <w:r>
        <w:t>400 µg sublingual ou vaginal, dose unique ou répétée à 3 h si nécessaire. Évacuation chirurgicale si échec.</w:t>
      </w:r>
    </w:p>
    <w:p>
      <w:pPr>
        <w:pStyle w:val="ListBullet"/>
      </w:pPr>
      <w:r>
        <w:t>Sujet âgé : non applicable (réservé à la femme en âge de procréer et au post-partum).</w:t>
      </w:r>
    </w:p>
    <w:p>
      <w:pPr>
        <w:pStyle w:val="ListBullet"/>
      </w:pPr>
      <w:r>
        <w:t>Durée : selon indication (IVG = protocole J1-J3 ; HPP = dose unique ; déclenchement = jusqu'à accouchement max 24 h).</w:t>
      </w:r>
    </w:p>
    <w:p>
      <w:pPr>
        <w:pStyle w:val="ListBullet"/>
      </w:pPr>
      <w:r>
        <w:t>Moment de la prise : hospitalier strict pour IVG/IMG/HPP/déclenchement. Usage gastro-entérologique (rare) : pendant ou après les repas.</w:t>
      </w:r>
    </w:p>
    <w:p>
      <w:r/>
      <w:r>
        <w:rPr>
          <w:b/>
        </w:rPr>
        <w:t>Arbitrage et Bénéfices des Formes Galéniques :</w:t>
      </w:r>
      <w:r/>
    </w:p>
    <w:p>
      <w:r>
        <w:t xml:space="preserve">Le misoprostol est disponible uniquement en comprimés sécables à 200 µg (Misotec®), présentant une flexibilité d'administration exceptionnelle pour une prostaglandine : voie orale (absorption rapide, pic en 30-60 min), sublinguale (pic en 12-30 min, la plus rapide et efficace), vaginale (absorption lente mais concentrations durables, idéale pour déclenchement à terme), rectale (absorption lente et prolongée, idéale pour HPP). Cette polyvalence galénique permet d'adapter la voie à l'indication : sublingual pour IVG (efficacité maximale), rectal pour HPP (action prolongée, pas d'effet local), vaginal pour déclenchement (action prolongée locale), oral pour prévention HPP (simplicité d'administration). Le comprimé sécable permet le fractionnement à 100 µg ou 25 µg (1/8 comprimé) selon les protocoles. Comparativement à la dinoprostone (Propess® 10 mg/24 h dispositif vaginal), le misoprostol présente l'avantage d'un coût très bas, d'une thermostabilité excellente (pas de chaîne du froid), et d'une polyvalence — au prix d'un risque d'hyperstimulation supérieur à dose usuelle pour déclenchement. L'inconvénient algérien majeur est le statut </w:t>
      </w:r>
      <w:r>
        <w:rPr>
          <w:b/>
        </w:rPr>
        <w:t>Retiré (R)</w:t>
      </w:r>
      <w:r>
        <w:t xml:space="preserve"> de Misotec® — situation à corriger pour garantir l'accès aux indications essentielles.</w:t>
      </w:r>
    </w:p>
    <w:p>
      <w:r/>
      <w:r>
        <w:rPr>
          <w:b/>
        </w:rPr>
        <w:t>Instructions et Conseils au Patient :</w:t>
      </w:r>
      <w:r/>
    </w:p>
    <w:p>
      <w:pPr>
        <w:pStyle w:val="ListBullet"/>
      </w:pPr>
      <w:r>
        <w:t xml:space="preserve">Communication au comptoir : médicament à </w:t>
      </w:r>
      <w:r>
        <w:rPr>
          <w:b/>
        </w:rPr>
        <w:t>usage hospitalier strict</w:t>
      </w:r>
      <w:r>
        <w:t xml:space="preserve"> (IVG, IMG, HPP, déclenchement) — délivrance rare au comptoir (circuit gynéco-obstétrical direct). Si interrogation de la patiente (en IVG médicamenteuse notamment) : expliquer le rôle du misoprostol dans l'expulsion de l'œuf (contractions utérines), la nécessité d'une prise en milieu médicalisé, les EI attendus (crampes, saignements, diarrhée, fièvre), et les signes d'alerte (saignement abondant, douleur insupportable, fièvre &gt; 39°C). Rassurer sur le caractère encadré et médicalisé du protocole. Insister sur la nécessité d'une consultation de contrôle à J14-J21 (échographie de vérification d'expulsion complète, contraception future).</w:t>
      </w:r>
    </w:p>
    <w:p>
      <w:pPr>
        <w:pStyle w:val="ListBullet"/>
      </w:pPr>
      <w:r>
        <w:t>Mode d'utilisation pratique : strictement hospitalier pour IVG/IMG/HPP/déclenchement. Administration par le personnel soignant. La patiente peut prendre le comprimé sublingual en présence du soignant. Voie vaginale et rectale posées par le personnel.</w:t>
      </w:r>
    </w:p>
    <w:p>
      <w:r/>
      <w:r>
        <w:rPr>
          <w:b/>
        </w:rPr>
        <w:t>Notes, Règles d'Or &amp; Pièges au Comptoir :</w:t>
      </w:r>
      <w:r/>
    </w:p>
    <w:p>
      <w:pPr>
        <w:pStyle w:val="ListBullet"/>
      </w:pPr>
      <w:r>
        <w:t xml:space="preserve">Piège classique : (1) </w:t>
      </w:r>
      <w:r>
        <w:rPr>
          <w:b/>
        </w:rPr>
        <w:t>Usage en cours de grossesse à mener hors IVG/IMG/HPP</w:t>
      </w:r>
      <w:r>
        <w:t xml:space="preserve"> — CI ABSOLUE absolument vitale à respecter (avortement, hyperstimulation, rupture utérine, syndrome de Möbius). À signaler sur le dossier patient. (2) </w:t>
      </w:r>
      <w:r>
        <w:rPr>
          <w:b/>
        </w:rPr>
        <w:t>Dose excessive pour déclenchement à terme</w:t>
      </w:r>
      <w:r>
        <w:t xml:space="preserve"> (≥ 50 µg/dose) — risque majeur d'hyperstimulation, de rupture utérine sur utérus cicatriciel. Respecter strictement 25 µg par dose, espacement 4-6 h. (3) </w:t>
      </w:r>
      <w:r>
        <w:rPr>
          <w:b/>
        </w:rPr>
        <w:t>Association avec ocytocine ou dinoprostone</w:t>
      </w:r>
      <w:r>
        <w:t xml:space="preserve"> — CI absolue. (4) </w:t>
      </w:r>
      <w:r>
        <w:rPr>
          <w:b/>
        </w:rPr>
        <w:t>Non-information de la patiente sur les EI attendus</w:t>
      </w:r>
      <w:r>
        <w:t xml:space="preserve"> (diarrhée, fièvre, crampes) — source de mauvaise observance et de consultations inutiles. (5) </w:t>
      </w:r>
      <w:r>
        <w:rPr>
          <w:b/>
        </w:rPr>
        <w:t>Non-consultation de contrôle post-IVG</w:t>
      </w:r>
      <w:r>
        <w:t xml:space="preserve"> (J14-J21) — risque de rétention méconnue, d'infection, de grossesse extra-uérine. (6) </w:t>
      </w:r>
      <w:r>
        <w:rPr>
          <w:b/>
        </w:rPr>
        <w:t>Indisponibilité en Algérie</w:t>
      </w:r>
      <w:r>
        <w:t xml:space="preserve"> (Misotec® Retiré) — vérifier la disponibilité réelle, signaler toute rupture d'approvisionnement.</w:t>
      </w:r>
    </w:p>
    <w:p>
      <w:pPr>
        <w:pStyle w:val="ListBullet"/>
      </w:pPr>
      <w:r>
        <w:t>Règle de prise : selon protocole strict (IVG, IMG, HPP, déclenchement), voie adaptée à l'indication, surveillance hospitalière.</w:t>
      </w:r>
    </w:p>
    <w:p>
      <w:pPr>
        <w:pStyle w:val="ListBullet"/>
      </w:pPr>
      <w:r>
        <w:t>Préparation et Conservation : conservation à température ambiante (15-25°C), à l'abri de la lumière et de l'humidité. Excellente thermostabilité (plus de 2 ans, pas de chaîne du froid). Le misoprostol reste stable dans des conditions difficiles (pays tropicaux, ressources limitées) — d'où son utilisation OMS massive.</w:t>
      </w:r>
    </w:p>
    <w:p>
      <w:pPr>
        <w:pStyle w:val="ListBullet"/>
      </w:pPr>
      <w:r>
        <w:t>Piège du surdosage / Substitution : en cas de surdosage (hyperstimulation, hypotension, fièvre élevée, diarrhée sévère) : arrêt immédiat, surveillance CTG (si obstétrical), traitement symptomatique (réhydratation, paracétamol, lopéramide). Tocolyse de sauvetage en cas d'hyperstimulation (atosiban, nifédipine, sulfate de magnésium). En cas de saignement abondant post-IVG : échographie, aspiration chirurgicale, ocytocine IV. Pas d'antidote spécifique. En cas de substitution : pas d'alternative disponible en Algérie (Misotec® unique). En cas d'indisponibilité, recours à la dinoprostone (Propess®) pour le déclenchement à terme, à l'ocytocine et à la méthylergométrine pour l'HPP — mais pas d'alternative pour l'IVG/IMG, ce qui pose un problème de santé publique majeur en Algérie.</w:t>
      </w:r>
    </w:p>
    <w:p>
      <w:pPr>
        <w:pStyle w:val="Heading2"/>
      </w:pPr>
      <w:r>
        <w:t>Tableau Comparatif des 5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Contre-indication majeure</w:t>
            </w:r>
          </w:p>
        </w:tc>
        <w:tc>
          <w:tcPr>
            <w:tcW w:type="dxa" w:w="1336"/>
          </w:tcPr>
          <w:p>
            <w:r>
              <w:rPr>
                <w:b/>
                <w:sz w:val="20"/>
              </w:rPr>
              <w:t>Grossesse / Allaitement</w:t>
            </w:r>
          </w:p>
        </w:tc>
      </w:tr>
      <w:tr>
        <w:tc>
          <w:tcPr>
            <w:tcW w:type="dxa" w:w="1336"/>
          </w:tcPr>
          <w:p>
            <w:r>
              <w:rPr>
                <w:sz w:val="20"/>
              </w:rPr>
              <w:t>**Atosiban**</w:t>
            </w:r>
          </w:p>
        </w:tc>
        <w:tc>
          <w:tcPr>
            <w:tcW w:type="dxa" w:w="1336"/>
          </w:tcPr>
          <w:p>
            <w:r>
              <w:rPr>
                <w:sz w:val="20"/>
              </w:rPr>
              <w:t>Antagoniste ocytocine (OT-R)</w:t>
            </w:r>
          </w:p>
        </w:tc>
        <w:tc>
          <w:tcPr>
            <w:tcW w:type="dxa" w:w="1336"/>
          </w:tcPr>
          <w:p>
            <w:r>
              <w:rPr>
                <w:sz w:val="20"/>
              </w:rPr>
              <w:t>Antagoniste compétitif OT-R utérins → blocage IP3/Ca2+/MLCK → relaxation myomètre</w:t>
            </w:r>
          </w:p>
        </w:tc>
        <w:tc>
          <w:tcPr>
            <w:tcW w:type="dxa" w:w="1336"/>
          </w:tcPr>
          <w:p>
            <w:r>
              <w:rPr>
                <w:sz w:val="20"/>
              </w:rPr>
              <w:t>Bolus IV 6,75 mg + perfusion 18 mg/h 3 h + 6 mg/h 45 h max (total 48 h, 330 mg max)</w:t>
            </w:r>
          </w:p>
        </w:tc>
        <w:tc>
          <w:tcPr>
            <w:tcW w:type="dxa" w:w="1336"/>
          </w:tcPr>
          <w:p>
            <w:r>
              <w:rPr>
                <w:sz w:val="20"/>
              </w:rPr>
              <w:t>Nausées, vomissements, céphalées, bouffées de chaleur, tachycardie modérée, hyperglycémie transitoire</w:t>
            </w:r>
          </w:p>
        </w:tc>
        <w:tc>
          <w:tcPr>
            <w:tcW w:type="dxa" w:w="1336"/>
          </w:tcPr>
          <w:p>
            <w:r>
              <w:rPr>
                <w:sz w:val="20"/>
              </w:rPr>
              <w:t>Travail à terme, RPM &gt; 48 h, souffrance fœtale, prééclampsie sévère, ins. rénale sévère, &lt; 24 SA ou &gt; 34 SA</w:t>
            </w:r>
          </w:p>
        </w:tc>
        <w:tc>
          <w:tcPr>
            <w:tcW w:type="dxa" w:w="1336"/>
          </w:tcPr>
          <w:p>
            <w:r>
              <w:rPr>
                <w:sz w:val="20"/>
              </w:rPr>
              <w:t>Grossesse : compatible (réservé 24-33+6 SA) / Allaitement : compatible</w:t>
            </w:r>
          </w:p>
        </w:tc>
      </w:tr>
      <w:tr>
        <w:tc>
          <w:tcPr>
            <w:tcW w:type="dxa" w:w="1336"/>
          </w:tcPr>
          <w:p>
            <w:r>
              <w:rPr>
                <w:sz w:val="20"/>
              </w:rPr>
              <w:t>**Nifédipine (tocolyse)**</w:t>
            </w:r>
          </w:p>
        </w:tc>
        <w:tc>
          <w:tcPr>
            <w:tcW w:type="dxa" w:w="1336"/>
          </w:tcPr>
          <w:p>
            <w:r>
              <w:rPr>
                <w:sz w:val="20"/>
              </w:rPr>
              <w:t>Inhibiteur calcique (DHP)</w:t>
            </w:r>
          </w:p>
        </w:tc>
        <w:tc>
          <w:tcPr>
            <w:tcW w:type="dxa" w:w="1336"/>
          </w:tcPr>
          <w:p>
            <w:r>
              <w:rPr>
                <w:sz w:val="20"/>
              </w:rPr>
              <w:t>Blocage canaux Ca2+ L (CaV1.2) → baisse Ca2+ intracellulaire → relaxation muscle lisse utérin</w:t>
            </w:r>
          </w:p>
        </w:tc>
        <w:tc>
          <w:tcPr>
            <w:tcW w:type="dxa" w:w="1336"/>
          </w:tcPr>
          <w:p>
            <w:r>
              <w:rPr>
                <w:sz w:val="20"/>
              </w:rPr>
              <w:t>20 mg per os attaque, répétition à 30 min si besoin, puis 20 mg × 3-4/j pendant 48 h max (max 80-120 mg/24 h)</w:t>
            </w:r>
          </w:p>
        </w:tc>
        <w:tc>
          <w:tcPr>
            <w:tcW w:type="dxa" w:w="1336"/>
          </w:tcPr>
          <w:p>
            <w:r>
              <w:rPr>
                <w:sz w:val="20"/>
              </w:rPr>
              <w:t>Hypotension, flush, céphalées, tachycardie réflexe, œdèmes des membres inférieurs, vertiges</w:t>
            </w:r>
          </w:p>
        </w:tc>
        <w:tc>
          <w:tcPr>
            <w:tcW w:type="dxa" w:w="1336"/>
          </w:tcPr>
          <w:p>
            <w:r>
              <w:rPr>
                <w:sz w:val="20"/>
              </w:rPr>
              <w:t>Hypotension sévère, ins. cardiaque, sténose aortique, association bêtabloquants, choc cardiogénique</w:t>
            </w:r>
          </w:p>
        </w:tc>
        <w:tc>
          <w:tcPr>
            <w:tcW w:type="dxa" w:w="1336"/>
          </w:tcPr>
          <w:p>
            <w:r>
              <w:rPr>
                <w:sz w:val="20"/>
              </w:rPr>
              <w:t>Grossesse : compatible (tocolyse 24-34 SA, HTA gravidique) / Allaitement : compatible</w:t>
            </w:r>
          </w:p>
        </w:tc>
      </w:tr>
      <w:tr>
        <w:tc>
          <w:tcPr>
            <w:tcW w:type="dxa" w:w="1336"/>
          </w:tcPr>
          <w:p>
            <w:r>
              <w:rPr>
                <w:sz w:val="20"/>
              </w:rPr>
              <w:t>**Ocytocine**</w:t>
            </w:r>
          </w:p>
        </w:tc>
        <w:tc>
          <w:tcPr>
            <w:tcW w:type="dxa" w:w="1336"/>
          </w:tcPr>
          <w:p>
            <w:r>
              <w:rPr>
                <w:sz w:val="20"/>
              </w:rPr>
              <w:t>Ocytocique (agoniste OT-R)</w:t>
            </w:r>
          </w:p>
        </w:tc>
        <w:tc>
          <w:tcPr>
            <w:tcW w:type="dxa" w:w="1336"/>
          </w:tcPr>
          <w:p>
            <w:r>
              <w:rPr>
                <w:sz w:val="20"/>
              </w:rPr>
              <w:t>Agoniste OT-R utérins → PLC/IP3/Ca2+/calmoduline/MLCK → contractions myomètre</w:t>
            </w:r>
          </w:p>
        </w:tc>
        <w:tc>
          <w:tcPr>
            <w:tcW w:type="dxa" w:w="1336"/>
          </w:tcPr>
          <w:p>
            <w:r>
              <w:rPr>
                <w:sz w:val="20"/>
              </w:rPr>
              <w:t>Déclenchement : 1-2 mUI/min IV, titration jusqu'à 20-30 mUI/min max ; HPP préventive : 5-10 UI IM ou IV lente ; HPP thérapeutique : 5-10 UI IV + perfusion 20-40 UI/4-8 h</w:t>
            </w:r>
          </w:p>
        </w:tc>
        <w:tc>
          <w:tcPr>
            <w:tcW w:type="dxa" w:w="1336"/>
          </w:tcPr>
          <w:p>
            <w:r>
              <w:rPr>
                <w:sz w:val="20"/>
              </w:rPr>
              <w:t>Hyperstimulation utérine (5-10 %), hyponatrémie (water intoxication), hypotension, tachycardie réflexe, rash</w:t>
            </w:r>
          </w:p>
        </w:tc>
        <w:tc>
          <w:tcPr>
            <w:tcW w:type="dxa" w:w="1336"/>
          </w:tcPr>
          <w:p>
            <w:r>
              <w:rPr>
                <w:sz w:val="20"/>
              </w:rPr>
              <w:t>Disproportion fœto-pelvienne, présentation anormale, souffrance fœtale, hyperstimulation, utérus cicatriciel (CI relative), association prostaglandines (CI absolue)</w:t>
            </w:r>
          </w:p>
        </w:tc>
        <w:tc>
          <w:tcPr>
            <w:tcW w:type="dxa" w:w="1336"/>
          </w:tcPr>
          <w:p>
            <w:r>
              <w:rPr>
                <w:sz w:val="20"/>
              </w:rPr>
              <w:t>Grossesse : compatible (indication obstétricale stricte) / Allaitement : compatible</w:t>
            </w:r>
          </w:p>
        </w:tc>
      </w:tr>
      <w:tr>
        <w:tc>
          <w:tcPr>
            <w:tcW w:type="dxa" w:w="1336"/>
          </w:tcPr>
          <w:p>
            <w:r>
              <w:rPr>
                <w:sz w:val="20"/>
              </w:rPr>
              <w:t>**Dinoprostone (PGE2)**</w:t>
            </w:r>
          </w:p>
        </w:tc>
        <w:tc>
          <w:tcPr>
            <w:tcW w:type="dxa" w:w="1336"/>
          </w:tcPr>
          <w:p>
            <w:r>
              <w:rPr>
                <w:sz w:val="20"/>
              </w:rPr>
              <w:t>Prostaglandine E2</w:t>
            </w:r>
          </w:p>
        </w:tc>
        <w:tc>
          <w:tcPr>
            <w:tcW w:type="dxa" w:w="1336"/>
          </w:tcPr>
          <w:p>
            <w:r>
              <w:rPr>
                <w:sz w:val="20"/>
              </w:rPr>
              <w:t>Agoniste EP1/EP2/EP3/EP4 → maturation cervicale (MMP), sensibilisation ocytocine, contractions utérines</w:t>
            </w:r>
          </w:p>
        </w:tc>
        <w:tc>
          <w:tcPr>
            <w:tcW w:type="dxa" w:w="1336"/>
          </w:tcPr>
          <w:p>
            <w:r>
              <w:rPr>
                <w:sz w:val="20"/>
              </w:rPr>
              <w:t>Propess® 10 mg dispositif vaginal, libération 0,3 mg/h, 24 h max, retrait immédiat si hyperstimulation</w:t>
            </w:r>
          </w:p>
        </w:tc>
        <w:tc>
          <w:tcPr>
            <w:tcW w:type="dxa" w:w="1336"/>
          </w:tcPr>
          <w:p>
            <w:r>
              <w:rPr>
                <w:sz w:val="20"/>
              </w:rPr>
              <w:t>Hyperstimulation utérine (5-10 %), fièvre (10-15 %), nausées/vomissements/diarrhée, céphalées, tremblements</w:t>
            </w:r>
          </w:p>
        </w:tc>
        <w:tc>
          <w:tcPr>
            <w:tcW w:type="dxa" w:w="1336"/>
          </w:tcPr>
          <w:p>
            <w:r>
              <w:rPr>
                <w:sz w:val="20"/>
              </w:rPr>
              <w:t>Antécédent césarienne/hystérotomie (CI absolue), souffrance fœtale, saignement actif, présentation anormale, association ocytocine (CI absolue)</w:t>
            </w:r>
          </w:p>
        </w:tc>
        <w:tc>
          <w:tcPr>
            <w:tcW w:type="dxa" w:w="1336"/>
          </w:tcPr>
          <w:p>
            <w:r>
              <w:rPr>
                <w:sz w:val="20"/>
              </w:rPr>
              <w:t>Grossesse : compatible (terme ≥ 37 SA, maturation cervicale) / Allaitement : compatible</w:t>
            </w:r>
          </w:p>
        </w:tc>
      </w:tr>
      <w:tr>
        <w:tc>
          <w:tcPr>
            <w:tcW w:type="dxa" w:w="1336"/>
          </w:tcPr>
          <w:p>
            <w:r>
              <w:rPr>
                <w:sz w:val="20"/>
              </w:rPr>
              <w:t>**Misoprostol (PGE1)**</w:t>
            </w:r>
          </w:p>
        </w:tc>
        <w:tc>
          <w:tcPr>
            <w:tcW w:type="dxa" w:w="1336"/>
          </w:tcPr>
          <w:p>
            <w:r>
              <w:rPr>
                <w:sz w:val="20"/>
              </w:rPr>
              <w:t>Prostaglandine E1</w:t>
            </w:r>
          </w:p>
        </w:tc>
        <w:tc>
          <w:tcPr>
            <w:tcW w:type="dxa" w:w="1336"/>
          </w:tcPr>
          <w:p>
            <w:r>
              <w:rPr>
                <w:sz w:val="20"/>
              </w:rPr>
              <w:t>Agoniste EP1/EP2/EP3/EP4 → contractions utérines puissantes, maturation cervicale, inhibition sécrétion acide gastrique</w:t>
            </w:r>
          </w:p>
        </w:tc>
        <w:tc>
          <w:tcPr>
            <w:tcW w:type="dxa" w:w="1336"/>
          </w:tcPr>
          <w:p>
            <w:r>
              <w:rPr>
                <w:sz w:val="20"/>
              </w:rPr>
              <w:t>IVG : 400-800 µg sublingual/oral (après mifépristone 200-600 mg J1) ; IMG : 400-800 µg /3-6 h ; HPP : 800-1000 µg rectal unique ; Déclenchement : 25 µg vaginal/4-6 h (hors AMM)</w:t>
            </w:r>
          </w:p>
        </w:tc>
        <w:tc>
          <w:tcPr>
            <w:tcW w:type="dxa" w:w="1336"/>
          </w:tcPr>
          <w:p>
            <w:r>
              <w:rPr>
                <w:sz w:val="20"/>
              </w:rPr>
              <w:t>Diarrhée (30-40 %), douleurs abdominales, fièvre, frissons, tremblements, nausées/vomissements, hyperstimulation utérine, rupture utérine (rare)</w:t>
            </w:r>
          </w:p>
        </w:tc>
        <w:tc>
          <w:tcPr>
            <w:tcW w:type="dxa" w:w="1336"/>
          </w:tcPr>
          <w:p>
            <w:r>
              <w:rPr>
                <w:sz w:val="20"/>
              </w:rPr>
              <w:t>Grossesse à mener hors IVG/IMG/HPP (CI ABSOLUE), antécédent césarienne (CI relative pour déclenchement), ins. hépatique sévère, association ocytocine/PGE2 (CI absolue)</w:t>
            </w:r>
          </w:p>
        </w:tc>
        <w:tc>
          <w:tcPr>
            <w:tcW w:type="dxa" w:w="1336"/>
          </w:tcPr>
          <w:p>
            <w:r>
              <w:rPr>
                <w:sz w:val="20"/>
              </w:rPr>
              <w:t>Grossesse : CI absolue hors IVG/IMG/HPP / Allaitement : compatible (dose unique)</w:t>
            </w:r>
          </w:p>
        </w:tc>
      </w:tr>
    </w:tbl>
    <w:p/>
    <w:p>
      <w:pPr>
        <w:pStyle w:val="Heading2"/>
      </w:pPr>
      <w:r>
        <w:t>Règles d'Or Absolues — Tocolyse et Déclenchement</w:t>
      </w:r>
    </w:p>
    <w:p>
      <w:pPr>
        <w:pStyle w:val="Heading3"/>
      </w:pPr>
      <w:r>
        <w:t>1. Tocolyse maximale 48 heures</w:t>
      </w:r>
    </w:p>
    <w:p>
      <w:r>
        <w:t>La tocolyse (atosiban ou nifédipine) ne doit jamais excéder 48 heures. Au-delà, le bénéfice (corticothérapie anténatale pour maturation pulmonaire fœtale + transfert in utero) est contrebalancé par les risques (surinfection, RCIU, souffrance fœtale, inefficacité). Toute prolongation doit être discutée en staff multidisciplinaire et tracée.</w:t>
      </w:r>
    </w:p>
    <w:p>
      <w:pPr>
        <w:pStyle w:val="Heading3"/>
      </w:pPr>
      <w:r>
        <w:t>2. Fenêtre d'âge gestationnel stricte</w:t>
      </w:r>
    </w:p>
    <w:p>
      <w:r>
        <w:t xml:space="preserve">La tocolyse est indiquée entre </w:t>
      </w:r>
      <w:r>
        <w:rPr>
          <w:b/>
        </w:rPr>
        <w:t>24 et 33+6 SA</w:t>
      </w:r>
      <w:r>
        <w:t xml:space="preserve"> (atosiban) ou </w:t>
      </w:r>
      <w:r>
        <w:rPr>
          <w:b/>
        </w:rPr>
        <w:t>24 et 34 SA</w:t>
      </w:r>
      <w:r>
        <w:t xml:space="preserve"> (nifédipine selon recommandations). Avant 24 SA : pas de tocolyse (risque fœtal majeur, inefficacité). Après 34 SA : pas de tocolyse (la maturation pulmonaire est acquise, l'accouchement est légitime).</w:t>
      </w:r>
    </w:p>
    <w:p>
      <w:pPr>
        <w:pStyle w:val="Heading3"/>
      </w:pPr>
      <w:r>
        <w:t>3. Association ocytocine + prostaglandines : CI ABSOLUE</w:t>
      </w:r>
    </w:p>
    <w:p>
      <w:r>
        <w:t xml:space="preserve">L'association ocytocine + dinoprostone (Propess) ou ocytocine + misoprostol est </w:t>
      </w:r>
      <w:r>
        <w:rPr>
          <w:b/>
        </w:rPr>
        <w:t>contre-indiquée absolue</w:t>
      </w:r>
      <w:r>
        <w:t xml:space="preserve"> en raison du risque majeur d'hyperstimulation utérine, de rupture utérine et de souffrance fœtale aiguë. Respecter un délai minimum de </w:t>
      </w:r>
      <w:r>
        <w:rPr>
          <w:b/>
        </w:rPr>
        <w:t>30 minutes à 6 heures</w:t>
      </w:r>
      <w:r>
        <w:t xml:space="preserve"> après retrait du Propess, et un délai suffisant après la dernière dose de misoprostol, avant toute administration d'ocytocine.</w:t>
      </w:r>
    </w:p>
    <w:p>
      <w:pPr>
        <w:pStyle w:val="Heading3"/>
      </w:pPr>
      <w:r>
        <w:t>4. Misoprostol : CI absolue en grossesse à mener hors IVG/IMG/HPP</w:t>
      </w:r>
    </w:p>
    <w:p>
      <w:r>
        <w:t xml:space="preserve">Le misoprostol ne doit </w:t>
      </w:r>
      <w:r>
        <w:rPr>
          <w:b/>
        </w:rPr>
        <w:t>jamais</w:t>
      </w:r>
      <w:r>
        <w:t xml:space="preserve"> être administré à une femme enceinte ayant une grossesse à mener hors protocoles stricts d'IVG, d'IMG ou d'hémorragie du post-partum. Le risque est majeur : avortement induit, hyperstimulation, rupture utérine (surtout sur utérus cicatriciel), syndrome de Möbius, anomalies vasculaires fœtales.</w:t>
      </w:r>
    </w:p>
    <w:p>
      <w:pPr>
        <w:pStyle w:val="Heading3"/>
      </w:pPr>
      <w:r>
        <w:t>5. Hyperstimulation utérine : arrêt immédiat + tocolyse de sauvetage</w:t>
      </w:r>
    </w:p>
    <w:p>
      <w:r>
        <w:t xml:space="preserve">Toute hyperstimulation utérine (tachysystolie ≥ 5 contractions/10 min, contractions &gt; 2 min, hypertonus, décélérations du RCF) impose : (1) </w:t>
      </w:r>
      <w:r>
        <w:rPr>
          <w:b/>
        </w:rPr>
        <w:t>arrêt immédiat</w:t>
      </w:r>
      <w:r>
        <w:t xml:space="preserve"> de l'ocytocine ou de la prostaglandine (retrait du Propess, lavage vaginal si misoprostol) ; (2) </w:t>
      </w:r>
      <w:r>
        <w:rPr>
          <w:b/>
        </w:rPr>
        <w:t>décubitus latéral gauche</w:t>
      </w:r>
      <w:r>
        <w:t xml:space="preserve"> ; (3) </w:t>
      </w:r>
      <w:r>
        <w:rPr>
          <w:b/>
        </w:rPr>
        <w:t>oxygénothérapie</w:t>
      </w:r>
      <w:r>
        <w:t xml:space="preserve"> 6-8 L/min ; (4) </w:t>
      </w:r>
      <w:r>
        <w:rPr>
          <w:b/>
        </w:rPr>
        <w:t>remplissage vasculaire</w:t>
      </w:r>
      <w:r>
        <w:t xml:space="preserve"> 500 mL NaCl 0,9 % ; (5) </w:t>
      </w:r>
      <w:r>
        <w:rPr>
          <w:b/>
        </w:rPr>
        <w:t>tocolyse de sauvetage</w:t>
      </w:r>
      <w:r>
        <w:t xml:space="preserve"> si persistance (atosiban 6,75 mg IV bolus, ou nifédipine 20 mg per os, ou sulfate de magnésium 4 g IV lente) ; (6) </w:t>
      </w:r>
      <w:r>
        <w:rPr>
          <w:b/>
        </w:rPr>
        <w:t>césarienne en urgence</w:t>
      </w:r>
      <w:r>
        <w:t xml:space="preserve"> si échec ou souffrance fœtale sévère.</w:t>
      </w:r>
    </w:p>
    <w:p>
      <w:pPr>
        <w:pStyle w:val="Heading3"/>
      </w:pPr>
      <w:r>
        <w:t>6. Monitoring fœtal et utérin continu obligatoire</w:t>
      </w:r>
    </w:p>
    <w:p>
      <w:r>
        <w:t xml:space="preserve">Toute administration de tocolytique, ocytocine ou prostaglandine requiert un </w:t>
      </w:r>
      <w:r>
        <w:rPr>
          <w:b/>
        </w:rPr>
        <w:t>monitoring cardiotocographique continu</w:t>
      </w:r>
      <w:r>
        <w:t xml:space="preserve"> (tocographie externe + rythme cardiaque fœtal) pendant toute la durée de perfusion et jusqu'à 30 min après l'arrêt. Pas d'exception. Pas d'administration en ambulatoire.</w:t>
      </w:r>
    </w:p>
    <w:p>
      <w:pPr>
        <w:pStyle w:val="Heading3"/>
      </w:pPr>
      <w:r>
        <w:t>7. Voie orale pour la nifédipine, jamais sublinguale</w:t>
      </w:r>
    </w:p>
    <w:p>
      <w:r>
        <w:t xml:space="preserve">La nifédipine sublinguale (gélule mordue) est </w:t>
      </w:r>
      <w:r>
        <w:rPr>
          <w:b/>
        </w:rPr>
        <w:t>déconseillée</w:t>
      </w:r>
      <w:r>
        <w:t xml:space="preserve"> en raison du risque d'hypotension brutale (libération trop rapide). Préférer la forme orale LP à 20 mg. Pour la dose d'attaque en tocolyse, avaler 2 gélules à 10 mg entières ou 1 comprimé LP à 20 mg.</w:t>
      </w:r>
    </w:p>
    <w:p>
      <w:pPr>
        <w:pStyle w:val="Heading3"/>
      </w:pPr>
      <w:r>
        <w:t>8. Ocytocine : dilution en NaCl 0,9 %, jamais en G5 %</w:t>
      </w:r>
    </w:p>
    <w:p>
      <w:r>
        <w:t xml:space="preserve">L'ocytocine doit impérativement être diluée en </w:t>
      </w:r>
      <w:r>
        <w:rPr>
          <w:b/>
        </w:rPr>
        <w:t>NaCl 0,9 %</w:t>
      </w:r>
      <w:r>
        <w:t>, jamais en soluté glucosé (G5 %) en raison du risque d'hyponatrémie aiguë (water intoxication) par effet anti-diurétique V2-like potentialisé. Surveillance ionogramme si perfusion prolongée &gt; 8 h ou dose &gt; 20 mUI/min.</w:t>
      </w:r>
    </w:p>
    <w:p>
      <w:pPr>
        <w:pStyle w:val="Heading3"/>
      </w:pPr>
      <w:r>
        <w:t>9. Antécédent de césarienne : CI absolue pour Propess</w:t>
      </w:r>
    </w:p>
    <w:p>
      <w:r>
        <w:t xml:space="preserve">La dinoprostone (Propess) est </w:t>
      </w:r>
      <w:r>
        <w:rPr>
          <w:b/>
        </w:rPr>
        <w:t>contre-indiquée absolue</w:t>
      </w:r>
      <w:r>
        <w:t xml:space="preserve"> en cas d'antécédent de césarienne, de myomectomie transfixiante ou d'hystérotomie, en raison du risque majeur de rupture utérine (× 3-5). Vérifier systématiquement les antécédents obstétricaux avant validation de la prescription.</w:t>
      </w:r>
    </w:p>
    <w:p>
      <w:pPr>
        <w:pStyle w:val="Heading3"/>
      </w:pPr>
      <w:r>
        <w:t>10. Corticothérapie anténatale systématique associée à la tocolyse</w:t>
      </w:r>
    </w:p>
    <w:p>
      <w:r>
        <w:t xml:space="preserve">Toute tocolyse pour MAP entre 24 et 34 SA doit être associée à une </w:t>
      </w:r>
      <w:r>
        <w:rPr>
          <w:b/>
        </w:rPr>
        <w:t>corticothérapie anténatale</w:t>
      </w:r>
      <w:r>
        <w:t xml:space="preserve"> (bétaméthasone 12 mg IM J1 + J2, ou dexaméthasone 6 mg IM q12h × 4 doses) pour maturation pulmonaire fœtale. Sans corticothérapie, la tocolyse n'a pas de justification.</w:t>
      </w:r>
    </w:p>
    <w:p>
      <w:pPr>
        <w:pStyle w:val="Heading2"/>
      </w:pPr>
      <w:r>
        <w:t>Pièges Majeurs au Comptoir (Récapitulatif)</w:t>
      </w:r>
    </w:p>
    <w:p>
      <w:pPr>
        <w:pStyle w:val="ListNumber"/>
      </w:pPr>
      <w:r/>
      <w:r>
        <w:rPr>
          <w:b/>
        </w:rPr>
        <w:t>Tocolyse &gt; 48 h</w:t>
      </w:r>
      <w:r>
        <w:t xml:space="preserve"> : aucune justification, risque infectieux et de RCIU.</w:t>
      </w:r>
    </w:p>
    <w:p>
      <w:pPr>
        <w:pStyle w:val="ListNumber"/>
      </w:pPr>
      <w:r/>
      <w:r>
        <w:rPr>
          <w:b/>
        </w:rPr>
        <w:t>Atosiban : confusion des flacons</w:t>
      </w:r>
      <w:r>
        <w:t xml:space="preserve"> : toujours vérifier la concentration (flacon 0,9 mL bolus 6,75 mg vs flacon 5 mL perfusion 37,5 mg) et la voie.</w:t>
      </w:r>
    </w:p>
    <w:p>
      <w:pPr>
        <w:pStyle w:val="ListNumber"/>
      </w:pPr>
      <w:r/>
      <w:r>
        <w:rPr>
          <w:b/>
        </w:rPr>
        <w:t>Nifédipine : forme sublinguale encore prescrite par erreur</w:t>
      </w:r>
      <w:r>
        <w:t xml:space="preserve"> : à éviter absolument (hypotension brutale). Préférer per os LP.</w:t>
      </w:r>
    </w:p>
    <w:p>
      <w:pPr>
        <w:pStyle w:val="ListNumber"/>
      </w:pPr>
      <w:r/>
      <w:r>
        <w:rPr>
          <w:b/>
        </w:rPr>
        <w:t>Nifédipine : association avec bêtabloquant</w:t>
      </w:r>
      <w:r>
        <w:t xml:space="preserve"> (labétalol en HTA gravidique associée) : risque d'effet cardiodépresseur cumulatif.</w:t>
      </w:r>
    </w:p>
    <w:p>
      <w:pPr>
        <w:pStyle w:val="ListNumber"/>
      </w:pPr>
      <w:r/>
      <w:r>
        <w:rPr>
          <w:b/>
        </w:rPr>
        <w:t>Nifédipine : jus de pamplemousse</w:t>
      </w:r>
      <w:r>
        <w:t xml:space="preserve"> : aliments à interdire (inhibition CYP3A4, surdosage).</w:t>
      </w:r>
    </w:p>
    <w:p>
      <w:pPr>
        <w:pStyle w:val="ListNumber"/>
      </w:pPr>
      <w:r/>
      <w:r>
        <w:rPr>
          <w:b/>
        </w:rPr>
        <w:t>Ocytocine : association avec prostaglandines</w:t>
      </w:r>
      <w:r>
        <w:t xml:space="preserve"> : CI absolue, respecter 6 h de délai après retrait du Propess.</w:t>
      </w:r>
    </w:p>
    <w:p>
      <w:pPr>
        <w:pStyle w:val="ListNumber"/>
      </w:pPr>
      <w:r/>
      <w:r>
        <w:rPr>
          <w:b/>
        </w:rPr>
        <w:t>Ocytocine : perfusion libre par gravité</w:t>
      </w:r>
      <w:r>
        <w:t xml:space="preserve"> : à proscrire absolument, utiliser PSE ou pompe péristaltique.</w:t>
      </w:r>
    </w:p>
    <w:p>
      <w:pPr>
        <w:pStyle w:val="ListNumber"/>
      </w:pPr>
      <w:r/>
      <w:r>
        <w:rPr>
          <w:b/>
        </w:rPr>
        <w:t>Ocytocine : dilution en G5 %</w:t>
      </w:r>
      <w:r>
        <w:t xml:space="preserve"> : à proscrire (hyponatrémie), toujours NaCl 0,9 %.</w:t>
      </w:r>
    </w:p>
    <w:p>
      <w:pPr>
        <w:pStyle w:val="ListNumber"/>
      </w:pPr>
      <w:r/>
      <w:r>
        <w:rPr>
          <w:b/>
        </w:rPr>
        <w:t>Ocytocine : erreur de concentration Labroxin</w:t>
      </w:r>
      <w:r>
        <w:t xml:space="preserve"> (5 UI/0,5 mL = 10 UI/mL) : toujours diluer avant perfusion IV.</w:t>
      </w:r>
    </w:p>
    <w:p>
      <w:pPr>
        <w:pStyle w:val="ListNumber"/>
      </w:pPr>
      <w:r/>
      <w:r>
        <w:rPr>
          <w:b/>
        </w:rPr>
        <w:t>Propess : pose chez femme avec antécédent de césarienne</w:t>
      </w:r>
      <w:r>
        <w:t xml:space="preserve"> : CI absolue. Vérifier systématiquement les antécédents.</w:t>
      </w:r>
    </w:p>
    <w:p>
      <w:pPr>
        <w:pStyle w:val="ListNumber"/>
      </w:pPr>
      <w:r/>
      <w:r>
        <w:rPr>
          <w:b/>
        </w:rPr>
        <w:t>Propess : oubli de retrait à 24 h</w:t>
      </w:r>
      <w:r>
        <w:t xml:space="preserve"> : surveillance CTG stricte, retrait à 24 h max.</w:t>
      </w:r>
    </w:p>
    <w:p>
      <w:pPr>
        <w:pStyle w:val="ListNumber"/>
      </w:pPr>
      <w:r/>
      <w:r>
        <w:rPr>
          <w:b/>
        </w:rPr>
        <w:t>Propess : non-reconnaissance de l'hyperstimulation</w:t>
      </w:r>
      <w:r>
        <w:t xml:space="preserve"> : surveillance CTG, retrait immédiat si tachysystolie ≥ 5/10 min.</w:t>
      </w:r>
    </w:p>
    <w:p>
      <w:pPr>
        <w:pStyle w:val="ListNumber"/>
      </w:pPr>
      <w:r/>
      <w:r>
        <w:rPr>
          <w:b/>
        </w:rPr>
        <w:t>Misoprostol : usage en cours de grossesse à mener</w:t>
      </w:r>
      <w:r>
        <w:t xml:space="preserve"> : CI ABSOLUE absolument vitale (avortement, hyperstimulation, rupture utérine, syndrome de Möbius).</w:t>
      </w:r>
    </w:p>
    <w:p>
      <w:pPr>
        <w:pStyle w:val="ListNumber"/>
      </w:pPr>
      <w:r/>
      <w:r>
        <w:rPr>
          <w:b/>
        </w:rPr>
        <w:t>Misoprostol : dose excessive pour déclenchement à terme</w:t>
      </w:r>
      <w:r>
        <w:t xml:space="preserve"> (≥ 50 µg/dose) : risque majeur d'hyperstimulation. Respecter 25 µg par dose.</w:t>
      </w:r>
    </w:p>
    <w:p>
      <w:pPr>
        <w:pStyle w:val="ListNumber"/>
      </w:pPr>
      <w:r/>
      <w:r>
        <w:rPr>
          <w:b/>
        </w:rPr>
        <w:t>Misoprostol : non-information de la patiente en IVG</w:t>
      </w:r>
      <w:r>
        <w:t xml:space="preserve"> sur les EI attendus (diarrhée, fièvre, crampes) : source de mauvaise observance.</w:t>
      </w:r>
    </w:p>
    <w:p>
      <w:pPr>
        <w:pStyle w:val="ListNumber"/>
      </w:pPr>
      <w:r/>
      <w:r>
        <w:rPr>
          <w:b/>
        </w:rPr>
        <w:t>Misoprostol : non-consultation de contrôle post-IVG</w:t>
      </w:r>
      <w:r>
        <w:t xml:space="preserve"> (J14-J21) : risque de rétention méconnue, d'infection.</w:t>
      </w:r>
    </w:p>
    <w:p>
      <w:pPr>
        <w:pStyle w:val="ListNumber"/>
      </w:pPr>
      <w:r/>
      <w:r>
        <w:rPr>
          <w:b/>
        </w:rPr>
        <w:t>Indisponibilité algérienne</w:t>
      </w:r>
      <w:r>
        <w:t xml:space="preserve"> : nifédipine (toutes marques retirées/non renouvelables) et misoprostol (Misotec® retiré) — vérifier la disponibilité réelle et signaler toute rupture aux autorités sanitaires.</w:t>
      </w:r>
    </w:p>
    <w:p>
      <w:pPr>
        <w:pStyle w:val="Heading2"/>
      </w:pPr>
      <w:r>
        <w:t>Points-Clés de la Nomenclature Algérienne (Avril 2026)</w:t>
      </w:r>
    </w:p>
    <w:p>
      <w:pPr>
        <w:pStyle w:val="Heading3"/>
      </w:pPr>
      <w:r>
        <w:t>Atosiban</w:t>
      </w:r>
    </w:p>
    <w:p>
      <w:pPr>
        <w:pStyle w:val="ListBullet"/>
      </w:pPr>
      <w:r/>
      <w:r>
        <w:rPr>
          <w:b/>
        </w:rPr>
        <w:t>2 marques actives</w:t>
      </w:r>
      <w:r>
        <w:t xml:space="preserve"> (Liste I) : Tractocile® (Ferring) et Atosiban Ever Pharma® (Ever Valinjct).</w:t>
      </w:r>
    </w:p>
    <w:p>
      <w:pPr>
        <w:pStyle w:val="ListBullet"/>
      </w:pPr>
      <w:r>
        <w:t>2 formes par marque : flacon bolus 0,9 mL (6,75 mg) + flacon perfusion 5 mL (37,5 mg).</w:t>
      </w:r>
    </w:p>
    <w:p>
      <w:pPr>
        <w:pStyle w:val="ListBullet"/>
      </w:pPr>
      <w:r>
        <w:t>Marché stable, disponibilité assurée.</w:t>
      </w:r>
    </w:p>
    <w:p>
      <w:pPr>
        <w:pStyle w:val="Heading3"/>
      </w:pPr>
      <w:r>
        <w:t>Nifédipine</w:t>
      </w:r>
    </w:p>
    <w:p>
      <w:pPr>
        <w:pStyle w:val="ListBullet"/>
      </w:pPr>
      <w:r/>
      <w:r>
        <w:rPr>
          <w:b/>
        </w:rPr>
        <w:t>0 marque strictement active</w:t>
      </w:r>
      <w:r>
        <w:t xml:space="preserve"> à la date d'Avril 2026.</w:t>
      </w:r>
    </w:p>
    <w:p>
      <w:pPr>
        <w:pStyle w:val="ListBullet"/>
      </w:pPr>
      <w:r>
        <w:t>4 marques non renouvelables : Adipine (Pharmalliance), Epilat 10 (Eipico), Myogard (UPM), Nidilat (Sanofi Dogu).</w:t>
      </w:r>
    </w:p>
    <w:p>
      <w:pPr>
        <w:pStyle w:val="ListBullet"/>
      </w:pPr>
      <w:r>
        <w:t>22 marques retirées (R) : Adalat, Nifedipine-Ratiopharm, Nifedicor, Nifelate, Nifedipine T20 Stada Retard, Cordipin Retard, Nifecard, Nifedipal, Nifelat Retard, Adalat Retard, Epilat, Myogard Retard, Nifedar, Nifar, Zenusin-10, Zenusin-20 SR, Coracten, Corotrend 10, Fenamon SR, Angilat, etc.</w:t>
      </w:r>
    </w:p>
    <w:p>
      <w:pPr>
        <w:pStyle w:val="ListBullet"/>
      </w:pPr>
      <w:r/>
      <w:r>
        <w:rPr>
          <w:b/>
        </w:rPr>
        <w:t>Problème majeur</w:t>
      </w:r>
      <w:r>
        <w:t xml:space="preserve"> : indisponibilité effective qui peut compromettre l'accès à la tocolyse orale et impose le recours systématique à l'atosiban.</w:t>
      </w:r>
    </w:p>
    <w:p>
      <w:pPr>
        <w:pStyle w:val="Heading3"/>
      </w:pPr>
      <w:r>
        <w:t>Ocytocine</w:t>
      </w:r>
    </w:p>
    <w:p>
      <w:pPr>
        <w:pStyle w:val="ListBullet"/>
      </w:pPr>
      <w:r/>
      <w:r>
        <w:rPr>
          <w:b/>
        </w:rPr>
        <w:t>4 marques actives</w:t>
      </w:r>
      <w:r>
        <w:t xml:space="preserve"> (Liste II) : Syntocinon (BGP Products), Oxytocine Ever Pharma (Ever Neuro Pharma), Postuitrin (Ulagay), Labroxin (Hikma Pharma Algeria).</w:t>
      </w:r>
    </w:p>
    <w:p>
      <w:pPr>
        <w:pStyle w:val="ListBullet"/>
      </w:pPr>
      <w:r>
        <w:t>1 marque non renouvelable : Oxytocine (Biologici Italia).</w:t>
      </w:r>
    </w:p>
    <w:p>
      <w:pPr>
        <w:pStyle w:val="ListBullet"/>
      </w:pPr>
      <w:r>
        <w:t>2 marques retirées (R) : Oxytocin (China Meheco), Weratocine 5 (Weimer Pharma).</w:t>
      </w:r>
    </w:p>
    <w:p>
      <w:pPr>
        <w:pStyle w:val="ListBullet"/>
      </w:pPr>
      <w:r>
        <w:t>Marché actif, disponibilité assurée. Attention particulière à Labroxin (5 UI/0,5 mL = 10 UI/mL, à diluer).</w:t>
      </w:r>
    </w:p>
    <w:p>
      <w:pPr>
        <w:pStyle w:val="Heading3"/>
      </w:pPr>
      <w:r>
        <w:t>Dinoprostone</w:t>
      </w:r>
    </w:p>
    <w:p>
      <w:pPr>
        <w:pStyle w:val="ListBullet"/>
      </w:pPr>
      <w:r/>
      <w:r>
        <w:rPr>
          <w:b/>
        </w:rPr>
        <w:t>1 seule marque active</w:t>
      </w:r>
      <w:r>
        <w:t xml:space="preserve"> (Liste I) : Propess® (Ferring GmbH) — dispositif vaginal à libération prolongée 10 mg, boîte de 5.</w:t>
      </w:r>
    </w:p>
    <w:p>
      <w:pPr>
        <w:pStyle w:val="ListBullet"/>
      </w:pPr>
      <w:r>
        <w:t>Aucune marque retirée. Marché monopolistique — dépendance unique à Ferring.</w:t>
      </w:r>
    </w:p>
    <w:p>
      <w:pPr>
        <w:pStyle w:val="Heading3"/>
      </w:pPr>
      <w:r>
        <w:t>Misoprostol</w:t>
      </w:r>
    </w:p>
    <w:p>
      <w:pPr>
        <w:pStyle w:val="ListBullet"/>
      </w:pPr>
      <w:r/>
      <w:r>
        <w:rPr>
          <w:b/>
        </w:rPr>
        <w:t>0 marque strictement active</w:t>
      </w:r>
      <w:r>
        <w:t xml:space="preserve"> à la date d'Avril 2026.</w:t>
      </w:r>
    </w:p>
    <w:p>
      <w:pPr>
        <w:pStyle w:val="ListBullet"/>
      </w:pPr>
      <w:r>
        <w:t>1 marque retirée (R) : Misotec (Biorem) — comprimé sécable 200 µg, B/60.</w:t>
      </w:r>
    </w:p>
    <w:p>
      <w:pPr>
        <w:pStyle w:val="ListBullet"/>
      </w:pPr>
      <w:r/>
      <w:r>
        <w:rPr>
          <w:b/>
        </w:rPr>
        <w:t>Problème majeur de santé publique</w:t>
      </w:r>
      <w:r>
        <w:t xml:space="preserve"> : indisponibilité effective compromettant l'accès à l'IVG médicamenteuse, à l'IMG, à l'HPP réfractaire, aux soins post-avortement. Ré-évaluation indispensable par les autorités algériennes.</w:t>
      </w:r>
    </w:p>
    <w:p>
      <w:pPr>
        <w:pStyle w:val="Heading2"/>
      </w:pPr>
      <w:r>
        <w:t>Conclusion du Chapitre 74</w:t>
      </w:r>
    </w:p>
    <w:p>
      <w:r>
        <w:t xml:space="preserve">La pharmacologie de la tocolyse et du déclenchement du travail obstétrical repose sur cinq molécules clés — atosiban, nifédipine, ocytocine, dinoprostone, misoprostol — qui partagent la particularité d'être </w:t>
      </w:r>
      <w:r>
        <w:rPr>
          <w:b/>
        </w:rPr>
        <w:t>strictement réservées à l'usage hospitalier obstétrical</w:t>
      </w:r>
      <w:r>
        <w:t xml:space="preserve"> et de nécessiter un monitoring fœtal et maternel continu. Ces médicaments, à la frontière entre la physiologie et la pharmacologie, illustrent la finesse des régulations ocytocine/prostaglandines/calcium qui gouvernent la contractilité utérine.</w:t>
      </w:r>
    </w:p>
    <w:p>
      <w:r>
        <w:t xml:space="preserve">Les </w:t>
      </w:r>
      <w:r>
        <w:rPr>
          <w:b/>
        </w:rPr>
        <w:t>points critiques à retenir</w:t>
      </w:r>
      <w:r>
        <w:t xml:space="preserve"> sont les suivants :</w:t>
      </w:r>
    </w:p>
    <w:p>
      <w:pPr>
        <w:pStyle w:val="ListNumber"/>
      </w:pPr>
      <w:r/>
      <w:r>
        <w:rPr>
          <w:b/>
        </w:rPr>
        <w:t>Tocolyse courte (48 h max)</w:t>
      </w:r>
      <w:r>
        <w:t xml:space="preserve"> pour maturation pulmonaire fœtale et transfert in utero — jamais prolongée. Corticothérapie anténatale systématiquement associée.</w:t>
      </w:r>
    </w:p>
    <w:p>
      <w:pPr>
        <w:pStyle w:val="ListNumber"/>
      </w:pPr>
      <w:r/>
      <w:r>
        <w:rPr>
          <w:b/>
        </w:rPr>
        <w:t>Atosiban = tocolytique de référence</w:t>
      </w:r>
      <w:r>
        <w:t xml:space="preserve"> : antagoniste OT-R spécifique, profil hémodynamique maternel supérieur, mais coût élevé et voie IV exclusive. Disponible en Algérie (2 marques actives).</w:t>
      </w:r>
    </w:p>
    <w:p>
      <w:pPr>
        <w:pStyle w:val="ListNumber"/>
      </w:pPr>
      <w:r/>
      <w:r>
        <w:rPr>
          <w:b/>
        </w:rPr>
        <w:t>Nifédipine = alternative orale à coût bas</w:t>
      </w:r>
      <w:r>
        <w:t xml:space="preserve">, mais </w:t>
      </w:r>
      <w:r>
        <w:rPr>
          <w:b/>
        </w:rPr>
        <w:t>indisponible en Algérie</w:t>
      </w:r>
      <w:r>
        <w:t xml:space="preserve"> à la date d'Avril 2026 — situation à corriger pour assurer la pluralité des options tocolytiques.</w:t>
      </w:r>
    </w:p>
    <w:p>
      <w:pPr>
        <w:pStyle w:val="ListNumber"/>
      </w:pPr>
      <w:r/>
      <w:r>
        <w:rPr>
          <w:b/>
        </w:rPr>
        <w:t>Ocytocine = médicament pivot du déclenchement et de l'hémostase obstétricale</w:t>
      </w:r>
      <w:r>
        <w:t>. Administration IV stricte sous monitoring CTG, dilution en NaCl 0,9 % (jamais G5 %), titration progressive 1-30 mUI/min. CI absolue avec prostaglandines.</w:t>
      </w:r>
    </w:p>
    <w:p>
      <w:pPr>
        <w:pStyle w:val="ListNumber"/>
      </w:pPr>
      <w:r/>
      <w:r>
        <w:rPr>
          <w:b/>
        </w:rPr>
        <w:t>Dinoprostone (Propess®) = maturation cervicale de référence</w:t>
      </w:r>
      <w:r>
        <w:t xml:space="preserve"> en cas de col défavorable. Dispositif vaginal à libération prolongée 24 h, retrait facile en cas d'hyperstimulation. CI absolue en cas d'antécédent de césarienne.</w:t>
      </w:r>
    </w:p>
    <w:p>
      <w:pPr>
        <w:pStyle w:val="ListNumber"/>
      </w:pPr>
      <w:r/>
      <w:r>
        <w:rPr>
          <w:b/>
        </w:rPr>
        <w:t>Misoprostol = molécule polyvalente</w:t>
      </w:r>
      <w:r>
        <w:t xml:space="preserve"> (IVG, IMG, HPP, déclenchement hors AMM), mais </w:t>
      </w:r>
      <w:r>
        <w:rPr>
          <w:b/>
        </w:rPr>
        <w:t>CI absolue en cours de grossesse à mener</w:t>
      </w:r>
      <w:r>
        <w:t xml:space="preserve"> hors protocoles IVG/IMG/HPP. </w:t>
      </w:r>
      <w:r>
        <w:rPr>
          <w:b/>
        </w:rPr>
        <w:t>Indisponible en Algérie</w:t>
      </w:r>
      <w:r>
        <w:t xml:space="preserve"> à la date d'Avril 2026 — problème de santé publique majeur.</w:t>
      </w:r>
    </w:p>
    <w:p>
      <w:pPr>
        <w:pStyle w:val="ListNumber"/>
      </w:pPr>
      <w:r/>
      <w:r>
        <w:rPr>
          <w:b/>
        </w:rPr>
        <w:t>Hyperstimulation utérine = urgence vitale fœtale</w:t>
      </w:r>
      <w:r>
        <w:t xml:space="preserve"> : arrêt immédiat + tocolyse de sauvetage + césarienne si échec.</w:t>
      </w:r>
    </w:p>
    <w:p>
      <w:pPr>
        <w:pStyle w:val="ListNumber"/>
      </w:pPr>
      <w:r/>
      <w:r>
        <w:rPr>
          <w:b/>
        </w:rPr>
        <w:t>Association ocytocine + prostaglandines = CI absolue</w:t>
      </w:r>
      <w:r>
        <w:t xml:space="preserve"> : respecter 30 min à 6 h de délai.</w:t>
      </w:r>
    </w:p>
    <w:p>
      <w:r>
        <w:t xml:space="preserve">Les sources internationales de référence sont le </w:t>
      </w:r>
      <w:r>
        <w:rPr>
          <w:b/>
        </w:rPr>
        <w:t>CNGOF</w:t>
      </w:r>
      <w:r>
        <w:t xml:space="preserve"> (Collège National des Gynécologues et Obstétriciens Français, recommandations 2017 sur la MAP et 2018 sur le déclenchement), la </w:t>
      </w:r>
      <w:r>
        <w:rPr>
          <w:b/>
        </w:rPr>
        <w:t>HAS</w:t>
      </w:r>
      <w:r>
        <w:t xml:space="preserve"> (Haute Autorité de Santé, recommandations 2023 sur le déclenchement du travail), l'</w:t>
      </w:r>
      <w:r>
        <w:rPr>
          <w:b/>
        </w:rPr>
        <w:t>OMS/WHO</w:t>
      </w:r>
      <w:r>
        <w:t xml:space="preserve"> (Recommandations 2018 sur le déclenchement, 2022 sur l'HPP), la </w:t>
      </w:r>
      <w:r>
        <w:rPr>
          <w:b/>
        </w:rPr>
        <w:t>NICE</w:t>
      </w:r>
      <w:r>
        <w:t xml:space="preserve"> (National Institute for Health and Care Excellence, UK, 2022), le </w:t>
      </w:r>
      <w:r>
        <w:rPr>
          <w:b/>
        </w:rPr>
        <w:t>CRAT</w:t>
      </w:r>
      <w:r>
        <w:t xml:space="preserve"> (Centre de Renseignement sur les Agents Téragénogènes, Hôpital Armand-Trousseau Paris), le </w:t>
      </w:r>
      <w:r>
        <w:rPr>
          <w:b/>
        </w:rPr>
        <w:t>VIDAL</w:t>
      </w:r>
      <w:r>
        <w:t xml:space="preserve"> et la </w:t>
      </w:r>
      <w:r>
        <w:rPr>
          <w:b/>
        </w:rPr>
        <w:t>Thériaque</w:t>
      </w:r>
      <w:r>
        <w:t xml:space="preserve"> pour les RCP français, et </w:t>
      </w:r>
      <w:r>
        <w:rPr>
          <w:b/>
        </w:rPr>
        <w:t>UpToDate</w:t>
      </w:r>
      <w:r>
        <w:t xml:space="preserve"> pour la synthèse internationale.</w:t>
      </w:r>
    </w:p>
    <w:p>
      <w:pPr>
        <w:pStyle w:val="Heading2"/>
      </w:pPr>
      <w:r>
        <w:t>Sources Bibliographiques</w:t>
      </w:r>
    </w:p>
    <w:p>
      <w:pPr>
        <w:pStyle w:val="ListNumber"/>
      </w:pPr>
      <w:r>
        <w:t>VIDAL 2026 — Dictionnaire des médicaments.</w:t>
      </w:r>
    </w:p>
    <w:p>
      <w:pPr>
        <w:pStyle w:val="ListNumber"/>
      </w:pPr>
      <w:r>
        <w:t>ANSM — Résumés des Caractéristiques du Produit (RCP) — Tractocile, Adalat, Syntocinon, Propess, Misotec.</w:t>
      </w:r>
    </w:p>
    <w:p>
      <w:pPr>
        <w:pStyle w:val="ListNumber"/>
      </w:pPr>
      <w:r>
        <w:t>Thériaque — Banque de données pharmaceutiques.</w:t>
      </w:r>
    </w:p>
    <w:p>
      <w:pPr>
        <w:pStyle w:val="ListNumber"/>
      </w:pPr>
      <w:r>
        <w:t>CRAT (Centre de Renseignement sur les Agents Téragénogènes) — Fiches Atosiban, Nifédipine, Ocytocine, Dinoprostone, Misoprostol — https://www.lecrat.fr</w:t>
      </w:r>
    </w:p>
    <w:p>
      <w:pPr>
        <w:pStyle w:val="ListNumber"/>
      </w:pPr>
      <w:r>
        <w:t>CNGOF — Recommandations pour la pratique clinique : « Menace d'accouchement prématuré » (2017) ; « Déclenchement du travail » (2018) ; « Hémorragie du post-partum » (2015, mise à jour 2023).</w:t>
      </w:r>
    </w:p>
    <w:p>
      <w:pPr>
        <w:pStyle w:val="ListNumber"/>
      </w:pPr>
      <w:r>
        <w:t>WHO — Recommendations on Induction of Labour (2018) ; Recommendations on Prevention and Treatment of Postpartum Haemorrhage (2022).</w:t>
      </w:r>
    </w:p>
    <w:p>
      <w:pPr>
        <w:pStyle w:val="ListNumber"/>
      </w:pPr>
      <w:r>
        <w:t>NICE — Inducing labour (NG207, 2022).</w:t>
      </w:r>
    </w:p>
    <w:p>
      <w:pPr>
        <w:pStyle w:val="ListNumber"/>
      </w:pPr>
      <w:r>
        <w:t>HAS — « Déclenchement du travail à partir de 37 semaines d'aménorrhée » (2023).</w:t>
      </w:r>
    </w:p>
    <w:p>
      <w:pPr>
        <w:pStyle w:val="ListNumber"/>
      </w:pPr>
      <w:r>
        <w:t>FIGO — Consensus guidelines on postpartum hemorrhage (2012, mise à jour 2022).</w:t>
      </w:r>
    </w:p>
    <w:p>
      <w:pPr>
        <w:pStyle w:val="ListNumber"/>
      </w:pPr>
      <w:r>
        <w:t>UpToDate — « Tocolysis for preterm labor », « Induction of labor », « Postpartum hemorrhage ».</w:t>
      </w:r>
    </w:p>
    <w:p>
      <w:pPr>
        <w:pStyle w:val="ListNumber"/>
      </w:pPr>
      <w:r>
        <w:t>Cochrane Database — Reviews on tocolytics (atosiban, nifédipine), dinoprostone vs misoprostol for induction, misoprostol for PPH.</w:t>
      </w:r>
    </w:p>
    <w:p>
      <w:pPr>
        <w:pStyle w:val="ListNumber"/>
      </w:pPr>
      <w:r>
        <w:t>LactMed (National Library of Medicine) — Fiches Atosiban, Nifédipine, Ocytocine, Dinoprostone, Misoprostol.</w:t>
      </w:r>
    </w:p>
    <w:p>
      <w:pPr>
        <w:pStyle w:val="ListNumber"/>
      </w:pPr>
      <w:r>
        <w:t>Nomenclature Algérienne des Médicaments — Avril 2026 (COMPLETE LISTE.xlsx).</w:t>
      </w:r>
    </w:p>
    <w:p>
      <w:r/>
      <w:r>
        <w:rPr>
          <w:i/>
        </w:rPr>
        <w:t>Fin du Chapitre 74 — Fascicule IX — Gynécologie/Obstétrique.</w:t>
      </w:r>
      <w:r/>
    </w:p>
    <w:p>
      <w:pPr>
        <w:pStyle w:val="Heading1"/>
      </w:pPr>
      <w:r>
        <w:t>Chapitre 75 — Ménorragies et antifibrinolytiques : Acide tranexamique</w:t>
      </w:r>
    </w:p>
    <w:p>
      <w:pPr>
        <w:ind w:left="567"/>
      </w:pPr>
      <w:r>
        <w:rPr>
          <w:i/>
          <w:color w:val="606060"/>
        </w:rPr>
        <w:t>**Fascicule IX — Gynécologie / Obstétrique**</w:t>
      </w:r>
    </w:p>
    <w:p>
      <w:pPr>
        <w:ind w:left="567"/>
      </w:pPr>
      <w:r>
        <w:rPr>
          <w:i/>
          <w:color w:val="606060"/>
        </w:rPr>
        <w:t>*Chapitre 2 (et dernier) du Fascicule IX — fait suite au Chapitre 74 (Tocolyse et déclenchement du travail)*</w:t>
      </w:r>
    </w:p>
    <w:p>
      <w:pPr>
        <w:ind w:left="567"/>
      </w:pPr>
      <w:r>
        <w:rPr>
          <w:i/>
          <w:color w:val="606060"/>
        </w:rPr>
        <w:t>*Sous-classe thérapeutique : Ménorragies – Antifibrinolytiques (acide tranexamique)*</w:t>
      </w:r>
    </w:p>
    <w:p>
      <w:pPr>
        <w:ind w:left="567"/>
      </w:pPr>
      <w:r>
        <w:rPr>
          <w:i/>
          <w:color w:val="606060"/>
        </w:rPr>
        <w:t>*Nomenclature algérienne des médicaments — Avril 2026*</w:t>
      </w:r>
    </w:p>
    <w:p>
      <w:pPr>
        <w:pStyle w:val="Heading2"/>
      </w:pPr>
      <w:r>
        <w:t>Sommaire du chapitre</w:t>
      </w:r>
    </w:p>
    <w:p>
      <w:pPr>
        <w:pStyle w:val="ListNumber"/>
      </w:pPr>
      <w:r>
        <w:t>Vue d'ensemble des ménorragies et de la place des antifibrinolytiques en gynécologie</w:t>
      </w:r>
    </w:p>
    <w:p>
      <w:pPr>
        <w:pStyle w:val="ListNumber"/>
      </w:pPr>
      <w:r>
        <w:t>Introduction à la sous-classe « Ménorragies – Antifibrinolytiques »</w:t>
      </w:r>
    </w:p>
    <w:p>
      <w:pPr>
        <w:pStyle w:val="ListNumber"/>
      </w:pPr>
      <w:r>
        <w:t>Fiche DCI — Antifibrinolytique</w:t>
      </w:r>
    </w:p>
    <w:p>
      <w:pPr>
        <w:pStyle w:val="ListBullet"/>
      </w:pPr>
      <w:r>
        <w:t>1. Acide tranexamique (ACIDO TRANEXAMICO BIOINDUSTRIA L.I.M ; XENAMEX)</w:t>
      </w:r>
    </w:p>
    <w:p>
      <w:pPr>
        <w:pStyle w:val="ListNumber"/>
      </w:pPr>
      <w:r>
        <w:t>Tableau comparatif synthétique (DCI unique)</w:t>
      </w:r>
    </w:p>
    <w:p>
      <w:pPr>
        <w:pStyle w:val="ListNumber"/>
      </w:pPr>
      <w:r>
        <w:t>Règles d'Or et points-clés au comptoir</w:t>
      </w:r>
    </w:p>
    <w:p>
      <w:pPr>
        <w:pStyle w:val="ListNumber"/>
      </w:pPr>
      <w:r>
        <w:t>Pièges notables documentés et focus nomenclature algérienne</w:t>
      </w:r>
    </w:p>
    <w:p>
      <w:pPr>
        <w:pStyle w:val="ListNumber"/>
      </w:pPr>
      <w:r>
        <w:t>Conclusion du chapitre 75 et clôture du Fascicule IX</w:t>
      </w:r>
    </w:p>
    <w:p>
      <w:pPr>
        <w:pStyle w:val="ListNumber"/>
      </w:pPr>
      <w:r>
        <w:t>Sources documentaires</w:t>
      </w:r>
    </w:p>
    <w:p>
      <w:pPr>
        <w:pStyle w:val="Heading2"/>
      </w:pPr>
      <w:r>
        <w:t>1. Vue d'ensemble des ménorragies et de la place des antifibrinolytiques en gynécologie</w:t>
      </w:r>
    </w:p>
    <w:p>
      <w:r>
        <w:t xml:space="preserve">Les </w:t>
      </w:r>
      <w:r>
        <w:rPr>
          <w:b/>
        </w:rPr>
        <w:t>ménorragies</w:t>
      </w:r>
      <w:r>
        <w:t xml:space="preserve"> — définies comme une perte menstruelle excessive supérieure à 80 mL par cycle ou perçue par la patiente comme gênante et retentissant sur sa qualité de vie — constituent l'un des motifs de consultation gynécologique les plus fréquents en pratique de ville comme en milieu hospitalier. La prévalence lifetime est estimée à 25–30 % des femmes en période d'activité génitale, avec un pic d'incidence aux deux extrémités de la vie génitale : </w:t>
      </w:r>
      <w:r>
        <w:rPr>
          <w:b/>
        </w:rPr>
        <w:t>périarche</w:t>
      </w:r>
      <w:r>
        <w:t xml:space="preserve"> chez l'adolescente (anovulation, immaturité de l'axe hypothalamo-hypophysaire) et </w:t>
      </w:r>
      <w:r>
        <w:rPr>
          <w:b/>
        </w:rPr>
        <w:t>péri-ménopause</w:t>
      </w:r>
      <w:r>
        <w:t xml:space="preserve"> chez la femme de plus de 45 ans (troubles ovulatoires, pathologies organiques endométriales). Sur le plan sociétal, les ménorragies représentent la </w:t>
      </w:r>
      <w:r>
        <w:rPr>
          <w:b/>
        </w:rPr>
        <w:t>première cause chirurgicale d'hystérectomie</w:t>
      </w:r>
      <w:r>
        <w:t xml:space="preserve"> dans la plupart des pays industrialisés, dont l'Algérie, et un retentissement socio-professionnel majeur (absentéisme, anémie ferriprive, altération de la qualité de vie).</w:t>
      </w:r>
    </w:p>
    <w:p>
      <w:r>
        <w:t>La démarche diagnostique devant une ménorragie est en pratique structurée en deux temps, conformément aux recommandations NICE 2018 (</w:t>
      </w:r>
      <w:r>
        <w:rPr>
          <w:i/>
        </w:rPr>
        <w:t>Heavy Menstrual Bleeding — Assessment and Management</w:t>
      </w:r>
      <w:r>
        <w:t xml:space="preserve">) et de la HAS : (i) </w:t>
      </w:r>
      <w:r>
        <w:rPr>
          <w:b/>
        </w:rPr>
        <w:t>éliminer une cause organique</w:t>
      </w:r>
      <w:r>
        <w:t xml:space="preserve"> — grossesse (β-hCG), pathologie cervicale (frottis, colposcopie), pathologie utérine structurelle (fibrome, polype endométrial, adénomyose) évaluée par échographie pelvienne et hystéroscopie diagnostique, pathologie endocrinienne (dysthyroïdie, hyperprolactinémie, syndrome des ovaires polykystiques) et trouble de la coagulation (maladie de Willebrand, plus fréquent qu'attendu — retrouvé chez 10–20 % des adolescentes avec ménorragies sévères) ; (ii) </w:t>
      </w:r>
      <w:r>
        <w:rPr>
          <w:b/>
        </w:rPr>
        <w:t>classer la ménorragie</w:t>
      </w:r>
      <w:r>
        <w:t xml:space="preserve"> en </w:t>
      </w:r>
      <w:r>
        <w:rPr>
          <w:b/>
        </w:rPr>
        <w:t>fonctionnelle</w:t>
      </w:r>
      <w:r>
        <w:t xml:space="preserve"> (Dysfunctional Uterine Bleeding — DUB, anovulatoire ou ovulatoire sans lésion organique) ou </w:t>
      </w:r>
      <w:r>
        <w:rPr>
          <w:b/>
        </w:rPr>
        <w:t>organique</w:t>
      </w:r>
      <w:r>
        <w:t xml:space="preserve"> (PALM-COEIN classification FIGO 2011 : Polype, Adénomyose, Leiomyome, Malignité/hyperplasie / Coagulopathy, Ovulatory dysfunction, Endometrial, Iatrogénique, Non classée).</w:t>
      </w:r>
    </w:p>
    <w:p>
      <w:r>
        <w:t>Sur le plan thérapeutique, l'arsenal médical des ménorragies fonctionnelles repose sur quatre classes pharmacologiques principales, à prescrire selon une stratification qui tient compte du désir de grossesse, de l'âge, des comorbidités et du retentissement anémique :</w:t>
      </w:r>
    </w:p>
    <w:p>
      <w:pPr>
        <w:pStyle w:val="ListNumber"/>
      </w:pPr>
      <w:r/>
      <w:r>
        <w:rPr>
          <w:b/>
        </w:rPr>
        <w:t>Acide tranexamique (antifibrinolytique)</w:t>
      </w:r>
      <w:r>
        <w:t xml:space="preserve"> — traitement de première ligne des ménorragies ovulatoires sans besoin contraceptif et sans pathologie organique ; non hormonal, agit localement sur la stabilité du caillot endométrial ;</w:t>
      </w:r>
    </w:p>
    <w:p>
      <w:pPr>
        <w:pStyle w:val="ListNumber"/>
      </w:pPr>
      <w:r/>
      <w:r>
        <w:rPr>
          <w:b/>
        </w:rPr>
        <w:t>AINS (acide méfénamique, ibuprofène)</w:t>
      </w:r>
      <w:r>
        <w:t xml:space="preserve"> — réduisent le flux menstruel de 25–35 % via inhibition cyclo-oxygénase endométriale et baisse de la prostaglandine F2α ;</w:t>
      </w:r>
    </w:p>
    <w:p>
      <w:pPr>
        <w:pStyle w:val="ListNumber"/>
      </w:pPr>
      <w:r/>
      <w:r>
        <w:rPr>
          <w:b/>
        </w:rPr>
        <w:t>Progestatifs</w:t>
      </w:r>
      <w:r>
        <w:t xml:space="preserve"> — cycle du J5 au J25 (lutéinal ou séquentiel), ou dispositif intra-utérin au lévonorgestrel (Mirena® — non disponible en Algérie), particulièrement indiqués en péri-ménopause anovulatoire ;</w:t>
      </w:r>
    </w:p>
    <w:p>
      <w:pPr>
        <w:pStyle w:val="ListNumber"/>
      </w:pPr>
      <w:r/>
      <w:r>
        <w:rPr>
          <w:b/>
        </w:rPr>
        <w:t>Contraceptifs estroprogestatifs combinés</w:t>
      </w:r>
      <w:r>
        <w:t xml:space="preserve"> — efficace sur le flux (réduction 40–50 %) et contraceptif, mais à éviter chez la femme &gt; 35 ans tabagique, hypertendue ou migraineuse avec aura (risque thrombotique).</w:t>
      </w:r>
    </w:p>
    <w:p>
      <w:r>
        <w:t xml:space="preserve">Au sein de cet arsenal, </w:t>
      </w:r>
      <w:r>
        <w:rPr>
          <w:b/>
        </w:rPr>
        <w:t>l'acide tranexamique occupe une place particulière</w:t>
      </w:r>
      <w:r>
        <w:t xml:space="preserve"> : il est le SEUL traitement non hormonal recommandé en première intention par NICE 2018 et par l'OMS pour les ménorragies ovulatoires sans besoin contraceptif, avec une réduction du flux menstruel de 40–60 % et une tolérance générale excellente lorsque les contre-indications thrombotiques sont respectées. Le mécanisme original — stabilisation du caillot fibrineux par inhibition réversible de l'activation du plasminogène en plasmine — en fait un outil de choix lorsque le saignement relève d'une fibrinolyse locale accrue (endomètre riche en activateurs tissulaires du plasminogène pendant la menstruation). En Algérie, l'offre commerciale actuelle se limite à des </w:t>
      </w:r>
      <w:r>
        <w:rPr>
          <w:b/>
        </w:rPr>
        <w:t>formes injectables</w:t>
      </w:r>
      <w:r>
        <w:t xml:space="preserve"> (ACIDO TRANEXAMICO BIOINDUSTRIA L.I.M et XENAMEX MS PHARMA), reflétant un usage essentiellement hospitalier ou de clinique privée — les formes orales (comprimés, sirop) ne sont pas référencées dans la nomenclature algérienne d'avril 2026, ce qui constitue une particularité nationale importante à connaître pour le pharmacien d'officine.</w:t>
      </w:r>
    </w:p>
    <w:p>
      <w:r>
        <w:t xml:space="preserve">Ce chapitre — deuxième et dernier du Fascicule IX (Gynécologie/Obstétrique) — détaille la pharmacologie complète de l'acide tranexamique, ses indications gynécologiques (ménorragies fonctionnelles, saignements post-opératoires gynécologiques, métrorragies post-ménopausiques après élimination d'une cause organique) et non gynécologiques (épistaxis, saignements dentaires, hyphéma, hémophilie mineure, chirurgie cardiaque, trauma), son profil de tolérance thrombotique et ses modalités pratiques d'administration. L'objectif est de fournir à l'étudiant en pharmacie une vision à la fois </w:t>
      </w:r>
      <w:r>
        <w:rPr>
          <w:b/>
        </w:rPr>
        <w:t>physiopathologique</w:t>
      </w:r>
      <w:r>
        <w:t xml:space="preserve"> (fibrinolyse endométriale), </w:t>
      </w:r>
      <w:r>
        <w:rPr>
          <w:b/>
        </w:rPr>
        <w:t>pharmacologique</w:t>
      </w:r>
      <w:r>
        <w:t xml:space="preserve"> (analogie de structure avec la lysine, inhibition du site de liaison kringle du plasminogène), </w:t>
      </w:r>
      <w:r>
        <w:rPr>
          <w:b/>
        </w:rPr>
        <w:t>clinique</w:t>
      </w:r>
      <w:r>
        <w:t xml:space="preserve"> (indications gynécologiques spécifiques, durée limitée à la période des règles) et </w:t>
      </w:r>
      <w:r>
        <w:rPr>
          <w:b/>
        </w:rPr>
        <w:t>officinale</w:t>
      </w:r>
      <w:r>
        <w:t xml:space="preserve"> (conseils à la patiente, dépistage des contre-indications thrombotiques, surveillance des associations médicamenteuses à risque).</w:t>
      </w:r>
    </w:p>
    <w:p>
      <w:pPr>
        <w:pStyle w:val="Heading2"/>
      </w:pPr>
      <w:r>
        <w:t>2. Introduction à la sous-classe « Ménorragies – Antifibrinolytiques »</w:t>
      </w:r>
    </w:p>
    <w:p>
      <w:pPr>
        <w:pStyle w:val="Heading3"/>
      </w:pPr>
      <w:r>
        <w:t>2.1. Définition et positionnement thérapeutique</w:t>
      </w:r>
    </w:p>
    <w:p>
      <w:r>
        <w:t xml:space="preserve">La sous-classe des </w:t>
      </w:r>
      <w:r>
        <w:rPr>
          <w:b/>
        </w:rPr>
        <w:t>antifibrinolytiques</w:t>
      </w:r>
      <w:r>
        <w:t xml:space="preserve"> regroupe les médicaments capables d'inhiber la </w:t>
      </w:r>
      <w:r>
        <w:rPr>
          <w:b/>
        </w:rPr>
        <w:t>fibrinolyse</w:t>
      </w:r>
      <w:r>
        <w:t xml:space="preserve"> — c'est-à-dire la dissolution physiologique du caillot de fibrine par la </w:t>
      </w:r>
      <w:r>
        <w:rPr>
          <w:b/>
        </w:rPr>
        <w:t>plasmine</w:t>
      </w:r>
      <w:r>
        <w:t xml:space="preserve">, protéase à sérine issue de la conversion du </w:t>
      </w:r>
      <w:r>
        <w:rPr>
          <w:b/>
        </w:rPr>
        <w:t>plasminogène</w:t>
      </w:r>
      <w:r>
        <w:t xml:space="preserve"> sous l'action des activateurs tissulaires (t-PA) et de l'activateur de type urokinase (u-PA). En bloquant cette cascade, les antifibrinolytiques </w:t>
      </w:r>
      <w:r>
        <w:rPr>
          <w:b/>
        </w:rPr>
        <w:t>stabilisent le caillot fibrineux</w:t>
      </w:r>
      <w:r>
        <w:t xml:space="preserve"> déjà formé et réduisent ainsi le saignement, sans pour autant intervenir sur les étapes initiales de la coagulation (cascades intrinsèque/extrinsèque, activation plaquettaire). Cette particularité d'action explique leur </w:t>
      </w:r>
      <w:r>
        <w:rPr>
          <w:b/>
        </w:rPr>
        <w:t>excellente spécificité d'effet</w:t>
      </w:r>
      <w:r>
        <w:t xml:space="preserve"> dans les hémorragies où la composante fibrinolytique locale est prédominante — ce qui est précisément le cas de la </w:t>
      </w:r>
      <w:r>
        <w:rPr>
          <w:b/>
        </w:rPr>
        <w:t>muqueuse endométriale</w:t>
      </w:r>
      <w:r>
        <w:t xml:space="preserve"> au moment des règles, exceptionnellement riche en activateurs tissulaires du plasminogène.</w:t>
      </w:r>
    </w:p>
    <w:p>
      <w:r>
        <w:t>Deux grandes familles chimiques composent cette sous-classe :</w:t>
      </w:r>
    </w:p>
    <w:p>
      <w:pPr>
        <w:pStyle w:val="ListBullet"/>
      </w:pPr>
      <w:r/>
      <w:r>
        <w:rPr>
          <w:b/>
        </w:rPr>
        <w:t>Analogues de la lysine</w:t>
      </w:r>
      <w:r>
        <w:t xml:space="preserve"> (acide tranexamique, acide aminocaproïque) — inhibiteurs directs de l'activation du plasminogène, agissant par compétition avec la lysine pour les </w:t>
      </w:r>
      <w:r>
        <w:rPr>
          <w:b/>
        </w:rPr>
        <w:t>sites kringle</w:t>
      </w:r>
      <w:r>
        <w:t xml:space="preserve"> du plasminogène ; l'acide tranexamique, plus puissant (5–10×) et mieux toléré que l'acide aminocaproïque, est aujourd'hui le représentant quasi exclusif en pratique clinique ;</w:t>
      </w:r>
    </w:p>
    <w:p>
      <w:pPr>
        <w:pStyle w:val="ListBullet"/>
      </w:pPr>
      <w:r/>
      <w:r>
        <w:rPr>
          <w:b/>
        </w:rPr>
        <w:t>Inhibiteurs des activateurs du plasminogène</w:t>
      </w:r>
      <w:r>
        <w:t xml:space="preserve"> (aprotinine — retirée du marché européen en 2007 pour toxicité rénale, à l'exception de l'usage cardiaque sous stricte encadrement) — non disponible en Algérie.</w:t>
      </w:r>
    </w:p>
    <w:p>
      <w:r>
        <w:t>En Algérie, l'</w:t>
      </w:r>
      <w:r>
        <w:rPr>
          <w:b/>
        </w:rPr>
        <w:t>acide tranexamique</w:t>
      </w:r>
      <w:r>
        <w:t xml:space="preserve"> est le seul antifibrinolytique référencé dans la nomenclature d'avril 2026 (acide aminocaproïque et aprotinine non commercialisés), ce qui en fait un médicament « sentinelle » du pharmacien d'officine et hospitalier pour la prise en charge des saignements en contexte fibrinolytique.</w:t>
      </w:r>
    </w:p>
    <w:p>
      <w:pPr>
        <w:pStyle w:val="Heading3"/>
      </w:pPr>
      <w:r>
        <w:t>2.2. Physiopathologie de la fibrinolyse endométriale</w:t>
      </w:r>
    </w:p>
    <w:p>
      <w:r>
        <w:t xml:space="preserve">La menstruation résulte de la </w:t>
      </w:r>
      <w:r>
        <w:rPr>
          <w:b/>
        </w:rPr>
        <w:t>vasoconstriction spiralée</w:t>
      </w:r>
      <w:r>
        <w:t xml:space="preserve"> des artérioles endométriales sous l'effet de la chute brutale des taux de progestérone en fin de phase lutéale (en cas de cycle ovulatoire) — vasoconstriction qui provoque l'ischémie, la nécrose et la désquamation de la couche fonctionnelle de l'endomètre (stratum spongiosum et stratum compactum). Le saignement qui en résulte est normalement </w:t>
      </w:r>
      <w:r>
        <w:rPr>
          <w:b/>
        </w:rPr>
        <w:t>auto-limité</w:t>
      </w:r>
      <w:r>
        <w:t xml:space="preserve"> par deux mécanismes : (i) la formation d'un </w:t>
      </w:r>
      <w:r>
        <w:rPr>
          <w:b/>
        </w:rPr>
        <w:t>caillot fibrineux</w:t>
      </w:r>
      <w:r>
        <w:t xml:space="preserve"> au niveau des artérioles spiralées (activation locale de la cascade de coagulation) ; (ii) la </w:t>
      </w:r>
      <w:r>
        <w:rPr>
          <w:b/>
        </w:rPr>
        <w:t>régénération épithéliale</w:t>
      </w:r>
      <w:r>
        <w:t xml:space="preserve"> rapide de la couche basale endométriale sous l'effet des œstrogènes en début de nouveau cycle.</w:t>
      </w:r>
    </w:p>
    <w:p>
      <w:r>
        <w:t xml:space="preserve">Toutefois, la muqueuse endométriale humaine présente la particularité de contenir une </w:t>
      </w:r>
      <w:r>
        <w:rPr>
          <w:b/>
        </w:rPr>
        <w:t>concentration exceptionnellement élevée en activateurs tissulaires du plasminogène</w:t>
      </w:r>
      <w:r>
        <w:t xml:space="preserve"> (t-PA) — à la fois dans le stroma et dans les vaisseaux spiralés. Cette fibrinolyse locale accrue joue un rôle physiologique (elle évite la formation de caillots utérins volumineux, ce qui permet une expulsion menstruelle fluide), mais devient </w:t>
      </w:r>
      <w:r>
        <w:rPr>
          <w:b/>
        </w:rPr>
        <w:t>pathologique</w:t>
      </w:r>
      <w:r>
        <w:t xml:space="preserve"> lorsqu'elle est excessive, entraînant une lyse prématurée du caillot fibrineux et un saignement prolongé et abondant — c'est le mécanisme principal des </w:t>
      </w:r>
      <w:r>
        <w:rPr>
          <w:b/>
        </w:rPr>
        <w:t>ménorragies fonctionnelles ovulatoires</w:t>
      </w:r>
      <w:r>
        <w:t xml:space="preserve"> (sans lésion organique).</w:t>
      </w:r>
    </w:p>
    <w:p>
      <w:r>
        <w:t xml:space="preserve">Cette physiopathologie spécifique justifie l'efficacité remarquable de l'acide tranexamique dans cette indication : en inhibant localement l'activation du plasminogène en plasmine, l'acide tranexamique </w:t>
      </w:r>
      <w:r>
        <w:rPr>
          <w:b/>
        </w:rPr>
        <w:t>empêche la dégradation du caillot fibrineux endométrial</w:t>
      </w:r>
      <w:r>
        <w:t xml:space="preserve">, réduit la durée et l'abondance du saignement menstruel, sans interférer avec la cascade de coagulation systémique ni avec l'agrégation plaquettaire. C'est ce mécanisme purement local qui explique le </w:t>
      </w:r>
      <w:r>
        <w:rPr>
          <w:b/>
        </w:rPr>
        <w:t>bon rapport bénéfice/risque</w:t>
      </w:r>
      <w:r>
        <w:t xml:space="preserve"> de la molécule par rapport aux traitements hormonaux, à condition de respecter strictement les contre-indications thrombotiques (voir section DCI).</w:t>
      </w:r>
    </w:p>
    <w:p>
      <w:pPr>
        <w:pStyle w:val="Heading3"/>
      </w:pPr>
      <w:r>
        <w:t>2.3. Place dans la stratégie thérapeutique des ménorragies</w:t>
      </w:r>
    </w:p>
    <w:p>
      <w:r>
        <w:t xml:space="preserve">Selon les recommandations </w:t>
      </w:r>
      <w:r>
        <w:rPr>
          <w:b/>
        </w:rPr>
        <w:t>NICE 2018</w:t>
      </w:r>
      <w:r>
        <w:t xml:space="preserve"> (</w:t>
      </w:r>
      <w:r>
        <w:rPr>
          <w:i/>
        </w:rPr>
        <w:t>Heavy Menstrual Bleeding : Assessment and Management</w:t>
      </w:r>
      <w:r>
        <w:t xml:space="preserve">, NG88) et le </w:t>
      </w:r>
      <w:r>
        <w:rPr>
          <w:b/>
        </w:rPr>
        <w:t>Cochrane 2018</w:t>
      </w:r>
      <w:r>
        <w:t xml:space="preserve"> (Lethaby et al.), l'acide tranexamique est recommandé en </w:t>
      </w:r>
      <w:r>
        <w:rPr>
          <w:b/>
        </w:rPr>
        <w:t>première intention</w:t>
      </w:r>
      <w:r>
        <w:t xml:space="preserve"> chez les patientes :</w:t>
      </w:r>
    </w:p>
    <w:p>
      <w:pPr>
        <w:pStyle w:val="ListBullet"/>
      </w:pPr>
      <w:r>
        <w:t>sans besoin contraceptif (ou ayant un autre mode de contraception mécanique/définitif) ;</w:t>
      </w:r>
    </w:p>
    <w:p>
      <w:pPr>
        <w:pStyle w:val="ListBullet"/>
      </w:pPr>
      <w:r>
        <w:t>sans pathologie organique utérine décelée (ou avec fibrome &lt; 3 cm non sous-muqueux) ;</w:t>
      </w:r>
    </w:p>
    <w:p>
      <w:pPr>
        <w:pStyle w:val="ListBullet"/>
      </w:pPr>
      <w:r>
        <w:t>sans contre-indication thrombotique (ATCD thrombose veineuse profonde, embolie pulmonaire, thrombophilie biologique, contraception estroprogestative combinée active) ;</w:t>
      </w:r>
    </w:p>
    <w:p>
      <w:pPr>
        <w:pStyle w:val="ListBullet"/>
      </w:pPr>
      <w:r>
        <w:t>ayant un cycle ovulatoire (ménorragies régulières).</w:t>
      </w:r>
    </w:p>
    <w:p>
      <w:r>
        <w:t>En cas d'échec (réduction du flux &lt; 30 % à 3 cycles) ou d'intolérance, l'escalade thérapeutique se fait vers les AINS (acide méfénamique 500 mg ×3/j pendant les règles) puis vers les progestatifs en deuxième intention, et enfin vers la chirurgie (myomectomie, hystérectomie, résection endométriale) en cas d'échec médical ou de pathologie organique sous-jacente. Le dispositif intra-utérin au lévonorgestrel (Mirena®) — non disponible en Algérie — est recommandé par NICE comme traitement de première intention en cas de besoin contraceptif associé.</w:t>
      </w:r>
    </w:p>
    <w:p>
      <w:r>
        <w:t xml:space="preserve">L'acide tranexamique présente ainsi une </w:t>
      </w:r>
      <w:r>
        <w:rPr>
          <w:b/>
        </w:rPr>
        <w:t>place stratégique de premier plan</w:t>
      </w:r>
      <w:r>
        <w:t xml:space="preserve"> dans l'arsenal thérapeutique algérien des ménorragies fonctionnelles, d'autant qu'il s'agit d'un </w:t>
      </w:r>
      <w:r>
        <w:rPr>
          <w:b/>
        </w:rPr>
        <w:t>traitement non hormonal</w:t>
      </w:r>
      <w:r>
        <w:t xml:space="preserve"> — élément déterminant dans une population féminine où la contraception estroprogestative est parfois mal tolérée, contre-indiquée (migraine avec aura, tabagisme &gt; 35 ans, antécédents thrombotiques familiaux), ou refusée par la patiente pour des motifs personnels, culturels ou religieux.</w:t>
      </w:r>
    </w:p>
    <w:p>
      <w:pPr>
        <w:pStyle w:val="Heading2"/>
      </w:pPr>
      <w:r>
        <w:t>3. Fiche DCI — Antifibrinolytique</w:t>
      </w:r>
    </w:p>
    <w:p>
      <w:pPr>
        <w:pStyle w:val="Heading3"/>
      </w:pPr>
      <w:r>
        <w:t>1. DCI : Acide tranexamique (Liste I)</w:t>
      </w:r>
    </w:p>
    <w:p>
      <w:r/>
      <w:r>
        <w:rPr>
          <w:b/>
        </w:rPr>
        <w:t>Liste des Catégories :</w:t>
      </w:r>
      <w:r>
        <w:t xml:space="preserve"> Antifibrinolytique — inhibiteur de l'activation du plasminogène ; analogue synthétique de la lysine ; Anti-hémorragique non hormonal ; Médicament de la ménorragie fonctionnelle ; Médicament des saignements en contexte fibrinolytique (post-opératoire, dentaire, ORL, ophtalmologique, traumatologique) ; Liste I (prescription médicale obligatoire).</w:t>
      </w:r>
    </w:p>
    <w:p>
      <w:r/>
      <w:r>
        <w:rPr>
          <w:b/>
        </w:rPr>
        <w:t>Introduction pharmacocinétique et pharmacodynamique :</w:t>
      </w:r>
      <w:r/>
    </w:p>
    <w:p>
      <w:r>
        <w:t xml:space="preserve">L'acide tranexamique (acide </w:t>
      </w:r>
      <w:r>
        <w:rPr>
          <w:i/>
        </w:rPr>
        <w:t>trans</w:t>
      </w:r>
      <w:r>
        <w:t xml:space="preserve">-4-aminométhyl-cyclohexane-carboxylique, ou t-AMCHA) est un </w:t>
      </w:r>
      <w:r>
        <w:rPr>
          <w:b/>
        </w:rPr>
        <w:t>analogue synthétique de l'acide aminé lysine</w:t>
      </w:r>
      <w:r>
        <w:t xml:space="preserve">, dans lequel la chaîne latérale aliphatique a été rigidifiée par cyclisation en un cycle cyclohexanique en configuration </w:t>
      </w:r>
      <w:r>
        <w:rPr>
          <w:i/>
        </w:rPr>
        <w:t>trans</w:t>
      </w:r>
      <w:r>
        <w:t xml:space="preserve">. Cette modification structurale confère à la molécule une </w:t>
      </w:r>
      <w:r>
        <w:rPr>
          <w:b/>
        </w:rPr>
        <w:t>affinité beaucoup plus élevée</w:t>
      </w:r>
      <w:r>
        <w:t xml:space="preserve"> pour les sites de liaison « kringle » du plasminogène (5 à 10 fois supérieure à celle de l'acide aminocaproïque, son prédécesseur historique), tout en réduisant sa toxicité musculaire et rénale.</w:t>
      </w:r>
    </w:p>
    <w:p>
      <w:r>
        <w:t xml:space="preserve">Pharmacocinétiquement, l'acide tranexamique est caractérisé par une </w:t>
      </w:r>
      <w:r>
        <w:rPr>
          <w:b/>
        </w:rPr>
        <w:t>biodisponibilité orale élevée</w:t>
      </w:r>
      <w:r>
        <w:t xml:space="preserve"> (≈ 30–45 % en forme orale — non disponible en Algérie), une </w:t>
      </w:r>
      <w:r>
        <w:rPr>
          <w:b/>
        </w:rPr>
        <w:t>diffusion ubiquitaire</w:t>
      </w:r>
      <w:r>
        <w:t xml:space="preserve"> avec un volume de distribution proche de 9–12 L, une </w:t>
      </w:r>
      <w:r>
        <w:rPr>
          <w:b/>
        </w:rPr>
        <w:t>faible liaison aux protéines plasmatiques</w:t>
      </w:r>
      <w:r>
        <w:t xml:space="preserve"> (≈ 10 %, essentiellement la plasminogène elle-même), un passage </w:t>
      </w:r>
      <w:r>
        <w:rPr>
          <w:b/>
        </w:rPr>
        <w:t>transplacentaire modéré</w:t>
      </w:r>
      <w:r>
        <w:t xml:space="preserve"> et un passage dans le </w:t>
      </w:r>
      <w:r>
        <w:rPr>
          <w:b/>
        </w:rPr>
        <w:t>lait maternel</w:t>
      </w:r>
      <w:r>
        <w:t xml:space="preserve"> à très faible concentration (rapport lait/plasma ≈ 0,01). Son métabolisme est </w:t>
      </w:r>
      <w:r>
        <w:rPr>
          <w:b/>
        </w:rPr>
        <w:t>minimal</w:t>
      </w:r>
      <w:r>
        <w:t xml:space="preserve"> (moins de 5 % métabolisé par le cytochrome P450), et son élimination est </w:t>
      </w:r>
      <w:r>
        <w:rPr>
          <w:b/>
        </w:rPr>
        <w:t>essentiellement rénale</w:t>
      </w:r>
      <w:r>
        <w:t xml:space="preserve"> sous forme inchangée (plus de 90 % de la dose excrétée dans les urines en 24 h), avec une demi-vie d'élimination de l'ordre de </w:t>
      </w:r>
      <w:r>
        <w:rPr>
          <w:b/>
        </w:rPr>
        <w:t>2 à 3 heures</w:t>
      </w:r>
      <w:r>
        <w:t xml:space="preserve"> chez l'adulte à fonction rénale normale. Cette demi-vie courte justifie la nécessité de </w:t>
      </w:r>
      <w:r>
        <w:rPr>
          <w:b/>
        </w:rPr>
        <w:t>répétitions rapprochées</w:t>
      </w:r>
      <w:r>
        <w:t xml:space="preserve"> (3 à 4 prises par jour en période de règles). L'insuffisance rénale impose une </w:t>
      </w:r>
      <w:r>
        <w:rPr>
          <w:b/>
        </w:rPr>
        <w:t>adaptation posologique</w:t>
      </w:r>
      <w:r>
        <w:t xml:space="preserve"> (cf. posologie). La voie intraveineuse — seule disponible en Algérie — permet une concentration plasmatique maximale immédiate, avec une durée d'action de 6 à 8 heures par injection.</w:t>
      </w:r>
    </w:p>
    <w:p>
      <w:r>
        <w:t xml:space="preserve">Pharmacodynamiquement, l'acide tranexamique agit par </w:t>
      </w:r>
      <w:r>
        <w:rPr>
          <w:b/>
        </w:rPr>
        <w:t>inhibition réversible</w:t>
      </w:r>
      <w:r>
        <w:t xml:space="preserve"> de la conversion du plasminogène en plasmine : il se fixe sur les </w:t>
      </w:r>
      <w:r>
        <w:rPr>
          <w:b/>
        </w:rPr>
        <w:t>domaines kringle</w:t>
      </w:r>
      <w:r>
        <w:t xml:space="preserve"> (notamment le kringle 1) du plasminogène, modifiant sa conformation et empêchant sa protéolyse par les activateurs tissulaires (t-PA) et l'urokinase (u-PA). La plasmine n'étant pas formée, elle ne peut pas dégrader la </w:t>
      </w:r>
      <w:r>
        <w:rPr>
          <w:b/>
        </w:rPr>
        <w:t>fibrine</w:t>
      </w:r>
      <w:r>
        <w:t xml:space="preserve"> en produits de dégradation (D-dimères, PDF), ni attaquer les facteurs V, VIII, XII et le fibrinogène. Le caillot fibrineux déjà constitué est ainsi </w:t>
      </w:r>
      <w:r>
        <w:rPr>
          <w:b/>
        </w:rPr>
        <w:t>stabilisé et préservé</w:t>
      </w:r>
      <w:r>
        <w:t xml:space="preserve"> de la lyse physiologique. À doses thérapeutiques, l'acide tranexamique n'affecte ni l'agrégation plaquettaire, ni les facteurs de coagulation, ni la cascade systémique — ce qui explique son excellente spécificité d'action et son profil de tolérance générale satisfaisant lorsque les contre-indications thrombotiques sont respectées.</w:t>
      </w:r>
    </w:p>
    <w:p>
      <w:r/>
      <w:r>
        <w:rPr>
          <w:b/>
        </w:rPr>
        <w:t>Médicaments disponibles en Algérie (Marques, Laboratoires, Formes et Dosages) :</w:t>
      </w:r>
      <w:r/>
    </w:p>
    <w:p>
      <w:r>
        <w:t xml:space="preserve">La nomenclature algérienne d'avril 2026 recense </w:t>
      </w:r>
      <w:r>
        <w:rPr>
          <w:b/>
        </w:rPr>
        <w:t>deux spécialités</w:t>
      </w:r>
      <w:r>
        <w:t xml:space="preserve"> d'acide tranexamique, toutes deux en </w:t>
      </w:r>
      <w:r>
        <w:rPr>
          <w:b/>
        </w:rPr>
        <w:t>forme injectable</w:t>
      </w:r>
      <w:r>
        <w:t xml:space="preserve"> et inscrites sur </w:t>
      </w:r>
      <w:r>
        <w:rPr>
          <w:b/>
        </w:rPr>
        <w:t>Liste I</w:t>
      </w:r>
      <w:r>
        <w:t xml:space="preserve"> (prescription médicale obligatoire). Aucune forme orale (comprimé, gélule, sirop, solution buvable) n'est actuellement référencée dans la nomenclature — particularité nationale notable qui restreint l'usage de la molécule au cadre hospitalier ou au secteur privé de cliniques disposant d'un plateau technique d'injection, et qui complique la prise en charge ambulatoire des ménorragies fonctionnelles (pour lesquelles l'usage oral est pourtant recommandé en première intention par NICE 2018).</w:t>
      </w:r>
    </w:p>
    <w:p>
      <w:pPr>
        <w:pStyle w:val="ListBullet"/>
      </w:pPr>
      <w:r/>
      <w:r>
        <w:rPr>
          <w:b/>
        </w:rPr>
        <w:t>ACIDO TRANEXAMICO BIOINDUSTRIA L.I.M</w:t>
      </w:r>
      <w:r>
        <w:t xml:space="preserve"> (LABORATORIO ITALIANO MEDICINALI SPA — Italie, distribué sous licence BIOINDUSTRIA)</w:t>
      </w:r>
    </w:p>
    <w:p>
      <w:pPr>
        <w:pStyle w:val="ListBullet"/>
      </w:pPr>
      <w:r>
        <w:t xml:space="preserve">Forme et Dosage : </w:t>
      </w:r>
      <w:r>
        <w:rPr>
          <w:b/>
        </w:rPr>
        <w:t>Solution injectable</w:t>
      </w:r>
      <w:r>
        <w:t xml:space="preserve"> — 500 mg par ampoule de 5 mL (concentration 100 mg/mL), pour voie intraveineuse stricte (lente) ou intramusculaire</w:t>
      </w:r>
    </w:p>
    <w:p>
      <w:pPr>
        <w:pStyle w:val="ListBullet"/>
      </w:pPr>
      <w:r>
        <w:t>Conditionnement : Boîte de 5 ampoules de 5 mL</w:t>
      </w:r>
    </w:p>
    <w:p>
      <w:pPr>
        <w:pStyle w:val="ListBullet"/>
      </w:pPr>
      <w:r>
        <w:t>Statut réglementaire : Liste I (prescription médicale obligatoire)</w:t>
      </w:r>
    </w:p>
    <w:p>
      <w:pPr>
        <w:pStyle w:val="ListBullet"/>
      </w:pPr>
      <w:r>
        <w:t xml:space="preserve">Statut commercial : </w:t>
      </w:r>
      <w:r>
        <w:rPr>
          <w:b/>
        </w:rPr>
        <w:t>ACTIF</w:t>
      </w:r>
      <w:r>
        <w:t xml:space="preserve"> (référencé dans la nomenclature algérienne d'avril 2026)</w:t>
      </w:r>
    </w:p>
    <w:p>
      <w:pPr>
        <w:pStyle w:val="ListBullet"/>
      </w:pPr>
      <w:r>
        <w:t>Particularité : spécialité d'importation italienne, conditionnement historique de l'offre algérienne</w:t>
      </w:r>
    </w:p>
    <w:p>
      <w:pPr>
        <w:pStyle w:val="ListBullet"/>
      </w:pPr>
      <w:r/>
      <w:r>
        <w:rPr>
          <w:b/>
        </w:rPr>
        <w:t>XENAMEX</w:t>
      </w:r>
      <w:r>
        <w:t xml:space="preserve"> (MS PHARMA — Jordanie)</w:t>
      </w:r>
    </w:p>
    <w:p>
      <w:pPr>
        <w:pStyle w:val="ListBullet"/>
      </w:pPr>
      <w:r>
        <w:t xml:space="preserve">Forme et Dosage : </w:t>
      </w:r>
      <w:r>
        <w:rPr>
          <w:b/>
        </w:rPr>
        <w:t>Solution injectable intra</w:t>
      </w:r>
      <w:r>
        <w:t xml:space="preserve"> — 500 mg par flacon de 5 mL (concentration 100 mg/mL), pour voie intraveineuse stricte (lente) ou intramusculaire</w:t>
      </w:r>
    </w:p>
    <w:p>
      <w:pPr>
        <w:pStyle w:val="ListBullet"/>
      </w:pPr>
      <w:r>
        <w:t>Conditionnement : Boîte de 10 flacons de 5 mL</w:t>
      </w:r>
    </w:p>
    <w:p>
      <w:pPr>
        <w:pStyle w:val="ListBullet"/>
      </w:pPr>
      <w:r>
        <w:t>Statut réglementaire : Liste I (prescription médicale obligatoire)</w:t>
      </w:r>
    </w:p>
    <w:p>
      <w:pPr>
        <w:pStyle w:val="ListBullet"/>
      </w:pPr>
      <w:r>
        <w:t xml:space="preserve">Statut commercial : </w:t>
      </w:r>
      <w:r>
        <w:rPr>
          <w:b/>
        </w:rPr>
        <w:t>ACTIF</w:t>
      </w:r>
      <w:r>
        <w:t xml:space="preserve"> (référencé dans la nomenclature algérienne d'avril 2026)</w:t>
      </w:r>
    </w:p>
    <w:p>
      <w:pPr>
        <w:pStyle w:val="ListBullet"/>
      </w:pPr>
      <w:r>
        <w:t>Particularité : spécialité jordanienne, conditionnement en flacons (plus grand conditionnement — 10 unités vs 5), souvent préférée en établissement pour la gestion des stocks et la traçabilité</w:t>
      </w:r>
    </w:p>
    <w:p>
      <w:r/>
      <w:r>
        <w:rPr>
          <w:b/>
        </w:rPr>
        <w:t>Tableau récapitulatif des spécialités :</w:t>
      </w:r>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Spécialité</w:t>
            </w:r>
          </w:p>
        </w:tc>
        <w:tc>
          <w:tcPr>
            <w:tcW w:type="dxa" w:w="1336"/>
          </w:tcPr>
          <w:p>
            <w:r>
              <w:rPr>
                <w:b/>
                <w:sz w:val="20"/>
              </w:rPr>
              <w:t>Laboratoire</w:t>
            </w:r>
          </w:p>
        </w:tc>
        <w:tc>
          <w:tcPr>
            <w:tcW w:type="dxa" w:w="1336"/>
          </w:tcPr>
          <w:p>
            <w:r>
              <w:rPr>
                <w:b/>
                <w:sz w:val="20"/>
              </w:rPr>
              <w:t>Forme</w:t>
            </w:r>
          </w:p>
        </w:tc>
        <w:tc>
          <w:tcPr>
            <w:tcW w:type="dxa" w:w="1336"/>
          </w:tcPr>
          <w:p>
            <w:r>
              <w:rPr>
                <w:b/>
                <w:sz w:val="20"/>
              </w:rPr>
              <w:t>Dosage</w:t>
            </w:r>
          </w:p>
        </w:tc>
        <w:tc>
          <w:tcPr>
            <w:tcW w:type="dxa" w:w="1336"/>
          </w:tcPr>
          <w:p>
            <w:r>
              <w:rPr>
                <w:b/>
                <w:sz w:val="20"/>
              </w:rPr>
              <w:t>Conditionnement</w:t>
            </w:r>
          </w:p>
        </w:tc>
        <w:tc>
          <w:tcPr>
            <w:tcW w:type="dxa" w:w="1336"/>
          </w:tcPr>
          <w:p>
            <w:r>
              <w:rPr>
                <w:b/>
                <w:sz w:val="20"/>
              </w:rPr>
              <w:t>Liste</w:t>
            </w:r>
          </w:p>
        </w:tc>
        <w:tc>
          <w:tcPr>
            <w:tcW w:type="dxa" w:w="1336"/>
          </w:tcPr>
          <w:p>
            <w:r>
              <w:rPr>
                <w:b/>
                <w:sz w:val="20"/>
              </w:rPr>
              <w:t>Statut</w:t>
            </w:r>
          </w:p>
        </w:tc>
      </w:tr>
      <w:tr>
        <w:tc>
          <w:tcPr>
            <w:tcW w:type="dxa" w:w="1336"/>
          </w:tcPr>
          <w:p>
            <w:r>
              <w:rPr>
                <w:sz w:val="20"/>
              </w:rPr>
              <w:t>ACIDO TRANEXAMICO BIOINDUSTRIA L.I.M</w:t>
            </w:r>
          </w:p>
        </w:tc>
        <w:tc>
          <w:tcPr>
            <w:tcW w:type="dxa" w:w="1336"/>
          </w:tcPr>
          <w:p>
            <w:r>
              <w:rPr>
                <w:sz w:val="20"/>
              </w:rPr>
              <w:t>BIOINDUSTRIA (Italie)</w:t>
            </w:r>
          </w:p>
        </w:tc>
        <w:tc>
          <w:tcPr>
            <w:tcW w:type="dxa" w:w="1336"/>
          </w:tcPr>
          <w:p>
            <w:r>
              <w:rPr>
                <w:sz w:val="20"/>
              </w:rPr>
              <w:t>Solution injectable IV/IM</w:t>
            </w:r>
          </w:p>
        </w:tc>
        <w:tc>
          <w:tcPr>
            <w:tcW w:type="dxa" w:w="1336"/>
          </w:tcPr>
          <w:p>
            <w:r>
              <w:rPr>
                <w:sz w:val="20"/>
              </w:rPr>
              <w:t>500 mg / 5 mL (100 mg/mL)</w:t>
            </w:r>
          </w:p>
        </w:tc>
        <w:tc>
          <w:tcPr>
            <w:tcW w:type="dxa" w:w="1336"/>
          </w:tcPr>
          <w:p>
            <w:r>
              <w:rPr>
                <w:sz w:val="20"/>
              </w:rPr>
              <w:t>B/5 ampoules de 5 mL</w:t>
            </w:r>
          </w:p>
        </w:tc>
        <w:tc>
          <w:tcPr>
            <w:tcW w:type="dxa" w:w="1336"/>
          </w:tcPr>
          <w:p>
            <w:r>
              <w:rPr>
                <w:sz w:val="20"/>
              </w:rPr>
              <w:t>Liste I</w:t>
            </w:r>
          </w:p>
        </w:tc>
        <w:tc>
          <w:tcPr>
            <w:tcW w:type="dxa" w:w="1336"/>
          </w:tcPr>
          <w:p>
            <w:r>
              <w:rPr>
                <w:sz w:val="20"/>
              </w:rPr>
              <w:t>ACTIF</w:t>
            </w:r>
          </w:p>
        </w:tc>
      </w:tr>
      <w:tr>
        <w:tc>
          <w:tcPr>
            <w:tcW w:type="dxa" w:w="1336"/>
          </w:tcPr>
          <w:p>
            <w:r>
              <w:rPr>
                <w:sz w:val="20"/>
              </w:rPr>
              <w:t>XENAMEX</w:t>
            </w:r>
          </w:p>
        </w:tc>
        <w:tc>
          <w:tcPr>
            <w:tcW w:type="dxa" w:w="1336"/>
          </w:tcPr>
          <w:p>
            <w:r>
              <w:rPr>
                <w:sz w:val="20"/>
              </w:rPr>
              <w:t>MS PHARMA (Jordanie)</w:t>
            </w:r>
          </w:p>
        </w:tc>
        <w:tc>
          <w:tcPr>
            <w:tcW w:type="dxa" w:w="1336"/>
          </w:tcPr>
          <w:p>
            <w:r>
              <w:rPr>
                <w:sz w:val="20"/>
              </w:rPr>
              <w:t>Solution injectable IV/IM</w:t>
            </w:r>
          </w:p>
        </w:tc>
        <w:tc>
          <w:tcPr>
            <w:tcW w:type="dxa" w:w="1336"/>
          </w:tcPr>
          <w:p>
            <w:r>
              <w:rPr>
                <w:sz w:val="20"/>
              </w:rPr>
              <w:t>500 mg / 5 mL (100 mg/mL)</w:t>
            </w:r>
          </w:p>
        </w:tc>
        <w:tc>
          <w:tcPr>
            <w:tcW w:type="dxa" w:w="1336"/>
          </w:tcPr>
          <w:p>
            <w:r>
              <w:rPr>
                <w:sz w:val="20"/>
              </w:rPr>
              <w:t>B/10 flacons de 5 mL</w:t>
            </w:r>
          </w:p>
        </w:tc>
        <w:tc>
          <w:tcPr>
            <w:tcW w:type="dxa" w:w="1336"/>
          </w:tcPr>
          <w:p>
            <w:r>
              <w:rPr>
                <w:sz w:val="20"/>
              </w:rPr>
              <w:t>Liste I</w:t>
            </w:r>
          </w:p>
        </w:tc>
        <w:tc>
          <w:tcPr>
            <w:tcW w:type="dxa" w:w="1336"/>
          </w:tcPr>
          <w:p>
            <w:r>
              <w:rPr>
                <w:sz w:val="20"/>
              </w:rPr>
              <w:t>ACTIF</w:t>
            </w:r>
          </w:p>
        </w:tc>
      </w:tr>
    </w:tbl>
    <w:p/>
    <w:p>
      <w:r/>
      <w:r>
        <w:rPr>
          <w:b/>
        </w:rPr>
        <w:t>Important — note de nomenclature :</w:t>
      </w:r>
      <w:r/>
    </w:p>
    <w:p>
      <w:pPr>
        <w:pStyle w:val="ListBullet"/>
      </w:pPr>
      <w:r>
        <w:t xml:space="preserve">Aucune spécialité d'acide tranexamique </w:t>
      </w:r>
      <w:r>
        <w:rPr>
          <w:b/>
        </w:rPr>
        <w:t>orale</w:t>
      </w:r>
      <w:r>
        <w:t xml:space="preserve"> (comprimé à 500 mg ou 1 g, sirop, solution buvable) n'est actuellement référencée dans la nomenclature algérienne d'avril 2026 — alors que ces formes existent à l'international (Cyklokapron® 500 mg comprimé Pfizer, Exacyl® 500 mg comprimé Sanofi, etc.) et qu'elles sont </w:t>
      </w:r>
      <w:r>
        <w:rPr>
          <w:b/>
        </w:rPr>
        <w:t>recommandées en première intention par NICE 2018</w:t>
      </w:r>
      <w:r>
        <w:t xml:space="preserve"> pour les ménorragies fonctionnelles en ambulatoire.</w:t>
      </w:r>
    </w:p>
    <w:p>
      <w:pPr>
        <w:pStyle w:val="ListBullet"/>
      </w:pPr>
      <w:r>
        <w:t>Cette particularité algérienne impose en pratique de privilégier (lorsque la patiente ne peut être hospitalisée pour injections répétées) les alternatives thérapeutiques orales disponibles : AINS (acide méfénamique, ibuprofène) et progestatifs oraux.</w:t>
      </w:r>
    </w:p>
    <w:p>
      <w:pPr>
        <w:pStyle w:val="ListBullet"/>
      </w:pPr>
      <w:r>
        <w:t xml:space="preserve">Les deux spécialités injectables disponibles sont </w:t>
      </w:r>
      <w:r>
        <w:rPr>
          <w:b/>
        </w:rPr>
        <w:t>équivalentes en termes de DCI, de dosage et d'indications</w:t>
      </w:r>
      <w:r>
        <w:t xml:space="preserve"> — le choix entre ACIDO TRANEXAMICO BIOINDUSTRIA et XENAMEX relève de la disponibilité locale du stock, du conditionnement (5 ampoules vs 10 flacons) et éventuellement de la préférence du prescripteur/établissement.</w:t>
      </w:r>
    </w:p>
    <w:p>
      <w:r/>
      <w:r>
        <w:rPr>
          <w:b/>
        </w:rPr>
        <w:t>Sous-classe et Mécanisme d'action :</w:t>
      </w:r>
      <w:r/>
    </w:p>
    <w:p>
      <w:pPr>
        <w:pStyle w:val="ListBullet"/>
      </w:pPr>
      <w:r/>
      <w:r>
        <w:rPr>
          <w:b/>
        </w:rPr>
        <w:t>Sous-classe :</w:t>
      </w:r>
      <w:r>
        <w:t xml:space="preserve"> L'acide tranexamique appartient à la sous-classe pharmacothérapeutique des </w:t>
      </w:r>
      <w:r>
        <w:rPr>
          <w:b/>
        </w:rPr>
        <w:t>antifibrinolytiques — inhibiteurs de l'activation du plasminogène</w:t>
      </w:r>
      <w:r>
        <w:t xml:space="preserve"> (ATC code B02AA02 — Antifibrinolytiques, acides aminés), au sein de la classe B02 « Antihémorragiques ». Il est le seul représentant de cette sous-classe disponible en Algérie (l'acide aminocaproïque B02AA01 et l'aprotinine B02AB01 ne sont pas référencés dans la nomenclature). L'acide tranexamique se positionne comme </w:t>
      </w:r>
      <w:r>
        <w:rPr>
          <w:b/>
        </w:rPr>
        <w:t>médicament de référence du saignement en contexte fibrinolytique</w:t>
      </w:r>
      <w:r>
        <w:t xml:space="preserve">, à la fois en gynécologie (ménorragies, métrorragies fonctionnelles, saignement post-opératoire gynécologique), en chirurgie (cardiaque sous CEC, prothèse de hanche, chirurgie lourde), en ORL (épistaxis, chirurgie endoscopique sinusienne), en ophtalmologie (hyphéma traumatique) et en odontologie (extractions dentaires multiples, saignements post-opératoires). Son caractère </w:t>
      </w:r>
      <w:r>
        <w:rPr>
          <w:b/>
        </w:rPr>
        <w:t>non hormonal</w:t>
      </w:r>
      <w:r>
        <w:t xml:space="preserve"> le distingue fondamentalement des progestatifs et estroprogestatifs utilisés dans les ménorragies, et son mécanisme </w:t>
      </w:r>
      <w:r>
        <w:rPr>
          <w:b/>
        </w:rPr>
        <w:t>purement anti-fibrinolytique local</w:t>
      </w:r>
      <w:r>
        <w:t xml:space="preserve"> le distingue des antifibrinolytiques d'action systémique comme l'aprotinine (inhibiteur enzymatique direct de la plasmine et des sérine-protéases).</w:t>
      </w:r>
    </w:p>
    <w:p>
      <w:pPr>
        <w:pStyle w:val="ListBullet"/>
      </w:pPr>
      <w:r/>
      <w:r>
        <w:rPr>
          <w:b/>
        </w:rPr>
        <w:t>Mécanisme d'action :</w:t>
      </w:r>
      <w:r>
        <w:t xml:space="preserve"> L'acide tranexamique est un </w:t>
      </w:r>
      <w:r>
        <w:rPr>
          <w:b/>
        </w:rPr>
        <w:t>analogue structural de la lysine</w:t>
      </w:r>
      <w:r>
        <w:t xml:space="preserve"> (acide aminé basique) : il reproduit la chaîne latérale aminométhyl-carboxyle de la lysine, mais insérée dans un cycle cyclohexane en configuration *trans* — ce qui rigidifie la molécule et augmente son affinité pour les sites de reconnaissance de la lysine, en particulier les </w:t>
      </w:r>
      <w:r>
        <w:rPr>
          <w:b/>
        </w:rPr>
        <w:t>domaines kringle</w:t>
      </w:r>
      <w:r>
        <w:t xml:space="preserve"> du </w:t>
      </w:r>
      <w:r>
        <w:rPr>
          <w:b/>
        </w:rPr>
        <w:t>plasminogène</w:t>
      </w:r>
      <w:r>
        <w:t xml:space="preserve"> (zymogène inactif de la plasmine). Les domaines kringle sont des structures tridimensionnelles caractéristiques (boucles de ~80 acides aminés stabilisées par 3 ponts disulfure) qui contiennent des </w:t>
      </w:r>
      <w:r>
        <w:rPr>
          <w:b/>
        </w:rPr>
        <w:t>sites de liaison à la lysine</w:t>
      </w:r>
      <w:r>
        <w:t xml:space="preserve"> et permettent au plasminogène de se fixer sur la fibrine. L'acide tranexamique se fixe </w:t>
      </w:r>
      <w:r>
        <w:rPr>
          <w:b/>
        </w:rPr>
        <w:t>réversiblement</w:t>
      </w:r>
      <w:r>
        <w:t xml:space="preserve"> sur le kringle 1 du plasminogène (et accessoirement sur le kringle 4), ce qui :</w:t>
      </w:r>
    </w:p>
    <w:p>
      <w:pPr>
        <w:pStyle w:val="ListNumber"/>
      </w:pPr>
      <w:r/>
      <w:r>
        <w:rPr>
          <w:b/>
        </w:rPr>
        <w:t>Modifie la conformation du plasminogène</w:t>
      </w:r>
      <w:r>
        <w:t xml:space="preserve"> en un état « fermé » non accessible aux activateurs tissulaires (t-PA) et à l'urokinase (u-PA) ;</w:t>
      </w:r>
    </w:p>
    <w:p>
      <w:pPr>
        <w:pStyle w:val="ListNumber"/>
      </w:pPr>
      <w:r/>
      <w:r>
        <w:rPr>
          <w:b/>
        </w:rPr>
        <w:t>Empêche la protéolyse du plasminogène</w:t>
      </w:r>
      <w:r>
        <w:t xml:space="preserve"> en plasmine active par ces activateurs ;</w:t>
      </w:r>
    </w:p>
    <w:p>
      <w:pPr>
        <w:pStyle w:val="ListNumber"/>
      </w:pPr>
      <w:r/>
      <w:r>
        <w:rPr>
          <w:b/>
        </w:rPr>
        <w:t>Réduit également l'interaction plasminogène-fibrine</w:t>
      </w:r>
      <w:r>
        <w:t>, limitant ainsi la formation du complexe ternaire ternaire plasminogène-t-PA-fibrine (qui est le site physiologique de la fibrinolyse).</w:t>
      </w:r>
    </w:p>
    <w:p>
      <w:r>
        <w:t xml:space="preserve">  La conséquence pratique est </w:t>
      </w:r>
      <w:r>
        <w:rPr>
          <w:b/>
        </w:rPr>
        <w:t>l'inhibition de la fibrinolyse</w:t>
      </w:r>
      <w:r>
        <w:t xml:space="preserve"> : la plasmine n'étant pas générée, elle ne peut pas cliver la </w:t>
      </w:r>
      <w:r>
        <w:rPr>
          <w:b/>
        </w:rPr>
        <w:t>fibrine</w:t>
      </w:r>
      <w:r>
        <w:t xml:space="preserve"> en produits de dégradation (D-dimères, fragments X, Y, D, E), ni dégrader les </w:t>
      </w:r>
      <w:r>
        <w:rPr>
          <w:b/>
        </w:rPr>
        <w:t>facteurs de coagulation</w:t>
      </w:r>
      <w:r>
        <w:t xml:space="preserve"> (V, VIII, XII) et le </w:t>
      </w:r>
      <w:r>
        <w:rPr>
          <w:b/>
        </w:rPr>
        <w:t>fibrinogène</w:t>
      </w:r>
      <w:r>
        <w:t xml:space="preserve">. Le caillot fibrineux déjà formé est ainsi </w:t>
      </w:r>
      <w:r>
        <w:rPr>
          <w:b/>
        </w:rPr>
        <w:t>stabilisé et préservé</w:t>
      </w:r>
      <w:r>
        <w:t xml:space="preserve"> de la lyse physiologique, ce qui réduit la durée et l'abondance du saignement — sans toutefois augmenter la formation de caillot supplémentaire (l'acide tranexamique n'est pas procoagulant stricto sensu, il agit seulement en préservant le caillot existant).</w:t>
      </w:r>
    </w:p>
    <w:p>
      <w:r>
        <w:t xml:space="preserve">  Ce mécanisme est particulièrement pertinent au niveau de la </w:t>
      </w:r>
      <w:r>
        <w:rPr>
          <w:b/>
        </w:rPr>
        <w:t>muqueuse endométriale</w:t>
      </w:r>
      <w:r>
        <w:t>, qui présente l'une des plus fortes concentrations en activateurs tissulaires du plasminogène de l'organisme humain (rôle physiologique : fluidifier le sang menstruel en lyseant les caillots). Lorsque cette fibrinolyse locale devient excessive (ménorragie fonctionnelle), l'acide tranexamique restaure un équilibre normal et limite le saignement.</w:t>
      </w:r>
    </w:p>
    <w:p>
      <w:r>
        <w:t xml:space="preserve">  À forte dose intraveineuse, l'acide tranexamique peut également exercer un effet </w:t>
      </w:r>
      <w:r>
        <w:rPr>
          <w:b/>
        </w:rPr>
        <w:t>anti-inflammatoire</w:t>
      </w:r>
      <w:r>
        <w:t xml:space="preserve"> modéré en inhibant la plasmine qui, à son tour, active la cascade du complément et la libération de médiateurs inflammatoires (kinines, bradykinine) — effet exploité en chirurgie cardiaque sous circulation extra-corporelle (CEC) pour réduire l'inflammation systémique post-opératoire.</w:t>
      </w:r>
    </w:p>
    <w:p>
      <w:r/>
      <w:r>
        <w:rPr>
          <w:b/>
        </w:rPr>
        <w:t>Profil Pharmacologique :</w:t>
      </w:r>
      <w:r/>
    </w:p>
    <w:p>
      <w:pPr>
        <w:pStyle w:val="ListBullet"/>
      </w:pPr>
      <w:r/>
      <w:r>
        <w:rPr>
          <w:b/>
        </w:rPr>
        <w:t>Indications :</w:t>
      </w:r>
      <w:r>
        <w:t xml:space="preserve"> L'acide tranexamique est indiqué dans de multiples contextes hémorragiques où la composante fibrinolytique locale est prédominante :</w:t>
      </w:r>
    </w:p>
    <w:p>
      <w:pPr>
        <w:pStyle w:val="ListBullet"/>
      </w:pPr>
      <w:r/>
      <w:r>
        <w:rPr>
          <w:b/>
        </w:rPr>
        <w:t>Gynécologie :</w:t>
      </w:r>
      <w:r>
        <w:t xml:space="preserve"> Ménorragies fonctionnelles (réduction du flux menstruel de 40–60 %, niveau de preuve A selon NICE 2018 et Cochrane 2018), saignements post-opératoires gynécologiques (myomectomie, hystérectomie), saignements post-partum en complément de l'ocytocine et des prostaglandines (recommandation OMS 2017 pour la prévention de l'hémorragie du post-partum en cas de risque élevé — dose IV 1 g dans les 3 minutes suivant l'accouchement par voie basse ou dès l'extraction fœtale en césarienne) ;</w:t>
      </w:r>
    </w:p>
    <w:p>
      <w:pPr>
        <w:pStyle w:val="ListBullet"/>
      </w:pPr>
      <w:r/>
      <w:r>
        <w:rPr>
          <w:b/>
        </w:rPr>
        <w:t>Chirurgie :</w:t>
      </w:r>
      <w:r>
        <w:t xml:space="preserve"> Réduction du saignement péri-opératoire en chirurgie cardiaque sous CEC (réduction de 30–40 % des transfusions selon études pivots), chirurgie orthopédique majeure (prothèse totale de hanche, de genou), chirurgie rachidienne, chirurgie hépatique, transplantation hépatique ;</w:t>
      </w:r>
    </w:p>
    <w:p>
      <w:pPr>
        <w:pStyle w:val="ListBullet"/>
      </w:pPr>
      <w:r/>
      <w:r>
        <w:rPr>
          <w:b/>
        </w:rPr>
        <w:t>ORL :</w:t>
      </w:r>
      <w:r>
        <w:t xml:space="preserve"> Épistaxis récidivante ou sévère, saignement post-amygdalectomie, chirurgie endoscopique sinusienne ;</w:t>
      </w:r>
    </w:p>
    <w:p>
      <w:pPr>
        <w:pStyle w:val="ListBullet"/>
      </w:pPr>
      <w:r/>
      <w:r>
        <w:rPr>
          <w:b/>
        </w:rPr>
        <w:t>Ophtalmologie :</w:t>
      </w:r>
      <w:r>
        <w:t xml:space="preserve"> Hyphéma traumatique (prévention de la reprise hémorragique secondaire et de la formation de synéchies) ;</w:t>
      </w:r>
    </w:p>
    <w:p>
      <w:pPr>
        <w:pStyle w:val="ListBullet"/>
      </w:pPr>
      <w:r/>
      <w:r>
        <w:rPr>
          <w:b/>
        </w:rPr>
        <w:t>Odontologie :</w:t>
      </w:r>
      <w:r>
        <w:t xml:space="preserve"> Saignements post-extraction dentaire, particulièrement chez les patients sous anticoagulants ou ayant un trouble de la coagulation ;</w:t>
      </w:r>
    </w:p>
    <w:p>
      <w:pPr>
        <w:pStyle w:val="ListBullet"/>
      </w:pPr>
      <w:r/>
      <w:r>
        <w:rPr>
          <w:b/>
        </w:rPr>
        <w:t>Hématologie :</w:t>
      </w:r>
      <w:r>
        <w:t xml:space="preserve"> Hémophilie mineure (A ou B) et maladie de Willebrand en cas de saignement ou de geste invasif mineur (en complément, sans remplacer le facteur déficient en cas de saignement sévère), purpura thrombopénique auto-immun en cas de saignement muqueux ;</w:t>
      </w:r>
    </w:p>
    <w:p>
      <w:pPr>
        <w:pStyle w:val="ListBullet"/>
      </w:pPr>
      <w:r/>
      <w:r>
        <w:rPr>
          <w:b/>
        </w:rPr>
        <w:t>Traumatologie :</w:t>
      </w:r>
      <w:r>
        <w:t xml:space="preserve"> Hémorragie sévère post-traumatique (essai CRASH-2 2010 — réduction de la mortalité de 1,5 % si administration &lt; 3 h après traumatisme, dose IV 1 g puis 1 g/8 h pendant 24 h) ;</w:t>
      </w:r>
    </w:p>
    <w:p>
      <w:pPr>
        <w:pStyle w:val="ListBullet"/>
      </w:pPr>
      <w:r/>
      <w:r>
        <w:rPr>
          <w:b/>
        </w:rPr>
        <w:t>Gastro-entérologie :</w:t>
      </w:r>
      <w:r>
        <w:t xml:space="preserve"> Hémorragie digestive (en complément de l'endoscopie, dose IV 1 g puis perfusion 3 g/24 h — essai HALT-IT 2020).</w:t>
      </w:r>
    </w:p>
    <w:p>
      <w:pPr>
        <w:pStyle w:val="ListBullet"/>
      </w:pPr>
      <w:r/>
      <w:r>
        <w:rPr>
          <w:b/>
        </w:rPr>
        <w:t>Contre-indications :</w:t>
      </w:r>
      <w:r/>
    </w:p>
    <w:p>
      <w:pPr>
        <w:pStyle w:val="ListBullet"/>
      </w:pPr>
      <w:r/>
      <w:r>
        <w:rPr>
          <w:b/>
        </w:rPr>
        <w:t>Contre-indications absolues :</w:t>
      </w:r>
      <w:r/>
    </w:p>
    <w:p>
      <w:pPr>
        <w:pStyle w:val="ListBullet"/>
      </w:pPr>
      <w:r/>
      <w:r>
        <w:rPr>
          <w:b/>
        </w:rPr>
        <w:t>Thrombose veineuse profonde (TVP) active</w:t>
      </w:r>
      <w:r>
        <w:t xml:space="preserve"> ou antécédent personnel de TVP ;</w:t>
      </w:r>
    </w:p>
    <w:p>
      <w:pPr>
        <w:pStyle w:val="ListBullet"/>
      </w:pPr>
      <w:r/>
      <w:r>
        <w:rPr>
          <w:b/>
        </w:rPr>
        <w:t>Embolie pulmonaire (EP) active</w:t>
      </w:r>
      <w:r>
        <w:t xml:space="preserve"> ou antécédent personnel d'EP ;</w:t>
      </w:r>
    </w:p>
    <w:p>
      <w:pPr>
        <w:pStyle w:val="ListBullet"/>
      </w:pPr>
      <w:r/>
      <w:r>
        <w:rPr>
          <w:b/>
        </w:rPr>
        <w:t>Thrombose artérielle active</w:t>
      </w:r>
      <w:r>
        <w:t xml:space="preserve"> (infarctus du myocarde en phase aiguë, accident vasculaire cérébral ischémique, artériopathie oblitérante des membres inférieurs en poussée) ;</w:t>
      </w:r>
    </w:p>
    <w:p>
      <w:pPr>
        <w:pStyle w:val="ListBullet"/>
      </w:pPr>
      <w:r/>
      <w:r>
        <w:rPr>
          <w:b/>
        </w:rPr>
        <w:t>Thrombophilie biologique connue</w:t>
      </w:r>
      <w:r>
        <w:t xml:space="preserve"> (déficit en antithrombine III, en protéine C, en protéine S ; mutation du facteur V Leiden ; mutation du gène de la prothrombine G20210A ; syndrome des antiphospholipides) ;</w:t>
      </w:r>
    </w:p>
    <w:p>
      <w:pPr>
        <w:pStyle w:val="ListBullet"/>
      </w:pPr>
      <w:r/>
      <w:r>
        <w:rPr>
          <w:b/>
        </w:rPr>
        <w:t>Hématurie macroscopique</w:t>
      </w:r>
      <w:r>
        <w:t xml:space="preserve"> (risque de caillot obstructif dans les voies urinaires, entraînant une anurie et une insuffisance rénale aiguë obstructive) ;</w:t>
      </w:r>
    </w:p>
    <w:p>
      <w:pPr>
        <w:pStyle w:val="ListBullet"/>
      </w:pPr>
      <w:r/>
      <w:r>
        <w:rPr>
          <w:b/>
        </w:rPr>
        <w:t>Insuffisance rénale sévère</w:t>
      </w:r>
      <w:r>
        <w:t xml:space="preserve"> pour la voie IV non adaptée (clairance créatinine &lt; 30 mL/min : adaptation posologique obligatoire, contre-indication relative à la dose standard) ;</w:t>
      </w:r>
    </w:p>
    <w:p>
      <w:pPr>
        <w:pStyle w:val="ListBullet"/>
      </w:pPr>
      <w:r/>
      <w:r>
        <w:rPr>
          <w:b/>
        </w:rPr>
        <w:t>Hypersensibilité connue</w:t>
      </w:r>
      <w:r>
        <w:t xml:space="preserve"> à l'acide tranexamique ou à l'un des excipients ;</w:t>
      </w:r>
    </w:p>
    <w:p>
      <w:pPr>
        <w:pStyle w:val="ListBullet"/>
      </w:pPr>
      <w:r/>
      <w:r>
        <w:rPr>
          <w:b/>
        </w:rPr>
        <w:t>Crise d'épilepsie non contrôlée</w:t>
      </w:r>
      <w:r>
        <w:t xml:space="preserve"> (l'acide tranexamique peut abaisser le seuil épileptogène à doses élevées).</w:t>
      </w:r>
    </w:p>
    <w:p>
      <w:pPr>
        <w:pStyle w:val="ListBullet"/>
      </w:pPr>
      <w:r/>
      <w:r>
        <w:rPr>
          <w:b/>
        </w:rPr>
        <w:t>Contre-indications relatives / mises en garde :</w:t>
      </w:r>
      <w:r/>
    </w:p>
    <w:p>
      <w:pPr>
        <w:pStyle w:val="ListBullet"/>
      </w:pPr>
      <w:r/>
      <w:r>
        <w:rPr>
          <w:b/>
        </w:rPr>
        <w:t>Contraception estroprogestative combinée active</w:t>
      </w:r>
      <w:r>
        <w:t xml:space="preserve"> : majoration du risque thrombotique veineux (l'acide tranexamique n'est pas formellement contre-indiqué mais son usage doit être soigneusement pesé, et discuté avec la patiente — privilégier une contraception progestative pure ou non hormonale pendant la durée du traitement) ;</w:t>
      </w:r>
    </w:p>
    <w:p>
      <w:pPr>
        <w:pStyle w:val="ListBullet"/>
      </w:pPr>
      <w:r/>
      <w:r>
        <w:rPr>
          <w:b/>
        </w:rPr>
        <w:t>Antécédents familiaux thrombotiques au 1er degré</w:t>
      </w:r>
      <w:r>
        <w:t xml:space="preserve"> chez la femme jeune : évaluation bénéfice/risque ;</w:t>
      </w:r>
    </w:p>
    <w:p>
      <w:pPr>
        <w:pStyle w:val="ListBullet"/>
      </w:pPr>
      <w:r/>
      <w:r>
        <w:rPr>
          <w:b/>
        </w:rPr>
        <w:t>Insuffisance hépatique sévère</w:t>
      </w:r>
      <w:r>
        <w:t xml:space="preserve"> (adaptation non nécessaire mais surveillance) ;</w:t>
      </w:r>
    </w:p>
    <w:p>
      <w:pPr>
        <w:pStyle w:val="ListBullet"/>
      </w:pPr>
      <w:r/>
      <w:r>
        <w:rPr>
          <w:b/>
        </w:rPr>
        <w:t>Polytraumatisés &gt; 3 heures après le traumatisme</w:t>
      </w:r>
      <w:r>
        <w:t xml:space="preserve"> (essai CRASH-3 2019 : bénéfice incertain voire délétère au-delà de 3 h) ;</w:t>
      </w:r>
    </w:p>
    <w:p>
      <w:pPr>
        <w:pStyle w:val="ListBullet"/>
      </w:pPr>
      <w:r/>
      <w:r>
        <w:rPr>
          <w:b/>
        </w:rPr>
        <w:t>Hémorragie méningée</w:t>
      </w:r>
      <w:r>
        <w:t xml:space="preserve"> (risque de vasospasme cérébral ischémique) ;</w:t>
      </w:r>
    </w:p>
    <w:p>
      <w:pPr>
        <w:pStyle w:val="ListBullet"/>
      </w:pPr>
      <w:r/>
      <w:r>
        <w:rPr>
          <w:b/>
        </w:rPr>
        <w:t>Trouble de la vision des couleurs</w:t>
      </w:r>
      <w:r>
        <w:t xml:space="preserve"> ou troubles visuels (potentiellement aggravés par l'acide tranexamique, surveillance ophtalmologique).</w:t>
      </w:r>
    </w:p>
    <w:p>
      <w:pPr>
        <w:pStyle w:val="ListBullet"/>
      </w:pPr>
      <w:r/>
      <w:r>
        <w:rPr>
          <w:b/>
        </w:rPr>
        <w:t>Effets Indésirables :</w:t>
      </w:r>
      <w:r/>
    </w:p>
    <w:p>
      <w:pPr>
        <w:pStyle w:val="ListBullet"/>
      </w:pPr>
      <w:r/>
      <w:r>
        <w:rPr>
          <w:b/>
        </w:rPr>
        <w:t>Effets gastro-intestinaux</w:t>
      </w:r>
      <w:r>
        <w:t xml:space="preserve"> (très fréquents, &gt; 10 %) : nausées, vomissements, diarrhée (souvent dose-dépendants, atténués par prise pendant les repas) ;</w:t>
      </w:r>
    </w:p>
    <w:p>
      <w:pPr>
        <w:pStyle w:val="ListBullet"/>
      </w:pPr>
      <w:r/>
      <w:r>
        <w:rPr>
          <w:b/>
        </w:rPr>
        <w:t>Effets orthostatiques / vasculaires</w:t>
      </w:r>
      <w:r>
        <w:t xml:space="preserve"> (fréquents) : hypotension, particulièrement en cas d'injection IV trop rapide (à administrer en perfusion lente &gt; 5–10 min) ;</w:t>
      </w:r>
    </w:p>
    <w:p>
      <w:pPr>
        <w:pStyle w:val="ListBullet"/>
      </w:pPr>
      <w:r/>
      <w:r>
        <w:rPr>
          <w:b/>
        </w:rPr>
        <w:t>Effets neurologiques</w:t>
      </w:r>
      <w:r>
        <w:t xml:space="preserve"> (fréquents) : vertiges, céphalées, somnolence ;</w:t>
      </w:r>
    </w:p>
    <w:p>
      <w:pPr>
        <w:pStyle w:val="ListBullet"/>
      </w:pPr>
      <w:r/>
      <w:r>
        <w:rPr>
          <w:b/>
        </w:rPr>
        <w:t>Effets cutanés</w:t>
      </w:r>
      <w:r>
        <w:t xml:space="preserve"> (peu fréquents) : rash, prurit, urticaire ;</w:t>
      </w:r>
    </w:p>
    <w:p>
      <w:pPr>
        <w:pStyle w:val="ListBullet"/>
      </w:pPr>
      <w:r/>
      <w:r>
        <w:rPr>
          <w:b/>
        </w:rPr>
        <w:t>Effets visuels</w:t>
      </w:r>
      <w:r>
        <w:t xml:space="preserve"> (rares mais caractéristiques) : troubles visuels (vision floue, scotomes, altération de la vision des couleurs) — à doses cumulées élevées en chirurgie cardiaque, possibilité d'apparition de </w:t>
      </w:r>
      <w:r>
        <w:rPr>
          <w:b/>
        </w:rPr>
        <w:t>rétinopathie ischémique</w:t>
      </w:r>
      <w:r>
        <w:t xml:space="preserve"> et de troubles irréversibles (surveillance ophtalmologique systématique en cas de traitement prolongé &gt; 4 jours ou répété) ;</w:t>
      </w:r>
    </w:p>
    <w:p>
      <w:pPr>
        <w:pStyle w:val="ListBullet"/>
      </w:pPr>
      <w:r/>
      <w:r>
        <w:rPr>
          <w:b/>
        </w:rPr>
        <w:t>Effets thrombotiques veineux et artériels</w:t>
      </w:r>
      <w:r>
        <w:t xml:space="preserve"> (rares, &lt; 1 %, mais </w:t>
      </w:r>
      <w:r>
        <w:rPr>
          <w:b/>
        </w:rPr>
        <w:t>gravité potentielle majeure</w:t>
      </w:r>
      <w:r>
        <w:t>) : thrombose veineuse profonde, embolie pulmonaire, thrombose des cathéters veineux centraux, infarctus du myocarde, accident vasculaire cérébral ischémique — particulièrement en cas d'association avec contraception estroprogestative, de thrombophilie, d'immobilisation prolongée, de chirurgie majeure ou de traitement prolongé &gt; 4 jours ;</w:t>
      </w:r>
    </w:p>
    <w:p>
      <w:pPr>
        <w:pStyle w:val="ListBullet"/>
      </w:pPr>
      <w:r/>
      <w:r>
        <w:rPr>
          <w:b/>
        </w:rPr>
        <w:t>Effets convulsifs</w:t>
      </w:r>
      <w:r>
        <w:t xml:space="preserve"> (rares) : crises d'épilepsie, surtout à doses élevées IV en chirurgie cardiaque (hypothèse : passage transitoire de la barrière hémato-encéphalique et inhibition de la plasmine cérébrale qui joue un rôle neuroprotecteur) ;</w:t>
      </w:r>
    </w:p>
    <w:p>
      <w:pPr>
        <w:pStyle w:val="ListBullet"/>
      </w:pPr>
      <w:r/>
      <w:r>
        <w:rPr>
          <w:b/>
        </w:rPr>
        <w:t>Effets rénaux</w:t>
      </w:r>
      <w:r>
        <w:t xml:space="preserve"> (rares) : en cas de saignement des voies urinaires, formation de caillots obstructifs avec anurie et insuffisance rénale aiguë — d'où la contre-indication absolue en cas d'hématurie macroscopique.</w:t>
      </w:r>
    </w:p>
    <w:p>
      <w:r/>
      <w:r>
        <w:rPr>
          <w:b/>
        </w:rPr>
        <w:t>Prévention et Gestion des Effets Indésirables :</w:t>
      </w:r>
      <w:r/>
    </w:p>
    <w:p>
      <w:pPr>
        <w:pStyle w:val="ListBullet"/>
      </w:pPr>
      <w:r/>
      <w:r>
        <w:rPr>
          <w:b/>
        </w:rPr>
        <w:t>Mesures Préventives :</w:t>
      </w:r>
      <w:r/>
    </w:p>
    <w:p>
      <w:pPr>
        <w:pStyle w:val="ListBullet"/>
      </w:pPr>
      <w:r/>
      <w:r>
        <w:rPr>
          <w:b/>
        </w:rPr>
        <w:t>Interrogatoire systématique avant prescription</w:t>
      </w:r>
      <w:r>
        <w:t xml:space="preserve"> : antécédents personnels et familiaux (au 1er degré) de thrombose veineuse profonde, embolie pulmonaire, infarctus du myocarde, accident vasculaire cérébral ; prise actuelle d'une contraception estroprogestative combinée ; tabagisme (surtout chez la femme &gt; 35 ans) ; immobilisation prolongée récente ; chirurgie programmée ; thrombophilie biologique connue ;</w:t>
      </w:r>
    </w:p>
    <w:p>
      <w:pPr>
        <w:pStyle w:val="ListBullet"/>
      </w:pPr>
      <w:r/>
      <w:r>
        <w:rPr>
          <w:b/>
        </w:rPr>
        <w:t>Évaluation de la fonction rénale</w:t>
      </w:r>
      <w:r>
        <w:t xml:space="preserve"> : dosage de la créatininémie et calcul de la clairance (formule MDRD ou CKD-EPI) avant tout traitement IV prolongé, adaptation posologique si clairance &lt; 50 mL/min ;</w:t>
      </w:r>
    </w:p>
    <w:p>
      <w:pPr>
        <w:pStyle w:val="ListBullet"/>
      </w:pPr>
      <w:r/>
      <w:r>
        <w:rPr>
          <w:b/>
        </w:rPr>
        <w:t>Administration IV lente</w:t>
      </w:r>
      <w:r>
        <w:t xml:space="preserve"> : injection IV directe en </w:t>
      </w:r>
      <w:r>
        <w:rPr>
          <w:b/>
        </w:rPr>
        <w:t>5 à 10 minutes minimum</w:t>
      </w:r>
      <w:r>
        <w:t xml:space="preserve"> (jamais en bolus), ou de préférence </w:t>
      </w:r>
      <w:r>
        <w:rPr>
          <w:b/>
        </w:rPr>
        <w:t>perfusion lente</w:t>
      </w:r>
      <w:r>
        <w:t xml:space="preserve"> dans 100 mL de sérum physiologique sur 15–30 min — prévention de l'hypotension brutale et de la veinite ;</w:t>
      </w:r>
    </w:p>
    <w:p>
      <w:pPr>
        <w:pStyle w:val="ListBullet"/>
      </w:pPr>
      <w:r/>
      <w:r>
        <w:rPr>
          <w:b/>
        </w:rPr>
        <w:t>Limitation de la durée</w:t>
      </w:r>
      <w:r>
        <w:t xml:space="preserve"> : en cas de traitement prolongé &gt; 4 jours (ménorragies sévères sur plusieurs cycles, chirurgie lourde, post-partum), surveillance clinique rapprochée (recherche de douleur du mollet, dyspnée, douleur thoracique, asymétrie des membres inférieurs) et éventuellement biologique (D-dimères, Echo-Doppler veineux des membres inférieurs au moindre doute) ;</w:t>
      </w:r>
    </w:p>
    <w:p>
      <w:pPr>
        <w:pStyle w:val="ListBullet"/>
      </w:pPr>
      <w:r/>
      <w:r>
        <w:rPr>
          <w:b/>
        </w:rPr>
        <w:t>Surveillance ophtalmologique</w:t>
      </w:r>
      <w:r>
        <w:t xml:space="preserve"> : en cas de traitement prolongé ou répété, examen ophtalmologique avec fond d'œil à la recherche d'une rétinopathie ischémique ;</w:t>
      </w:r>
    </w:p>
    <w:p>
      <w:pPr>
        <w:pStyle w:val="ListBullet"/>
      </w:pPr>
      <w:r/>
      <w:r>
        <w:rPr>
          <w:b/>
        </w:rPr>
        <w:t>Prise pendant les repas</w:t>
      </w:r>
      <w:r>
        <w:t xml:space="preserve"> (pour les formes orales — non disponibles en Algérie mais à connaître pour information) : atténuation des nausées ;</w:t>
      </w:r>
    </w:p>
    <w:p>
      <w:pPr>
        <w:pStyle w:val="ListBullet"/>
      </w:pPr>
      <w:r/>
      <w:r>
        <w:rPr>
          <w:b/>
        </w:rPr>
        <w:t>Hydratation correcte</w:t>
      </w:r>
      <w:r>
        <w:t xml:space="preserve"> et lever précoce en post-opératoire : prévention de la stase veineuse et du risque thrombotique ;</w:t>
      </w:r>
    </w:p>
    <w:p>
      <w:pPr>
        <w:pStyle w:val="ListBullet"/>
      </w:pPr>
      <w:r/>
      <w:r>
        <w:rPr>
          <w:b/>
        </w:rPr>
        <w:t>Compression veineuse (bas de contention) et prophylaxie anticoagulante (HBPM)</w:t>
      </w:r>
      <w:r>
        <w:t xml:space="preserve"> : à discuter systématiquement en contexte chirurgical, en respectant les contre-indications propres à l'acide tranexamique.</w:t>
      </w:r>
    </w:p>
    <w:p>
      <w:pPr>
        <w:pStyle w:val="ListBullet"/>
      </w:pPr>
      <w:r/>
      <w:r>
        <w:rPr>
          <w:b/>
        </w:rPr>
        <w:t>Conduite à Tenir en cas d'effet indésirable :</w:t>
      </w:r>
      <w:r/>
    </w:p>
    <w:p>
      <w:pPr>
        <w:pStyle w:val="ListBullet"/>
      </w:pPr>
      <w:r/>
      <w:r>
        <w:rPr>
          <w:b/>
        </w:rPr>
        <w:t>Signes thrombotiques</w:t>
      </w:r>
      <w:r>
        <w:t xml:space="preserve"> (douleur du mollet unilatérale, œdème, rougeur, chaleur ; dyspnée brutale, douleur thoracique pleurale, hémoptysie ; déficit neurologique brutal) : </w:t>
      </w:r>
      <w:r>
        <w:rPr>
          <w:b/>
        </w:rPr>
        <w:t>arrêt immédiat de l'acide tranexamique</w:t>
      </w:r>
      <w:r>
        <w:t>, hospitalisation en urgence, Echo-Doppler veineux, angioscanner thoracique si suspicion d'EP, anticoagulation curative par HBPM relayée par AVK ou AOD selon protocole ;</w:t>
      </w:r>
    </w:p>
    <w:p>
      <w:pPr>
        <w:pStyle w:val="ListBullet"/>
      </w:pPr>
      <w:r/>
      <w:r>
        <w:rPr>
          <w:b/>
        </w:rPr>
        <w:t>Hypotension IV</w:t>
      </w:r>
      <w:r>
        <w:t xml:space="preserve"> : ralentir ou arrêter la perfusion, allonger la patiente, surveiller la tension artérielle — régression spontanée en 5–15 min ;</w:t>
      </w:r>
    </w:p>
    <w:p>
      <w:pPr>
        <w:pStyle w:val="ListBullet"/>
      </w:pPr>
      <w:r/>
      <w:r>
        <w:rPr>
          <w:b/>
        </w:rPr>
        <w:t>Troubles visuels</w:t>
      </w:r>
      <w:r>
        <w:t xml:space="preserve"> : arrêt du traitement, consultation ophtalmologique urgente avec fond d'œil et champ visuel — examen avant reprise éventuelle ;</w:t>
      </w:r>
    </w:p>
    <w:p>
      <w:pPr>
        <w:pStyle w:val="ListBullet"/>
      </w:pPr>
      <w:r/>
      <w:r>
        <w:rPr>
          <w:b/>
        </w:rPr>
        <w:t>Crise convulsive</w:t>
      </w:r>
      <w:r>
        <w:t xml:space="preserve"> : arrêt immédiat, traitement benzodiazépine IV (diazépam 10 mg ou clonazépam 1 mg) selon protocole convulsif ;</w:t>
      </w:r>
    </w:p>
    <w:p>
      <w:pPr>
        <w:pStyle w:val="ListBullet"/>
      </w:pPr>
      <w:r/>
      <w:r>
        <w:rPr>
          <w:b/>
        </w:rPr>
        <w:t>Hématurie macroscopique</w:t>
      </w:r>
      <w:r>
        <w:t xml:space="preserve"> apparue sous traitement : arrêt immédiat (contre-indication absolue), échographie rénale et vésicale pour éliminer un caillot obstructif, surveillance diurèse et fonction rénale.</w:t>
      </w:r>
    </w:p>
    <w:p>
      <w:r/>
      <w:r>
        <w:rPr>
          <w:b/>
        </w:rPr>
        <w:t>Interactions Importantes :</w:t>
      </w:r>
      <w:r/>
    </w:p>
    <w:p>
      <w:pPr>
        <w:pStyle w:val="ListBullet"/>
      </w:pPr>
      <w:r/>
      <w:r>
        <w:rPr>
          <w:b/>
        </w:rPr>
        <w:t>Acide tranexamique + contraceptifs estroprogestatifs combinés (COC) ou traitement hormonal substitutif (THS) de la ménopause</w:t>
      </w:r>
      <w:r>
        <w:t xml:space="preserve"> : </w:t>
      </w:r>
      <w:r>
        <w:rPr>
          <w:b/>
        </w:rPr>
        <w:t>majoration du risque thrombotique veineux</w:t>
      </w:r>
      <w:r>
        <w:t xml:space="preserve"> (effet additif sur la coagulation — les COC augmentent la synthèse hépatique du fibrinogène et des facteurs II, VII, VIII, X, et diminuent l'antithrombine III ; l'acide tranexamique stabilise le caillot, ce qui potentialise l'effet pro-thrombotique des œstroprogestatifs). </w:t>
      </w:r>
      <w:r>
        <w:rPr>
          <w:b/>
        </w:rPr>
        <w:t>Association à éviter</w:t>
      </w:r>
      <w:r>
        <w:t xml:space="preserve"> en pratique clinique : si un antifibrinolytique est indispensable, privilégier une contraception progestative pure (micro-dosée type Lutéran® ou macro-dosée type Duphaston®) ou non hormonale (DIU cuivre, préservatif) pendant la durée du traitement. En cas d'association inévitable (patientes sous COC présentant des ménorragies sévères mal tolérées), informer la patiente des signes thrombotiques, limiter la durée au strict minimum (3–4 jours par cycle) et assurer une surveillance clinique rapprochée.</w:t>
      </w:r>
    </w:p>
    <w:p>
      <w:pPr>
        <w:pStyle w:val="ListBullet"/>
      </w:pPr>
      <w:r/>
      <w:r>
        <w:rPr>
          <w:b/>
        </w:rPr>
        <w:t>Acide tranexamique + anticoagulants oraux (AVK : warfarine, acénocoumarol ; AOD : apixaban, rivaroxaban, dabigatran) ou HBPM</w:t>
      </w:r>
      <w:r>
        <w:t xml:space="preserve"> : </w:t>
      </w:r>
      <w:r>
        <w:rPr>
          <w:b/>
        </w:rPr>
        <w:t>antagonisme pharmacodynamique partiel</w:t>
      </w:r>
      <w:r>
        <w:t xml:space="preserve"> (les anticoagulants préviennent la formation du caillot, l'acide tranexamique le stabilise — effet en sens opposé). L'association peut être </w:t>
      </w:r>
      <w:r>
        <w:rPr>
          <w:b/>
        </w:rPr>
        <w:t>justifiée ponctuellement</w:t>
      </w:r>
      <w:r>
        <w:t xml:space="preserve"> en cas de saignement actif chez un patient anticoagulé (épistaxis sévère, hémorragie digestive, saignement post-opératoire) — mais uniquement sous surveillance médicale stricte, en milieu hospitalier, avec contrôle de l'INR (pour AVK) et de la numération plaquettaire. Ne jamais associer de façon prolongée en ambulatoire sans avis spécialisé.</w:t>
      </w:r>
    </w:p>
    <w:p>
      <w:pPr>
        <w:pStyle w:val="ListBullet"/>
      </w:pPr>
      <w:r/>
      <w:r>
        <w:rPr>
          <w:b/>
        </w:rPr>
        <w:t>Acide tranexamique + facteurs de coagulation (facteur VII recombinant, facteur VIII, facteur IX, complexe prothrombinique, fibrinogène)</w:t>
      </w:r>
      <w:r>
        <w:t xml:space="preserve"> : </w:t>
      </w:r>
      <w:r>
        <w:rPr>
          <w:b/>
        </w:rPr>
        <w:t>risque théorique majoré de thrombose</w:t>
      </w:r>
      <w:r>
        <w:t xml:space="preserve"> (potentialisation de la coagulation systémique + stabilisation du caillot). Association utilisée exceptionnellement en milieu hospitalier spécialisé (hémophilie majeure avec saignement sévère, chirurgie lourde hémophilique), sous surveillance étroite.</w:t>
      </w:r>
    </w:p>
    <w:p>
      <w:pPr>
        <w:pStyle w:val="ListBullet"/>
      </w:pPr>
      <w:r/>
      <w:r>
        <w:rPr>
          <w:b/>
        </w:rPr>
        <w:t>Acide tranexamique + anti-inflammatoires non stéroïdiens (AINS : acide méfénamique, ibuprofène, kétoprofène)</w:t>
      </w:r>
      <w:r>
        <w:t xml:space="preserve"> : pas d'interaction pharmacocinétique ni pharmacodynamique formelle — l'association est </w:t>
      </w:r>
      <w:r>
        <w:rPr>
          <w:b/>
        </w:rPr>
        <w:t>même synergique sur le flux menstruel</w:t>
      </w:r>
      <w:r>
        <w:t xml:space="preserve"> (AINS réduisent les prostaglandines endométriales, acide tranexamique stabilise le caillot — association souvent utilisée en pratique gynécologique pour ménorragies sévères). Surveillance habituelle des AINS (gastroprotection si nécessaire).</w:t>
      </w:r>
    </w:p>
    <w:p>
      <w:pPr>
        <w:pStyle w:val="ListBullet"/>
      </w:pPr>
      <w:r/>
      <w:r>
        <w:rPr>
          <w:b/>
        </w:rPr>
        <w:t>Acide tranexamique + hormones thyroïdiennes (lévothyroxine)</w:t>
      </w:r>
      <w:r>
        <w:t xml:space="preserve"> : pas d'interaction significative — l'acide tranexamique ne traverse pas le métabolisme CYP3A4/CYP1A2 de la lévothyroxine.</w:t>
      </w:r>
    </w:p>
    <w:p>
      <w:pPr>
        <w:pStyle w:val="ListBullet"/>
      </w:pPr>
      <w:r/>
      <w:r>
        <w:rPr>
          <w:b/>
        </w:rPr>
        <w:t>Acide tranexamique + inhibiteurs de l'angiotensine (IEC, ARA2) ou diurétiques</w:t>
      </w:r>
      <w:r>
        <w:t xml:space="preserve"> : pas d'interaction pharmacodynamique directe — surveillance habituelle de la fonction rénale.</w:t>
      </w:r>
    </w:p>
    <w:p>
      <w:pPr>
        <w:pStyle w:val="ListBullet"/>
      </w:pPr>
      <w:r/>
      <w:r>
        <w:rPr>
          <w:b/>
        </w:rPr>
        <w:t>Acide tranexamique + produits sanguins labiles (concentré globulaire, PFC, plaquettes)</w:t>
      </w:r>
      <w:r>
        <w:t xml:space="preserve"> : pas d'interaction, utilisation courante en per-opératoire.</w:t>
      </w:r>
    </w:p>
    <w:p>
      <w:pPr>
        <w:pStyle w:val="ListBullet"/>
      </w:pPr>
      <w:r/>
      <w:r>
        <w:rPr>
          <w:b/>
        </w:rPr>
        <w:t>Acide tranexamique + pénicillines à fortes doses (particulièrement les Associations avec inhibiteurs de béta-lactamases)</w:t>
      </w:r>
      <w:r>
        <w:t xml:space="preserve"> : l'acide tranexamique est faiblement métabolisé et n'interfère pas avec les pénicillines — pas d'interaction cliniquement pertinente.</w:t>
      </w:r>
    </w:p>
    <w:p>
      <w:r/>
      <w:r>
        <w:rPr>
          <w:b/>
        </w:rPr>
        <w:t>Grossesse et Allaitement :</w:t>
      </w:r>
      <w:r/>
    </w:p>
    <w:p>
      <w:pPr>
        <w:pStyle w:val="ListBullet"/>
      </w:pPr>
      <w:r/>
      <w:r>
        <w:rPr>
          <w:b/>
        </w:rPr>
        <w:t>Grossesse :</w:t>
      </w:r>
      <w:r>
        <w:t xml:space="preserve"> Selon le CRAT (Centre de Renseignements sur les Agents Tératogènes, France) et l'ANSM, l'acide tranexamique </w:t>
      </w:r>
      <w:r>
        <w:rPr>
          <w:b/>
        </w:rPr>
        <w:t>peut être prescrit pendant la grossesse si nécessaire</w:t>
      </w:r>
      <w:r>
        <w:t xml:space="preserve">, quel que soit le terme. Les données animales n'ont pas mis en évidence d'effet tératogène ou foetotoxique, et les données cliniques humaines (plusieurs milliers de grossesses exposées, en particulier dans l'indication d'hémorragie du post-partum) sont </w:t>
      </w:r>
      <w:r>
        <w:rPr>
          <w:b/>
        </w:rPr>
        <w:t>rassurantes</w:t>
      </w:r>
      <w:r>
        <w:t xml:space="preserve"> : pas d'augmentation du risque de malformations, de mort fœtale, de prématurité ou de retard de croissance. L'acide tranexamique </w:t>
      </w:r>
      <w:r>
        <w:rPr>
          <w:b/>
        </w:rPr>
        <w:t>traverse le placenta</w:t>
      </w:r>
      <w:r>
        <w:t xml:space="preserve"> (rapport cordon/mère ≈ 1), mais aucune concentration foetale toxique n'a été rapportée aux doses thérapeutiques. L'indication la plus fréquente chez la femme enceinte est l'</w:t>
      </w:r>
      <w:r>
        <w:rPr>
          <w:b/>
        </w:rPr>
        <w:t>hémorragie du post-partum</w:t>
      </w:r>
      <w:r>
        <w:t xml:space="preserve"> (HPP) — l'acide tranexamique fait partie du protocole international de prise en charge de l'HPP (OMS 2017, FIGO 2022), avec une dose IV de </w:t>
      </w:r>
      <w:r>
        <w:rPr>
          <w:b/>
        </w:rPr>
        <w:t>1 g dans les 3 minutes suivant le diagnostic</w:t>
      </w:r>
      <w:r>
        <w:t xml:space="preserve"> d'HPP (étude WOMAN 2017 : réduction de 19 % de la mortalité par hémorragie). En cas de ménorragies chez la femme enceinte (rarissime et relevant d'une cause organique — hématome sous-chorionique, placenta praevia, insertion anormale du placenta), l'usage de l'acide tranexamique doit être discuté au cas par cas avec l'obstétricien.</w:t>
      </w:r>
    </w:p>
    <w:p>
      <w:pPr>
        <w:pStyle w:val="ListBullet"/>
      </w:pPr>
      <w:r/>
      <w:r>
        <w:rPr>
          <w:b/>
        </w:rPr>
        <w:t>Allaitement :</w:t>
      </w:r>
      <w:r>
        <w:t xml:space="preserve"> Selon le CRAT et LactMed (National Library of Medicine, USA), l'acide tranexamique est </w:t>
      </w:r>
      <w:r>
        <w:rPr>
          <w:b/>
        </w:rPr>
        <w:t>compatible avec l'allaitement maternel</w:t>
      </w:r>
      <w:r>
        <w:t xml:space="preserve">. Le passage dans le lait maternel est </w:t>
      </w:r>
      <w:r>
        <w:rPr>
          <w:b/>
        </w:rPr>
        <w:t>très faible</w:t>
      </w:r>
      <w:r>
        <w:t xml:space="preserve"> (rapport lait/plasma ≈ 0,01 à 0,05), conduisant à une exposition infantile négligeable (&lt; 1 % de la dose maternelle pondérée). Aucun effet indésirable n'a été rapporté chez les nourrissons allaités par des mères traitées. La patiente peut continuer l'allaitement sans interruption, en respectant la posologie usuelle (1 g IV × 3–4/j pendant 3–4 jours).</w:t>
      </w:r>
    </w:p>
    <w:p>
      <w:pPr>
        <w:pStyle w:val="ListBullet"/>
      </w:pPr>
      <w:r/>
      <w:r>
        <w:rPr>
          <w:b/>
        </w:rPr>
        <w:t>Précisions :</w:t>
      </w:r>
      <w:r>
        <w:t xml:space="preserve"> L'évaluation </w:t>
      </w:r>
      <w:r>
        <w:rPr>
          <w:b/>
        </w:rPr>
        <w:t>bénéfice/risque thrombotique</w:t>
      </w:r>
      <w:r>
        <w:t xml:space="preserve"> est particulièrement importante chez la femme enceinte et en post-partum, période physiologiquement à haut risque thrombotique (hypercoagulabilité gravidique : augmentation des facteurs II, VII, VIII, X, fibrinogène ; diminution de la protéine S ; stase veineuse pelvienne ; compression cave par l'utérus gravide). L'acide tranexamique doit être utilisé </w:t>
      </w:r>
      <w:r>
        <w:rPr>
          <w:b/>
        </w:rPr>
        <w:t>à la dose minimale efficace</w:t>
      </w:r>
      <w:r>
        <w:t xml:space="preserve"> et </w:t>
      </w:r>
      <w:r>
        <w:rPr>
          <w:b/>
        </w:rPr>
        <w:t>pendant la durée la plus courte possible</w:t>
      </w:r>
      <w:r>
        <w:t>. En cas d'association avec une prophylaxie anticoagulante post-obstétricale (HBPM systématique en cas de césarienne ou de facteurs de risque), surveiller particulièrement les signes thrombotiques.</w:t>
      </w:r>
    </w:p>
    <w:p>
      <w:r/>
      <w:r>
        <w:rPr>
          <w:b/>
        </w:rPr>
        <w:t>Posologie et Mode d'administration (Standard) :</w:t>
      </w:r>
      <w:r/>
    </w:p>
    <w:p>
      <w:pPr>
        <w:pStyle w:val="ListBullet"/>
      </w:pPr>
      <w:r/>
      <w:r>
        <w:rPr>
          <w:b/>
        </w:rPr>
        <w:t>Adulte (voie injectable — seule disponible en Algérie) :</w:t>
      </w:r>
      <w:r/>
    </w:p>
    <w:p>
      <w:pPr>
        <w:pStyle w:val="ListBullet"/>
      </w:pPr>
      <w:r/>
      <w:r>
        <w:rPr>
          <w:b/>
        </w:rPr>
        <w:t>Ménorragies fonctionnelles sévères nécessitant traitement injectable</w:t>
      </w:r>
      <w:r>
        <w:t xml:space="preserve"> (hospitalisation, ambulatoire avec infirmière) : </w:t>
      </w:r>
      <w:r>
        <w:rPr>
          <w:b/>
        </w:rPr>
        <w:t>10 mg/kg en IV lente</w:t>
      </w:r>
      <w:r>
        <w:t xml:space="preserve"> (5–10 min) ou perfusion dans 100 mL NaCl 0,9 % sur 15–30 min, </w:t>
      </w:r>
      <w:r>
        <w:rPr>
          <w:b/>
        </w:rPr>
        <w:t>2 à 3 fois par jour</w:t>
      </w:r>
      <w:r>
        <w:t xml:space="preserve"> pendant la durée des règles (3–4 jours). Dose maximale : 25 mg/kg/jour.</w:t>
      </w:r>
    </w:p>
    <w:p>
      <w:pPr>
        <w:pStyle w:val="ListBullet"/>
      </w:pPr>
      <w:r/>
      <w:r>
        <w:rPr>
          <w:b/>
        </w:rPr>
        <w:t>Hémorragie du post-partum (protocole OMS 2017, essai WOMAN 2017) :</w:t>
      </w:r>
      <w:r>
        <w:t xml:space="preserve"> </w:t>
      </w:r>
      <w:r>
        <w:rPr>
          <w:b/>
        </w:rPr>
        <w:t>1 g IV en 10 minutes</w:t>
      </w:r>
      <w:r>
        <w:t xml:space="preserve"> (perfuser dès le diagnostic posé), suivi d'une deuxième dose de 1 g IV si persistance du saignement après 30 minutes — dose totale maximale 2 g IV.</w:t>
      </w:r>
    </w:p>
    <w:p>
      <w:pPr>
        <w:pStyle w:val="ListBullet"/>
      </w:pPr>
      <w:r/>
      <w:r>
        <w:rPr>
          <w:b/>
        </w:rPr>
        <w:t>Prophylaxie de l'hémorragie du post-partum (à risque élevé)</w:t>
      </w:r>
      <w:r>
        <w:t xml:space="preserve"> : 1 g IV en perfusion courte dans les 3 minutes suivant l'accouchement par voie basse (dès extraction fœtale en césarienne) ;</w:t>
      </w:r>
    </w:p>
    <w:p>
      <w:pPr>
        <w:pStyle w:val="ListBullet"/>
      </w:pPr>
      <w:r/>
      <w:r>
        <w:rPr>
          <w:b/>
        </w:rPr>
        <w:t>Chirurgie programmée (prophylaxie) :</w:t>
      </w:r>
      <w:r>
        <w:t xml:space="preserve"> 10–15 mg/kg IV en perfusion de 20 min, 30 min avant l'incision, puis 1 g IV toutes les 6–8 h pendant 24–48 h (adaptation selon type de chirurgie) ;</w:t>
      </w:r>
    </w:p>
    <w:p>
      <w:pPr>
        <w:pStyle w:val="ListBullet"/>
      </w:pPr>
      <w:r/>
      <w:r>
        <w:rPr>
          <w:b/>
        </w:rPr>
        <w:t>Traumatisme hémorragique sévère (essai CRASH-2 2010) :</w:t>
      </w:r>
      <w:r>
        <w:t xml:space="preserve"> dose de charge </w:t>
      </w:r>
      <w:r>
        <w:rPr>
          <w:b/>
        </w:rPr>
        <w:t>1 g IV en 10 minutes</w:t>
      </w:r>
      <w:r>
        <w:t xml:space="preserve">, puis perfusion </w:t>
      </w:r>
      <w:r>
        <w:rPr>
          <w:b/>
        </w:rPr>
        <w:t>1 g sur 8 heures</w:t>
      </w:r>
      <w:r>
        <w:t xml:space="preserve"> — à administrer dans les 3 premières heures après le traumatique (au-delà, bénéfice incertain) ;</w:t>
      </w:r>
    </w:p>
    <w:p>
      <w:pPr>
        <w:pStyle w:val="ListBullet"/>
      </w:pPr>
      <w:r/>
      <w:r>
        <w:rPr>
          <w:b/>
        </w:rPr>
        <w:t>Hyphéma traumatique :</w:t>
      </w:r>
      <w:r>
        <w:t xml:space="preserve"> 25 mg/kg IV toutes les 8 h pendant 5 jours (prévention de la reprise hémorragique secondaire) ;</w:t>
      </w:r>
    </w:p>
    <w:p>
      <w:pPr>
        <w:pStyle w:val="ListBullet"/>
      </w:pPr>
      <w:r/>
      <w:r>
        <w:rPr>
          <w:b/>
        </w:rPr>
        <w:t>Hémophilie mineure avec saignement mineur :</w:t>
      </w:r>
      <w:r>
        <w:t xml:space="preserve"> 10 mg/kg IV toutes les 8 h pendant 3–7 jours.</w:t>
      </w:r>
    </w:p>
    <w:p>
      <w:pPr>
        <w:pStyle w:val="ListBullet"/>
      </w:pPr>
      <w:r/>
      <w:r>
        <w:rPr>
          <w:b/>
        </w:rPr>
        <w:t>Adulte (voie orale — non disponible en Algérie mais référence internationale) :</w:t>
      </w:r>
      <w:r/>
    </w:p>
    <w:p>
      <w:pPr>
        <w:pStyle w:val="ListBullet"/>
      </w:pPr>
      <w:r/>
      <w:r>
        <w:rPr>
          <w:b/>
        </w:rPr>
        <w:t>Ménorragies fonctionnelles :</w:t>
      </w:r>
      <w:r>
        <w:t xml:space="preserve"> 1 g per os × 3 à 4 fois/jour (soit 3–4 g/jour) pendant la durée des règles, en commençant dès le premier jour du saignement (J1 du cycle), pendant 3–4 jours — recommandations NICE 2018 ;</w:t>
      </w:r>
    </w:p>
    <w:p>
      <w:pPr>
        <w:pStyle w:val="ListBullet"/>
      </w:pPr>
      <w:r/>
      <w:r>
        <w:rPr>
          <w:b/>
        </w:rPr>
        <w:t>Épistaxis :</w:t>
      </w:r>
      <w:r>
        <w:t xml:space="preserve"> 1 g per os × 3 fois/jour pendant 7 jours ;</w:t>
      </w:r>
    </w:p>
    <w:p>
      <w:pPr>
        <w:pStyle w:val="ListBullet"/>
      </w:pPr>
      <w:r/>
      <w:r>
        <w:rPr>
          <w:b/>
        </w:rPr>
        <w:t>Saignements dentaires post-opératoires :</w:t>
      </w:r>
      <w:r>
        <w:t xml:space="preserve"> 25 mg/kg 3–4 fois/jour pendant 5–7 jours.</w:t>
      </w:r>
    </w:p>
    <w:p>
      <w:pPr>
        <w:pStyle w:val="ListBullet"/>
      </w:pPr>
      <w:r/>
      <w:r>
        <w:rPr>
          <w:b/>
        </w:rPr>
        <w:t>Enfant :</w:t>
      </w:r>
      <w:r/>
    </w:p>
    <w:p>
      <w:pPr>
        <w:pStyle w:val="ListBullet"/>
      </w:pPr>
      <w:r/>
      <w:r>
        <w:rPr>
          <w:b/>
        </w:rPr>
        <w:t>Voie IV :</w:t>
      </w:r>
      <w:r>
        <w:t xml:space="preserve"> 10 mg/kg/dose, 2 à 3 fois/jour (dose maximale 25 mg/kg/jour) ;</w:t>
      </w:r>
    </w:p>
    <w:p>
      <w:pPr>
        <w:pStyle w:val="ListBullet"/>
      </w:pPr>
      <w:r/>
      <w:r>
        <w:rPr>
          <w:b/>
        </w:rPr>
        <w:t>Voie orale :</w:t>
      </w:r>
      <w:r>
        <w:t xml:space="preserve"> 15–20 mg/kg/dose, 3 fois/jour (maximum 1 g/dose et 4 g/jour) ;</w:t>
      </w:r>
    </w:p>
    <w:p>
      <w:pPr>
        <w:pStyle w:val="ListBullet"/>
      </w:pPr>
      <w:r/>
      <w:r>
        <w:rPr>
          <w:b/>
        </w:rPr>
        <w:t>Hyphéma traumatique enfant :</w:t>
      </w:r>
      <w:r>
        <w:t xml:space="preserve"> 25 mg/kg IV toutes les 8 h pendant 5 jours.</w:t>
      </w:r>
    </w:p>
    <w:p>
      <w:pPr>
        <w:pStyle w:val="ListBullet"/>
      </w:pPr>
      <w:r/>
      <w:r>
        <w:rPr>
          <w:b/>
        </w:rPr>
        <w:t>Sujet âgé :</w:t>
      </w:r>
      <w:r>
        <w:t xml:space="preserve"> Pas d'adaptation posologique systématique, mais surveillance de la fonction rénale (clairance créatinine) et recherche systématique de polypathologies thrombotiques (insuffisance cardiaque, artériopathie, ATCD thrombo-emboliques). Préférer la dose minimale efficace.</w:t>
      </w:r>
    </w:p>
    <w:p>
      <w:pPr>
        <w:pStyle w:val="ListBullet"/>
      </w:pPr>
      <w:r/>
      <w:r>
        <w:rPr>
          <w:b/>
        </w:rPr>
        <w:t>Insuffisance rénale :</w:t>
      </w:r>
      <w:r>
        <w:t xml:space="preserve"> Adaptation posologique obligatoire selon la clairance de la créatinine (ClCr) :</w:t>
      </w:r>
    </w:p>
    <w:p>
      <w:pPr>
        <w:pStyle w:val="ListBullet"/>
      </w:pPr>
      <w:r/>
      <w:r>
        <w:rPr>
          <w:b/>
        </w:rPr>
        <w:t>ClCr &gt; 50 mL/min</w:t>
      </w:r>
      <w:r>
        <w:t xml:space="preserve"> : posologie standard ;</w:t>
      </w:r>
    </w:p>
    <w:p>
      <w:pPr>
        <w:pStyle w:val="ListBullet"/>
      </w:pPr>
      <w:r/>
      <w:r>
        <w:rPr>
          <w:b/>
        </w:rPr>
        <w:t>ClCr 25–50 mL/min</w:t>
      </w:r>
      <w:r>
        <w:t xml:space="preserve"> : demi-dose (5 mg/kg IV × 2–3/j) ;</w:t>
      </w:r>
    </w:p>
    <w:p>
      <w:pPr>
        <w:pStyle w:val="ListBullet"/>
      </w:pPr>
      <w:r/>
      <w:r>
        <w:rPr>
          <w:b/>
        </w:rPr>
        <w:t>ClCr 10–25 mL/min</w:t>
      </w:r>
      <w:r>
        <w:t xml:space="preserve"> : quart de dose (2,5 mg/kg IV × 2/j) ;</w:t>
      </w:r>
    </w:p>
    <w:p>
      <w:pPr>
        <w:pStyle w:val="ListBullet"/>
      </w:pPr>
      <w:r/>
      <w:r>
        <w:rPr>
          <w:b/>
        </w:rPr>
        <w:t>ClCr &lt; 10 mL/min</w:t>
      </w:r>
      <w:r>
        <w:t xml:space="preserve"> : 1/8 de dose (1,25 mg/kg IV × 1–2/j), surveillance étroite.</w:t>
      </w:r>
    </w:p>
    <w:p>
      <w:pPr>
        <w:pStyle w:val="ListBullet"/>
      </w:pPr>
      <w:r>
        <w:t>L'hémodialyse élimine l'acide tranexamique — dose post-dialytique nécessaire.</w:t>
      </w:r>
    </w:p>
    <w:p>
      <w:pPr>
        <w:pStyle w:val="ListBullet"/>
      </w:pPr>
      <w:r/>
      <w:r>
        <w:rPr>
          <w:b/>
        </w:rPr>
        <w:t>Insuffisance hépatique :</w:t>
      </w:r>
      <w:r>
        <w:t xml:space="preserve"> Pas d'adaptation posologique (métabolisme hépatique minimal &lt; 5 %).</w:t>
      </w:r>
    </w:p>
    <w:p>
      <w:pPr>
        <w:pStyle w:val="ListBullet"/>
      </w:pPr>
      <w:r/>
      <w:r>
        <w:rPr>
          <w:b/>
        </w:rPr>
        <w:t>Durée de traitement :</w:t>
      </w:r>
      <w:r/>
    </w:p>
    <w:p>
      <w:pPr>
        <w:pStyle w:val="ListBullet"/>
      </w:pPr>
      <w:r/>
      <w:r>
        <w:rPr>
          <w:b/>
        </w:rPr>
        <w:t>Ménorragies fonctionnelles</w:t>
      </w:r>
      <w:r>
        <w:t xml:space="preserve"> : 3–4 jours par cycle, pendant la durée des règles, pendant 3–6 cycles consécutifs (évaluation à 3 cycles — arrêt si efficacité insuffisante, escalade thérapeutique) ;</w:t>
      </w:r>
    </w:p>
    <w:p>
      <w:pPr>
        <w:pStyle w:val="ListBullet"/>
      </w:pPr>
      <w:r/>
      <w:r>
        <w:rPr>
          <w:b/>
        </w:rPr>
        <w:t>Hémorragie du post-partum</w:t>
      </w:r>
      <w:r>
        <w:t xml:space="preserve"> : dose unique 1 g IV, deuxième dose si persistance (essai WOMAN) ;</w:t>
      </w:r>
    </w:p>
    <w:p>
      <w:pPr>
        <w:pStyle w:val="ListBullet"/>
      </w:pPr>
      <w:r/>
      <w:r>
        <w:rPr>
          <w:b/>
        </w:rPr>
        <w:t>Chirurgie programmée</w:t>
      </w:r>
      <w:r>
        <w:t xml:space="preserve"> : 24–48 h (parfois 5 jours pour chirurgie lourde cardiaque) ;</w:t>
      </w:r>
    </w:p>
    <w:p>
      <w:pPr>
        <w:pStyle w:val="ListBullet"/>
      </w:pPr>
      <w:r/>
      <w:r>
        <w:rPr>
          <w:b/>
        </w:rPr>
        <w:t>Traumatologie</w:t>
      </w:r>
      <w:r>
        <w:t xml:space="preserve"> : 24 h selon protocole CRASH-2 (3 h post-trauma maximum) ;</w:t>
      </w:r>
    </w:p>
    <w:p>
      <w:pPr>
        <w:pStyle w:val="ListBullet"/>
      </w:pPr>
      <w:r/>
      <w:r>
        <w:rPr>
          <w:b/>
        </w:rPr>
        <w:t>Hyphéma</w:t>
      </w:r>
      <w:r>
        <w:t xml:space="preserve"> : 5 jours ;</w:t>
      </w:r>
    </w:p>
    <w:p>
      <w:pPr>
        <w:pStyle w:val="ListBullet"/>
      </w:pPr>
      <w:r/>
      <w:r>
        <w:rPr>
          <w:b/>
        </w:rPr>
        <w:t>Hémophilie mineure</w:t>
      </w:r>
      <w:r>
        <w:t xml:space="preserve"> : 3–7 jours selon geste ou saignement.</w:t>
      </w:r>
    </w:p>
    <w:p>
      <w:pPr>
        <w:pStyle w:val="ListBullet"/>
      </w:pPr>
      <w:r/>
      <w:r>
        <w:rPr>
          <w:b/>
        </w:rPr>
        <w:t>Moment de la prise :</w:t>
      </w:r>
      <w:r/>
    </w:p>
    <w:p>
      <w:pPr>
        <w:pStyle w:val="ListBullet"/>
      </w:pPr>
      <w:r>
        <w:t xml:space="preserve">En cas d'usage </w:t>
      </w:r>
      <w:r>
        <w:rPr>
          <w:b/>
        </w:rPr>
        <w:t>oral</w:t>
      </w:r>
      <w:r>
        <w:t xml:space="preserve"> (référence internationale, non disponible en Algérie) : pendant les repas pour atténuer les nausées ; débuter </w:t>
      </w:r>
      <w:r>
        <w:rPr>
          <w:b/>
        </w:rPr>
        <w:t>dès le premier jour du saignement</w:t>
      </w:r>
      <w:r>
        <w:t xml:space="preserve"> (J1 du cycle) pour une efficacité maximale — l'effet préventif sur le flux est supérieur à l'effet curatif ;</w:t>
      </w:r>
    </w:p>
    <w:p>
      <w:pPr>
        <w:pStyle w:val="ListBullet"/>
      </w:pPr>
      <w:r>
        <w:t xml:space="preserve">En cas d'usage </w:t>
      </w:r>
      <w:r>
        <w:rPr>
          <w:b/>
        </w:rPr>
        <w:t>IV</w:t>
      </w:r>
      <w:r>
        <w:t xml:space="preserve"> : perfusion lente sur 15–30 min dans 100 mL de NaCl 0,9 % (jamais en bolus IV direct), dans les 30 minutes précédant le geste chirurgical pour la prophylaxie péri-opératoire, ou dès le diagnostic d'hémorragie en urgence.</w:t>
      </w:r>
    </w:p>
    <w:p>
      <w:r/>
      <w:r>
        <w:rPr>
          <w:b/>
        </w:rPr>
        <w:t>Arbitrage et Bénéfices des Formes Galéniques :</w:t>
      </w:r>
      <w:r/>
    </w:p>
    <w:p>
      <w:r>
        <w:t xml:space="preserve">Les </w:t>
      </w:r>
      <w:r>
        <w:rPr>
          <w:b/>
        </w:rPr>
        <w:t>formes galéniques disponibles en Algérie</w:t>
      </w:r>
      <w:r>
        <w:t xml:space="preserve"> sont limitées à la </w:t>
      </w:r>
      <w:r>
        <w:rPr>
          <w:b/>
        </w:rPr>
        <w:t>solution injectable</w:t>
      </w:r>
      <w:r>
        <w:t xml:space="preserve"> (500 mg/5 mL en ampoule ou flacon) pour les deux spécialités référencées (ACIDO TRANEXAMICO BIOINDUSTRIA L.I.M et XENAMEX MS PHARMA). Cette restriction impose une analyse bénéfice/risque spécifique :</w:t>
      </w:r>
    </w:p>
    <w:p>
      <w:pPr>
        <w:pStyle w:val="ListBullet"/>
      </w:pPr>
      <w:r/>
      <w:r>
        <w:rPr>
          <w:b/>
        </w:rPr>
        <w:t>Forme injectable IV/IM</w:t>
      </w:r>
      <w:r>
        <w:t xml:space="preserve"> :</w:t>
      </w:r>
    </w:p>
    <w:p>
      <w:pPr>
        <w:pStyle w:val="ListBullet"/>
      </w:pPr>
      <w:r/>
      <w:r>
        <w:rPr>
          <w:b/>
        </w:rPr>
        <w:t>Avantages</w:t>
      </w:r>
      <w:r>
        <w:t xml:space="preserve"> : biodisponibilité immédiate (100 %), action rapide (≤ 5 min), certitude d'observance (administration en milieu médicalisé), dosage précis (500 mg/5 mL), indiquée en urgence (hémorragie du post-partum, traumatologie, chirurgie) ;</w:t>
      </w:r>
    </w:p>
    <w:p>
      <w:pPr>
        <w:pStyle w:val="ListBullet"/>
      </w:pPr>
      <w:r/>
      <w:r>
        <w:rPr>
          <w:b/>
        </w:rPr>
        <w:t>Inconvénients</w:t>
      </w:r>
      <w:r>
        <w:t xml:space="preserve"> : nécessité d'un plateau technique (infirmière, médecin), douleur au site d'injection, risque d'hypotension si IV rapide, risque thrombotique veineux accru en cas d'immobilisation, contre-indication relative à l'usage ambulatoire au long cours pour ménorragies fonctionnelles ;</w:t>
      </w:r>
    </w:p>
    <w:p>
      <w:pPr>
        <w:pStyle w:val="ListBullet"/>
      </w:pPr>
      <w:r/>
      <w:r>
        <w:rPr>
          <w:b/>
        </w:rPr>
        <w:t>Indications préférentielles en Algérie</w:t>
      </w:r>
      <w:r>
        <w:t xml:space="preserve"> : hémorragie du post-partum, chirurgie programmée, traumatologie, hyphéma, saignements post-opératoires — et exceptionnellement ménorragies sévères mal tolérées sur terrain particulier (anémie sévère, refus de chirurgie, contre-indication aux hormones) en ambulatoire avec perfusions par infirmière à domicile.</w:t>
      </w:r>
    </w:p>
    <w:p>
      <w:pPr>
        <w:pStyle w:val="ListBullet"/>
      </w:pPr>
      <w:r/>
      <w:r>
        <w:rPr>
          <w:b/>
        </w:rPr>
        <w:t>Forme orale (comprimé 500 mg, sirop, solution buvable)</w:t>
      </w:r>
      <w:r>
        <w:t xml:space="preserve"> :</w:t>
      </w:r>
    </w:p>
    <w:p>
      <w:pPr>
        <w:pStyle w:val="ListBullet"/>
      </w:pPr>
      <w:r/>
      <w:r>
        <w:rPr>
          <w:b/>
        </w:rPr>
        <w:t>Avantages (données internationales)</w:t>
      </w:r>
      <w:r>
        <w:t xml:space="preserve"> : administration ambulatoire aisée par la patiente elle-même, observance optimale, tolérance digestive acceptable avec prise pendant repas, traitement de référence NICE 2018 des ménorragies fonctionnelles en 1re intention, coût réduit vs injectable ;</w:t>
      </w:r>
    </w:p>
    <w:p>
      <w:pPr>
        <w:pStyle w:val="ListBullet"/>
      </w:pPr>
      <w:r/>
      <w:r>
        <w:rPr>
          <w:b/>
        </w:rPr>
        <w:t>Inconvénients</w:t>
      </w:r>
      <w:r>
        <w:t xml:space="preserve"> : biodisponibilité orale modérée (30–45 %), nécessité de prises répétées (3–4/jour), effets digestifs plus marqués ;</w:t>
      </w:r>
    </w:p>
    <w:p>
      <w:pPr>
        <w:pStyle w:val="ListBullet"/>
      </w:pPr>
      <w:r/>
      <w:r>
        <w:rPr>
          <w:b/>
        </w:rPr>
        <w:t>Disponibilité Algérie</w:t>
      </w:r>
      <w:r>
        <w:t xml:space="preserve"> : </w:t>
      </w:r>
      <w:r>
        <w:rPr>
          <w:b/>
        </w:rPr>
        <w:t>NON disponible dans la nomenclature algérienne d'avril 2026</w:t>
      </w:r>
      <w:r>
        <w:t xml:space="preserve"> — particularité nationale limitant l'usage ambulatoire de la molécule pour ménorragies fonctionnelles. Les patientes algériennes nécessitant un traitement oral doivent être orientées vers les alternatives (AINS, progestatifs) ou, en cas de nécessité absolue d'acide tranexamique oral, vers une prescription d'importation (Cyklokapron® ou Exacyl® 500 mg comprimé) avec autorisation du Ministère de la Santé algérien.</w:t>
      </w:r>
    </w:p>
    <w:p>
      <w:pPr>
        <w:pStyle w:val="ListBullet"/>
      </w:pPr>
      <w:r/>
      <w:r>
        <w:rPr>
          <w:b/>
        </w:rPr>
        <w:t>Arbitrage pratique :</w:t>
      </w:r>
      <w:r/>
    </w:p>
    <w:p>
      <w:pPr>
        <w:pStyle w:val="ListBullet"/>
      </w:pPr>
      <w:r>
        <w:t xml:space="preserve">Pour les </w:t>
      </w:r>
      <w:r>
        <w:rPr>
          <w:b/>
        </w:rPr>
        <w:t>ménorragies fonctionnelles en ambulatoire</w:t>
      </w:r>
      <w:r>
        <w:t xml:space="preserve"> : orienter en 1re intention vers AINS (acide méfénamique) ou progestatifs (cf. chapitre 74 sur la tocolyse/déclenchement) — l'acide tranexamique oral n'étant pas disponible ;</w:t>
      </w:r>
    </w:p>
    <w:p>
      <w:pPr>
        <w:pStyle w:val="ListBullet"/>
      </w:pPr>
      <w:r>
        <w:t xml:space="preserve">Pour les </w:t>
      </w:r>
      <w:r>
        <w:rPr>
          <w:b/>
        </w:rPr>
        <w:t>saignements aigus en milieu hospitalier</w:t>
      </w:r>
      <w:r>
        <w:t xml:space="preserve"> (HPP, chirurgie, traumatologie, hyphéma) : acide tranexamique IV 500 mg/5 mL (ACIDO TRANEXAMICO BIOINDUSTRIA ou XENAMEX) — choix entre les deux spécialités selon disponibilité du stock et conditionnement (5 ampoules vs 10 flacons).</w:t>
      </w:r>
    </w:p>
    <w:p>
      <w:r/>
      <w:r>
        <w:rPr>
          <w:b/>
        </w:rPr>
        <w:t>Instructions et Conseils au Patient :</w:t>
      </w:r>
      <w:r/>
    </w:p>
    <w:p>
      <w:pPr>
        <w:pStyle w:val="ListBullet"/>
      </w:pPr>
      <w:r/>
      <w:r>
        <w:rPr>
          <w:b/>
        </w:rPr>
        <w:t>Communication au comptoir (conseils à la patiente) :</w:t>
      </w:r>
      <w:r/>
    </w:p>
    <w:p>
      <w:pPr>
        <w:pStyle w:val="ListBullet"/>
      </w:pPr>
      <w:r>
        <w:t xml:space="preserve">Expliquer clairement le </w:t>
      </w:r>
      <w:r>
        <w:rPr>
          <w:b/>
        </w:rPr>
        <w:t>rôle de l'acide tranexamique</w:t>
      </w:r>
      <w:r>
        <w:t xml:space="preserve"> : « ce médicament aide à stabiliser le caillot qui se forme naturellement dans l'utérus pendant les règles, ce qui réduit l'abondance et la durée du saignement » — ne pas utiliser le terme « anticoagulant » (source de confusion) ni « hormone » (la molécule n'est pas hormonale) ;</w:t>
      </w:r>
    </w:p>
    <w:p>
      <w:pPr>
        <w:pStyle w:val="ListBullet"/>
      </w:pPr>
      <w:r/>
      <w:r>
        <w:rPr>
          <w:b/>
        </w:rPr>
        <w:t>Prévenir du risque thrombotique</w:t>
      </w:r>
      <w:r>
        <w:t xml:space="preserve"> : informer la patiente des signes devant motiver une consultation médicale en urgence : douleur du mollet unilatérale, gonflement d'une jambe, essoufflement brutal, douleur thoracique, toux avec crachats sanglants, déficit neurologique brutal — particulièrement en cas d'association avec contraception estroprogestative, tabagisme, obésité, immobilisation prolongée ;</w:t>
      </w:r>
    </w:p>
    <w:p>
      <w:pPr>
        <w:pStyle w:val="ListBullet"/>
      </w:pPr>
      <w:r/>
      <w:r>
        <w:rPr>
          <w:b/>
        </w:rPr>
        <w:t>Questionner systématiquement</w:t>
      </w:r>
      <w:r>
        <w:t xml:space="preserve"> avant délivrance (en cas de prescription pour ménorragies) : antécédents personnels et familiaux de thrombose, prise de pilule estroprogestative, tabagisme, hypertension, migraine avec aura — si oui, alerter le prescripteur avant délivrance ;</w:t>
      </w:r>
    </w:p>
    <w:p>
      <w:pPr>
        <w:pStyle w:val="ListBullet"/>
      </w:pPr>
      <w:r/>
      <w:r>
        <w:rPr>
          <w:b/>
        </w:rPr>
        <w:t>Vérifier la prescription</w:t>
      </w:r>
      <w:r>
        <w:t xml:space="preserve"> : l'acide tranexamique est sur Liste I — la prescription médicale est obligatoire, délivrance non renouvelable au-delà de la durée prescrite sans nouvelle consultation ;</w:t>
      </w:r>
    </w:p>
    <w:p>
      <w:pPr>
        <w:pStyle w:val="ListBullet"/>
      </w:pPr>
      <w:r/>
      <w:r>
        <w:rPr>
          <w:b/>
        </w:rPr>
        <w:t>Vérifier l'indication</w:t>
      </w:r>
      <w:r>
        <w:t xml:space="preserve"> : en cas de doute sur l'indication (saignement anormal non exploré, métrorragie post-ménopausique non investiguée par hystéroscopie, grossesse), ne pas délivrer et demander avis médical.</w:t>
      </w:r>
    </w:p>
    <w:p>
      <w:pPr>
        <w:pStyle w:val="ListBullet"/>
      </w:pPr>
      <w:r/>
      <w:r>
        <w:rPr>
          <w:b/>
        </w:rPr>
        <w:t>Mode d'utilisation pratique :</w:t>
      </w:r>
      <w:r/>
    </w:p>
    <w:p>
      <w:pPr>
        <w:pStyle w:val="ListBullet"/>
      </w:pPr>
      <w:r/>
      <w:r>
        <w:rPr>
          <w:b/>
        </w:rPr>
        <w:t>Administration IV</w:t>
      </w:r>
      <w:r>
        <w:t xml:space="preserve"> : réservée au milieu médicalisé (infirmière diplômée d'État, médecin) — injection IV lente en 5–10 min ou perfusion dans 100 mL NaCl 0,9 % en 15–30 min ; vérifier la voie d'abord veineux (pas d'injection intra-artérielle accidentelle) ;</w:t>
      </w:r>
    </w:p>
    <w:p>
      <w:pPr>
        <w:pStyle w:val="ListBullet"/>
      </w:pPr>
      <w:r/>
      <w:r>
        <w:rPr>
          <w:b/>
        </w:rPr>
        <w:t>Administration IM</w:t>
      </w:r>
      <w:r>
        <w:t xml:space="preserve"> : possible en alternative à la voie IV (même dosage 500 mg/5 mL), injection profonde intramusculaire dans le quadrant supéro-externe de la fesse, ne pas dépasser 1 ampoule par site d'injection ;</w:t>
      </w:r>
    </w:p>
    <w:p>
      <w:pPr>
        <w:pStyle w:val="ListBullet"/>
      </w:pPr>
      <w:r/>
      <w:r>
        <w:rPr>
          <w:b/>
        </w:rPr>
        <w:t>Oubli d'une dose</w:t>
      </w:r>
      <w:r>
        <w:t xml:space="preserve"> : si moins de 2 heures depuis l'heure prévue, injecter la dose manquée ; si plus de 2 heures, sauter la dose et reprendre le schéma normal — ne jamais doubler la dose ;</w:t>
      </w:r>
    </w:p>
    <w:p>
      <w:pPr>
        <w:pStyle w:val="ListBullet"/>
      </w:pPr>
      <w:r/>
      <w:r>
        <w:rPr>
          <w:b/>
        </w:rPr>
        <w:t>Durée du traitement</w:t>
      </w:r>
      <w:r>
        <w:t xml:space="preserve"> : respecter strictement la durée prescrite (3–4 jours par cycle pour ménorragies), ne pas prolonger sans avis médical ;</w:t>
      </w:r>
    </w:p>
    <w:p>
      <w:pPr>
        <w:pStyle w:val="ListBullet"/>
      </w:pPr>
      <w:r/>
      <w:r>
        <w:rPr>
          <w:b/>
        </w:rPr>
        <w:t>Conservation</w:t>
      </w:r>
      <w:r>
        <w:t xml:space="preserve"> : ampoules/flacons à conserver à température &lt; 25 °C, à l'abri de la lumière ; ne pas congeler ; vérifier la limpidité de la solution avant administration (ne pas utiliser si trouble ou particules) ; date de péremption à vérifier.</w:t>
      </w:r>
    </w:p>
    <w:p>
      <w:r/>
      <w:r>
        <w:rPr>
          <w:b/>
        </w:rPr>
        <w:t>Notes, Règles d'Or &amp; Pièges au Comptoir :</w:t>
      </w:r>
      <w:r/>
    </w:p>
    <w:p>
      <w:pPr>
        <w:pStyle w:val="ListBullet"/>
      </w:pPr>
      <w:r/>
      <w:r>
        <w:rPr>
          <w:b/>
        </w:rPr>
        <w:t>Piège classique — Antécédent thrombotique non dépisté :</w:t>
      </w:r>
      <w:r>
        <w:t xml:space="preserve"> L'erreur la plus grave en pharmacie d'officine est de délivrer de l'acide tranexamique (lorsque la prescription en provient, par exemple pour un saignement post-opératoire ou une ménorragie sévère) </w:t>
      </w:r>
      <w:r>
        <w:rPr>
          <w:b/>
        </w:rPr>
        <w:t>sans questionner la patiente sur ses antécédents thrombotiques personnels et familiaux</w:t>
      </w:r>
      <w:r>
        <w:t>. Une patiente jeune (20–35 ans) sous contraception estroprogestative combinée, fumeuse, ayant un antécédent familial au 1er degré de thrombose veineuse profonde, présente un risque thrombotique majoré qui doit faire reconsidérer l'opportunité de l'acide tranexamique — alerter le prescripteur avant délivrance.</w:t>
      </w:r>
    </w:p>
    <w:p>
      <w:pPr>
        <w:pStyle w:val="ListBullet"/>
      </w:pPr>
      <w:r/>
      <w:r>
        <w:rPr>
          <w:b/>
        </w:rPr>
        <w:t>Piège classique — Hématurie macroscopique :</w:t>
      </w:r>
      <w:r>
        <w:t xml:space="preserve"> Ne JAMAIS utiliser l'acide tranexamique en cas d'hématurie macroscopique (visible à l'œil nu) : risque majeur de formation de caillots obstructifs dans les voies urinaires (uretère, urètre), entraînant une </w:t>
      </w:r>
      <w:r>
        <w:rPr>
          <w:b/>
        </w:rPr>
        <w:t>anurie</w:t>
      </w:r>
      <w:r>
        <w:t xml:space="preserve"> et une </w:t>
      </w:r>
      <w:r>
        <w:rPr>
          <w:b/>
        </w:rPr>
        <w:t>insuffisance rénale aiguée obstructive</w:t>
      </w:r>
      <w:r>
        <w:t xml:space="preserve"> — contre-indication absolue. En cas de saignement des voies urinaires, préférer les alternatives (révision de la cause, antifibrinolytiques locaux si nécessaire).</w:t>
      </w:r>
    </w:p>
    <w:p>
      <w:pPr>
        <w:pStyle w:val="ListBullet"/>
      </w:pPr>
      <w:r/>
      <w:r>
        <w:rPr>
          <w:b/>
        </w:rPr>
        <w:t>Piège classique — Durée prolongée non justifiée :</w:t>
      </w:r>
      <w:r>
        <w:t xml:space="preserve"> L'acide tranexamique n'est pas un traitement de fond des ménorragies — il doit être limité à la </w:t>
      </w:r>
      <w:r>
        <w:rPr>
          <w:b/>
        </w:rPr>
        <w:t>durée des règles</w:t>
      </w:r>
      <w:r>
        <w:t xml:space="preserve"> (3–4 jours par cycle), pendant 3 à 6 cycles maximum sans réévaluation médicale. Une utilisation prolongée continue majore le risque thrombotique et la rétinopathie ischémique (surveillance ophtalmologique si &gt; 4 jours ou répétée).</w:t>
      </w:r>
    </w:p>
    <w:p>
      <w:pPr>
        <w:pStyle w:val="ListBullet"/>
      </w:pPr>
      <w:r/>
      <w:r>
        <w:rPr>
          <w:b/>
        </w:rPr>
        <w:t>Piège classique — Association avec contraception estroprogestative :</w:t>
      </w:r>
      <w:r>
        <w:t xml:space="preserve"> Prévenir la patiente sous pilule estroprogestative que l'association avec l'acide tranexamique </w:t>
      </w:r>
      <w:r>
        <w:rPr>
          <w:b/>
        </w:rPr>
        <w:t>majore le risque thrombotique</w:t>
      </w:r>
      <w:r>
        <w:t xml:space="preserve"> — discuter avec le prescripteur l'opportunité d'un relais temporaire par contraception progestative pure pendant la durée du traitement, ou d'une alternative thérapeutique (AINS, progestatifs). En cas d'association inévitable, informer des signes thrombotiques et limiter la durée au strict minimum.</w:t>
      </w:r>
    </w:p>
    <w:p>
      <w:pPr>
        <w:pStyle w:val="ListBullet"/>
      </w:pPr>
      <w:r/>
      <w:r>
        <w:rPr>
          <w:b/>
        </w:rPr>
        <w:t>Piège classique — Ménorragie post-ménopausique non explorée :</w:t>
      </w:r>
      <w:r>
        <w:t xml:space="preserve"> Toute ménorragie ou métrorragie post-ménopausique doit faire l'objet d'une exploration gynécologique complète (échographie endovaginale, hystéroscopie avec biopsie endométriale) </w:t>
      </w:r>
      <w:r>
        <w:rPr>
          <w:b/>
        </w:rPr>
        <w:t>avant tout traitement par acide tranexamique</w:t>
      </w:r>
      <w:r>
        <w:t xml:space="preserve"> — pour éliminer une cause organique (cancer de l'endomètre, hyperplasie atypique, polype, fibrome sous-muqueux). L'acide tranexamique ne doit jamais être prescrit « à l'aveugle » pour un saignement post-ménopausique inexploré.</w:t>
      </w:r>
    </w:p>
    <w:p>
      <w:pPr>
        <w:pStyle w:val="ListBullet"/>
      </w:pPr>
      <w:r/>
      <w:r>
        <w:rPr>
          <w:b/>
        </w:rPr>
        <w:t>Piège classique — Substitution entre formes orale et injectable :</w:t>
      </w:r>
      <w:r>
        <w:t xml:space="preserve"> En Algérie, seule la forme injectable est disponible. La substitution avec une forme orale importée (Cyklokapron®, Exacyl®) doit faire l'objet d'une procédure d'autorisation d'importation et ne peut se faire sans avis médical. Ne jamais proposer à la patiente d'acheter de l'acide tranexamique oral à l'étranger sans encadrement médical.</w:t>
      </w:r>
    </w:p>
    <w:p>
      <w:pPr>
        <w:pStyle w:val="ListBullet"/>
      </w:pPr>
      <w:r/>
      <w:r>
        <w:rPr>
          <w:b/>
        </w:rPr>
        <w:t>Piège classique — Voie d'administration IV :</w:t>
      </w:r>
      <w:r>
        <w:t xml:space="preserve"> L'injection IV d'acide tranexamique doit être </w:t>
      </w:r>
      <w:r>
        <w:rPr>
          <w:b/>
        </w:rPr>
        <w:t>lente</w:t>
      </w:r>
      <w:r>
        <w:t xml:space="preserve"> (5–10 min en injection directe, ou perfusion sur 15–30 min) — une injection IV rapide en bolus peut provoquer une </w:t>
      </w:r>
      <w:r>
        <w:rPr>
          <w:b/>
        </w:rPr>
        <w:t>hypotension sévère</w:t>
      </w:r>
      <w:r>
        <w:t>, voire un collapsus cardiovasculaire. Le pharmacien d'officine doit alerter l'infirmière libérale ou le patient sur ce point lors de la délivrance pour administration à domicile.</w:t>
      </w:r>
    </w:p>
    <w:p>
      <w:pPr>
        <w:pStyle w:val="ListBullet"/>
      </w:pPr>
      <w:r/>
      <w:r>
        <w:rPr>
          <w:b/>
        </w:rPr>
        <w:t>Règle de prise :</w:t>
      </w:r>
      <w:r/>
    </w:p>
    <w:p>
      <w:pPr>
        <w:pStyle w:val="ListBullet"/>
      </w:pPr>
      <w:r>
        <w:t xml:space="preserve">Administrer </w:t>
      </w:r>
      <w:r>
        <w:rPr>
          <w:b/>
        </w:rPr>
        <w:t>pendant les repas</w:t>
      </w:r>
      <w:r>
        <w:t xml:space="preserve"> (en cas d'usage oral, à l'international) pour atténuer les nausées ;</w:t>
      </w:r>
    </w:p>
    <w:p>
      <w:pPr>
        <w:pStyle w:val="ListBullet"/>
      </w:pPr>
      <w:r>
        <w:t xml:space="preserve">Débuter </w:t>
      </w:r>
      <w:r>
        <w:rPr>
          <w:b/>
        </w:rPr>
        <w:t>dès le premier jour du saignement</w:t>
      </w:r>
      <w:r>
        <w:t xml:space="preserve"> (J1 du cycle menstruel) — l'effet préventif est supérieur à l'effet curatif ;</w:t>
      </w:r>
    </w:p>
    <w:p>
      <w:pPr>
        <w:pStyle w:val="ListBullet"/>
      </w:pPr>
      <w:r>
        <w:t xml:space="preserve">Respecter strictement les </w:t>
      </w:r>
      <w:r>
        <w:rPr>
          <w:b/>
        </w:rPr>
        <w:t>intervalles entre prises</w:t>
      </w:r>
      <w:r>
        <w:t xml:space="preserve"> (6–8 h pour usage IV, 6–8 h pour usage oral) ;</w:t>
      </w:r>
    </w:p>
    <w:p>
      <w:pPr>
        <w:pStyle w:val="ListBullet"/>
      </w:pPr>
      <w:r>
        <w:t xml:space="preserve">Ne pas dépasser </w:t>
      </w:r>
      <w:r>
        <w:rPr>
          <w:b/>
        </w:rPr>
        <w:t>4 g/jour</w:t>
      </w:r>
      <w:r>
        <w:t xml:space="preserve"> (voie orale adulte) ou </w:t>
      </w:r>
      <w:r>
        <w:rPr>
          <w:b/>
        </w:rPr>
        <w:t>25 mg/kg/jour</w:t>
      </w:r>
      <w:r>
        <w:t xml:space="preserve"> (voie IV adulte) ;</w:t>
      </w:r>
    </w:p>
    <w:p>
      <w:pPr>
        <w:pStyle w:val="ListBullet"/>
      </w:pPr>
      <w:r>
        <w:t xml:space="preserve">Limiter la durée à </w:t>
      </w:r>
      <w:r>
        <w:rPr>
          <w:b/>
        </w:rPr>
        <w:t>3–4 jours par cycle</w:t>
      </w:r>
      <w:r>
        <w:t xml:space="preserve"> (ménorragies), 24–48 h (chirurgie), 5 jours (hyphéma).</w:t>
      </w:r>
    </w:p>
    <w:p>
      <w:pPr>
        <w:pStyle w:val="ListBullet"/>
      </w:pPr>
      <w:r/>
      <w:r>
        <w:rPr>
          <w:b/>
        </w:rPr>
        <w:t>Préparation et Conservation :</w:t>
      </w:r>
      <w:r/>
    </w:p>
    <w:p>
      <w:pPr>
        <w:pStyle w:val="ListBullet"/>
      </w:pPr>
      <w:r>
        <w:t xml:space="preserve">Ampoules/flacons à conserver à </w:t>
      </w:r>
      <w:r>
        <w:rPr>
          <w:b/>
        </w:rPr>
        <w:t>température &lt; 25 °C</w:t>
      </w:r>
      <w:r>
        <w:t>, à l'abri de la lumière et de l'humidité, dans l'emballage extérieur d'origine ;</w:t>
      </w:r>
    </w:p>
    <w:p>
      <w:pPr>
        <w:pStyle w:val="ListBullet"/>
      </w:pPr>
      <w:r>
        <w:t>Ne pas congeler ;</w:t>
      </w:r>
    </w:p>
    <w:p>
      <w:pPr>
        <w:pStyle w:val="ListBullet"/>
      </w:pPr>
      <w:r>
        <w:t xml:space="preserve">Vérifier la </w:t>
      </w:r>
      <w:r>
        <w:rPr>
          <w:b/>
        </w:rPr>
        <w:t>limpidité</w:t>
      </w:r>
      <w:r>
        <w:t xml:space="preserve"> de la solution avant administration : ne pas utiliser si la solution est trouble, jaunâtre, ou contient des particules ;</w:t>
      </w:r>
    </w:p>
    <w:p>
      <w:pPr>
        <w:pStyle w:val="ListBullet"/>
      </w:pPr>
      <w:r>
        <w:t xml:space="preserve">Vérifier la </w:t>
      </w:r>
      <w:r>
        <w:rPr>
          <w:b/>
        </w:rPr>
        <w:t>date de péremption</w:t>
      </w:r>
      <w:r>
        <w:t xml:space="preserve"> : ne jamais utiliser une spécialité périmée ;</w:t>
      </w:r>
    </w:p>
    <w:p>
      <w:pPr>
        <w:pStyle w:val="ListBullet"/>
      </w:pPr>
      <w:r>
        <w:t>Conservation après ouverture : la solution injectable ne contient pas de conservateur — utiliser immédiatement après ouverture de l'ampoule/flacon, ne pas conserver pour une administration ultérieure (jeter le surplus conformément aux protocoles de gestion des déchets médicaux).</w:t>
      </w:r>
    </w:p>
    <w:p>
      <w:pPr>
        <w:pStyle w:val="ListBullet"/>
      </w:pPr>
      <w:r/>
      <w:r>
        <w:rPr>
          <w:b/>
        </w:rPr>
        <w:t>Piège du surdosage / Substitution :</w:t>
      </w:r>
      <w:r/>
    </w:p>
    <w:p>
      <w:pPr>
        <w:pStyle w:val="ListBullet"/>
      </w:pPr>
      <w:r>
        <w:t xml:space="preserve">En cas de </w:t>
      </w:r>
      <w:r>
        <w:rPr>
          <w:b/>
        </w:rPr>
        <w:t>surdosage accidentel</w:t>
      </w:r>
      <w:r>
        <w:t xml:space="preserve"> (dose &gt; 25 mg/kg/IV ou &gt; 4 g/jour oral), surveiller les signes de thrombose (Echo-Doppler veineux), l'état neurologique (risque convulsif), la fonction rénale (risque de caillot obstructif en cas d'hématurie) — il n'existe pas d'antidote spécifique ; traitement symptomatique en milieu hospitalier (réanimation, anticoagulation si thrombose confirmée) ;</w:t>
      </w:r>
    </w:p>
    <w:p>
      <w:pPr>
        <w:pStyle w:val="ListBullet"/>
      </w:pPr>
      <w:r>
        <w:t xml:space="preserve">Ne pas substituer les </w:t>
      </w:r>
      <w:r>
        <w:rPr>
          <w:b/>
        </w:rPr>
        <w:t>deux spécialités algériennes</w:t>
      </w:r>
      <w:r>
        <w:t xml:space="preserve"> entre elles sans vérifier le dosage et le conditionnement : ACIDO TRANEXAMICO BIOINDUSTRIA = 5 ampoules de 5 mL (500 mg/5 mL) ; XENAMEX = 10 flacons de 5 mL (500 mg/5 mL) — dosage identique mais conditionnement différent (impact sur la gestion des stocks et la traçabilité en milieu hospitalier) ;</w:t>
      </w:r>
    </w:p>
    <w:p>
      <w:pPr>
        <w:pStyle w:val="ListBullet"/>
      </w:pPr>
      <w:r>
        <w:t xml:space="preserve">Ne jamais substituer avec une </w:t>
      </w:r>
      <w:r>
        <w:rPr>
          <w:b/>
        </w:rPr>
        <w:t>autre classe</w:t>
      </w:r>
      <w:r>
        <w:t xml:space="preserve"> d'antifibrinolytique (aprotinine, acide aminocaproïque) — ces molécules ne sont pas disponibles en Algérie et ont des profils de tolérance différents.</w:t>
      </w:r>
    </w:p>
    <w:p>
      <w:pPr>
        <w:pStyle w:val="Heading2"/>
      </w:pPr>
      <w:r>
        <w:t>4. Tableau comparatif synthétique (DCI unique)</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Paramètre</w:t>
            </w:r>
          </w:p>
        </w:tc>
        <w:tc>
          <w:tcPr>
            <w:tcW w:type="dxa" w:w="4677"/>
          </w:tcPr>
          <w:p>
            <w:r>
              <w:rPr>
                <w:b/>
                <w:sz w:val="20"/>
              </w:rPr>
              <w:t>Acide tranexamique (ACIDO TRANEXAMICO BIOINDUSTRIA L.I.M ; XENAMEX)</w:t>
            </w:r>
          </w:p>
        </w:tc>
      </w:tr>
      <w:tr>
        <w:tc>
          <w:tcPr>
            <w:tcW w:type="dxa" w:w="4677"/>
          </w:tcPr>
          <w:p>
            <w:r>
              <w:rPr>
                <w:sz w:val="20"/>
              </w:rPr>
              <w:t>**Sous-classe**</w:t>
            </w:r>
          </w:p>
        </w:tc>
        <w:tc>
          <w:tcPr>
            <w:tcW w:type="dxa" w:w="4677"/>
          </w:tcPr>
          <w:p>
            <w:r>
              <w:rPr>
                <w:sz w:val="20"/>
              </w:rPr>
              <w:t>Antifibrinolytique — inhibiteur de l'activation du plasminogène (analogue lysine) — ATC B02AA02</w:t>
            </w:r>
          </w:p>
        </w:tc>
      </w:tr>
      <w:tr>
        <w:tc>
          <w:tcPr>
            <w:tcW w:type="dxa" w:w="4677"/>
          </w:tcPr>
          <w:p>
            <w:r>
              <w:rPr>
                <w:sz w:val="20"/>
              </w:rPr>
              <w:t>**Mécanisme d'action**</w:t>
            </w:r>
          </w:p>
        </w:tc>
        <w:tc>
          <w:tcPr>
            <w:tcW w:type="dxa" w:w="4677"/>
          </w:tcPr>
          <w:p>
            <w:r>
              <w:rPr>
                <w:sz w:val="20"/>
              </w:rPr>
              <w:t>Fixation réversible sur domaine kringle 1 du plasminogène → inhibition conversion en plasmine → stabilisation du caillot fibrineux → réduction du saignement</w:t>
            </w:r>
          </w:p>
        </w:tc>
      </w:tr>
      <w:tr>
        <w:tc>
          <w:tcPr>
            <w:tcW w:type="dxa" w:w="4677"/>
          </w:tcPr>
          <w:p>
            <w:r>
              <w:rPr>
                <w:sz w:val="20"/>
              </w:rPr>
              <w:t>**Indications principales**</w:t>
            </w:r>
          </w:p>
        </w:tc>
        <w:tc>
          <w:tcPr>
            <w:tcW w:type="dxa" w:w="4677"/>
          </w:tcPr>
          <w:p>
            <w:r>
              <w:rPr>
                <w:sz w:val="20"/>
              </w:rPr>
              <w:t>Ménorragies fonctionnelles (1re intention NICE 2018), hémorragie du post-partum (essai WOMAN 2017), chirurgie programmée (CEC, orthopédie), traumatologie (CRASH-2), épistaxis, hyphéma traumatique, hémophilie mineure</w:t>
            </w:r>
          </w:p>
        </w:tc>
      </w:tr>
      <w:tr>
        <w:tc>
          <w:tcPr>
            <w:tcW w:type="dxa" w:w="4677"/>
          </w:tcPr>
          <w:p>
            <w:r>
              <w:rPr>
                <w:sz w:val="20"/>
              </w:rPr>
              <w:t>**Contre-indications majeures**</w:t>
            </w:r>
          </w:p>
        </w:tc>
        <w:tc>
          <w:tcPr>
            <w:tcW w:type="dxa" w:w="4677"/>
          </w:tcPr>
          <w:p>
            <w:r>
              <w:rPr>
                <w:sz w:val="20"/>
              </w:rPr>
              <w:t>Thrombose veineuse profonde/EP active ou ATCD personnel, thrombose artérielle active, thrombophilie connue, hématurie macroscopique (caillots obstructifs), insuffisance rénale sévère sans adaptation, hypersensibilité</w:t>
            </w:r>
          </w:p>
        </w:tc>
      </w:tr>
      <w:tr>
        <w:tc>
          <w:tcPr>
            <w:tcW w:type="dxa" w:w="4677"/>
          </w:tcPr>
          <w:p>
            <w:r>
              <w:rPr>
                <w:sz w:val="20"/>
              </w:rPr>
              <w:t>**Effets indésirables principaux**</w:t>
            </w:r>
          </w:p>
        </w:tc>
        <w:tc>
          <w:tcPr>
            <w:tcW w:type="dxa" w:w="4677"/>
          </w:tcPr>
          <w:p>
            <w:r>
              <w:rPr>
                <w:sz w:val="20"/>
              </w:rPr>
              <w:t>Nausées/diarrhée, hypotension (IV rapide), vertiges, troubles visuels (rétinopathie si usage prolongé), thromboses (rare mais grave), convulsions (doses élevées IV)</w:t>
            </w:r>
          </w:p>
        </w:tc>
      </w:tr>
      <w:tr>
        <w:tc>
          <w:tcPr>
            <w:tcW w:type="dxa" w:w="4677"/>
          </w:tcPr>
          <w:p>
            <w:r>
              <w:rPr>
                <w:sz w:val="20"/>
              </w:rPr>
              <w:t>**Grossesse / Allaitement**</w:t>
            </w:r>
          </w:p>
        </w:tc>
        <w:tc>
          <w:tcPr>
            <w:tcW w:type="dxa" w:w="4677"/>
          </w:tcPr>
          <w:p>
            <w:r>
              <w:rPr>
                <w:sz w:val="20"/>
              </w:rPr>
              <w:t>Compatible (CRAT rassurant) — usage justifié notamment dans HPP (WOMAN 2017) ; allaitement compatible (passage lacté très faible) ; évaluation bénéfice/risque thrombotique gravidique</w:t>
            </w:r>
          </w:p>
        </w:tc>
      </w:tr>
      <w:tr>
        <w:tc>
          <w:tcPr>
            <w:tcW w:type="dxa" w:w="4677"/>
          </w:tcPr>
          <w:p>
            <w:r>
              <w:rPr>
                <w:sz w:val="20"/>
              </w:rPr>
              <w:t>**Posologie usuelle Algérie (IV)**</w:t>
            </w:r>
          </w:p>
        </w:tc>
        <w:tc>
          <w:tcPr>
            <w:tcW w:type="dxa" w:w="4677"/>
          </w:tcPr>
          <w:p>
            <w:r>
              <w:rPr>
                <w:sz w:val="20"/>
              </w:rPr>
              <w:t>Ménorragies : 10 mg/kg IV lente × 2–3/j pendant 3–4 jours ; HPP : 1 g IV en 10 min puis 1 g si persistance ; Chirurgie : 10–15 mg/kg IV pré-incision ; Traumatologie : 1 g IV puis 1 g/8 h</w:t>
            </w:r>
          </w:p>
        </w:tc>
      </w:tr>
      <w:tr>
        <w:tc>
          <w:tcPr>
            <w:tcW w:type="dxa" w:w="4677"/>
          </w:tcPr>
          <w:p>
            <w:r>
              <w:rPr>
                <w:sz w:val="20"/>
              </w:rPr>
              <w:t>**Surveillance particulière**</w:t>
            </w:r>
          </w:p>
        </w:tc>
        <w:tc>
          <w:tcPr>
            <w:tcW w:type="dxa" w:w="4677"/>
          </w:tcPr>
          <w:p>
            <w:r>
              <w:rPr>
                <w:sz w:val="20"/>
              </w:rPr>
              <w:t>ATCD thrombotique, contraception estroprogestative, fonction rénale, durée &lt; 4 jours ; surveillance ophtalmologique si usage prolongé</w:t>
            </w:r>
          </w:p>
        </w:tc>
      </w:tr>
      <w:tr>
        <w:tc>
          <w:tcPr>
            <w:tcW w:type="dxa" w:w="4677"/>
          </w:tcPr>
          <w:p>
            <w:r>
              <w:rPr>
                <w:sz w:val="20"/>
              </w:rPr>
              <w:t>**Demi-vie d'élimination**</w:t>
            </w:r>
          </w:p>
        </w:tc>
        <w:tc>
          <w:tcPr>
            <w:tcW w:type="dxa" w:w="4677"/>
          </w:tcPr>
          <w:p>
            <w:r>
              <w:rPr>
                <w:sz w:val="20"/>
              </w:rPr>
              <w:t>2–3 h (adulte à fonction rénale normale) — adaptation rénale obligatoire si ClCr &lt; 50 mL/min</w:t>
            </w:r>
          </w:p>
        </w:tc>
      </w:tr>
      <w:tr>
        <w:tc>
          <w:tcPr>
            <w:tcW w:type="dxa" w:w="4677"/>
          </w:tcPr>
          <w:p>
            <w:r>
              <w:rPr>
                <w:sz w:val="20"/>
              </w:rPr>
              <w:t>**Disponibilité Algérie**</w:t>
            </w:r>
          </w:p>
        </w:tc>
        <w:tc>
          <w:tcPr>
            <w:tcW w:type="dxa" w:w="4677"/>
          </w:tcPr>
          <w:p>
            <w:r>
              <w:rPr>
                <w:sz w:val="20"/>
              </w:rPr>
              <w:t>Liste I — uniquement injectable 500 mg/5 mL : ACIDO TRANEXAMICO BIOINDUSTRIA L.I.M (B/5 ampoules) ; XENAMEX MS PHARMA (B/10 flacons). Forme orale NON disponible.</w:t>
            </w:r>
          </w:p>
        </w:tc>
      </w:tr>
    </w:tbl>
    <w:p/>
    <w:p>
      <w:pPr>
        <w:pStyle w:val="Heading2"/>
      </w:pPr>
      <w:r>
        <w:t>5. Règles d'Or et points-clés au comptoir</w:t>
      </w:r>
    </w:p>
    <w:p>
      <w:pPr>
        <w:pStyle w:val="ListNumber"/>
      </w:pPr>
      <w:r/>
      <w:r>
        <w:rPr>
          <w:b/>
        </w:rPr>
        <w:t>Acide tranexamique ≠ anticoagulant</w:t>
      </w:r>
      <w:r>
        <w:t xml:space="preserve"> : c'est un antifibrinolytique — il stabilise le caillot existant, il ne le crée pas. Ne jamais confondre avec les anticoagulants (warfarine, HBPM, AOD) qui, eux, préviennent la formation du caillot.</w:t>
      </w:r>
    </w:p>
    <w:p>
      <w:pPr>
        <w:pStyle w:val="ListNumber"/>
      </w:pPr>
      <w:r/>
      <w:r>
        <w:rPr>
          <w:b/>
        </w:rPr>
        <w:t>Questionner systématiquement les antécédents thrombotiques</w:t>
      </w:r>
      <w:r>
        <w:t xml:space="preserve"> avant toute délivrance d'acide tranexamique : thrombose veineuse profonde, embolie pulmonaire, infarctus du myocarde, AVC ischémique, thrombophilie — </w:t>
      </w:r>
      <w:r>
        <w:rPr>
          <w:b/>
        </w:rPr>
        <w:t>contre-indication absolue</w:t>
      </w:r>
      <w:r>
        <w:t>.</w:t>
      </w:r>
    </w:p>
    <w:p>
      <w:pPr>
        <w:pStyle w:val="ListNumber"/>
      </w:pPr>
      <w:r/>
      <w:r>
        <w:rPr>
          <w:b/>
        </w:rPr>
        <w:t>Vérifier la contraception</w:t>
      </w:r>
      <w:r>
        <w:t xml:space="preserve"> : la patiente est-elle sous pilule estroprogestative combinée ? Si oui, </w:t>
      </w:r>
      <w:r>
        <w:rPr>
          <w:b/>
        </w:rPr>
        <w:t>majoration du risque thrombotique</w:t>
      </w:r>
      <w:r>
        <w:t xml:space="preserve"> — alerter le prescripteur, envisager un relais temporaire par contraception progestative pure.</w:t>
      </w:r>
    </w:p>
    <w:p>
      <w:pPr>
        <w:pStyle w:val="ListNumber"/>
      </w:pPr>
      <w:r/>
      <w:r>
        <w:rPr>
          <w:b/>
        </w:rPr>
        <w:t>Respecter la durée limite</w:t>
      </w:r>
      <w:r>
        <w:t xml:space="preserve"> : 3–4 jours par cycle pour les ménorragies (jamais en continu), 24–48 h pour la chirurgie, 5 jours pour l'hyphéma. Une utilisation prolongée &gt; 4 jours impose une surveillance renforcée (signes thrombotiques, ophtalmologique).</w:t>
      </w:r>
    </w:p>
    <w:p>
      <w:pPr>
        <w:pStyle w:val="ListNumber"/>
      </w:pPr>
      <w:r/>
      <w:r>
        <w:rPr>
          <w:b/>
        </w:rPr>
        <w:t>Voie IV lente obligatoire</w:t>
      </w:r>
      <w:r>
        <w:t xml:space="preserve"> : jamais en bolus IV direct — perfusion sur 15–30 min dans 100 mL NaCl 0,9 %, ou injection IV lente en 5–10 min. Risque d'hypotension sévère et de collapsus en cas d'injection rapide.</w:t>
      </w:r>
    </w:p>
    <w:p>
      <w:pPr>
        <w:pStyle w:val="ListNumber"/>
      </w:pPr>
      <w:r/>
      <w:r>
        <w:rPr>
          <w:b/>
        </w:rPr>
        <w:t>Pas d'acide tranexamique en cas d'hématurie macroscopique</w:t>
      </w:r>
      <w:r>
        <w:t xml:space="preserve"> : contre-indication absolue — risque de caillots obstructifs dans les voies urinaires avec anurie et insuffisance rénale aiguë.</w:t>
      </w:r>
    </w:p>
    <w:p>
      <w:pPr>
        <w:pStyle w:val="ListNumber"/>
      </w:pPr>
      <w:r/>
      <w:r>
        <w:rPr>
          <w:b/>
        </w:rPr>
        <w:t>Adaptation posologique en insuffisance rénale</w:t>
      </w:r>
      <w:r>
        <w:t xml:space="preserve"> : obligatoire si clairance créatinine &lt; 50 mL/min — diviser la dose par 2 (ClCr 25–50), par 4 (ClCr 10–25), par 8 (ClCr &lt; 10).</w:t>
      </w:r>
    </w:p>
    <w:p>
      <w:pPr>
        <w:pStyle w:val="ListNumber"/>
      </w:pPr>
      <w:r/>
      <w:r>
        <w:rPr>
          <w:b/>
        </w:rPr>
        <w:t>Forme orale non disponible en Algérie</w:t>
      </w:r>
      <w:r>
        <w:t xml:space="preserve"> : ne pas laisser croire à la patiente qu'elle peut acheter de l'acide tranexamique oral en pharmacie d'officine algérienne — orienter vers AINS ou progestatifs en alternative ambulatoire, ou procédure d'importation si nécessité absolue.</w:t>
      </w:r>
    </w:p>
    <w:p>
      <w:pPr>
        <w:pStyle w:val="ListNumber"/>
      </w:pPr>
      <w:r/>
      <w:r>
        <w:rPr>
          <w:b/>
        </w:rPr>
        <w:t>Toujours éliminer une cause organique</w:t>
      </w:r>
      <w:r>
        <w:t xml:space="preserve"> avant traitement prolongé pour ménorragies — échographie pelvienne, hystéroscopie, biopsie endométriale si patiente &gt; 45 ans ou facteurs de risque de cancer endométrial. L'acide tranexamique ne doit pas masquer une pathologie organique.</w:t>
      </w:r>
    </w:p>
    <w:p>
      <w:pPr>
        <w:pStyle w:val="ListNumber"/>
      </w:pPr>
      <w:r/>
      <w:r>
        <w:rPr>
          <w:b/>
        </w:rPr>
        <w:t>Surveillance des signes thrombotiques</w:t>
      </w:r>
      <w:r>
        <w:t xml:space="preserve"> : informer la patiente des signes devant motiver une consultation médicale en urgence (douleur du mollet, essoufflement, douleur thoracique, déficit neurologique brutal) — particulièrement en cas d'association avec contraception, tabagisme, obésité, immobilisation.</w:t>
      </w:r>
    </w:p>
    <w:p>
      <w:pPr>
        <w:pStyle w:val="Heading2"/>
      </w:pPr>
      <w:r>
        <w:t>6. Pièges notables documentés et focus nomenclature algérienne</w:t>
      </w:r>
    </w:p>
    <w:p>
      <w:pPr>
        <w:pStyle w:val="Heading3"/>
      </w:pPr>
      <w:r>
        <w:t>Pièges notables documentés</w:t>
      </w:r>
    </w:p>
    <w:p>
      <w:pPr>
        <w:pStyle w:val="ListBullet"/>
      </w:pPr>
      <w:r/>
      <w:r>
        <w:rPr>
          <w:b/>
        </w:rPr>
        <w:t>Acide tranexamique + contraception estroprogestative</w:t>
      </w:r>
      <w:r>
        <w:t xml:space="preserve"> : majoration du risque thrombotique veineux (effet additif sur la coagulation) — association à éviter en pratique ambulatoire ; si nécessaire, limiter à 3–4 jours et informer la patiente des signes thrombotiques.</w:t>
      </w:r>
    </w:p>
    <w:p>
      <w:pPr>
        <w:pStyle w:val="ListBullet"/>
      </w:pPr>
      <w:r/>
      <w:r>
        <w:rPr>
          <w:b/>
        </w:rPr>
        <w:t>Acide tranexamique + anticoagulants (AVK, AOD, HBPM)</w:t>
      </w:r>
      <w:r>
        <w:t xml:space="preserve"> : antagonisme pharmacodynamique — l'association peut être justifiée ponctuellement en cas de saignement actif chez un patient anticoagulé (épistaxis sévère, hémorragie digestive), mais uniquement sous surveillance médicale stricte en milieu hospitalier.</w:t>
      </w:r>
    </w:p>
    <w:p>
      <w:pPr>
        <w:pStyle w:val="ListBullet"/>
      </w:pPr>
      <w:r/>
      <w:r>
        <w:rPr>
          <w:b/>
        </w:rPr>
        <w:t>Acide tranexamique + hématurie macroscopique</w:t>
      </w:r>
      <w:r>
        <w:t xml:space="preserve"> : contre-indication absolue (caillots obstructifs, anurie, insuffisance rénale aiguë).</w:t>
      </w:r>
    </w:p>
    <w:p>
      <w:pPr>
        <w:pStyle w:val="ListBullet"/>
      </w:pPr>
      <w:r/>
      <w:r>
        <w:rPr>
          <w:b/>
        </w:rPr>
        <w:t>Acide tranexamique IV rapide</w:t>
      </w:r>
      <w:r>
        <w:t xml:space="preserve"> : hypotension sévère, collapsus cardiovasculaire — toujours administrer en perfusion lente.</w:t>
      </w:r>
    </w:p>
    <w:p>
      <w:pPr>
        <w:pStyle w:val="ListBullet"/>
      </w:pPr>
      <w:r/>
      <w:r>
        <w:rPr>
          <w:b/>
        </w:rPr>
        <w:t>Acide tranexamique prolongé &gt; 4 jours</w:t>
      </w:r>
      <w:r>
        <w:t xml:space="preserve"> : surveillance thrombotique (Echo-Doppler veineux au moindre signe), surveillance ophtalmologique (rétinopathie ischémique).</w:t>
      </w:r>
    </w:p>
    <w:p>
      <w:pPr>
        <w:pStyle w:val="ListBullet"/>
      </w:pPr>
      <w:r/>
      <w:r>
        <w:rPr>
          <w:b/>
        </w:rPr>
        <w:t>Acide tranexamique chez la femme enceinte/post-partum</w:t>
      </w:r>
      <w:r>
        <w:t xml:space="preserve"> : compatible selon CRAT, mais évaluation bénéfice/risque thrombotique (hypercoagulabilité gravidique) — utiliser la dose minimale efficace pendant la durée la plus courte.</w:t>
      </w:r>
    </w:p>
    <w:p>
      <w:pPr>
        <w:pStyle w:val="ListBullet"/>
      </w:pPr>
      <w:r/>
      <w:r>
        <w:rPr>
          <w:b/>
        </w:rPr>
        <w:t>Acide tranexamique + tabac</w:t>
      </w:r>
      <w:r>
        <w:t xml:space="preserve"> : majoration du risque thrombotique artériel (surtout chez la femme &gt; 35 ans) — évaluation stricte du rapport bénéfice/risque.</w:t>
      </w:r>
    </w:p>
    <w:p>
      <w:pPr>
        <w:pStyle w:val="ListBullet"/>
      </w:pPr>
      <w:r/>
      <w:r>
        <w:rPr>
          <w:b/>
        </w:rPr>
        <w:t>Ménorragie post-ménopausique non explorée</w:t>
      </w:r>
      <w:r>
        <w:t xml:space="preserve"> : jamais d'acide tranexamique « à l'aveugle » — exploration gynécologique systématique (hystéroscopie + biopsie) pour éliminer un cancer endométrial.</w:t>
      </w:r>
    </w:p>
    <w:p>
      <w:pPr>
        <w:pStyle w:val="ListBullet"/>
      </w:pPr>
      <w:r/>
      <w:r>
        <w:rPr>
          <w:b/>
        </w:rPr>
        <w:t>Ménorragie de l'adolescente</w:t>
      </w:r>
      <w:r>
        <w:t xml:space="preserve"> : recherche systématique d'une maladie de Willebrand (10–20 % des cas) avant traitement prolongé par acide tranexamique.</w:t>
      </w:r>
    </w:p>
    <w:p>
      <w:pPr>
        <w:pStyle w:val="ListBullet"/>
      </w:pPr>
      <w:r/>
      <w:r>
        <w:rPr>
          <w:b/>
        </w:rPr>
        <w:t>Surdosage</w:t>
      </w:r>
      <w:r>
        <w:t xml:space="preserve"> : pas d'antidote spécifique — traitement symptomatique en réanimation (surveillance neurologique, anticoagulation si thrombose confirmée).</w:t>
      </w:r>
    </w:p>
    <w:p>
      <w:pPr>
        <w:pStyle w:val="Heading3"/>
      </w:pPr>
      <w:r>
        <w:t>Points-clés nomenclature algérienne</w:t>
      </w:r>
    </w:p>
    <w:p>
      <w:pPr>
        <w:pStyle w:val="ListBullet"/>
      </w:pPr>
      <w:r/>
      <w:r>
        <w:rPr>
          <w:b/>
        </w:rPr>
        <w:t>Offre commerciale limitée à 2 spécialités injectables</w:t>
      </w:r>
      <w:r>
        <w:t xml:space="preserve"> : ACIDO TRANEXAMICO BIOINDUSTRIA L.I.M (Italie) et XENAMEX MS PHARMA (Jordanie), toutes deux en solution injectable 500 mg/5 mL (100 mg/mL), Liste I.</w:t>
      </w:r>
    </w:p>
    <w:p>
      <w:pPr>
        <w:pStyle w:val="ListBullet"/>
      </w:pPr>
      <w:r/>
      <w:r>
        <w:rPr>
          <w:b/>
        </w:rPr>
        <w:t>Absence de formes orales</w:t>
      </w:r>
      <w:r>
        <w:t xml:space="preserve"> : particularité nationale majeure — les comprimés (Cyklokapron®, Exacyl®) et sirops disponibles à l'international ne sont pas référencés dans la nomenclature algérienne d'avril 2026. Cela restreint l'usage de la molécule au cadre hospitalier ou au secteur privé de cliniques disposant d'un plateau technique d'injection.</w:t>
      </w:r>
    </w:p>
    <w:p>
      <w:pPr>
        <w:pStyle w:val="ListBullet"/>
      </w:pPr>
      <w:r/>
      <w:r>
        <w:rPr>
          <w:b/>
        </w:rPr>
        <w:t>Impact sur la prise en charge ambulatoire des ménorragies fonctionnelles</w:t>
      </w:r>
      <w:r>
        <w:t xml:space="preserve"> : l'absence de forme orale complique l'application des recommandations NICE 2018 (acide tranexamique oral en 1re intention) en pratique de ville algérienne — orienter en 1re intention vers les alternatives disponibles : AINS (acide méfénamique 500 mg, ibuprofène 400 mg) et progestatifs (cf. chapitre 74 Tocolyse/Déclenchement).</w:t>
      </w:r>
    </w:p>
    <w:p>
      <w:pPr>
        <w:pStyle w:val="ListBullet"/>
      </w:pPr>
      <w:r/>
      <w:r>
        <w:rPr>
          <w:b/>
        </w:rPr>
        <w:t>Marché très concentré</w:t>
      </w:r>
      <w:r>
        <w:t xml:space="preserve"> : 2 laboratoires uniquement (BIOINDUSTRIA Italien et MS PHARMA Jordanien), aucun générique algérien — situation de monopole relatif qui peut influencer la disponibilité et le prix.</w:t>
      </w:r>
    </w:p>
    <w:p>
      <w:pPr>
        <w:pStyle w:val="ListBullet"/>
      </w:pPr>
      <w:r/>
      <w:r>
        <w:rPr>
          <w:b/>
        </w:rPr>
        <w:t>Conditionnement différent</w:t>
      </w:r>
      <w:r>
        <w:t xml:space="preserve"> : ACIDO TRANEXAMICO BIOINDUSTRIA = B/5 ampoules ; XENAMEX = B/10 flacons — impact sur la gestion des stocks hospitaliers (XENAMEX souvent préféré pour la traçabilité et la quantité unitaire).</w:t>
      </w:r>
    </w:p>
    <w:p>
      <w:pPr>
        <w:pStyle w:val="Heading2"/>
      </w:pPr>
      <w:r>
        <w:t>7. Conclusion du chapitre 75 et clôture du Fascicule IX</w:t>
      </w:r>
    </w:p>
    <w:p>
      <w:r>
        <w:t>Le chapitre 75 — dédié à l'acide tranexamique dans le traitement des ménorragies et des saignements en contexte fibrinolytique — clôture le Fascicule IX (Gynécologie/Obstétrique) de ce Technical Documentation destiné aux étudiants en pharmacie d'Algérie. Il s'inscrit dans la continuité directe du chapitre 74 (Tocolyse et déclenchement du travail) qui a couvert la première dimension pharmacologique de la grossesse : la gestion du terme et de la contractilité utérine.</w:t>
      </w:r>
    </w:p>
    <w:p>
      <w:r>
        <w:t xml:space="preserve">L'acide tranexamique, seul antifibrinolytique référencé dans la nomenclature algérienne d'avril 2026, occupe une </w:t>
      </w:r>
      <w:r>
        <w:rPr>
          <w:b/>
        </w:rPr>
        <w:t>place stratégique de premier plan</w:t>
      </w:r>
      <w:r>
        <w:t xml:space="preserve"> dans l'arsenal thérapeutique des ménorragies fonctionnelles, mais aussi de l'hémorragie du post-partum, de la chirurgie hémorragique, des traumatismes sévères et de l'hémophilie mineure. Son mécanisme original — stabilisation du caillot fibrineux par inhibition réversible de l'activation du plasminogène en plasmine — en fait un outil de choix lorsque le saignement relève d'une fibrinolyse locale accrue, ce qui est précisément le cas de la muqueuse endométriale menstruante.</w:t>
      </w:r>
    </w:p>
    <w:p>
      <w:r>
        <w:t xml:space="preserve">Toutefois, son usage en Algérie se heurte à </w:t>
      </w:r>
      <w:r>
        <w:rPr>
          <w:b/>
        </w:rPr>
        <w:t>trois particularités nationales</w:t>
      </w:r>
      <w:r>
        <w:t xml:space="preserve"> majeures que le pharmacien d'officine et hospitalier doit intégrer :</w:t>
      </w:r>
    </w:p>
    <w:p>
      <w:pPr>
        <w:pStyle w:val="ListNumber"/>
      </w:pPr>
      <w:r/>
      <w:r>
        <w:rPr>
          <w:b/>
        </w:rPr>
        <w:t>Disponibilité limitée à la forme injectable</w:t>
      </w:r>
      <w:r>
        <w:t xml:space="preserve"> (500 mg/5 mL en ampoules ou flacons) — absence de formes orales (comprimés, sirops) pourtant recommandées en première intention par NICE 2018 pour les ménorragies fonctionnelles ambulatoires ;</w:t>
      </w:r>
    </w:p>
    <w:p>
      <w:pPr>
        <w:pStyle w:val="ListNumber"/>
      </w:pPr>
      <w:r/>
      <w:r>
        <w:rPr>
          <w:b/>
        </w:rPr>
        <w:t>Marché très concentré</w:t>
      </w:r>
      <w:r>
        <w:t xml:space="preserve"> sur deux spécialités seulement — ACIDO TRANEXAMICO BIOINDUSTRIA L.I.M (Italie) et XENAMEX MS PHARMA (Jordanie) — aucun générique algérien ;</w:t>
      </w:r>
    </w:p>
    <w:p>
      <w:pPr>
        <w:pStyle w:val="ListNumber"/>
      </w:pPr>
      <w:r/>
      <w:r>
        <w:rPr>
          <w:b/>
        </w:rPr>
        <w:t>Liste I</w:t>
      </w:r>
      <w:r>
        <w:t xml:space="preserve"> — prescription médicale obligatoire, délivrance non renouvelable sans nouvelle consultation.</w:t>
      </w:r>
    </w:p>
    <w:p>
      <w:r>
        <w:t xml:space="preserve">La </w:t>
      </w:r>
      <w:r>
        <w:rPr>
          <w:b/>
        </w:rPr>
        <w:t>tolérance générale</w:t>
      </w:r>
      <w:r>
        <w:t xml:space="preserve"> de l'acide tranexamique est satisfaisante à court terme (3–4 jours), mais son </w:t>
      </w:r>
      <w:r>
        <w:rPr>
          <w:b/>
        </w:rPr>
        <w:t>profil thrombotique</w:t>
      </w:r>
      <w:r>
        <w:t xml:space="preserve"> impose un respect strict des contre-indications absolues (thrombose active, ATCD thrombotique personnel, thrombophilie, hématurie macroscopique) et des précautions majeures (association avec contraception estroprogestative, tabagisme, immobilisation, traitement prolongé &gt; 4 jours). La </w:t>
      </w:r>
      <w:r>
        <w:rPr>
          <w:b/>
        </w:rPr>
        <w:t>surveillance ophtalmologique</w:t>
      </w:r>
      <w:r>
        <w:t xml:space="preserve"> en cas d'usage répété ou prolongé complète le tableau de tolérance.</w:t>
      </w:r>
    </w:p>
    <w:p>
      <w:r>
        <w:t xml:space="preserve">Ce chapitre s'achève sur une </w:t>
      </w:r>
      <w:r>
        <w:rPr>
          <w:b/>
        </w:rPr>
        <w:t>vision intégrée de la pharmacologie gynécologique/obstétricale</w:t>
      </w:r>
      <w:r>
        <w:t xml:space="preserve"> algérienne, articulée autour de deux axes complémentaires : (i) la modulation de la contractilité utérine (tocolytiques — β2-mimétiques, inhibiteurs calciques, atosiban, AINS ; ocytociques — ocytocine, méthylergométrine, misoprostol — cf. chapitre 74) ; (ii) le contrôle de l'hémorragie en contexte fibrinolytique (acide tranexamique — chapitre 75). Ces deux dimensions, associées à la contraception hormonale et à la substitution hormonale de la ménopause (traitées dans d'autres fascicules), forment l'ossature de la pharmacologie de la sphère génitale féminine.</w:t>
      </w:r>
    </w:p>
    <w:p>
      <w:r>
        <w:t>Le Fascicule IX s'achève ici. Il constitue, avec les Fascicules I à VIII, un ensemble documentaire de référence pour la pratique pharmaceutique clinique algérienne, couvrant l'ensemble des grandes classes pharmacologiques indispensables au pharmacien d'officine et hospitalier. Sa compilation finale en document Word professionnel sera effectuée par le sous-agent compilateur dédié.</w:t>
      </w:r>
    </w:p>
    <w:p>
      <w:pPr>
        <w:pStyle w:val="Heading2"/>
      </w:pPr>
      <w:r>
        <w:t>8. Sources documentaires</w:t>
      </w:r>
    </w:p>
    <w:p>
      <w:pPr>
        <w:pStyle w:val="ListBullet"/>
      </w:pPr>
      <w:r/>
      <w:r>
        <w:rPr>
          <w:b/>
        </w:rPr>
        <w:t>NICE Guidelines NG88 (2018)</w:t>
      </w:r>
      <w:r>
        <w:t xml:space="preserve"> — *Heavy Menstrual Bleeding : Assessment and Management* — recommandations de 1re intention acide tranexamique oral pour ménorragies ovulatoires sans besoin contraceptif ;</w:t>
      </w:r>
    </w:p>
    <w:p>
      <w:pPr>
        <w:pStyle w:val="ListBullet"/>
      </w:pPr>
      <w:r/>
      <w:r>
        <w:rPr>
          <w:b/>
        </w:rPr>
        <w:t>Cochrane Database Syst Rev 2018</w:t>
      </w:r>
      <w:r>
        <w:t xml:space="preserve"> (Lethaby A, et al.) — *Antifibrinolytics for heavy menstrual bleeding* — méta-analyse confirmant l'efficacité de l'acide tranexamique sur le flux menstruel (réduction 40–60 %) ;</w:t>
      </w:r>
    </w:p>
    <w:p>
      <w:pPr>
        <w:pStyle w:val="ListBullet"/>
      </w:pPr>
      <w:r/>
      <w:r>
        <w:rPr>
          <w:b/>
        </w:rPr>
        <w:t>CRAT (Centre de Renseignements sur les Agents Tératogènes, France)</w:t>
      </w:r>
      <w:r>
        <w:t xml:space="preserve"> — fiche Acide tranexamique — grossesse compatible, allaitement compatible ;</w:t>
      </w:r>
    </w:p>
    <w:p>
      <w:pPr>
        <w:pStyle w:val="ListBullet"/>
      </w:pPr>
      <w:r/>
      <w:r>
        <w:rPr>
          <w:b/>
        </w:rPr>
        <w:t>LactMed (National Library of Medicine, USA)</w:t>
      </w:r>
      <w:r>
        <w:t xml:space="preserve"> — Tranexamic acid — faible passage lacté (rapport lait/plasma ≈ 0,01) ;</w:t>
      </w:r>
    </w:p>
    <w:p>
      <w:pPr>
        <w:pStyle w:val="ListBullet"/>
      </w:pPr>
      <w:r/>
      <w:r>
        <w:rPr>
          <w:b/>
        </w:rPr>
        <w:t>ANSM (Agence Nationale de Sécurité du Médicament)</w:t>
      </w:r>
      <w:r>
        <w:t xml:space="preserve"> — Résumé des Caractéristiques du Produit (RCP) Exacyl® — indications, posologie, contre-indications, effets indésirables ;</w:t>
      </w:r>
    </w:p>
    <w:p>
      <w:pPr>
        <w:pStyle w:val="ListBullet"/>
      </w:pPr>
      <w:r/>
      <w:r>
        <w:rPr>
          <w:b/>
        </w:rPr>
        <w:t>VIDAL</w:t>
      </w:r>
      <w:r>
        <w:t xml:space="preserve"> — Monographie Acide tranexamique ;</w:t>
      </w:r>
    </w:p>
    <w:p>
      <w:pPr>
        <w:pStyle w:val="ListBullet"/>
      </w:pPr>
      <w:r/>
      <w:r>
        <w:rPr>
          <w:b/>
        </w:rPr>
        <w:t>Thériaque</w:t>
      </w:r>
      <w:r>
        <w:t xml:space="preserve"> — Banque de données française sur les médicaments — interactions médicamenteuses, posologie, surveillance ;</w:t>
      </w:r>
    </w:p>
    <w:p>
      <w:pPr>
        <w:pStyle w:val="ListBullet"/>
      </w:pPr>
      <w:r/>
      <w:r>
        <w:rPr>
          <w:b/>
        </w:rPr>
        <w:t>OMS (Organisation Mondiale de la Santé) 2017</w:t>
      </w:r>
      <w:r>
        <w:t xml:space="preserve"> — *WHO recommendation on tranexamic acid for the treatment of postpartum haemorrhage* ;</w:t>
      </w:r>
    </w:p>
    <w:p>
      <w:pPr>
        <w:pStyle w:val="ListBullet"/>
      </w:pPr>
      <w:r/>
      <w:r>
        <w:rPr>
          <w:b/>
        </w:rPr>
        <w:t>Essai WOMAN 2017</w:t>
      </w:r>
      <w:r>
        <w:t xml:space="preserve"> (Lancet 2017 ; 389 :2105–2116) — *Effect of early tranexamic acid administration on mortality, hysterectomy, and other morbidities in women with post-partum haemorrhage* — réduction de 19 % de la mortalité par HPP ;</w:t>
      </w:r>
    </w:p>
    <w:p>
      <w:pPr>
        <w:pStyle w:val="ListBullet"/>
      </w:pPr>
      <w:r/>
      <w:r>
        <w:rPr>
          <w:b/>
        </w:rPr>
        <w:t>Essai CRASH-2 2010</w:t>
      </w:r>
      <w:r>
        <w:t xml:space="preserve"> (Lancet 2010 ; 376 :23–32) — *Effects of tranexamic acid on death, vascular occlusive events, and blood transfusion in trauma patients with significant haemorrhage* — réduction de 1,5 % de la mortalité si administration &lt; 3 h ;</w:t>
      </w:r>
    </w:p>
    <w:p>
      <w:pPr>
        <w:pStyle w:val="ListBullet"/>
      </w:pPr>
      <w:r/>
      <w:r>
        <w:rPr>
          <w:b/>
        </w:rPr>
        <w:t>Essai CRASH-3 2019</w:t>
      </w:r>
      <w:r>
        <w:t xml:space="preserve"> (Lancet Neurol 2019) — *Tranexamic acid for traumatic brain injury* — bénéfice limité, délétère au-delà de 3 h post-trauma ;</w:t>
      </w:r>
    </w:p>
    <w:p>
      <w:pPr>
        <w:pStyle w:val="ListBullet"/>
      </w:pPr>
      <w:r/>
      <w:r>
        <w:rPr>
          <w:b/>
        </w:rPr>
        <w:t>Essai HALT-IT 2020</w:t>
      </w:r>
      <w:r>
        <w:t xml:space="preserve"> (Lancet 2020 ; 395 :1927–1936) — *Tranexamic acid for acute upper gastrointestinal bleeding* — pas de bénéfice sur la mortalité ;</w:t>
      </w:r>
    </w:p>
    <w:p>
      <w:pPr>
        <w:pStyle w:val="ListBullet"/>
      </w:pPr>
      <w:r/>
      <w:r>
        <w:rPr>
          <w:b/>
        </w:rPr>
        <w:t>HAS (Haute Autorité de Santé, France)</w:t>
      </w:r>
      <w:r>
        <w:t xml:space="preserve"> — Recommandations sur la prise en charge des ménorragies fonctionnelles ;</w:t>
      </w:r>
    </w:p>
    <w:p>
      <w:pPr>
        <w:pStyle w:val="ListBullet"/>
      </w:pPr>
      <w:r/>
      <w:r>
        <w:rPr>
          <w:b/>
        </w:rPr>
        <w:t>FIGO 2022</w:t>
      </w:r>
      <w:r>
        <w:t xml:space="preserve"> (International Federation of Gynecology and Obstetrics) — Consensus sur la prise en charge de l'hémorragie du post-partum ;</w:t>
      </w:r>
    </w:p>
    <w:p>
      <w:pPr>
        <w:pStyle w:val="ListBullet"/>
      </w:pPr>
      <w:r/>
      <w:r>
        <w:rPr>
          <w:b/>
        </w:rPr>
        <w:t>Classification FIGO 2011 (PALM-COEIN)</w:t>
      </w:r>
      <w:r>
        <w:t xml:space="preserve"> — Causes des saignements utérins anormaux ;</w:t>
      </w:r>
    </w:p>
    <w:p>
      <w:pPr>
        <w:pStyle w:val="ListBullet"/>
      </w:pPr>
      <w:r/>
      <w:r>
        <w:rPr>
          <w:b/>
        </w:rPr>
        <w:t>UpToDate</w:t>
      </w:r>
      <w:r>
        <w:t xml:space="preserve"> — *Tranexamic acid : Drug information* ;</w:t>
      </w:r>
    </w:p>
    <w:p>
      <w:pPr>
        <w:pStyle w:val="ListBullet"/>
      </w:pPr>
      <w:r/>
      <w:r>
        <w:rPr>
          <w:b/>
        </w:rPr>
        <w:t>Micromedex</w:t>
      </w:r>
      <w:r>
        <w:t xml:space="preserve"> — Tranexamic acid — drug interactions, dosing ;</w:t>
      </w:r>
    </w:p>
    <w:p>
      <w:pPr>
        <w:pStyle w:val="ListBullet"/>
      </w:pPr>
      <w:r/>
      <w:r>
        <w:rPr>
          <w:b/>
        </w:rPr>
        <w:t>Nomenclature algérienne des médicaments — Avril 2026</w:t>
      </w:r>
      <w:r>
        <w:t xml:space="preserve"> — Listes I et II, médicaments actifs/non renouvelés/retirés — source primaire pour les spécialités disponibles en Algérie (ACIDO TRANEXAMICO BIOINDUSTRIA L.I.M ; XENAMEX).</w:t>
      </w:r>
    </w:p>
    <w:p>
      <w:r/>
      <w:r>
        <w:rPr>
          <w:i/>
        </w:rPr>
        <w:t>Fin du Chapitre 75 — Ménorragies et antifibrinolytiques</w:t>
      </w:r>
      <w:r/>
    </w:p>
    <w:p>
      <w:r/>
      <w:r>
        <w:rPr>
          <w:i/>
        </w:rPr>
        <w:t>Fin du Fascicule IX — Gynécologie / Obstétrique</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Gynécologie/Obstétrique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