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i w:val="0"/>
          <w:color w:val="000000"/>
          <w:sz w:val="24"/>
        </w:rPr>
      </w:r>
    </w:p>
    <w:p>
      <w:pPr>
        <w:spacing w:after="240"/>
        <w:jc w:val="center"/>
      </w:pPr>
      <w:r>
        <w:rPr>
          <w:rFonts w:ascii="Times New Roman" w:hAnsi="Times New Roman"/>
          <w:b/>
          <w:i w:val="0"/>
          <w:color w:val="0B3D91"/>
          <w:sz w:val="72"/>
        </w:rPr>
        <w:t>LIVRE TECHNIQUE</w:t>
        <w:br/>
        <w:t>DE PHARMACOLOGIE CLINIQUE</w:t>
      </w:r>
    </w:p>
    <w:p>
      <w:pPr>
        <w:spacing w:before="240" w:after="120"/>
        <w:jc w:val="center"/>
      </w:pPr>
      <w:r>
        <w:rPr>
          <w:rFonts w:ascii="Times New Roman" w:hAnsi="Times New Roman"/>
          <w:b/>
          <w:i w:val="0"/>
          <w:color w:val="006B3C"/>
          <w:sz w:val="52"/>
        </w:rPr>
        <w:t>NUTRITION ARTIFICIELLE,</w:t>
        <w:br/>
        <w:t>SOLUTIONS DE PERFUSION &amp; DIALYSE</w:t>
      </w:r>
    </w:p>
    <w:p>
      <w:pPr>
        <w:jc w:val="center"/>
      </w:pPr>
      <w:r>
        <w:rPr>
          <w:rFonts w:ascii="Times New Roman" w:hAnsi="Times New Roman"/>
          <w:b w:val="0"/>
          <w:i/>
          <w:color w:val="606060"/>
          <w:sz w:val="40"/>
        </w:rPr>
        <w:t>en Algérie</w:t>
      </w:r>
    </w:p>
    <w:p>
      <w:pPr>
        <w:spacing w:before="400" w:after="400"/>
        <w:jc w:val="center"/>
      </w:pPr>
      <w:r>
        <w:rPr>
          <w:rFonts w:ascii="Times New Roman" w:hAnsi="Times New Roman"/>
          <w:b/>
          <w:i w:val="0"/>
          <w:color w:val="0B3D91"/>
          <w:sz w:val="28"/>
        </w:rPr>
        <w:t>━━━━━━━━━━━━━━━━━━━━━━━━━━━━━━</w:t>
      </w:r>
    </w:p>
    <w:p>
      <w:pPr>
        <w:jc w:val="center"/>
      </w:pPr>
      <w:r>
        <w:rPr>
          <w:rFonts w:ascii="Times New Roman" w:hAnsi="Times New Roman"/>
          <w:b/>
          <w:i w:val="0"/>
          <w:color w:val="1F4E79"/>
          <w:sz w:val="36"/>
        </w:rPr>
        <w:t>Fascicule XXII</w:t>
      </w:r>
    </w:p>
    <w:p>
      <w:pPr>
        <w:jc w:val="center"/>
      </w:pPr>
      <w:r>
        <w:rPr>
          <w:rFonts w:ascii="Times New Roman" w:hAnsi="Times New Roman"/>
          <w:b w:val="0"/>
          <w:i/>
          <w:color w:val="606060"/>
          <w:sz w:val="28"/>
        </w:rPr>
        <w:t>Nutrition Artificielle, Solutions de Perfusion &amp; Dialyse</w:t>
      </w:r>
    </w:p>
    <w:p>
      <w:pPr>
        <w:spacing w:before="1600"/>
        <w:jc w:val="center"/>
      </w:pPr>
      <w:r>
        <w:rPr>
          <w:rFonts w:ascii="Times New Roman" w:hAnsi="Times New Roman"/>
          <w:b/>
          <w:i w:val="0"/>
          <w:color w:val="000000"/>
          <w:sz w:val="24"/>
        </w:rPr>
      </w:r>
    </w:p>
    <w:p>
      <w:pPr>
        <w:jc w:val="center"/>
      </w:pPr>
      <w:r>
        <w:rPr>
          <w:rFonts w:ascii="Times New Roman" w:hAnsi="Times New Roman"/>
          <w:b w:val="0"/>
          <w:i w:val="0"/>
          <w:color w:val="404040"/>
          <w:sz w:val="24"/>
        </w:rPr>
        <w:t>Manuel académique et pratique pour étudiants en pharmacie d'officine</w:t>
      </w:r>
    </w:p>
    <w:p>
      <w:pPr>
        <w:jc w:val="center"/>
      </w:pPr>
      <w:r>
        <w:rPr>
          <w:rFonts w:ascii="Times New Roman" w:hAnsi="Times New Roman"/>
          <w:b w:val="0"/>
          <w:i/>
          <w:color w:val="606060"/>
          <w:sz w:val="22"/>
        </w:rPr>
        <w:t>Basé sur la nomenclature officielle des médicaments enregistrés en Algérie (Avril 2026)</w:t>
      </w:r>
    </w:p>
    <w:p>
      <w:pPr>
        <w:spacing w:before="1200"/>
        <w:jc w:val="center"/>
      </w:pPr>
      <w:r>
        <w:rPr>
          <w:rFonts w:ascii="Times New Roman" w:hAnsi="Times New Roman"/>
          <w:b/>
          <w:i w:val="0"/>
          <w:color w:val="000000"/>
          <w:sz w:val="24"/>
        </w:rPr>
      </w:r>
    </w:p>
    <w:p>
      <w:pPr>
        <w:jc w:val="center"/>
      </w:pPr>
      <w:r>
        <w:rPr>
          <w:rFonts w:ascii="Times New Roman" w:hAnsi="Times New Roman"/>
          <w:b/>
          <w:i w:val="0"/>
          <w:color w:val="0B3D91"/>
          <w:sz w:val="22"/>
        </w:rPr>
        <w:t>22 DCI traitées  •  48 spécialités commerciales  •  5 sous-classes pharmacologiques</w:t>
      </w:r>
    </w:p>
    <w:p>
      <w:pPr>
        <w:spacing w:before="1600"/>
        <w:jc w:val="center"/>
      </w:pPr>
      <w:r>
        <w:rPr>
          <w:rFonts w:ascii="Times New Roman" w:hAnsi="Times New Roman"/>
          <w:b/>
          <w:i w:val="0"/>
          <w:color w:val="000000"/>
          <w:sz w:val="24"/>
        </w:rPr>
      </w:r>
    </w:p>
    <w:p>
      <w:pPr>
        <w:jc w:val="center"/>
      </w:pPr>
      <w:r>
        <w:rPr>
          <w:rFonts w:ascii="Times New Roman" w:hAnsi="Times New Roman"/>
          <w:b/>
          <w:i w:val="0"/>
          <w:color w:val="404040"/>
          <w:sz w:val="28"/>
        </w:rPr>
        <w:t>Édition : 28 août 2026</w:t>
      </w:r>
    </w:p>
    <w:p>
      <w:pPr>
        <w:jc w:val="center"/>
      </w:pPr>
      <w:r>
        <w:rPr>
          <w:rFonts w:ascii="Times New Roman" w:hAnsi="Times New Roman"/>
          <w:b/>
          <w:i w:val="0"/>
          <w:color w:val="404040"/>
          <w:sz w:val="26"/>
        </w:rPr>
        <w:t>Version : v1</w:t>
      </w:r>
    </w:p>
    <w:p>
      <w:pPr>
        <w:spacing w:before="1600"/>
        <w:jc w:val="center"/>
      </w:pPr>
      <w:r>
        <w:rPr>
          <w:rFonts w:ascii="Times New Roman" w:hAnsi="Times New Roman"/>
          <w:b/>
          <w:i w:val="0"/>
          <w:color w:val="000000"/>
          <w:sz w:val="24"/>
        </w:rPr>
      </w:r>
    </w:p>
    <w:p>
      <w:pPr>
        <w:jc w:val="center"/>
      </w:pPr>
      <w:r>
        <w:rPr>
          <w:rFonts w:ascii="Times New Roman" w:hAnsi="Times New Roman"/>
          <w:b w:val="0"/>
          <w:i/>
          <w:color w:val="808080"/>
          <w:sz w:val="18"/>
        </w:rPr>
        <w:t>Sources : ESPEN • ISPD • KDIGO • Surviving Sepsis Campaign • EMA • CRAT • VIDAL • ANSM • Thériaque • Nomenclature Algérie Avril 2026</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1"/>
      </w:pPr>
      <w:r>
        <w:t>Fascicule XXII — Nutrition Artificielle, Solutions de Perfusion et Dialyse</w:t>
      </w:r>
    </w:p>
    <w:p>
      <w:pPr>
        <w:pStyle w:val="Heading2"/>
      </w:pPr>
      <w:r>
        <w:t>Section 220 — Introduction générale et méthodologie</w:t>
      </w:r>
    </w:p>
    <w:p>
      <w:pPr>
        <w:pStyle w:val="Heading3"/>
      </w:pPr>
      <w:r>
        <w:t>220.1 Cadre général du fascicule</w:t>
      </w:r>
    </w:p>
    <w:p>
      <w:r>
        <w:t>Le présent fascicule XXII clôt la collection de pharmacologie clinique de pharmacie algérienne en abordant un domaine particulier, à la frontière entre la pharmacotechnie hospitalière, la néphrologie clinique, la réanimation polyvalente et la nutrition clinique. Il regroupe vingt-deux dénominations communes internationales (DCI) ou associations réglementaires réparties en cinq grandes sous-classes thérapeutiques : (1) solutions cristalloïdes pour perfusion intraveineuse, (2) solutions pour dialyse péritonéale, (3) concentrés pour hémodialyse et solutions apparentées d'hémofiltration, (4) colloïdes et expérimentateurs plasmatiques, et (5) mélanges de nutrition parentérale tricompartimentaux. Ces cinq familles partagent la particularité d'être des dispositifs médicamenteux à administration parentérale, conditionnés en poches, flacons ou bidons de volume variable (250 mL à 10 L), et destinés à corriger un déséquilibre hydro-électrolytique, à substituer une fonction rénale défaillante ou à apporter les substrats énergétiques azotés et lipidiques indispensables au métabolisme cellulaire.</w:t>
      </w:r>
    </w:p>
    <w:p>
      <w:r>
        <w:t>La rédaction s'appuie sur la nomenclature algérienne des médicaments d'avril 2026 éditée par le ministère de la Santé, qui recense trente-neuf entrées pour la classe « Dialyse &amp; solutions de perfusion » et neuf entrées pour la classe « Nutrition artificielle ». Pour chaque DCI, l'ensemble des spécialités commerciales disponibles ont été consignées dans un tableau à six colonnes — Nom Commercial | Laboratoire | Forme et Dosage | Conditionnement | Liste | Statut — en respectant scrupuleusement le marquage des statuts : « Actif » pour les spécialités commercialisées, « Non Renouvelable » pour celles dont l'autorisation de mise sur le marché n'a pas été renouvelée mais qui peuvent encore être détenues en stock, et « Retiré (R) » pour celles volontairement retirées du marché. Le pharmacien d'officine algérien, le pharmacien hospitalier et le préparateur en pharmacie doivent pouvoir identifier ces statuts pour la traçabilité, la dispensation et le conseil.</w:t>
      </w:r>
    </w:p>
    <w:p>
      <w:pPr>
        <w:pStyle w:val="Heading3"/>
      </w:pPr>
      <w:r>
        <w:t>220.2 Pertinence clinique et épidémiologique</w:t>
      </w:r>
    </w:p>
    <w:p>
      <w:r>
        <w:t>En Algérie, la prévalence de l'insuffisance rénale chronique terminale est estimée entre 4 000 et 6 000 patients incidents par an selon les registres de la Société algérienne de néphrologie, dialyse et transplantation (SANDT), avec un parc d'environ 22 000 à 25 000 patients dialysés chroniques en 2024. La dialyse péritonéale reste sous-utilisée (environ 5 % des patients dialysés) malgré des coûts potentiellement inférieurs et un bénéfice d'autonomie, tandis que l'hémodialyse conventionnelle centre 95 % de la prise en charge de suppléance rénale. La production locale de concentrés acides pour hémodialyse, portée essentiellement par Industries Médico-Chirurgicales (IMC) et partiellement par le Groupe SAIDAL, conditionne directement la souveraineté thérapeutique nationale en matière de dialyse. Le pharmacien hospitalier doit donc maîtriser la composition électrolytique, la compatibilité et la préparation des bains d'hémodialyse, qui font intervenir une dilution précise d'un concentré acide (compartiment A) avec un concentré basique au bicarbonate (compartiment B) et de l'osmose inverse.</w:t>
      </w:r>
    </w:p>
    <w:p>
      <w:r>
        <w:t>Sur le plan de la réanimation, le débat cristalloïdes versus colloïdes, largement tranché par la Surviving Sepsis Campaign 2021 et les recommandations européennes consécutives aux essais CHEST, 6S et CRISTAL, consacre la primauté des cristalloïdes équilibrés (Ringer lactate, Plasma-Lyte) comme soluté de première intention pour le remplissage vasculaire au cours du sepsis sévère et du choc septique. L'hydroxyéthylamidon (HEA 130/0,4) a fait l'objet d'une restriction réglementaire européenne (EMA PRAC, juin 2013) avec contre-indication absolue en cas de sepsis, de brûlures graves, de déshydratation critique ou d'insuffisance rénale, et la gélatine fluide modifiée (Gelafundine, Plasmion) est désormais réservée à des indications de seconde ligne, lorsque le remplissage par cristalloïdes s'avère insuffisant et en l'absence d'alternative transfusionnelle immédiate.</w:t>
      </w:r>
    </w:p>
    <w:p>
      <w:r>
        <w:t>Concernant la nutrition parentérale, la Société européenne de nutrition clinique et métabolisme (ESPEN) publie depuis 2009 des recommandations structurées pour la prescription des mélanges ternaires (acides aminés, glucose, lipides) en poche tricompartimentale (TCP), qui permettent de réduire le risque infectieux lié aux manipulations, de limiter les erreurs de prescription, et de garantir la stabilité physico-chimique de l'émulsion. En Algérie, ces poches tricompartimentées (Oliclinomel, Olimel, Periolimel, NumetZah) sont importées par le laboratoire Baxter et constituent la référence pour la nutrition parentérale complète de l'adulte et de l'enfant.</w:t>
      </w:r>
    </w:p>
    <w:p>
      <w:pPr>
        <w:pStyle w:val="Heading3"/>
      </w:pPr>
      <w:r>
        <w:t>220.3 Méthodologie de rédaction</w:t>
      </w:r>
    </w:p>
    <w:p>
      <w:r>
        <w:t>Chaque fiche DCI du présent fascicule suit une structure identique en douze sous-sections : (1) Liste des catégories thérapeutiques avec code ATC et classement administratif, (2) Médicaments disponibles en Algérie sous forme de tableau à six colonnes exhaustif, (3) Sous-classe et mécanisme d'action moléculaire détaillé, (4) Profil pharmacologique incluant indications, contre-indications et effets indésirables, (5) Prévention et gestion des effets indésirables, (6) Interactions médicamenteuses, (7) Grossesse et allaitement selon les recommandations du CRAT (Centre de Renseignement sur les Agents Tératogènes) français, (8) Posologie et mode d'administration, (9) Arbitrage et bénéfices des formes galéniques, (10) Instructions et conseils au patient, (11) Notes, règles d'or et pièges au comptoir, (12) Tableau comparatif de sous-classe en fin de chapitre.</w:t>
      </w:r>
    </w:p>
    <w:p>
      <w:r>
        <w:t>Le contenu est rédigé en français académique médical, en respectant les standards de la pharmacopée française et européenne, et en mobilisant les sources suivantes : nomenclature algérienne du ministère de la Santé (avril 2026), dictionnaire VIDAL, base Thériaque du CNHIM, résumés des caractéristiques du produit (RCP) de l'ANSM et de l'EMA, recommandations Surviving Sepsis Campaign 2021, lignes directrices ESPEN 2023 sur la nutrition parentérale, lignes directrices ISPD (International Society for Peritoneal Dialysis) 2022 sur la dialyse péritonéale, recommandations KDIGO 2024 sur la prise en charge de l'insuffisance rénale aiguë, fiches de transparence de la HAS et avis de la Commission d'AMM européenne. Les paragraphes sont volontairement développés (trois à cinq phrases minimum par paragraphe) afin d'atteindre la densité pédagogique attendue par la collection et de fournir aux étudiants un support de révision complet et exploitable en pratique clinique.</w:t>
      </w:r>
    </w:p>
    <w:p>
      <w:pPr>
        <w:pStyle w:val="Heading3"/>
      </w:pPr>
      <w:r>
        <w:t>220.4 Plan de lecture du fascicule</w:t>
      </w:r>
    </w:p>
    <w:p>
      <w:r>
        <w:t xml:space="preserve">Le fascicule se structure en six sections thématiques. La </w:t>
      </w:r>
      <w:r>
        <w:rPr>
          <w:b/>
        </w:rPr>
        <w:t>section 221</w:t>
      </w:r>
      <w:r>
        <w:t xml:space="preserve"> traite les cristalloïdes de perfusion, socle de la réanimation hydro-électrolytique, en abordant le sérum physiologique (NaCl 0,9 %), le chlorure de potassium injectable, le mélange hypotonique glucose 2,5 %/NaCl 0,45 %, la solution orale de polyéthylène glycol avec électrolytes (FORTRANS) et le Ringer lactate. La </w:t>
      </w:r>
      <w:r>
        <w:rPr>
          <w:b/>
        </w:rPr>
        <w:t>section 222</w:t>
      </w:r>
      <w:r>
        <w:t xml:space="preserve"> détaille les solutions pour dialyse péritonéale, en distinguant les poches isotoniques (glucose 1,5 %) des poches hypertoniques (glucose 2,3 % à 4,25 %) et de la solution d'icodextrine 7,5 % utilisée pour les longues dialyses nocturnes. La </w:t>
      </w:r>
      <w:r>
        <w:rPr>
          <w:b/>
        </w:rPr>
        <w:t>section 223</w:t>
      </w:r>
      <w:r>
        <w:t xml:space="preserve"> est la plus volumineuse et couvre dix concentrés pour hémodialyse, incluant les formes liquides, en poudre, les formulations acide-basique bipartites, les poches d'hémofiltration bi-compartimentées et les spécialités retirées du marché algérien. La </w:t>
      </w:r>
      <w:r>
        <w:rPr>
          <w:b/>
        </w:rPr>
        <w:t>section 224</w:t>
      </w:r>
      <w:r>
        <w:t xml:space="preserve"> aborde les colloïdes et expérimentateurs plasmatiques avec la gélatine fluide modifiée (Gelafundine), la solution de gélatine avec électrolytes (Plasmion) et l'hydroxyéthylamidon (Voluven). La </w:t>
      </w:r>
      <w:r>
        <w:rPr>
          <w:b/>
        </w:rPr>
        <w:t>section 225</w:t>
      </w:r>
      <w:r>
        <w:t xml:space="preserve"> clôt le fascicule avec les mélanges de nutrition parentérale tricompartimentaux (Oliclinomel, Olimel, Periolimel, NumetZah) pour lesquels une attention particulière est portée à la stabilité de l'émulsion lipidique, à la prévention de la précipitation calcium-phosphate et à la validation pharmaceutique de la prescription.</w:t>
      </w:r>
    </w:p>
    <w:p>
      <w:pPr>
        <w:pStyle w:val="Heading3"/>
      </w:pPr>
      <w:r>
        <w:t>220.5 Rappels physiologiques et pharmacologiques</w:t>
      </w:r>
    </w:p>
    <w:p>
      <w:r>
        <w:t xml:space="preserve">Avant d'aborder chaque DCI, il convient de rappeler quelques notions fondamentales qui structurent l'ensemble du fascicule. </w:t>
      </w:r>
      <w:r>
        <w:rPr>
          <w:b/>
        </w:rPr>
        <w:t>L'osmolarité</w:t>
      </w:r>
      <w:r>
        <w:t xml:space="preserve"> d'une solution correspond à la concentration totale de particules osmotiquement actives par litre de solution, exprimée en mOsm/L, tandis que la </w:t>
      </w:r>
      <w:r>
        <w:rPr>
          <w:b/>
        </w:rPr>
        <w:t>tonicité</w:t>
      </w:r>
      <w:r>
        <w:t xml:space="preserve"> désigne la pression osmotique efficace vis-à-vis de la membrane cellulaire. Une solution isotonique (osmolarité voisine de 290-310 mOsm/L, comme le NaCl 0,9 % à 308 mOsm/L ou le Ringer lactate à 273 mOsm/L) ne provoque ni gonflement ni plasmolyse des hématies. Une solution hypotonique (glucose 2,5 %/NaCl 0,45 % à 280 mOsm/L) entraîne un influx d'eau vers le compartiment intracellulaire, alors qu'une solution hypertonique (NaCl 3 % à 1 027 mOsm/L ou glucose 30 % à 1 665 mOsm/L) provoque une déshydratation cellulaire.</w:t>
      </w:r>
    </w:p>
    <w:p>
      <w:r>
        <w:t xml:space="preserve">Le </w:t>
      </w:r>
      <w:r>
        <w:rPr>
          <w:b/>
        </w:rPr>
        <w:t>compartiment vasculaire</w:t>
      </w:r>
      <w:r>
        <w:t xml:space="preserve"> contient environ 5 L de plasma pour un adulte de 70 kg, le </w:t>
      </w:r>
      <w:r>
        <w:rPr>
          <w:b/>
        </w:rPr>
        <w:t>compartiment interstitiel</w:t>
      </w:r>
      <w:r>
        <w:t xml:space="preserve"> 10 L et le </w:t>
      </w:r>
      <w:r>
        <w:rPr>
          <w:b/>
        </w:rPr>
        <w:t>compartiment intracellulaire</w:t>
      </w:r>
      <w:r>
        <w:t xml:space="preserve"> 25 L. Les cristalloïdes (NaCl, Ringer lactate) se répartissent selon la membrance capillaire entre plasma et interstitium, avec un coefficient de partage d'environ 1:3, ce qui signifie que pour 1 L de cristalloïde perfusé, seulement 250 à 300 mL restent dans le compartiment vasculaire au bout d'une heure. À l'inverse, les colloïdes (gélatine, HEA, albumine) exercent une pression oncotique qui maintient l'eau dans le compartiment vasculaire avec une efficacité de remplissage d'environ 70-100 % du volume perfusé à la première heure, justifiant historiquement leur usage dans le choc hémorragique ou hypovolémique.</w:t>
      </w:r>
    </w:p>
    <w:p>
      <w:r>
        <w:t xml:space="preserve">Concernant la </w:t>
      </w:r>
      <w:r>
        <w:rPr>
          <w:b/>
        </w:rPr>
        <w:t>dialyse</w:t>
      </w:r>
      <w:r>
        <w:t>, le principe physique repose sur la diffusion passive des solutés à travers une membrane semi-perméable (membrane péritonéale pour la dialyse péritonéale, membrane synthétique pour l'hémodialyse) selon un gradient de concentration, et sur l'ultrafiltration de l'eau sous l'effet d'un gradient de pression osmotique ou hydrostatique. En dialyse péritonéale, le glucose est l'agent osmotique de référence, mais il est absorbé à hauteur de 50-80 % par le péritoine, ce qui expose le patient à hyperglycémie, prise de poids et dégradation de la membrane péritonéale à long terme. L'icodextrine, polymère de glucose de haut poids moléculaire, permet de contourner cet écueil pour les longues dialyses nocturnes en assurant une ultrafiltration prolongée sans absorption glucidique systémique.</w:t>
      </w:r>
    </w:p>
    <w:p>
      <w:r>
        <w:t xml:space="preserve">Pour la </w:t>
      </w:r>
      <w:r>
        <w:rPr>
          <w:b/>
        </w:rPr>
        <w:t>nutrition parentérale</w:t>
      </w:r>
      <w:r>
        <w:t>, les apports recommandés chez l'adulte sont de 25 à 30 kcal/kg/jour (dont 50-60 % d'origine glucidique, 25-30 % d'origine lipidique et 15-20 % d'origine protidique) en cas d'agression modérée, et peuvent atteindre 35 kcal/kg/jour en réanimation. Les acides aminés sont apportés à raison de 1,0 à 1,5 g/kg/jour en entéral et 1,5 à 2,0 g/kg/jour en parentéral. L'osmolarité des mélanges ternaires dépasse souvent 1 200 mOsm/L, ce qui impose une perfusion sur voie centrale (cathéter veineux central tunnellisé ou chambre implantable) à un débit maximal de 60 mL/h pour limiter le risque de thrombose veineuse profonde. La stabilité de l'émulsion lipidique dépend de la concentration en calcium, en phosphore, du pH, de la température et de la durée de perfusion : un excès de calcium ou un pH trop bas provoque la rupture de l'émulsion (« cracking ») avec formation de globules lipidiques supérieurs à 5 µm pouvant emboliser la circulation pulmonaire.</w:t>
      </w:r>
    </w:p>
    <w:p>
      <w:pPr>
        <w:pStyle w:val="Heading3"/>
      </w:pPr>
      <w:r>
        <w:t>220.6 Spécificités du marché algérien</w:t>
      </w:r>
    </w:p>
    <w:p>
      <w:r>
        <w:t>Le marché algérien des solutions de perfusion, de dialyse et de nutrition se caractérise par une forte dépendance à l'importation, notamment pour les poches tricompartimentées de nutrition parentérale (Baxter Healthcare) et pour les solutions d'icodextrine (Baxter Healthcare Ltd). À l'inverse, les concentrés acides pour hémodialyse sont majoritairement produits localement par IMC (Industries Médico-Chirurgicales) sous la gamme RENACID, avec une dizaine de variantes (A15, A16, A17, A18, A25, A26, A27, A28, G15, G16, G25, G26) correspondant à différentes compositions électrolytiques et concentrations calciques. Le Groupe SAIDAL a historiquement produit ACIDE BIOTIC, ACIDIAL, HEMODIALYSE F/A et HEMODIALYSE F/B, mais ces spécialités sont soit non renouvelées (ACIDE BIOTIC, ACIDIAL) soit retirées du marché (HEMODIALYSE F/A, HEMODIALYSE F/B), traduisant une restructuration de l'offre nationale. Les cristalloïdes de perfusion sont partagés entre IMC (LACTAFLEX, GLUNAPACK, KALIPACK), SAIDAL (REHYDRAX, non renouvelé) et Aguettant (CHLORURE DE POTASSIUM AGUETTANT, DIANECTAN retiré).</w:t>
      </w:r>
    </w:p>
    <w:p>
      <w:r>
        <w:t>Cette dépendance mixte impose au pharmacien hospitalier une vigilance particulière sur la disponibilité, la traçabilité et la gestion des stocks, ainsi qu'une connaissance approfondie des équivalences entre spécialités pour anticiper les ruptures. Le pharmacien d'officine, quant à lui, est principalement sollicité pour le conseil aux patients insuffisants rénaux chroniques porteurs de dialyse péritonéale continue ambulatoire (CAPD) à domicile, pour la délivrance des poches de dialyse et des dispositifs médicaux associés (lignes, cathéters de Tenckhoff, pansements stériles), et pour la surveillance de l'observance des apports hydriques et sodés.</w:t>
      </w:r>
    </w:p>
    <w:p>
      <w:pPr>
        <w:pStyle w:val="Heading3"/>
      </w:pPr>
      <w:r>
        <w:t>220.7 Cadre réglementaire et bonnes pratiques</w:t>
      </w:r>
    </w:p>
    <w:p>
      <w:r>
        <w:t xml:space="preserve">L'ensemble des solutions pour perfusion, de dialyse et de nutrition parentérale relèvent de la </w:t>
      </w:r>
      <w:r>
        <w:rPr>
          <w:b/>
        </w:rPr>
        <w:t>liste I</w:t>
      </w:r>
      <w:r>
        <w:t xml:space="preserve"> des substances vénéneuses lorsqu'elles sont destinées à l'usage parentéral, à l'exception de certaines solutions orales (Forlax-type, polyéthylène glycol) qui peuvent être en liste II ou en accès libre selon la formulation. La dispensation hospitalière est obligatoire pour les poches de nutrition parentérale tricompartimentées, les concentrés pour hémodialyse, les solutions d'hémofiltration et les colloïdes, qui ne sont pas disponibles en pharmacie d'officine. Le pharmacien hospitalier doit s'assurer de la traçabilité complète de chaque lot (identification patient, date de perfusion, numéro de lot) en application de l'arrêté interministériel algérien du 2 juillet 2007 relatif à la matériovigilance et à la pharmacovigilance des dispositifs médicaux et produits sanguins labiles.</w:t>
      </w:r>
    </w:p>
    <w:p>
      <w:r>
        <w:t xml:space="preserve">Les bonnes pratiques de préparation des mélanges de nutrition parentérale, formalisées en France par la décision HAS du 8 septembre 2008 et transposées dans la réglementation algérienne, imposent une préparation en </w:t>
      </w:r>
      <w:r>
        <w:rPr>
          <w:b/>
        </w:rPr>
        <w:t>zone ISO 5</w:t>
      </w:r>
      <w:r>
        <w:t xml:space="preserve"> (salles blanches de classe ISO 5 avec environnement ISO 7 pour la dissolution) sous hotte à flux laminaire, avec contrôle de l'osmolarité finale, du pH, de la concentration en calcium et phosphore (calcul du produit Ca×P pour prévenir la précipitation), de la stabilité de l'émulsion (mesure de la taille moyenne des globules lipidiques par granulométrie laser), et de la stérilité (environnement contrôlé, surcontamination bactérienne et fongique nulle). Pour les poches tricompartimentées prêtes à l'emploi (Oliclinomel, Olimel, Periolimel, NumetZah), le mélange est réalisé extemporanément par activation de la poche (rupture des soudures entre compartiments) juste avant la pose, sans manipulation supplémentaire, ce qui sécurise considérablement la prescription et la dispensation.</w:t>
      </w:r>
    </w:p>
    <w:p>
      <w:pPr>
        <w:pStyle w:val="Heading3"/>
      </w:pPr>
      <w:r>
        <w:t>220.8 Prévention des erreurs médicamenteuses</w:t>
      </w:r>
    </w:p>
    <w:p>
      <w:r>
        <w:t>Le Haut Conseil de la santé (HAS) et l'OMS identifient les solutions de perfusion, de dialyse et de nutrition parentérale comme des produits à haut risque iatrogène en raison de la complexité des prescriptions, de la multiplicité des formulations et des conséquences cliniques potentiellement graves d'une erreur (surcharge hydrique, déséquilibre électrolytique, embolie graisseuse, infection sur cathéter). Les principales sources d'erreur documentées sont : la confusion entre solutions isotoniques, hypotoniques et hypertoniques (perfusion accidentelle de NaCl hypertonique 3 % au lieu de NaCl 0,9 %) ; la confusion entre NaCl et KCl (risque d'hyperkaliémie fatale par arrêt cardiaque diastolique) ; la confusion entre glucose 5 % et glucose 30 % ou 50 % (risque de thrombose veineuse et de déséquilibre osmotique) ; la perfusion trop rapide de potassium sans surveillance ECG ; l'absence de vérification de la compatibilité calcium-phosphate en nutrition parentérale ; l'oubli de la déclaration d'allergie à l'icodextrine ou à la gélatine ; la prescription d'HEA chez un patient septique malgré la contre-indication absolue.</w:t>
      </w:r>
    </w:p>
    <w:p>
      <w:r>
        <w:t>Le pharmacien joue un rôle pivot dans la prévention de ces erreurs : (1) vérification de la conformité de la prescription aux recommandations (clarté, dose, voie, durée) ; (2) contrôle de la compatibilité physico-chimique des mélanges ; (3) double contrôle indépendant à la dispensation (« check-list ») ; (4) étiquetage explicite avec code couleur par osmolarité et par électrolyte ; (5) formation continue du personnel soignant aux risques ; (6) traçabilité informatisée des prescriptions (logiciel de prescription hépatique ou néphrologique).</w:t>
      </w:r>
    </w:p>
    <w:p>
      <w:pPr>
        <w:pStyle w:val="Heading3"/>
      </w:pPr>
      <w:r>
        <w:t>220.9 Références réglementaires et bibliographiques transversales</w:t>
      </w:r>
    </w:p>
    <w:p>
      <w:r>
        <w:t>Les sources mobilisées de manière transversale pour l'ensemble du fascicule sont les suivantes :</w:t>
      </w:r>
    </w:p>
    <w:p>
      <w:pPr>
        <w:pStyle w:val="ListNumber"/>
      </w:pPr>
      <w:r>
        <w:t>Nomenclature algérienne des médicaments à usage humain, avril 2026, ministère de la Santé algérien.</w:t>
      </w:r>
    </w:p>
    <w:p>
      <w:pPr>
        <w:pStyle w:val="ListNumber"/>
      </w:pPr>
      <w:r>
        <w:t>Dictionnaire VIDAL 2025, éditions VIDAL, Issy-les-Moulineaux.</w:t>
      </w:r>
    </w:p>
    <w:p>
      <w:pPr>
        <w:pStyle w:val="ListNumber"/>
      </w:pPr>
      <w:r>
        <w:t>Base Thériaque du Centre national hospitalier d'information sur le médicament (CNHIM), mise à jour 2025.</w:t>
      </w:r>
    </w:p>
    <w:p>
      <w:pPr>
        <w:pStyle w:val="ListNumber"/>
      </w:pPr>
      <w:r>
        <w:t>Résumés des caractéristiques du produit (RCP) de l'ANSM (Agence nationale de sécurité du médicament et des produits de santé, France).</w:t>
      </w:r>
    </w:p>
    <w:p>
      <w:pPr>
        <w:pStyle w:val="ListNumber"/>
      </w:pPr>
      <w:r>
        <w:t>Rapports européens d'évaluation de l'EMA (European Medicines Agency) sur les colloïdes et les HEA (EMA/784289/2013).</w:t>
      </w:r>
    </w:p>
    <w:p>
      <w:pPr>
        <w:pStyle w:val="ListNumber"/>
      </w:pPr>
      <w:r>
        <w:t>Recommandations Surviving Sepsis Campaign 2021 (Evans L. et al., Intensive Care Med 2021 ;47:1381-1500).</w:t>
      </w:r>
    </w:p>
    <w:p>
      <w:pPr>
        <w:pStyle w:val="ListNumber"/>
      </w:pPr>
      <w:r>
        <w:t>Lignes directrices ESPEN 2023 sur la nutrition parentérale (Singer P. et al., Clin Nutr 2023 ;42:1-58).</w:t>
      </w:r>
    </w:p>
    <w:p>
      <w:pPr>
        <w:pStyle w:val="ListNumber"/>
      </w:pPr>
      <w:r>
        <w:t>Lignes directrices ISPD 2022 sur la dialyse péritonéale (Brown EA et al., Perit Dial Int 2022).</w:t>
      </w:r>
    </w:p>
    <w:p>
      <w:pPr>
        <w:pStyle w:val="ListNumber"/>
      </w:pPr>
      <w:r>
        <w:t>Recommandations KDIGO 2024 sur l'insuffisance rénale aiguë et chronique.</w:t>
      </w:r>
    </w:p>
    <w:p>
      <w:pPr>
        <w:pStyle w:val="ListNumber"/>
      </w:pPr>
      <w:r>
        <w:t>Avis de la Commission de la transparence HAS 2019-2024 sur les spécialités concernées.</w:t>
      </w:r>
    </w:p>
    <w:p>
      <w:pPr>
        <w:pStyle w:val="ListNumber"/>
      </w:pPr>
      <w:r>
        <w:t>CRAT (Centre de Renseignement sur les Agents Tératogènes) pour les recommandations grossesse-allaitement.</w:t>
      </w:r>
    </w:p>
    <w:p>
      <w:pPr>
        <w:pStyle w:val="ListNumber"/>
      </w:pPr>
      <w:r>
        <w:t>Bonnes pratiques de préparation des mélanges de nutrition parentérale, HAS, décision du 8 septembre 2008.</w:t>
      </w:r>
    </w:p>
    <w:p>
      <w:r>
        <w:t>Le présent fascicule constitue une synthèse académique et ne se substitue pas à la lecture intégrale des RCP et des recommandations en vigueur au moment de la prescription.</w:t>
      </w:r>
    </w:p>
    <w:p>
      <w:pPr>
        <w:pStyle w:val="Heading2"/>
      </w:pPr>
      <w:r>
        <w:t>Section 221 — Solutions cristalloïdes pour perfusion</w:t>
      </w:r>
    </w:p>
    <w:p>
      <w:pPr>
        <w:pStyle w:val="Heading3"/>
      </w:pPr>
      <w:r>
        <w:t>221.0 Introduction de la sous-classe</w:t>
      </w:r>
    </w:p>
    <w:p>
      <w:r>
        <w:t xml:space="preserve">Les cristalloïdes désignent les solutions aqueuses contenant des électrolytes et/ou du glucose, capables de traverser librement la membrane capillaire. Elles constituent le socle pharmacologique de la réanimation hydro-électrolytique, de la prévention de la déshydratation, du remplissage vasculaire au cours des hypovolémies modérées à sévères, et de l'apport hydrique d'entretien en milieu hospitalier. Selon leur tonicité, on distingue les solutions </w:t>
      </w:r>
      <w:r>
        <w:rPr>
          <w:b/>
        </w:rPr>
        <w:t>isotoniques</w:t>
      </w:r>
      <w:r>
        <w:t xml:space="preserve"> (NaCl 0,9 %, Ringer lactate, glucose 5 %), </w:t>
      </w:r>
      <w:r>
        <w:rPr>
          <w:b/>
        </w:rPr>
        <w:t>hypotoniques</w:t>
      </w:r>
      <w:r>
        <w:t xml:space="preserve"> (NaCl 0,45 %, glucose 2,5 %-NaCl 0,45 %) et </w:t>
      </w:r>
      <w:r>
        <w:rPr>
          <w:b/>
        </w:rPr>
        <w:t>hypertoniques</w:t>
      </w:r>
      <w:r>
        <w:t xml:space="preserve"> (NaCl 3 %, 7,5 %). Selon leur composition électrolytique, on oppose les solutions </w:t>
      </w:r>
      <w:r>
        <w:rPr>
          <w:b/>
        </w:rPr>
        <w:t>non équilibrées</w:t>
      </w:r>
      <w:r>
        <w:t xml:space="preserve"> (NaCl 0,9 % — responsable de l'acidose hyperchlorémique perfusion-induite) et les solutions </w:t>
      </w:r>
      <w:r>
        <w:rPr>
          <w:b/>
        </w:rPr>
        <w:t>équilibrées</w:t>
      </w:r>
      <w:r>
        <w:t xml:space="preserve"> (Ringer lactate, Plasma-Lyte — dont la composition se rapproche du plasma physiologique avec un SID — </w:t>
      </w:r>
      <w:r>
        <w:rPr>
          <w:i/>
        </w:rPr>
        <w:t>Strong Ion Difference</w:t>
      </w:r>
      <w:r>
        <w:t xml:space="preserve"> — de 28-30 mEq/L).</w:t>
      </w:r>
    </w:p>
    <w:p>
      <w:r>
        <w:t>La Surviving Sepsis Campaign 2021 recommande explicitement l'usage des cristalloïdes en première intention pour la réanimation du choc septique, à raison de 30 mL/kg en bolus initial (qualité d'évidence modérée, niveau de recommandation fort), avec une préférence pour les cristalloïdes équilibrés (Ringer lactate) sur le NaCl 0,9 % (qualité d'évidence modérée, recommandation faible) en raison du risque d'acidose hyperchlorémique et d'insuffisance rénale aiguë associées à l'usage massif de NaCl 0,9 % (essai SMART, Semler MW et al., NEJM 2018). La particularité des cristalloïdes est leur coefficient de partage plasma/interstitium voisin de 1:3, ce qui implique que sur 1 L perfusé, environ 700 à 750 mL diffusent vers le secteur interstitiel et seulement 250 à 300 mL restent dans le compartiment vasculaire à 1 heure, justifiant l'usage de volumes importants en cas de choc hypovolémique.</w:t>
      </w:r>
    </w:p>
    <w:p>
      <w:r>
        <w:t>La présente section 221 détaille cinq DCI ou associations disponibles en Algérie : le chlorure de sodium 0,9 % (sérum physiologique), le chlorure de potassium injectable, l'association glucose 2,5 %/NaCl 0,45 % (hypotonique), la solution orale de polyéthylène glycol avec électrolytes (FORTRANS) et le Ringer lactate (LACTAFLEX). Chacune sera développée selon la structure standardisée en douze sous-sections.</w:t>
      </w:r>
    </w:p>
    <w:p>
      <w:pPr>
        <w:pStyle w:val="Heading3"/>
      </w:pPr>
      <w:r>
        <w:t>221.1 Chlorure de sodium 0,9 % — Sérum physiologique</w:t>
      </w:r>
    </w:p>
    <w:p>
      <w:pPr>
        <w:pStyle w:val="Heading4"/>
      </w:pPr>
      <w:r>
        <w:t>1. Liste des catégories thérapeutiques</w:t>
      </w:r>
    </w:p>
    <w:p>
      <w:r>
        <w:t xml:space="preserve">Le chlorure de sodium 0,9 % est classé au niveau ATC comme </w:t>
      </w:r>
      <w:r>
        <w:rPr>
          <w:b/>
        </w:rPr>
        <w:t>B05XA03</w:t>
      </w:r>
      <w:r>
        <w:t xml:space="preserve"> (acides aminés et solutions électrolytiques — solutions de chlorure de sodium) et </w:t>
      </w:r>
      <w:r>
        <w:rPr>
          <w:b/>
        </w:rPr>
        <w:t>B05BB01</w:t>
      </w:r>
      <w:r>
        <w:t xml:space="preserve"> (solutions électrolytiques) selon la classification ATC de l'OMS. Sur le plan réglementaire algérien, il relève de la liste I des substances vénéneuses lorsqu'il est présenté en conditionnement injectable, mais peut être disponible en accès libre en conditionnement nasal (dosettes) ou pour instillation ophtalmique. Il appartient à la catégorie pharmacothérapeutique des « solutés de perfusion isotoniques » et est inscrit sur la liste des médicaments essentiels de l'OMS (WHO Model List of Essential Medicines, 23e liste, 2023) comme produit de première intention pour la réanimation hydro-électrolytique. Le code ATC complet de la solution isotonique pure est B05XA03, tandis que les associations avec électrolytes relèvent de B05BB. La solution est également utilisée comme véhicule de dilution pour de nombreux médicaments injectables, ce qui la classe également dans la catégorie des diluants pour préparations injectables (B05D).</w:t>
      </w:r>
    </w:p>
    <w:p>
      <w:pPr>
        <w:pStyle w:val="Heading4"/>
      </w:pPr>
      <w:r>
        <w:t>2. Médicaments disponibles en Algérie</w:t>
      </w:r>
    </w:p>
    <w:p>
      <w:r>
        <w:t>Le chlorure de sodium 0,9 % pur en solution pour perfusion n'est pas répertorié comme spécialité autonome dans la nomenclature algérienne d'avril 2026. Il est disponible sous forme de solutions génériques fabriquées par différents producteurs locaux (IMC, SAIDAL, B.Braun) et importées (Aguettant, Fresenius Kabi), commercialisées sous la dénomination commune « Chlorure de sodium 0,9 % » ou « Sérum physiologique ». Le tableau ci-dessous recense les spécialités apparentées disponibles ou intégrées dans des associations commercialisées :</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Sérum physiologique 0,9 % (génériques)</w:t>
            </w:r>
          </w:p>
        </w:tc>
        <w:tc>
          <w:tcPr>
            <w:tcW w:type="dxa" w:w="1385"/>
          </w:tcPr>
          <w:p>
            <w:r>
              <w:rPr>
                <w:rFonts w:ascii="Times New Roman" w:hAnsi="Times New Roman"/>
                <w:sz w:val="20"/>
              </w:rPr>
              <w:t>IMC, SAIDAL, B.Braun, Aguettant</w:t>
            </w:r>
          </w:p>
        </w:tc>
        <w:tc>
          <w:tcPr>
            <w:tcW w:type="dxa" w:w="1385"/>
          </w:tcPr>
          <w:p>
            <w:r>
              <w:rPr>
                <w:rFonts w:ascii="Times New Roman" w:hAnsi="Times New Roman"/>
                <w:sz w:val="20"/>
              </w:rPr>
              <w:t>Solution pour perfusion IV — 0,9 g NaCl/100 mL</w:t>
            </w:r>
          </w:p>
        </w:tc>
        <w:tc>
          <w:tcPr>
            <w:tcW w:type="dxa" w:w="1385"/>
          </w:tcPr>
          <w:p>
            <w:r>
              <w:rPr>
                <w:rFonts w:ascii="Times New Roman" w:hAnsi="Times New Roman"/>
                <w:sz w:val="20"/>
              </w:rPr>
              <w:t>Flacon/PE 100, 250, 500, 1000 mL ; Poche 500 mL, 1000 mL</w:t>
            </w:r>
          </w:p>
        </w:tc>
        <w:tc>
          <w:tcPr>
            <w:tcW w:type="dxa" w:w="1385"/>
          </w:tcPr>
          <w:p>
            <w:r>
              <w:rPr>
                <w:rFonts w:ascii="Times New Roman" w:hAnsi="Times New Roman"/>
                <w:sz w:val="20"/>
              </w:rPr>
              <w:t>Liste I (injectable)</w:t>
            </w:r>
          </w:p>
        </w:tc>
        <w:tc>
          <w:tcPr>
            <w:tcW w:type="dxa" w:w="1385"/>
          </w:tcPr>
          <w:p>
            <w:r>
              <w:rPr>
                <w:rFonts w:ascii="Times New Roman" w:hAnsi="Times New Roman"/>
                <w:sz w:val="20"/>
              </w:rPr>
              <w:t>Disponible</w:t>
            </w:r>
          </w:p>
        </w:tc>
      </w:tr>
      <w:tr>
        <w:tc>
          <w:tcPr>
            <w:tcW w:type="dxa" w:w="1385"/>
          </w:tcPr>
          <w:p>
            <w:r>
              <w:rPr>
                <w:rFonts w:ascii="Times New Roman" w:hAnsi="Times New Roman"/>
                <w:sz w:val="20"/>
              </w:rPr>
              <w:t>NaCl 0,9 % isotonique (forme nasale)</w:t>
            </w:r>
          </w:p>
        </w:tc>
        <w:tc>
          <w:tcPr>
            <w:tcW w:type="dxa" w:w="1385"/>
          </w:tcPr>
          <w:p>
            <w:r>
              <w:rPr>
                <w:rFonts w:ascii="Times New Roman" w:hAnsi="Times New Roman"/>
                <w:sz w:val="20"/>
              </w:rPr>
              <w:t>Laboratoires divers</w:t>
            </w:r>
          </w:p>
        </w:tc>
        <w:tc>
          <w:tcPr>
            <w:tcW w:type="dxa" w:w="1385"/>
          </w:tcPr>
          <w:p>
            <w:r>
              <w:rPr>
                <w:rFonts w:ascii="Times New Roman" w:hAnsi="Times New Roman"/>
                <w:sz w:val="20"/>
              </w:rPr>
              <w:t>Solution pour instillation nasale — 0,9 g/100 mL</w:t>
            </w:r>
          </w:p>
        </w:tc>
        <w:tc>
          <w:tcPr>
            <w:tcW w:type="dxa" w:w="1385"/>
          </w:tcPr>
          <w:p>
            <w:r>
              <w:rPr>
                <w:rFonts w:ascii="Times New Roman" w:hAnsi="Times New Roman"/>
                <w:sz w:val="20"/>
              </w:rPr>
              <w:t>Unidose 5 mL ; Flacon 100, 125, 250 mL</w:t>
            </w:r>
          </w:p>
        </w:tc>
        <w:tc>
          <w:tcPr>
            <w:tcW w:type="dxa" w:w="1385"/>
          </w:tcPr>
          <w:p>
            <w:r>
              <w:rPr>
                <w:rFonts w:ascii="Times New Roman" w:hAnsi="Times New Roman"/>
                <w:sz w:val="20"/>
              </w:rPr>
              <w:t>Hors liste (topique)</w:t>
            </w:r>
          </w:p>
        </w:tc>
        <w:tc>
          <w:tcPr>
            <w:tcW w:type="dxa" w:w="1385"/>
          </w:tcPr>
          <w:p>
            <w:r>
              <w:rPr>
                <w:rFonts w:ascii="Times New Roman" w:hAnsi="Times New Roman"/>
                <w:sz w:val="20"/>
              </w:rPr>
              <w:t>Disponible</w:t>
            </w:r>
          </w:p>
        </w:tc>
      </w:tr>
      <w:tr>
        <w:tc>
          <w:tcPr>
            <w:tcW w:type="dxa" w:w="1385"/>
          </w:tcPr>
          <w:p>
            <w:r>
              <w:rPr>
                <w:rFonts w:ascii="Times New Roman" w:hAnsi="Times New Roman"/>
                <w:sz w:val="20"/>
              </w:rPr>
              <w:t>LACTAFLEX (contient NaCl + autres électrolytes)</w:t>
            </w:r>
          </w:p>
        </w:tc>
        <w:tc>
          <w:tcPr>
            <w:tcW w:type="dxa" w:w="1385"/>
          </w:tcPr>
          <w:p>
            <w:r>
              <w:rPr>
                <w:rFonts w:ascii="Times New Roman" w:hAnsi="Times New Roman"/>
                <w:sz w:val="20"/>
              </w:rPr>
              <w:t>IMC</w:t>
            </w:r>
          </w:p>
        </w:tc>
        <w:tc>
          <w:tcPr>
            <w:tcW w:type="dxa" w:w="1385"/>
          </w:tcPr>
          <w:p>
            <w:r>
              <w:rPr>
                <w:rFonts w:ascii="Times New Roman" w:hAnsi="Times New Roman"/>
                <w:sz w:val="20"/>
              </w:rPr>
              <w:t>Solution pour perfusion — 0,6 g NaCl/100 mL</w:t>
            </w:r>
          </w:p>
        </w:tc>
        <w:tc>
          <w:tcPr>
            <w:tcW w:type="dxa" w:w="1385"/>
          </w:tcPr>
          <w:p>
            <w:r>
              <w:rPr>
                <w:rFonts w:ascii="Times New Roman" w:hAnsi="Times New Roman"/>
                <w:sz w:val="20"/>
              </w:rPr>
              <w:t>Poche 500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REHYDRAX (contient NaCl + autres)</w:t>
            </w:r>
          </w:p>
        </w:tc>
        <w:tc>
          <w:tcPr>
            <w:tcW w:type="dxa" w:w="1385"/>
          </w:tcPr>
          <w:p>
            <w:r>
              <w:rPr>
                <w:rFonts w:ascii="Times New Roman" w:hAnsi="Times New Roman"/>
                <w:sz w:val="20"/>
              </w:rPr>
              <w:t>Groupe SAIDAL</w:t>
            </w:r>
          </w:p>
        </w:tc>
        <w:tc>
          <w:tcPr>
            <w:tcW w:type="dxa" w:w="1385"/>
          </w:tcPr>
          <w:p>
            <w:r>
              <w:rPr>
                <w:rFonts w:ascii="Times New Roman" w:hAnsi="Times New Roman"/>
                <w:sz w:val="20"/>
              </w:rPr>
              <w:t>Soluté de réhydratation parentérale — 1,5 g NaCl/500 mL</w:t>
            </w:r>
          </w:p>
        </w:tc>
        <w:tc>
          <w:tcPr>
            <w:tcW w:type="dxa" w:w="1385"/>
          </w:tcPr>
          <w:p>
            <w:r>
              <w:rPr>
                <w:rFonts w:ascii="Times New Roman" w:hAnsi="Times New Roman"/>
                <w:sz w:val="20"/>
              </w:rPr>
              <w:t>Flacon 500 mL</w:t>
            </w:r>
          </w:p>
        </w:tc>
        <w:tc>
          <w:tcPr>
            <w:tcW w:type="dxa" w:w="1385"/>
          </w:tcPr>
          <w:p>
            <w:r>
              <w:rPr>
                <w:rFonts w:ascii="Times New Roman" w:hAnsi="Times New Roman"/>
                <w:sz w:val="20"/>
              </w:rPr>
              <w:t>Liste I</w:t>
            </w:r>
          </w:p>
        </w:tc>
        <w:tc>
          <w:tcPr>
            <w:tcW w:type="dxa" w:w="1385"/>
          </w:tcPr>
          <w:p>
            <w:r>
              <w:rPr>
                <w:rFonts w:ascii="Times New Roman" w:hAnsi="Times New Roman"/>
                <w:sz w:val="20"/>
              </w:rPr>
              <w:t>Non Renouvelable</w:t>
            </w:r>
          </w:p>
        </w:tc>
      </w:tr>
      <w:tr>
        <w:tc>
          <w:tcPr>
            <w:tcW w:type="dxa" w:w="1385"/>
          </w:tcPr>
          <w:p>
            <w:r>
              <w:rPr>
                <w:rFonts w:ascii="Times New Roman" w:hAnsi="Times New Roman"/>
                <w:sz w:val="20"/>
              </w:rPr>
              <w:t>RENACID A15 (contient NaCl concentré)</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21,48 g NaCl/100 mL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Note de disponibilité</w:t>
      </w:r>
      <w:r>
        <w:t xml:space="preserve"> : le NaCl 0,9 % pur en poche de perfusion reste disponible en Algérie via les circuits hospitaliers de commande directe aux producteurs locaux, même s'il n'est pas répertorié comme spécialité autonome dans la nomenclature ministérielle d'avril 2026. Les officines peuvent délivrer les formes nasales et ophtalmiques. Le pharmacien devra toujours vérifier la concentration (0,9 % versus 0,45 %, 3 %, 10 % ou 20 %) à la dispensation.</w:t>
      </w:r>
    </w:p>
    <w:p>
      <w:pPr>
        <w:pStyle w:val="Heading4"/>
      </w:pPr>
      <w:r>
        <w:t>3. Sous-classe et mécanisme d'action moléculaire</w:t>
      </w:r>
    </w:p>
    <w:p>
      <w:r>
        <w:t xml:space="preserve">Le chlorure de sodium 0,9 % appartient à la sous-classe des </w:t>
      </w:r>
      <w:r>
        <w:rPr>
          <w:b/>
        </w:rPr>
        <w:t>cristalloïdes isotoniques non équilibrés</w:t>
      </w:r>
      <w:r>
        <w:t>. Sa composition est strictement de 9 g de chlorure de sodium par litre (154 mmol/L de sodium, 154 mmol/L de chlorure), avec une osmolarité théorique de 308 mOsm/L (proche de l'osmolarité plasmatique normale 285-295 mOsm/L) et un SID (</w:t>
      </w:r>
      <w:r>
        <w:rPr>
          <w:i/>
        </w:rPr>
        <w:t>Strong Ion Difference</w:t>
      </w:r>
      <w:r>
        <w:t>) nul, car la solution contient autant de sodium que de chlorure. Le mécanisme d'action moléculaire repose sur le rétablissement de la volémie par apport d'eau et d'électrolytes directement dans le compartiment vasculaire, avec une redistribution rapide selon l'équilibre de Starling à travers la membrane capillaire : à 1 heure, environ 70-75 % du volume perfusé diffuse vers le secteur interstitiel, en raison de la pression oncotique faible des cristalloïdes comparée à celle des protéines plasmatiques. Le sodium, principal cation du secteur extracellulaire, restaure la tonicité plasmatique et stimule la sécrétion rénine-angiotensine-aldostérone en cas d'hypovolémie, favorisant la réabsorption tubulaire proximale d'eau et de sodium. Le chlorure, anion majoritaire du secteur extracellulaire, suit passivement le sodium selon le gradient électrochimique, mais en perfusion massive, l'excès de chlorure dépasse la capacité de compensation tubulaire et provoque une acidose hyperchlorémique (baisse du SID plasmatique) par compétition avec la réabsorption tubulaire du bicarbonate.</w:t>
      </w:r>
    </w:p>
    <w:p>
      <w:pPr>
        <w:pStyle w:val="Heading4"/>
      </w:pPr>
      <w:r>
        <w:t>4. Profil pharmacologique</w:t>
      </w:r>
    </w:p>
    <w:p>
      <w:r/>
      <w:r>
        <w:rPr>
          <w:b/>
        </w:rPr>
        <w:t>Indications</w:t>
      </w:r>
      <w:r>
        <w:t xml:space="preserve"> : remplissage vasculaire en cas d'hypovolémie absolue (hémorragie, déshydratation, perte digestive, fuite capillaire au sepsis) ; apport hydrique d'entretien chez le patient à jeun ; véhicule de dilution pour les médicaments injectables (antibiotiques, catécholamines, électrolytes) ; irrigation de plaies et de cavités ; maintien de la perméabilité des voies nasales chez le nourrisson ; lavage ophtalmologique ; dilution des prélèvements biologiques ; usage en dialyse comme soluté de référence. </w:t>
      </w:r>
      <w:r>
        <w:rPr>
          <w:b/>
        </w:rPr>
        <w:t>Contre-indications</w:t>
      </w:r>
      <w:r>
        <w:t xml:space="preserve"> : hypernatrémie, hyperchlorémie, hypervolémie, insuffisance cardiaque congestive décompensée, œdème pulmonaire, œdème cérébral (le NaCl 0,9 % peut aggraver la pression intracrânienne). </w:t>
      </w:r>
      <w:r>
        <w:rPr>
          <w:b/>
        </w:rPr>
        <w:t>Effets indésirables</w:t>
      </w:r>
      <w:r>
        <w:t xml:space="preserve"> : à dose thérapeutique, essentiellement liés au volume perfusé — surcharge hydrosodée (œdèmes périphériques, œdème pulmonaire, HTA), hypernatrémie, hyperchlorémie avec acidose hyperchlorémique perfusion-induite, hypokaliémie de dilution. En perfusion prolongée à débit élevé (&gt; 3 L/h), risque d'acidose métabolique, d'insuffisance rénale aiguë (essai SMART 2018), et de coagulopathie de dilution. Des réactions allergiques exceptionnelles (choc anaphylactoïde) sont décrites avec les poches en PVC contenant du DEHP. La tolérance veineuse est bonne, sans phlébite aux concentrations usuelles.</w:t>
      </w:r>
    </w:p>
    <w:p>
      <w:pPr>
        <w:pStyle w:val="Heading4"/>
      </w:pPr>
      <w:r>
        <w:t>5. Prévention et gestion des effets indésirables</w:t>
      </w:r>
    </w:p>
    <w:p>
      <w:r>
        <w:t>La prévention de la surcharge hydrosodée repose sur l'évaluation clinique régulière du patient (auscultation pulmonaire, fréquence respiratoire, pression veineuse centrale si disponible, diurèse horaire, poids quotidien) et sur l'adaptation du débit et du volume perfusé en fonction des pertes estimées et de l'état hémodynamique. Chez le patient âgé, insuffisant cardiaque ou cirrhotique, le débit maximal est de 1 à 2 mL/kg/h et la surveillance clinique doit être horaire pendant les six premières heures de remplissage. L'acidose hyperchlorémique perfusion-induite est prévenue par l'usage préférentiel de cristalloïdes équilibrés (Ringer lactate) lorsque des volumes supérieurs à 2-3 L sont nécessaires ; elle est corrigée par l'arrêt du NaCl 0,9 %, le relais par un soluté équilibré, et en cas d'acidose sévère (pH &lt; 7,20) par l'administration de bicarbonate de sodium 4,2 % (250 mL sur 2 heures). L'hypokaliémie de dilution est prévenue par l'ajout systématique de 1 à 2 g de KCl par litre de perfusion d'entretien (sous surveillance ECG et ionogramme). L'infection sur cathéter est prévenue par l'observance stricte des protocoles d'asepsie à la pose (chlorhexidine alcoolique, pansement stérile, changement de cathéter toutes les 72-96 heures). La prévention de l'embolie gazeuse repose sur le respect des protocoles de purge des tubulures et l'usage de poches à prise d'air filtrée.</w:t>
      </w:r>
    </w:p>
    <w:p>
      <w:pPr>
        <w:pStyle w:val="Heading4"/>
      </w:pPr>
      <w:r>
        <w:t>6. Interactions médicamenteuses</w:t>
      </w:r>
    </w:p>
    <w:p>
      <w:r>
        <w:t xml:space="preserve">Le chlorure de sodium 0,9 % présente un nombre limité d'interactions cliniquement significatives en raison de sa composition simple. Les principales interactions à connaître sont : (1) </w:t>
      </w:r>
      <w:r>
        <w:rPr>
          <w:b/>
        </w:rPr>
        <w:t>incompatibilité physico-chimique avec l'amiodarone</w:t>
      </w:r>
      <w:r>
        <w:t xml:space="preserve"> — l'amiodarone, en solution acide, précipite en milieu chloré sodique isotonique, et doit être diluée préférentiellement dans le glucose 5 % ; (2) </w:t>
      </w:r>
      <w:r>
        <w:rPr>
          <w:b/>
        </w:rPr>
        <w:t>incompatibilité avec le nitroprussiate de sodium</w:t>
      </w:r>
      <w:r>
        <w:t xml:space="preserve"> qui se dégrade rapidement en milieu chloré, avec libération de cyanures ; (3) </w:t>
      </w:r>
      <w:r>
        <w:rPr>
          <w:b/>
        </w:rPr>
        <w:t>diminution de l'efficacité de l'erythropoïétine</w:t>
      </w:r>
      <w:r>
        <w:t xml:space="preserve"> en cas de perfusion concomitante de NaCl 0,9 % par dilution (rare) ; (4) </w:t>
      </w:r>
      <w:r>
        <w:rPr>
          <w:b/>
        </w:rPr>
        <w:t>interaction pharmacodynamique avec les diurétiques</w:t>
      </w:r>
      <w:r>
        <w:t xml:space="preserve"> — potentialisation de l'hypovolémie et de l'hypokaliémie ; (5) </w:t>
      </w:r>
      <w:r>
        <w:rPr>
          <w:b/>
        </w:rPr>
        <w:t>risque accru d'œdème pulmonaire avec les corticoïdes</w:t>
      </w:r>
      <w:r>
        <w:t xml:space="preserve"> (rétention hydrosodée additive). Il n'existe pas d'interaction métabolique avec le cytochrome P450 ni avec les transporteurs membranaires, puisque le NaCl 0,9 % n'est pas métabolisé. La vérification des compatibilités avec chaque médicament injectable ajouté à la perfusion doit être systématique (tableaux de Trissel, base Stabilis).</w:t>
      </w:r>
    </w:p>
    <w:p>
      <w:pPr>
        <w:pStyle w:val="Heading4"/>
      </w:pPr>
      <w:r>
        <w:t>7. Grossesse et allaitement (CRAT)</w:t>
      </w:r>
    </w:p>
    <w:p>
      <w:r>
        <w:t>Le chlorure de sodium 0,9 % est autorisé pendant toute la durée de la grossesse, sans effet tératogène ni fœtotoxique connu, et figure dans la catégorie « non tératogène » du CRAT. Le volume perfusé doit cependant être adapté à l'état hémodynamique maternel et à la volémie (risk accru d'œdème pulmonaire chez la femme enceinte présentant une pré-éclampsie). Pendant le travail, le NaCl 0,9 % est le soluté de référence pour la prévention de l'hypotension après analgésie péridurale (précharge de 500 mL avant la pose). Pendant l'allaitement, le NaCl 0,9 % est compatible, sans modification de la composition du lait maternel. Le pédiatre peut l'utiliser chez le nouveau-né à la dose de 10 mL/kg/jour pour l'apport d'entretien hydrique des premières 24 heures de vie. La prudence s'impose en cas de pré-éclampsie sévère où le risque d'œdème pulmonaire est majoré ( surveillance stricte de la diurèse, de l'auscultation pulmonaire et de la saturation en oxygène ).</w:t>
      </w:r>
    </w:p>
    <w:p>
      <w:pPr>
        <w:pStyle w:val="Heading4"/>
      </w:pPr>
      <w:r>
        <w:t>8. Posologie et mode d'administration</w:t>
      </w:r>
    </w:p>
    <w:p>
      <w:r>
        <w:t xml:space="preserve">Chez l'adulte, la posologie dépend de l'indication : (1) </w:t>
      </w:r>
      <w:r>
        <w:rPr>
          <w:b/>
        </w:rPr>
        <w:t>entretien hydrique</w:t>
      </w:r>
      <w:r>
        <w:t xml:space="preserve"> : 1,5 à 2,5 mL/kg/h (soit 100 à 175 mL/h pour un adulte de 70 kg) ; (2) </w:t>
      </w:r>
      <w:r>
        <w:rPr>
          <w:b/>
        </w:rPr>
        <w:t>remplissage vasculaire au cours du choc septique</w:t>
      </w:r>
      <w:r>
        <w:t xml:space="preserve"> (Surviving Sepsis Campaign 2021) : bolus initial de 30 mL/kg sur 3 heures, suivi de bolus de 500 à 1000 mL sur 30 minutes en fonction de la réponse hémodynamique (pression artérielle, diurèse, lactates) ; (3) </w:t>
      </w:r>
      <w:r>
        <w:rPr>
          <w:b/>
        </w:rPr>
        <w:t>déshydratation aiguë</w:t>
      </w:r>
      <w:r>
        <w:t xml:space="preserve"> : 1 à 2 L sur 4 à 6 heures, adaptée à la clinique. Chez l'enfant, l'apport d'entretien suit la règle de Holliday-Segar : 100 mL/kg pour les 10 premiers kg, 50 mL/kg pour les 10 kg suivants, 20 mL/kg pour chaque kg supplémentaire (soit 1500 mL/m²/jour). Chez le nourrisson, prémunir contre l'hypoglycémie en associant du glucose 5 % à l'apport hydrique d'entretien. La voie d'administration est strictement intraveineuse (périphérique ou centrale), à l'exception des formes nasales et ophtalmiques qui s'administrent par instillation locale. Le débit est contrôlé par perforateur électrique ou manuel (perfusion par gravité) ; le calcul du débit en gouttes/min s'effectue selon la formule : Volume (mL) × 20 / Durée (min), à raison de 20 gouttes/mL pour les perfuseurs standard.</w:t>
      </w:r>
    </w:p>
    <w:p>
      <w:pPr>
        <w:pStyle w:val="Heading4"/>
      </w:pPr>
      <w:r>
        <w:t>9. Arbitrage et bénéfices des formes galéniques</w:t>
      </w:r>
    </w:p>
    <w:p>
      <w:r>
        <w:t xml:space="preserve">Le NaCl 0,9 % est disponible sous trois formes galéniques principales : flacon en verre (historique, désormais rare), flacon en polypropylène (PP) ou polyéthylène (PE), et poche souple en PVC ou en polyoléfine (non-PVC). Le conditionnement en </w:t>
      </w:r>
      <w:r>
        <w:rPr>
          <w:b/>
        </w:rPr>
        <w:t>poche souple</w:t>
      </w:r>
      <w:r>
        <w:t xml:space="preserve"> présente l'avantage d'un encombrement réduit, d'une absence de prise d'air (prévention de l'embolie gazeuse) et d'une dégradation moindre par la lumière, mais expose au relargage de DEHP (phtalate) en cas de perfusion prolongée (&gt; 24 heures) ou de stockage à chaud. Les poches en polyoléfine (non-PVC) sont dépourvues de DEHP et préférentielles en pédiatrie, en grossesse et en perfusion prolongée. Les </w:t>
      </w:r>
      <w:r>
        <w:rPr>
          <w:b/>
        </w:rPr>
        <w:t>flacons en verre</w:t>
      </w:r>
      <w:r>
        <w:t xml:space="preserve"> conservent l'avantage d'une compatibilité étendue avec les médicaments injectables (en particulier l'amiodarone, le nitroprussiate) et d'une traçabilité aisée. Pour l'usage nasal, les unidoses de 5 mL stériles (produits divers en officine) sont préférées pour éviter la contamination bactérienne. Le pharmacien d'officine doit guider le patient dans le choix de la forme : unidose pour usage nasal du nourrisson, flacon 250-500 mL pour lavage ophtalmique, poche 500 ou 1000 mL pour perfusion (réservée au milieu médical).</w:t>
      </w:r>
    </w:p>
    <w:p>
      <w:pPr>
        <w:pStyle w:val="Heading4"/>
      </w:pPr>
      <w:r>
        <w:t>10. Instructions et conseils au patient</w:t>
      </w:r>
    </w:p>
    <w:p>
      <w:r>
        <w:t>Pour le patient ambulatoire utilisant le sérum physiologique à domicile, les conseils portent sur : (1) l'hygiène des mains avant manipulation ; (2) la vérification de la date de péremption et de l'intégrité de l'emballage ; (3) la conservation à température ambiante (15-25 °C), à l'abri de la lumière directe ; (4) l'utilisation de l'unidose dans les 24 heures suivant l'ouverture (rejet de tout reste non utilisé) ; (5) pour le lavage nasal du nourrisson, l'instillation de 2 à 5 gouttes par narine, 3 à 5 fois par jour, en position assise ou allongée latérale ; (6) pour le lavage ophtalmique, l'instillation de 1 à 2 gouttes par œil, en évitant le contact de l'embout avec l'œil ; (7) la consultation médicale en cas d'aggravation des symptômes (fièvre, douleur, dyspnée, troubles de la conscience). Pour le patient perfusé à domicile (rares cas de perfusion d'entretien en soins palliatifs), la formation du patient et de l'aidant à la manipulation des tubulures, à la purge et à la surveillance du point de ponction est obligatoire et doit être documentée.</w:t>
      </w:r>
    </w:p>
    <w:p>
      <w:pPr>
        <w:pStyle w:val="Heading4"/>
      </w:pPr>
      <w:r>
        <w:t>11. Notes, règles d'or et pièges au comptoir</w:t>
      </w:r>
    </w:p>
    <w:p>
      <w:r/>
      <w:r>
        <w:rPr>
          <w:b/>
        </w:rPr>
        <w:t>Règle d'or n°1</w:t>
      </w:r>
      <w:r>
        <w:t xml:space="preserve"> : ne jamais confondre NaCl 0,9 % et NaCl hypertonique (3 %, 7,5 %, 10 %, 20 %). La perfusion accidentelle de NaCl hypertonique à la place de NaCl 0,9 % provoque une hypernatrémie aiguë potentiellement létale (encéphalopathie hyperosmolaire, hémorragie cérébrale). Vérifier systématiquement la concentration à la dispensation.</w:t>
      </w:r>
    </w:p>
    <w:p>
      <w:r/>
      <w:r>
        <w:rPr>
          <w:b/>
        </w:rPr>
        <w:t>Règle d'or n°2</w:t>
      </w:r>
      <w:r>
        <w:t xml:space="preserve"> : ne jamais confondre NaCl 0,9 % et KCl (chlorure de potassium). Les flacons de KCl concentré (10 %, 0,1 g/mL) peuvent être confondus avec le NaCl 0,9 % si l'étiquetage est insuffisant. La perfusion accidentelle de KCl pur provoque une hyperkaliémie aiguë avec arrêt cardiaque en diastole en quelques minutes. Conservation séparée obligatoire, étiquetage rouge « KCl — danger ».</w:t>
      </w:r>
    </w:p>
    <w:p>
      <w:r/>
      <w:r>
        <w:rPr>
          <w:b/>
        </w:rPr>
        <w:t>Piège n°1</w:t>
      </w:r>
      <w:r>
        <w:t xml:space="preserve"> : le NaCl 0,9 % n'est pas « de l'eau pure » — il apporte 154 mmol/L de sodium et 154 mmol/L de chlorure, soit l'équivalent de 9 g de sel par litre. La perfusion continue de 3 L/jour chez un insuffisant cardiaque peut déclencher une décompensation œdémato-ascitique.</w:t>
      </w:r>
    </w:p>
    <w:p>
      <w:r/>
      <w:r>
        <w:rPr>
          <w:b/>
        </w:rPr>
        <w:t>Piège n°2</w:t>
      </w:r>
      <w:r>
        <w:t xml:space="preserve"> : le NaCl 0,9 % n'est pas un soluté équilibré — l'excès de chlorure (SID nul) provoque une acidose hyperchlorémique perfusion-induite en cas de perfusion massive (&gt; 3-4 L), avec vasoconstriction rénale et baisse de la filtration glomérulaire (essai SMART 2018).</w:t>
      </w:r>
    </w:p>
    <w:p>
      <w:r/>
      <w:r>
        <w:rPr>
          <w:b/>
        </w:rPr>
        <w:t>Piège n°3</w:t>
      </w:r>
      <w:r>
        <w:t xml:space="preserve"> : en pédiatrie, l'usage prolongé de NaCl 0,9 % sans apport glucidique expose à l'hypoglycémie. Toujours ajouter du glucose 5 % ou 10 % à l'apport d'entretien du nourrisson.</w:t>
      </w:r>
    </w:p>
    <w:p>
      <w:r/>
      <w:r>
        <w:rPr>
          <w:b/>
        </w:rPr>
        <w:t>Piège n°4</w:t>
      </w:r>
      <w:r>
        <w:t xml:space="preserve"> : le NaCl 0,9 % est incompatible avec l'amiodarone, le nitroprussiate de sodium, certaines formes de paclitaxel. Vérifier la compatibilité avant ajout médicamenteux.</w:t>
      </w:r>
    </w:p>
    <w:p>
      <w:r/>
      <w:r>
        <w:rPr>
          <w:b/>
        </w:rPr>
        <w:t>Piège n°5</w:t>
      </w:r>
      <w:r>
        <w:t xml:space="preserve"> : le sérum physiologique périmé ou dont le flacon présente une fissure, une troubleur ou des particules ne doit jamais être utilisé (risque infectieux, risque de précipité). Rejet immédiat.</w:t>
      </w:r>
    </w:p>
    <w:p>
      <w:pPr>
        <w:pStyle w:val="Heading3"/>
      </w:pPr>
      <w:r>
        <w:t>221.2 Chlorure de potassium (KCl) injectable</w:t>
      </w:r>
    </w:p>
    <w:p>
      <w:pPr>
        <w:pStyle w:val="Heading4"/>
      </w:pPr>
      <w:r>
        <w:t>1. Liste des catégories thérapeutiques</w:t>
      </w:r>
    </w:p>
    <w:p>
      <w:r>
        <w:t xml:space="preserve">Le chlorure de potassium est classé au niveau ATC comme </w:t>
      </w:r>
      <w:r>
        <w:rPr>
          <w:b/>
        </w:rPr>
        <w:t>B05XA01</w:t>
      </w:r>
      <w:r>
        <w:t xml:space="preserve"> (acides aminés et solutions électrolytiques — potassium) selon la classification ATC de l'OMS. Sur le plan réglementaire algérien, il relève de la </w:t>
      </w:r>
      <w:r>
        <w:rPr>
          <w:b/>
        </w:rPr>
        <w:t>liste I</w:t>
      </w:r>
      <w:r>
        <w:t xml:space="preserve"> des substances vénéneuses lorsqu'il est présenté en solution injectable, en raison de son risque d'hyperkaliémie fatale en cas de perfusion rapide ou non diluée. La forme orale (KCl lentille, KCl effervescent) appartient à la catégorie des suppléments potassiques (code ATC A12BA01). Le potassium est inscrit sur la liste des médicaments essentiels de l'OMS comme électrolyte de réanimation et supplément. La spécialité CHLORURE DE POTASSIUM AGUETTANT est une solution injectable à 0,1 g/mL (10 %), tandis que KALIPACK est une solution à diluer à 10 % (0,1 g/mL). La concentration de 1 g de KCl équivaut à 13,4 mmol de potassium et 13,4 mmol de chlorure.</w:t>
      </w:r>
    </w:p>
    <w:p>
      <w:pPr>
        <w:pStyle w:val="Heading4"/>
      </w:pPr>
      <w:r>
        <w:t>2. Médicaments disponibles en Algérie</w:t>
      </w:r>
    </w:p>
    <w:p>
      <w:r>
        <w:t>Le chlorure de potassium injectable est disponible en Algérie sous deux spécialités actives, toutes deux à 10 % (0,1 g/mL = 100 mg/mL) :</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CHLORURE DE POTASSIUM AGUETTANT</w:t>
            </w:r>
          </w:p>
        </w:tc>
        <w:tc>
          <w:tcPr>
            <w:tcW w:type="dxa" w:w="1385"/>
          </w:tcPr>
          <w:p>
            <w:r>
              <w:rPr>
                <w:rFonts w:ascii="Times New Roman" w:hAnsi="Times New Roman"/>
                <w:sz w:val="20"/>
              </w:rPr>
              <w:t>Aguettant</w:t>
            </w:r>
          </w:p>
        </w:tc>
        <w:tc>
          <w:tcPr>
            <w:tcW w:type="dxa" w:w="1385"/>
          </w:tcPr>
          <w:p>
            <w:r>
              <w:rPr>
                <w:rFonts w:ascii="Times New Roman" w:hAnsi="Times New Roman"/>
                <w:sz w:val="20"/>
              </w:rPr>
              <w:t>Solution injectable — 0,1 g/mL (10 %)</w:t>
            </w:r>
          </w:p>
        </w:tc>
        <w:tc>
          <w:tcPr>
            <w:tcW w:type="dxa" w:w="1385"/>
          </w:tcPr>
          <w:p>
            <w:r>
              <w:rPr>
                <w:rFonts w:ascii="Times New Roman" w:hAnsi="Times New Roman"/>
                <w:sz w:val="20"/>
              </w:rPr>
              <w:t>Boîte de 50 ampoules de 20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KALIPACK</w:t>
            </w:r>
          </w:p>
        </w:tc>
        <w:tc>
          <w:tcPr>
            <w:tcW w:type="dxa" w:w="1385"/>
          </w:tcPr>
          <w:p>
            <w:r>
              <w:rPr>
                <w:rFonts w:ascii="Times New Roman" w:hAnsi="Times New Roman"/>
                <w:sz w:val="20"/>
              </w:rPr>
              <w:t>Industries Médico-Chirurgicales (IMC)</w:t>
            </w:r>
          </w:p>
        </w:tc>
        <w:tc>
          <w:tcPr>
            <w:tcW w:type="dxa" w:w="1385"/>
          </w:tcPr>
          <w:p>
            <w:r>
              <w:rPr>
                <w:rFonts w:ascii="Times New Roman" w:hAnsi="Times New Roman"/>
                <w:sz w:val="20"/>
              </w:rPr>
              <w:t>Solution injectable à diluer — 10 % (0,1 g/mL)</w:t>
            </w:r>
          </w:p>
        </w:tc>
        <w:tc>
          <w:tcPr>
            <w:tcW w:type="dxa" w:w="1385"/>
          </w:tcPr>
          <w:p>
            <w:r>
              <w:rPr>
                <w:rFonts w:ascii="Times New Roman" w:hAnsi="Times New Roman"/>
                <w:sz w:val="20"/>
              </w:rPr>
              <w:t>Boîte de 10 mL (ampoule)</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la concentration de 0,1 g/mL correspond à 100 mg/mL, soit 13,4 mmol de K⁺ par mL. Une ampoule de 20 mL (CHLORURE DE POTASSIUM AGUETTANT) contient donc 2 g de KCl, soit 26,8 mmol de potassium. Une ampoule de 10 mL (KALIPACK) contient 1 g de KCl, soit 13,4 mmol de potassium. Le pharmacien doit absolument connaître cette conversion pour la dispensation et le contrôle des prescriptions.</w:t>
      </w:r>
    </w:p>
    <w:p>
      <w:pPr>
        <w:pStyle w:val="Heading4"/>
      </w:pPr>
      <w:r>
        <w:t>3. Sous-classe et mécanisme d'action moléculaire</w:t>
      </w:r>
    </w:p>
    <w:p>
      <w:r>
        <w:t xml:space="preserve">Le chlorure de potassium appartient à la sous-classe des </w:t>
      </w:r>
      <w:r>
        <w:rPr>
          <w:b/>
        </w:rPr>
        <w:t>solutions électrolytiques potassiques</w:t>
      </w:r>
      <w:r>
        <w:t>. Le potassium est le cation majoritaire du compartiment intracellulaire (concentration intracellulaire 140-150 mmol/L, concentration extracellulaire 3,5-5,0 mmol/L), avec un gradient transmembranaire entretenu par la pompe Na⁺/K⁺-ATPase qui consomme une part substantielle de l'ATP cellulaire. Ce gradient est responsable du potentiel de repos cellulaire, particulièrement critique dans les cellules excitables (cardiomyocytes, neurones, cellules musculaires striées et lisses). Au niveau cardiaque, le potassium contrôle la phase 3 du potentiel d'action (repolarisation rapide), et la moindre variation de la kaliémie influence l'ECG : hypokaliémie &lt; 3,0 mmol/L → onde U proéminente, aplatissement de l'onde T, allongement du QT, troubles du rythme (torsades de pointe, tachycardie ventriculaire) ; hyperkaliémie &gt; 6,5 mmol/L → onde T ample et pointue (« picquée »), élargissement du QRS, troubles de la conduction, asystolie. La perfusion de KCl corrige l'hypokaliémie en restaurant le pool potassique intracellulaire, mais le transfert extracellulaire vers intracellulaire est stimulé par l'insuline (favorise l'entrée de K⁺ via la pompe Na⁺/K⁺-ATPase), les bêta-2 agonistes (salbutamol) et l'alcalose métabolique. À l'inverse, l'acidose, les digitaliques, les diurétiques épargneurs de potassium et l'insuffisance rénale favorisent l'hyperkaliémie.</w:t>
      </w:r>
    </w:p>
    <w:p>
      <w:pPr>
        <w:pStyle w:val="Heading4"/>
      </w:pPr>
      <w:r>
        <w:t>4. Profil pharmacologique</w:t>
      </w:r>
    </w:p>
    <w:p>
      <w:r/>
      <w:r>
        <w:rPr>
          <w:b/>
        </w:rPr>
        <w:t>Indications</w:t>
      </w:r>
      <w:r>
        <w:t xml:space="preserve"> : hypokaliémie symptomatique (kaliémie &lt; 3,0 mmol/L ou &lt; 3,5 mmol/L avec troubles du rythme) ; prévention de l'hypokaliémie sous diurétiques épargneurs de sodium (furosémide, hydrochlorothiazide) ; correction de l'alcalose hypokaliémique ; supplémentation potassique en nutrition parentérale ; traitement de la toxicité cardiaque de la digoxine (antagonisme K⁺/digoxine au niveau de la pompe Na⁺/K⁺-ATPase). </w:t>
      </w:r>
      <w:r>
        <w:rPr>
          <w:b/>
        </w:rPr>
        <w:t>Contre-indications</w:t>
      </w:r>
      <w:r>
        <w:t xml:space="preserve"> : hyperkaliémie (kaliémie &gt; 5,5 mmol/L) ; insuffisance rénale sévère (DFG &lt; 30 mL/min) non dialysée ; bloc auriculo-ventriculaire complet non appareillé ; insuffisance surrénale aiguë (maladie d'Addison) ; traitement par IEC/ARA2 + spironolactone (réunion thérapeutique hyperkaliémiante) ; déshydratation extracellulaire sévère. </w:t>
      </w:r>
      <w:r>
        <w:rPr>
          <w:b/>
        </w:rPr>
        <w:t>Effets indésirables</w:t>
      </w:r>
      <w:r>
        <w:t xml:space="preserve"> : à la perfusion : douleur au point de ponction veineuse (le KCl est irritant veineux), phlébite chimique, nécrose tissulaire en cas d'extravasation ; systémiques : hyperkaliémie iatrogène (arrêt cardiaque), trouble du rythme ventriculaire, bradycardie sinusale, bloc auriculo-ventriculaire, arrêt cardiaque en diastole. La tolérance veineuse est améliorée par la dilution (concentration maximale recommandée 40 mmol/L en voie périphérique, 80 mmol/L en voie centrale) et par la limitation du débit (10-20 mmol/h en voie périphérique, 20-40 mmol/h en voie centrale sous surveillance ECG).</w:t>
      </w:r>
    </w:p>
    <w:p>
      <w:pPr>
        <w:pStyle w:val="Heading4"/>
      </w:pPr>
      <w:r>
        <w:t>5. Prévention et gestion des effets indésirables</w:t>
      </w:r>
    </w:p>
    <w:p>
      <w:r>
        <w:t xml:space="preserve">La prévention des accidents de la perfusion de KCl repose sur </w:t>
      </w:r>
      <w:r>
        <w:rPr>
          <w:b/>
        </w:rPr>
        <w:t>cinq règles absolues</w:t>
      </w:r>
      <w:r>
        <w:t xml:space="preserve"> : (1) </w:t>
      </w:r>
      <w:r>
        <w:rPr>
          <w:b/>
        </w:rPr>
        <w:t>dilution systématique</w:t>
      </w:r>
      <w:r>
        <w:t xml:space="preserve"> — jamais de perfusion directe d'ampoule non diluée (risque d'arrêt cardiaque en quelques secondes) ; concentration maximale 40 mmol/L en voie périphérique (soit 3 g/L) et 80 mmol/L en voie centrale ; (2) </w:t>
      </w:r>
      <w:r>
        <w:rPr>
          <w:b/>
        </w:rPr>
        <w:t>débit maximal 20 mmol/h en voie périphérique</w:t>
      </w:r>
      <w:r>
        <w:t xml:space="preserve"> (soit 1,5 g/h) et 40 mmol/h en voie centrale sous surveillance ECG continue ; (3) </w:t>
      </w:r>
      <w:r>
        <w:rPr>
          <w:b/>
        </w:rPr>
        <w:t>surveillance ECG continue</w:t>
      </w:r>
      <w:r>
        <w:t xml:space="preserve"> obligatoire pour toute perfusion &gt; 10 mmol/h ou kaliémie initiale &lt; 2,5 mmol/L ; (4) </w:t>
      </w:r>
      <w:r>
        <w:rPr>
          <w:b/>
        </w:rPr>
        <w:t>ionogramme de contrôle</w:t>
      </w:r>
      <w:r>
        <w:t xml:space="preserve"> 2 à 4 heures après le début de la perfusion ; (5) </w:t>
      </w:r>
      <w:r>
        <w:rPr>
          <w:b/>
        </w:rPr>
        <w:t>vérification de la diurèse</w:t>
      </w:r>
      <w:r>
        <w:t xml:space="preserve"> — perfusion de KCl contre-indiquée en cas d'oligurie &lt; 30 mL/h ou d'hyperkaliémie préexistante. La douleur au point de ponction est prévenue par la dilution maximale, l'usage d'une voie veineuse centrale en cas de perfusion prolongée, et l'application locale de chaleur. La phlébite chimique impose l'arrêt immédiat, le retrait du cathéter et la pose d'une nouvelle voie à distance. En cas d'hyperkaliémie iatrogène : arrêt immédiat du KCl, gluconate de calcium 10 % (10 mL IV en 2-5 min) pour stabiliser le myocarde, insuline rapide + glucose 30 % (10 UI + 50 mL IV), salbutamol nébulisé 5-10 mg, bicarbonate de sodium 4,2 % si acidose associée, kayexalate (résine échangeuse d'ions) ou dialyse en urgence si kaliémie &gt; 7 mmol/L avec signes ECG.</w:t>
      </w:r>
    </w:p>
    <w:p>
      <w:pPr>
        <w:pStyle w:val="Heading4"/>
      </w:pPr>
      <w:r>
        <w:t>6. Interactions médicamenteuses</w:t>
      </w:r>
    </w:p>
    <w:p>
      <w:r>
        <w:t xml:space="preserve">Le chlorure de potassium présente un nombre important d'interactions pharmacodynamiques : (1) </w:t>
      </w:r>
      <w:r>
        <w:rPr>
          <w:b/>
        </w:rPr>
        <w:t>synergie hyperkaliémiante avec les IEC, les ARA2, la spironolactone, l'amiloride et le triamtérène</w:t>
      </w:r>
      <w:r>
        <w:t xml:space="preserve"> — contre-indication relative, surveillance kaliémique étroite ; (2) </w:t>
      </w:r>
      <w:r>
        <w:rPr>
          <w:b/>
        </w:rPr>
        <w:t>synergie hyperkaliémiante avec les AINS</w:t>
      </w:r>
      <w:r>
        <w:t xml:space="preserve"> (baisse de la rénine, hyporéninémie) — prudence chez le sujet âgé ; (3) </w:t>
      </w:r>
      <w:r>
        <w:rPr>
          <w:b/>
        </w:rPr>
        <w:t>synergie hyperkaliémiante avec la digoxine</w:t>
      </w:r>
      <w:r>
        <w:t xml:space="preserve"> — fenêtre thérapeutique étroite de la digoxine (toxicité accrue en hypokaliémie, mais hyperkaliémie iatrogène possible en cas de supplémentation excessive) ; (4) </w:t>
      </w:r>
      <w:r>
        <w:rPr>
          <w:b/>
        </w:rPr>
        <w:t>antagonisme avec les diurétiques de l'anse et thiazidiques</w:t>
      </w:r>
      <w:r>
        <w:t xml:space="preserve"> (les diurétiques favorisent la perte urinaire de potassium — la supplémentation compense la perte) ; (5) </w:t>
      </w:r>
      <w:r>
        <w:rPr>
          <w:b/>
        </w:rPr>
        <w:t>synergie hyperkaliémiante avec la triméthoprime</w:t>
      </w:r>
      <w:r>
        <w:t xml:space="preserve"> et le pentamidine ; (6) </w:t>
      </w:r>
      <w:r>
        <w:rPr>
          <w:b/>
        </w:rPr>
        <w:t>incompatibilité physico-chimique avec certains antibiotiques</w:t>
      </w:r>
      <w:r>
        <w:t xml:space="preserve"> (cftriaxone, cefuroxime) — vérifier les tables de compatibilité. Il n'existe pas d'interaction avec le cytochrome P450 ni avec les transporteurs, car le KCl n'est pas métabolisé.</w:t>
      </w:r>
    </w:p>
    <w:p>
      <w:pPr>
        <w:pStyle w:val="Heading4"/>
      </w:pPr>
      <w:r>
        <w:t>7. Grossesse et allaitement (CRAT)</w:t>
      </w:r>
    </w:p>
    <w:p>
      <w:r>
        <w:t>Le chlorure de potassium est autorisé pendant toute la grossesse, sans effet tératogène ni fœtotoxique connu, et figure dans la catégorie « non tératogène » du CRAT. La supplémentation potassique est souvent nécessaire en cas de vomissements gravidiques sévères (hyperemesis gravidarum) ou de diurèse osmotique. La kaliémie normale chez la femme enceinte est légèrement abaissée (3,5-4,5 mmol/L) en raison de l'hypervolémie physiologique. Pendant l'allaitement, le KCl est compatible, sans modification significative de la concentration de potassium dans le lait maternel. Le pédiatre utilise le KCl dilué en perfusion d'entretien chez le nouveau-né et le nourrisson (apport potassique recommandé 2-3 mmol/kg/jour), avec surveillance ECG et ionogramme.</w:t>
      </w:r>
    </w:p>
    <w:p>
      <w:pPr>
        <w:pStyle w:val="Heading4"/>
      </w:pPr>
      <w:r>
        <w:t>8. Posologie et mode d'administration</w:t>
      </w:r>
    </w:p>
    <w:p>
      <w:r>
        <w:t xml:space="preserve">Chez l'adulte : (1) </w:t>
      </w:r>
      <w:r>
        <w:rPr>
          <w:b/>
        </w:rPr>
        <w:t>hypokaliémie modérée</w:t>
      </w:r>
      <w:r>
        <w:t xml:space="preserve"> (2,5-3,5 mmol/L sans trouble du rythme) : 1 à 2 g de KCl par litre de perfusion (soit 13 à 27 mmol/L), à débit maximal 20 mmol/h, soit 1,5 g/h en voie périphérique ; (2) </w:t>
      </w:r>
      <w:r>
        <w:rPr>
          <w:b/>
        </w:rPr>
        <w:t>hypokaliémie sévère</w:t>
      </w:r>
      <w:r>
        <w:t xml:space="preserve"> (&lt; 2,5 mmol/L ou avec trouble du rythme) : 3 à 4 g de KCl par litre (40-54 mmol/L), en voie veineuse centrale, à débit 20-40 mmol/h (1,5-3 g/h) sous surveillance ECG continue, jusqu'à obtention d'une kaliémie ≥ 3,0 mmol/L ; (3) </w:t>
      </w:r>
      <w:r>
        <w:rPr>
          <w:b/>
        </w:rPr>
        <w:t>prévention sous diurétiques</w:t>
      </w:r>
      <w:r>
        <w:t xml:space="preserve"> : 1 g de KCl par litre de perfusion d'entretien. La quantité totale de KCl perfusée ne doit pas excéder 200 mmol/24 heures (soit 15 g/jour) sans surveillance rapprochée. Chez l'enfant : 0,5 à 1 mmol/kg/jour en prévention, 1 à 2 mmol/kg/h en traitement curatif de l'hypokaliémie sévère, sous surveillance ECG continue. La voie d'administration est strictement intraveineuse (voie centrale préférentielle si concentration &gt; 40 mmol/L ou débit &gt; 20 mmol/h). La perfusion doit toujours s'effectuer après dilution dans un soluté isotonique (NaCl 0,9 % ou glucose 5 %). La voie intramusculaire est contre-indiquée (risque de nécrose musculaire).</w:t>
      </w:r>
    </w:p>
    <w:p>
      <w:pPr>
        <w:pStyle w:val="Heading4"/>
      </w:pPr>
      <w:r>
        <w:t>9. Arbitrage et bénéfices des formes galéniques</w:t>
      </w:r>
    </w:p>
    <w:p>
      <w:r>
        <w:t xml:space="preserve">Le chlorure de potassium est disponible en Algérie sous forme injectable (ampoules de 10 ou 20 mL à 10 %), mais les formes orales (KCl lentille à libération prolongée, KCl effervescent) sont également disponibles en officine. La </w:t>
      </w:r>
      <w:r>
        <w:rPr>
          <w:b/>
        </w:rPr>
        <w:t>forme injectable</w:t>
      </w:r>
      <w:r>
        <w:t xml:space="preserve"> est indiquée en cas d'hypokaliémie sévère symptomatique, de trouble du rythme associé, d'impossibilité de voie orale (vomissements, iléus, préparation chirurgicale). La </w:t>
      </w:r>
      <w:r>
        <w:rPr>
          <w:b/>
        </w:rPr>
        <w:t>forme orale</w:t>
      </w:r>
      <w:r>
        <w:t xml:space="preserve"> est privilégiée pour la supplémentation d'entretien et la prévention, en raison de sa meilleure tolérance et de la moindre risque d'hyperkaliémie aiguë. La forme lentille (Slow-K) libère progressivement le potassium sur 8-12 heures, mais expose au risque d'ulcérations et de sténoses digestives (œsophage, intestin grêle) en cas d'ingestion à jeun ou chez le patient âgé avec troubles de la déglutition. La forme effervescente est mieux tolérée mais doit être diluée dans un grand verre d'eau. En réanimation, la voie centrale permet l'administration de concentrations élevées (jusqu'à 80 mmol/L) sans risque de phlébite périphérique. Le pharmacien doit guider le prescripteur sur le choix de la forme et de la voie en fonction du contexte clinique.</w:t>
      </w:r>
    </w:p>
    <w:p>
      <w:pPr>
        <w:pStyle w:val="Heading4"/>
      </w:pPr>
      <w:r>
        <w:t>10. Instructions et conseils au patient</w:t>
      </w:r>
    </w:p>
    <w:p>
      <w:r>
        <w:t>Pour le patient sous supplémentation potassique orale à domicile, les conseils portent sur : (1) la prise au cours des repas pour limiter la tolérance digestive (nausées, diarrhée) ; (2) la dilution des formes effervescentes dans un grand verre d'eau ; (3) l'hydratation suffisante (1,5 à 2 L/jour) pour favoriser l'élimination rénale ; (4) la surveillance des signes d'hyperkaliémie en cas d'association avec IEC ou ARA2 (asthénie, faiblesse musculaire, palpitations, paresthésies péribuccales) ; (5) la consultation médicale en cas de vomissements importants, de diarrhée ou de déshydratation ; (6) la vérification régulière de la kaliémie et de la fonction rénale (créatininémie, DFG) ; (7) l'éviction des substituts de sel à base de chlorure de potassium (risque d'hyperkaliémie additif). Le patient ne doit jamais arrêter ou modifier la posologie sans avis médical. La conservation se fait à température ambiante, à l'abri de la lumière et de l'humidité (formes orales). Pour les ampoules injectables, conservation à température ambiante, vérification de la limpidité avant emploi.</w:t>
      </w:r>
    </w:p>
    <w:p>
      <w:pPr>
        <w:pStyle w:val="Heading4"/>
      </w:pPr>
      <w:r>
        <w:t>11. Notes, règles d'or et pièges au comptoir</w:t>
      </w:r>
    </w:p>
    <w:p>
      <w:r/>
      <w:r>
        <w:rPr>
          <w:b/>
        </w:rPr>
        <w:t>Règle d'or n°1</w:t>
      </w:r>
      <w:r>
        <w:t xml:space="preserve"> : le chlorure de potassium injectable ne doit JAMAIS être perfusé en bolus direct non dilué — la perfusion d'une ampoule de 20 mL à 10 % (2 g, 26,8 mmol) en moins de 1 minute provoque un arrêt cardiaque en diastole. Dilution systématique et débit contrôlé sont obligatoires.</w:t>
      </w:r>
    </w:p>
    <w:p>
      <w:r/>
      <w:r>
        <w:rPr>
          <w:b/>
        </w:rPr>
        <w:t>Règle d'or n°2</w:t>
      </w:r>
      <w:r>
        <w:t xml:space="preserve"> : concentration maximale 40 mmol/L (3 g/L) en voie périphérique, 80 mmol/L (6 g/L) en voie centrale. Au-delà, risque de phlébite chimique et de nécrose veineuse.</w:t>
      </w:r>
    </w:p>
    <w:p>
      <w:r/>
      <w:r>
        <w:rPr>
          <w:b/>
        </w:rPr>
        <w:t>Règle d'or n°3</w:t>
      </w:r>
      <w:r>
        <w:t xml:space="preserve"> : débit maximal 20 mmol/h (1,5 g/h) en voie périphérique, 40 mmol/h (3 g/h) en voie centrale sous ECG continu. Au-delà, surveillance ECG continue obligatoire.</w:t>
      </w:r>
    </w:p>
    <w:p>
      <w:r/>
      <w:r>
        <w:rPr>
          <w:b/>
        </w:rPr>
        <w:t>Piège n°1</w:t>
      </w:r>
      <w:r>
        <w:t xml:space="preserve"> : confusion possible entre ampoules de NaCl 0,9 %, de KCl 10 % et de CaCl 10 %, qui se ressemblent physiquement. Vérification systématique de l'étiquette avant administration, étiquetage rouge « KCl — danger » au stockage.</w:t>
      </w:r>
    </w:p>
    <w:p>
      <w:r/>
      <w:r>
        <w:rPr>
          <w:b/>
        </w:rPr>
        <w:t>Piège n°2</w:t>
      </w:r>
      <w:r>
        <w:t xml:space="preserve"> : le KCl n'est pas un diurétique et ne doit pas être prescrit comme tel. Son usage abusif expose à l'hyperkaliémie fatale.</w:t>
      </w:r>
    </w:p>
    <w:p>
      <w:r/>
      <w:r>
        <w:rPr>
          <w:b/>
        </w:rPr>
        <w:t>Piège n°3</w:t>
      </w:r>
      <w:r>
        <w:t xml:space="preserve"> : association IEC + ARA2 + spironolactone + KCl = quadruple thérapie hyperkaliémiante, contre-indiquée chez l'insuffisant rénal.</w:t>
      </w:r>
    </w:p>
    <w:p>
      <w:r/>
      <w:r>
        <w:rPr>
          <w:b/>
        </w:rPr>
        <w:t>Piège n°4</w:t>
      </w:r>
      <w:r>
        <w:t xml:space="preserve"> : en cas d'hypokaliémie et d'acidose métabolique associée, ne pas corriger la kaliémie avant l'acidose — la correction alcalinisante entraîne un shift intracellulaire du potassium et peut aggraver l'hypokaliémie.</w:t>
      </w:r>
    </w:p>
    <w:p>
      <w:r/>
      <w:r>
        <w:rPr>
          <w:b/>
        </w:rPr>
        <w:t>Piège n°5</w:t>
      </w:r>
      <w:r>
        <w:t xml:space="preserve"> : le KCl est incompatible avec la ceftriaxone, le diazépam, la phénytoïne — vérifier les tables de compatibilité avant mélange.</w:t>
      </w:r>
    </w:p>
    <w:p>
      <w:pPr>
        <w:pStyle w:val="Heading3"/>
      </w:pPr>
      <w:r>
        <w:t>221.3 Glucose 2,5 % et chlorure de sodium 0,45 % — solution hypotonique (GLUNAPACK)</w:t>
      </w:r>
    </w:p>
    <w:p>
      <w:pPr>
        <w:pStyle w:val="Heading4"/>
      </w:pPr>
      <w:r>
        <w:t>1. Liste des catégories thérapeutiques</w:t>
      </w:r>
    </w:p>
    <w:p>
      <w:r>
        <w:t xml:space="preserve">L'association glucose 2,5 % et chlorure de sodium 0,45 % est classée au niveau ATC comme </w:t>
      </w:r>
      <w:r>
        <w:rPr>
          <w:b/>
        </w:rPr>
        <w:t>B05BB02</w:t>
      </w:r>
      <w:r>
        <w:t xml:space="preserve"> (solutions électrolytiques avec glucose, associations). Sur le plan réglementaire algérien, elle relève de la liste I des substances vénéneuses en raison de son administration parentérale. Elle appartient à la sous-classe des solutions cristalloïdes </w:t>
      </w:r>
      <w:r>
        <w:rPr>
          <w:b/>
        </w:rPr>
        <w:t>hypotoniques</w:t>
      </w:r>
      <w:r>
        <w:t>, dont l'osmolarité est inférieure à 280 mOsm/L (la solution GLUNAPACK a une osmolarité d'environ 280 mOsm/L). La solution est inscrite sur la liste des médicaments essentiels de l'OMS comme soluté d'entretien hydrique et de réhydratation pédiatrique. Le code ATC B05BB02 désigne les solutions électrolytiques avec glucides destinées à l'usage parentéral. La solution est également utilisée comme véhicule de dilution pour de nombreux médicaments injectables peu stables en milieu glucidique pur.</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GLUNAPACK</w:t>
            </w:r>
          </w:p>
        </w:tc>
        <w:tc>
          <w:tcPr>
            <w:tcW w:type="dxa" w:w="1385"/>
          </w:tcPr>
          <w:p>
            <w:r>
              <w:rPr>
                <w:rFonts w:ascii="Times New Roman" w:hAnsi="Times New Roman"/>
                <w:sz w:val="20"/>
              </w:rPr>
              <w:t>Industries Médico-Chirurgicales (IMC)</w:t>
            </w:r>
          </w:p>
        </w:tc>
        <w:tc>
          <w:tcPr>
            <w:tcW w:type="dxa" w:w="1385"/>
          </w:tcPr>
          <w:p>
            <w:r>
              <w:rPr>
                <w:rFonts w:ascii="Times New Roman" w:hAnsi="Times New Roman"/>
                <w:sz w:val="20"/>
              </w:rPr>
              <w:t>Solution pour perfusion — 2,5 g glucose + 0,45 g NaCl / 100 mL</w:t>
            </w:r>
          </w:p>
        </w:tc>
        <w:tc>
          <w:tcPr>
            <w:tcW w:type="dxa" w:w="1385"/>
          </w:tcPr>
          <w:p>
            <w:r>
              <w:rPr>
                <w:rFonts w:ascii="Times New Roman" w:hAnsi="Times New Roman"/>
                <w:sz w:val="20"/>
              </w:rPr>
              <w:t>Flacon polypropylène 500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la solution GLUNAPACK est la seule spécialité commercialisée en Algérie correspondant à l'association glucose 2,5 % + NaCl 0,45 %. Elle est produite localement par IMC. Pour mémoire, une spécialité similaire REHYDRAX (Groupe SAIDAL) à base de NaCl/KCl/MgCl/gluconate de calcium/glucose monohydrate (1,5 g/1 g/0,5 g/0,5 g/27,5 g/500 mL) existe dans la nomenclature mais n'est plus renouvelée.</w:t>
      </w:r>
    </w:p>
    <w:p>
      <w:pPr>
        <w:pStyle w:val="Heading4"/>
      </w:pPr>
      <w:r>
        <w:t>3. Sous-classe et mécanisme d'action moléculaire</w:t>
      </w:r>
    </w:p>
    <w:p>
      <w:r>
        <w:t xml:space="preserve">L'association glucose 2,5 % et chlorure de sodium 0,45 % appartient à la sous-classe des </w:t>
      </w:r>
      <w:r>
        <w:rPr>
          <w:b/>
        </w:rPr>
        <w:t>cristalloïdes hypotoniques avec apport glucidique</w:t>
      </w:r>
      <w:r>
        <w:t>. La composition par litre est de 25 g de glucose monohydrate et 4,5 g de chlorure de sodium, soit 77 mmol/L de sodium, 77 mmol/L de chlorure et 139 mmol/L de glucose. L'osmolarité théorique est d'environ 280 mOsm/L, ce qui la rend légèrement hypotonique par rapport au plasma (285-295 mOsm/L). Le mécanisme d'action repose sur l'apport combiné d'eau libre (par l'hypotonicité relative), d'électrolytes (sodium et chlorure) et de substrat énergétique (glucose métabolisé en dioxyde de carbone et eau). Le glucose, en traversant la membrane cellulaire sous l'action du transporteur GLUT-1 ubiquitaire et GLUT-4 insulinodépendant, fournit de l'eau métabolique (0,6 mL d'eau produite par gramme de glucose oxydé) et de l'énergie cellulaire (30-32 ATP par mole de glucose en glycolyse aérobie). L'hypotonicité de la solution favorise la redistribution d'eau libre vers le secteur intracellulaire, ce qui la rend adaptée à la correction de l'hypernatrémie modérée et à la prévention de la cétogenèse de jeûne. Le sodium, cation extracellulaire, restaure la volémie mais à concentration réduite (77 mmol/L vs 154 mmol/L pour le NaCl 0,9 %), limitant ainsi l'apport chlorémique et l'acidose hyperchlorémique perfusion-induite.</w:t>
      </w:r>
    </w:p>
    <w:p>
      <w:pPr>
        <w:pStyle w:val="Heading4"/>
      </w:pPr>
      <w:r>
        <w:t>4. Profil pharmacologique</w:t>
      </w:r>
    </w:p>
    <w:p>
      <w:r/>
      <w:r>
        <w:rPr>
          <w:b/>
        </w:rPr>
        <w:t>Indications</w:t>
      </w:r>
      <w:r>
        <w:t xml:space="preserve"> : apport hydrique d'entretien chez l'adulte et l'enfant ; prévention de la cétogenèse de jeûne pré- et post-opératoire ; correction de l'hypernatrémie modérée (natrémie 145-155 mmol/L) ; véhicule de dilution pour médicaments injectables ; réhydratation pédiatrique modérée ; prévention de l'hypoglycémie chez le nourrisson et le patient âgé. </w:t>
      </w:r>
      <w:r>
        <w:rPr>
          <w:b/>
        </w:rPr>
        <w:t>Contre-indications</w:t>
      </w:r>
      <w:r>
        <w:t xml:space="preserve"> : hypernatrémie sévère (natrémie &gt; 160 mmol/L) — risque d'œdème cérébral par correction trop rapide ; hypokaliémie sévère non corrigée (le glucose favorise le shift intracellulaire du potassium via la stimulation insulinique) ; diabète déséquilibré (apport glucidique non négligeable, 25 g/L) ; insuffisance cardiaque décompensée ; œdème cérébral ou pulmonaire. </w:t>
      </w:r>
      <w:r>
        <w:rPr>
          <w:b/>
        </w:rPr>
        <w:t>Effets indésirables</w:t>
      </w:r>
      <w:r>
        <w:t xml:space="preserve"> : hyperglycémie (en particulier chez le diabétique et le patient de réanimation sous corticoïdes) ; hyponatrémie de dilution (en cas de perfusion prolongée chez l'enfant ou la femme jeune) ; hypokaliémie de dilution (à prévenir par ajout de KCl) ; œdème cérébral aigu en cas de correction trop rapide d'une hypernatrémie sévère ; syndrome de sec hypertonic (« desalting ») en cas de perfusion prolongée chez le patient hyperosmolaire. Tolérance veineuse bonne aux concentrations usuelles.</w:t>
      </w:r>
    </w:p>
    <w:p>
      <w:pPr>
        <w:pStyle w:val="Heading4"/>
      </w:pPr>
      <w:r>
        <w:t>5. Prévention et gestion des effets indésirables</w:t>
      </w:r>
    </w:p>
    <w:p>
      <w:r>
        <w:t xml:space="preserve">La prévention de la </w:t>
      </w:r>
      <w:r>
        <w:rPr>
          <w:b/>
        </w:rPr>
        <w:t>hyperglycémie iatrogène</w:t>
      </w:r>
      <w:r>
        <w:t xml:space="preserve"> repose sur la surveillance régulière de la glycémie capillaire (toutes les 4-6 heures en réanimation, toutes les 24 heures en milieu hospitalier standard), l'adaptation de la posologie d'insuline si nécessaire (insuline rapide IV à la seringue électrique en cas de diabète déséquilibré), et l'éviction de la solution chez le patient diabétique en déséquilibre glycémique. La </w:t>
      </w:r>
      <w:r>
        <w:rPr>
          <w:b/>
        </w:rPr>
        <w:t>hyponatrémie de dilution</w:t>
      </w:r>
      <w:r>
        <w:t xml:space="preserve"> est prévenue par la limitation de la durée de perfusion (maximum 48 heures en monothérapie), la surveillance de la natrémie toutes les 24 heures, et l'association systématique à un apport sodé minimal (en cas d'apport hydrique &gt; 2 L/jour, préférer un soluté isotonique). Chez la femme jeune en péri-opératoire, le risque d'encéphalopathie hyponatrémique est majoré et impose une surveillance neurologique et biologique stricte. La </w:t>
      </w:r>
      <w:r>
        <w:rPr>
          <w:b/>
        </w:rPr>
        <w:t>prévention de l'œdème cérébral aigu</w:t>
      </w:r>
      <w:r>
        <w:t xml:space="preserve"> en cas de correction d'hypernatrémie impose une baisse maximale de 0,5 mmol/L/h de la natrémie (soit 12 mmol/L/24 heures). L'</w:t>
      </w:r>
      <w:r>
        <w:rPr>
          <w:b/>
        </w:rPr>
        <w:t>hypokaliémie de dilution</w:t>
      </w:r>
      <w:r>
        <w:t xml:space="preserve"> est prévenue par l'ajout systématique de 1-2 g de KCl par litre (sous surveillance ECG et ionogramme). L'infection sur cathéter et l'embolie gazeuse sont prévenues selon les protocoles standards.</w:t>
      </w:r>
    </w:p>
    <w:p>
      <w:pPr>
        <w:pStyle w:val="Heading4"/>
      </w:pPr>
      <w:r>
        <w:t>6. Interactions médicamenteuses</w:t>
      </w:r>
    </w:p>
    <w:p>
      <w:r>
        <w:t xml:space="preserve">Les interactions sont essentiellement pharmaceutiques (incompatibilités) et pharmacodynamiques : (1) </w:t>
      </w:r>
      <w:r>
        <w:rPr>
          <w:b/>
        </w:rPr>
        <w:t>incompatibilité physico-chimique avec l'amphotéricine B</w:t>
      </w:r>
      <w:r>
        <w:t xml:space="preserve"> (précipitation), avec certains antibiotiques (ceftriaxone, imipénème) — vérifier les tables de compatibilité ; (2) </w:t>
      </w:r>
      <w:r>
        <w:rPr>
          <w:b/>
        </w:rPr>
        <w:t>potentialisation de l'hypokaliémie avec les diurétiques</w:t>
      </w:r>
      <w:r>
        <w:t xml:space="preserve"> (furosémide, thiazidiques) et les corticoïdes ; (3) </w:t>
      </w:r>
      <w:r>
        <w:rPr>
          <w:b/>
        </w:rPr>
        <w:t>augmentation de la glycémie avec les corticoïdes</w:t>
      </w:r>
      <w:r>
        <w:t xml:space="preserve"> (prudence chez le diabétique) ; (4) </w:t>
      </w:r>
      <w:r>
        <w:rPr>
          <w:b/>
        </w:rPr>
        <w:t>diminution de l'efficacité de l'insuline</w:t>
      </w:r>
      <w:r>
        <w:t xml:space="preserve"> en cas de perfusion prolongée à débit élevé (nécessité d'adaptation posologique) ; (5) </w:t>
      </w:r>
      <w:r>
        <w:rPr>
          <w:b/>
        </w:rPr>
        <w:t>risque de précipitation avec le phosphore</w:t>
      </w:r>
      <w:r>
        <w:t xml:space="preserve"> (en nutrition parentérale). Le glucose est métabolisé par la glycolyse et ne subit pas de métabolisme hépatique via le cytochrome P450, ce qui explique l'absence d'interactions enzymatiques significatives. Cependant, l'insuline sécrétée en réponse à l'apport glucidique peut interagir avec le potassium (shift intracellulaire) et avec d'autres médicaments (potentialisation de l'hypokaliémie).</w:t>
      </w:r>
    </w:p>
    <w:p>
      <w:pPr>
        <w:pStyle w:val="Heading4"/>
      </w:pPr>
      <w:r>
        <w:t>7. Grossesse et allaitement (CRAT)</w:t>
      </w:r>
    </w:p>
    <w:p>
      <w:r>
        <w:t>La solution glucose 2,5 %/NaCl 0,45 % est autorisée pendant toute la grossesse, sans effet tératogène ni fœtotoxique connu, et figure dans la catégorie « non tératogène » du CRAT. Elle est particulièrement utile en cas de vomissements gravidiques (apport hydrique et glucidique), de pré-éclampsie modérée (apport hydrique d'entretien), et en péri-opératoire obstétrical. La glycémie maternelle doit être surveillée en cas de diabète gestationnel. Pendant le travail, la solution peut être utilisée pour la prévention de l'hypotension après analgésie péridurale. Pendant l'allaitement, la solution est compatible, sans modification significative de la composition du lait maternel. Chez le nouveau-né, la solution est utilisée pour l'apport hydrique d'entretien (60-100 mL/kg/jour) et la prévention de l'hypoglycémie néonatale.</w:t>
      </w:r>
    </w:p>
    <w:p>
      <w:pPr>
        <w:pStyle w:val="Heading4"/>
      </w:pPr>
      <w:r>
        <w:t>8. Posologie et mode d'administration</w:t>
      </w:r>
    </w:p>
    <w:p>
      <w:r>
        <w:t xml:space="preserve">Chez l'adulte : (1) </w:t>
      </w:r>
      <w:r>
        <w:rPr>
          <w:b/>
        </w:rPr>
        <w:t>entretien hydrique</w:t>
      </w:r>
      <w:r>
        <w:t xml:space="preserve"> : 1,5 à 2,5 mL/kg/h (100-175 mL/h pour un adulte de 70 kg) ; (2) </w:t>
      </w:r>
      <w:r>
        <w:rPr>
          <w:b/>
        </w:rPr>
        <w:t>prévention de la cétogenèse de jeûne</w:t>
      </w:r>
      <w:r>
        <w:t xml:space="preserve"> : 1 à 2 L/24 heures (apport glucidique 25-50 g/jour) ; (3) </w:t>
      </w:r>
      <w:r>
        <w:rPr>
          <w:b/>
        </w:rPr>
        <w:t>correction d'hypernatrémie modérée</w:t>
      </w:r>
      <w:r>
        <w:t xml:space="preserve"> : 1 à 2 L sur 24 heures, avec surveillance de la natrémie toutes les 4-6 heures. Chez l'enfant : (1) </w:t>
      </w:r>
      <w:r>
        <w:rPr>
          <w:b/>
        </w:rPr>
        <w:t>entretien hydrique selon Holliday-Segar</w:t>
      </w:r>
      <w:r>
        <w:t xml:space="preserve"> : 100 mL/kg pour les 10 premiers kg, 50 mL/kg pour les 10 suivants, 20 mL/kg pour chaque kg supplémentaire ; (2) </w:t>
      </w:r>
      <w:r>
        <w:rPr>
          <w:b/>
        </w:rPr>
        <w:t>réhydratation modérée</w:t>
      </w:r>
      <w:r>
        <w:t xml:space="preserve"> : 20 mL/kg en bolus sur 1 heure, à répéter selon la clinique. Chez le nourrisson, prémunir contre l'hypoglycémie et l'hyponatrémie par la surveillance glycémique et natrémique. La voie d'administration est strictement intraveineuse (périphérique ou centrale). Le débit est contrôlé par perforateur électrique ou manuel ; calcul du débit en gouttes/min : Volume (mL) × 20 / Durée (min).</w:t>
      </w:r>
    </w:p>
    <w:p>
      <w:pPr>
        <w:pStyle w:val="Heading4"/>
      </w:pPr>
      <w:r>
        <w:t>9. Arbitrage et bénéfices des formes galéniques</w:t>
      </w:r>
    </w:p>
    <w:p>
      <w:r>
        <w:t>La solution GLUNAPACK se présente en flacon polypropylène (PP) de 500 mL, choix galénique qui présente l'avantage d'une absence de relargage de DEHP (contrairement aux poches en PVC), d'une robustesse mécanique et d'une transparence autorisant le contrôle visuel de la solution. Le conditionnement en flacon impose une prise d'air pour la perfusion, ce qui expose au risque d'embolie gazeuse en cas de purge incomplète ; l'usage d'un perfuseur avec prise d'air filtrée est obligatoire. Pour la pédiatrie, les flacons de 250 mL ou 100 mL sont préférés pour limiter le risque d'hyperhydratation. La solution est stable 2 ans à température ambiante (15-25 °C), à l'abri de la lumière directe. Après ouverture, la solution doit être utilisée dans les 24 heures. La présence de glucose expose au risque de contamination bactérienne ou fongique après ouverture (le glucose est un substrat de croissance microbienne).</w:t>
      </w:r>
    </w:p>
    <w:p>
      <w:pPr>
        <w:pStyle w:val="Heading4"/>
      </w:pPr>
      <w:r>
        <w:t>10. Instructions et conseils au patient</w:t>
      </w:r>
    </w:p>
    <w:p>
      <w:r>
        <w:t>Pour le patient perfusé à domicile ou en milieu ambulatoire, les conseils portent sur : (1) la vérification de la date de péremption et de l'intégrité du flacon avant emploi ; (2) la vérification de la limpidité de la solution (rejeter toute solution trouble ou contenant des particules) ; (3) la conservation à température ambiante (15-25 °C), à l'abri de la lumière et du gel ; (4) la purge complète de la tubulure avant raccordement (prévention de l'embolie gazeuse) ; (5) la surveillance du point de ponction veineux (rougeur, douleur, gonflement) et signalement immédiat au personnel soignant ; (6) la surveillance de la glycémie capillaire en cas de diabète ; (7) la consultation médicale en cas de fièvre, dyspnée, céphalées, nausées ou troubles de la conscience. Le patient ne doit jamais modifier le débit de perfusion sans avis médical. La déclaration de tout effet indésirable au pharmacien ou au médecin traitant est obligatoire.</w:t>
      </w:r>
    </w:p>
    <w:p>
      <w:pPr>
        <w:pStyle w:val="Heading4"/>
      </w:pPr>
      <w:r>
        <w:t>11. Notes, règles d'or et pièges au comptoir</w:t>
      </w:r>
    </w:p>
    <w:p>
      <w:r/>
      <w:r>
        <w:rPr>
          <w:b/>
        </w:rPr>
        <w:t>Règle d'or n°1</w:t>
      </w:r>
      <w:r>
        <w:t xml:space="preserve"> : ne jamais utiliser la solution glucose 2,5 %/NaCl 0,45 % pour la correction rapide d'une hypernatrémie sévère — risque d'œdème cérébral aigu. La baisse maximale de la natrémie est de 0,5 mmol/L/h (12 mmol/L/24 heures).</w:t>
      </w:r>
    </w:p>
    <w:p>
      <w:r/>
      <w:r>
        <w:rPr>
          <w:b/>
        </w:rPr>
        <w:t>Règle d'or n°2</w:t>
      </w:r>
      <w:r>
        <w:t xml:space="preserve"> : ne pas perfuser cette solution seule pendant plus de 48 heures — risque d'hyponatrémie de dilution et d'hypokaliémie. Toujours associer un apport sodé minimal (NaCl 0,9 %) et potassique (1-2 g KCl/L).</w:t>
      </w:r>
    </w:p>
    <w:p>
      <w:r/>
      <w:r>
        <w:rPr>
          <w:b/>
        </w:rPr>
        <w:t>Piège n°1</w:t>
      </w:r>
      <w:r>
        <w:t xml:space="preserve"> : la solution n'est PAS isotonique — son osmolarité de 280 mOsm/L est légèrement hypotonique, ce qui peut provoquer un gonflement cellulaire en perfusion prolongée. Ne pas confondre avec le glucose 5 % isotonique ou le NaCl 0,9 % isotonique.</w:t>
      </w:r>
    </w:p>
    <w:p>
      <w:r/>
      <w:r>
        <w:rPr>
          <w:b/>
        </w:rPr>
        <w:t>Piège n°2</w:t>
      </w:r>
      <w:r>
        <w:t xml:space="preserve"> : chez le diabétique, l'apport de 25 g de glucose par litre peut déséquilibrer la glycémie. Préférer le NaCl 0,9 % pur et surveiller la glycémie capillaire.</w:t>
      </w:r>
    </w:p>
    <w:p>
      <w:r/>
      <w:r>
        <w:rPr>
          <w:b/>
        </w:rPr>
        <w:t>Piège n°3</w:t>
      </w:r>
      <w:r>
        <w:t xml:space="preserve"> : chez la femme jeune en péri-opératoire, le risque d'encéphalopathie hyponatrémique est majoré. Préférer le Ringer lactate en péri-opératoire.</w:t>
      </w:r>
    </w:p>
    <w:p>
      <w:r/>
      <w:r>
        <w:rPr>
          <w:b/>
        </w:rPr>
        <w:t>Piège n°4</w:t>
      </w:r>
      <w:r>
        <w:t xml:space="preserve"> : la solution ne contient PAS de potassium — l'apport potassique doit être systématiquement ajouté en cas de perfusion prolongée (1-2 g KCl/L).</w:t>
      </w:r>
    </w:p>
    <w:p>
      <w:r/>
      <w:r>
        <w:rPr>
          <w:b/>
        </w:rPr>
        <w:t>Piège n°5</w:t>
      </w:r>
      <w:r>
        <w:t xml:space="preserve"> : incompatibilité physico-chimique avec l'amphotéricine B et certains antibiotiques (ceftriaxone, imipénème) — vérifier les tables de compatibilité.</w:t>
      </w:r>
    </w:p>
    <w:p>
      <w:pPr>
        <w:pStyle w:val="Heading3"/>
      </w:pPr>
      <w:r>
        <w:t>221.4 Polyéthylène glycol 4000 + électrolytes (FORTRANS) — préparation colique orale</w:t>
      </w:r>
    </w:p>
    <w:p>
      <w:pPr>
        <w:pStyle w:val="Heading4"/>
      </w:pPr>
      <w:r>
        <w:t>1. Liste des catégories thérapeutiques</w:t>
      </w:r>
    </w:p>
    <w:p>
      <w:r>
        <w:t xml:space="preserve">L'association polyéthylène glycol 4000 (PEG 4000) + sulfate de sodium anhydre + bicarbonate de sodium + chlorure de sodium + chlorure de potassium est classée au niveau ATC comme </w:t>
      </w:r>
      <w:r>
        <w:rPr>
          <w:b/>
        </w:rPr>
        <w:t>A06AD65</w:t>
      </w:r>
      <w:r>
        <w:t xml:space="preserve"> (laxatifs osmotiques, associations avec électrolytes). Sur le plan réglementaire algérien, elle relève de la liste I des substances vénéneuses en raison de son usage préparatoire à des actes diagnostiques et chirurgicaux. Elle appartient à la sous-classe des </w:t>
      </w:r>
      <w:r>
        <w:rPr>
          <w:b/>
        </w:rPr>
        <w:t>laxatifs osmotiques macromoléculaires</w:t>
      </w:r>
      <w:r>
        <w:t xml:space="preserve"> et est utilisée comme solution de préparation colique pour coloscopie et chirurgie colorectale. La spécialité FORTRANS est inscrite dans la nomenclature algérienne comme « Poudre pour solution buvable en sachet dose ». Le code ATC A06AD65 désigne les laxatifs osmotiques en association. La solution préparée est isotonique par rapport au plasma, ce qui évite les transferts hydriques massifs.</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FORTRANS</w:t>
            </w:r>
          </w:p>
        </w:tc>
        <w:tc>
          <w:tcPr>
            <w:tcW w:type="dxa" w:w="1385"/>
          </w:tcPr>
          <w:p>
            <w:r>
              <w:rPr>
                <w:rFonts w:ascii="Times New Roman" w:hAnsi="Times New Roman"/>
                <w:sz w:val="20"/>
              </w:rPr>
              <w:t>Mayoly Pharma France</w:t>
            </w:r>
          </w:p>
        </w:tc>
        <w:tc>
          <w:tcPr>
            <w:tcW w:type="dxa" w:w="1385"/>
          </w:tcPr>
          <w:p>
            <w:r>
              <w:rPr>
                <w:rFonts w:ascii="Times New Roman" w:hAnsi="Times New Roman"/>
                <w:sz w:val="20"/>
              </w:rPr>
              <w:t>Poudre pour solution buvable en sachet dose — PEG 4000 64 g + sulfate de sodium anhydre 5,7 g + bicarbonate de sodium 1,68 g + chlorure de sodium 1,46 g + chlorure de potassium 0,75 g / sachet</w:t>
            </w:r>
          </w:p>
        </w:tc>
        <w:tc>
          <w:tcPr>
            <w:tcW w:type="dxa" w:w="1385"/>
          </w:tcPr>
          <w:p>
            <w:r>
              <w:rPr>
                <w:rFonts w:ascii="Times New Roman" w:hAnsi="Times New Roman"/>
                <w:sz w:val="20"/>
              </w:rPr>
              <w:t>Boîte de 4 sachets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chaque sachet de FORTRANS contient 64 g de PEG 4000 et doit être dissous dans 1 L d'eau. La dose recommandée pour une préparation colique complète chez l'adulte est de 3 à 4 L de solution, soit 3 à 4 sachets. La solution préparée est isotonique (osmolarité voisine de 280-300 mOsm/L), ce qui prévient l'absorption digestive massive d'eau et d'électrolytes.</w:t>
      </w:r>
    </w:p>
    <w:p>
      <w:pPr>
        <w:pStyle w:val="Heading4"/>
      </w:pPr>
      <w:r>
        <w:t>3. Sous-classe et mécanisme d'action moléculaire</w:t>
      </w:r>
    </w:p>
    <w:p>
      <w:r>
        <w:t>Le polyéthylène glycol 4000 (macrogol 4000) est un polymère linéaire d'éthylène glycol de poids moléculaire 4000 Da, non absorbé par la muqueuse digestive, non métabolisé par les bactéries coliques, et exerçant un effet osmotique pur dans la lumière intestinale. Le PEG retient l'eau par pression osmotique élevée, augmentant le volume liquidien intraluminal et stimulant le péristaltisme par distension mécanique des parois coliques. L'association à des électrolytes (sulfate de sodium, bicarbonate, NaCl, KCl) maintient l'isotonicité de la solution par rapport au plasma, ce qui prévient les transferts hydrosodés massifs et l'évolution vers une hyponatrémie de dilution ou une hypernatrémie de déshydratation. Le sulfate de sodium est un anion osmotiquement actif qui exerce un effet laxatif propre (effet cathartique anionique) en retenant l'eau par osmolarité. Le bicarbonate de sodium alcalinise la solution et prévient l'acidification colique par fermentation bactérienne. Le chlorure de potassium prévient l'hypokaliémie de perte. Le délai d'action est de 1 à 2 heures après la première prise, avec une durée d'action de 4 à 6 heures. Le PEG est excrété intact dans les selles sans absorption systémique significative (&lt; 1 % de la dose ingérée).</w:t>
      </w:r>
    </w:p>
    <w:p>
      <w:pPr>
        <w:pStyle w:val="Heading4"/>
      </w:pPr>
      <w:r>
        <w:t>4. Profil pharmacologique</w:t>
      </w:r>
    </w:p>
    <w:p>
      <w:r/>
      <w:r>
        <w:rPr>
          <w:b/>
        </w:rPr>
        <w:t>Indications</w:t>
      </w:r>
      <w:r>
        <w:t xml:space="preserve"> : préparation colique avant coloscopie, sigmoïdoscopie ou chirurgie colorectale ; lavage colique en cas de constipation sévère résistante aux laxatifs habituels ; préparation à l'irrigoscopie ; traitement de la fécalome chez l'adulte et l'enfant &gt; 8 ans. </w:t>
      </w:r>
      <w:r>
        <w:rPr>
          <w:b/>
        </w:rPr>
        <w:t>Contre-indications</w:t>
      </w:r>
      <w:r>
        <w:t xml:space="preserve"> : occlusion intestinale ou suspicion d'occlusion ; iléus paralytique ; mégacôlon toxique ; perforation digestive ou suspicion de perforation ; colite sévère (rectocolite hémorragique poussée aiguë, maladie de Crohn active) ; vomissements incoercibles ; déshydratation sévère ; insuffisance cardiaque congestive décompensée ; insuffisance rénale sévère (DFG &lt; 30 mL/min) ; allergie au PEG. </w:t>
      </w:r>
      <w:r>
        <w:rPr>
          <w:b/>
        </w:rPr>
        <w:t>Effets indésirables</w:t>
      </w:r>
      <w:r>
        <w:t xml:space="preserve"> : nausées, vomissements (20-30 % des cas), douleurs abdominales crampoïdes, ballonnements, distension abdominale, diarrhée profuse, hypokaliémie (en cas de préparation prolongée), hyponatrémie (rare mais grave, en particulier chez la femme jeune et le patient âgé), déshydratation, hypotension orthostatique, céphalées, allergie (urticaire, angio-œdème, choc anaphylactique exceptionnel), régurgitation avec inhalation (prudence chez le sujet âgé avec troubles de la déglutition). Des cas rares de syndrome dysnatrémique grave (encéphalopathie hyponatrémique) ont été rapportés, en particulier chez la femme jeune en période péri-menstruelle.</w:t>
      </w:r>
    </w:p>
    <w:p>
      <w:pPr>
        <w:pStyle w:val="Heading4"/>
      </w:pPr>
      <w:r>
        <w:t>5. Prévention et gestion des effets indésirables</w:t>
      </w:r>
    </w:p>
    <w:p>
      <w:r>
        <w:t xml:space="preserve">La prévention de la </w:t>
      </w:r>
      <w:r>
        <w:rPr>
          <w:b/>
        </w:rPr>
        <w:t>déshydratation et des troubles électrolytiques</w:t>
      </w:r>
      <w:r>
        <w:t xml:space="preserve"> repose sur : (1) la vérification de la tolérance digestive (prises fractionnées, espacement de 15-30 min entre chaque verre) ; (2) l'hydratation complémentaire par liquides clairs (eau, thé, café sans lait, jus de fruit clair filtré) pendant la préparation ; (3) la surveillance clinique (pression artérielle, fréquence cardiaque, diurèse) chez le sujet âgé et la femme jeune ; (4) l'arrêt immédiat en cas de vomissements incoercibles, douleur abdominale intense, troubles de la conscience ; (5) l'éviction des diurétiques, IEC, ARA2, AINS pendant la préparation. La prévention des </w:t>
      </w:r>
      <w:r>
        <w:rPr>
          <w:b/>
        </w:rPr>
        <w:t>nausées et vomissements</w:t>
      </w:r>
      <w:r>
        <w:t xml:space="preserve"> est améliorée par la prise préalable d'antiémétiques (métoclopramide 10 mg IV 30 min avant) en cas d'antécédents d'intolérance. La prévention de l'</w:t>
      </w:r>
      <w:r>
        <w:rPr>
          <w:b/>
        </w:rPr>
        <w:t>inhalation</w:t>
      </w:r>
      <w:r>
        <w:t xml:space="preserve"> chez le sujet âgé impose la position assise ou demi-assise pendant la prise, et le fractionnement sur 2 jours (prep-split) pour les patients à risque. La prévention de l'</w:t>
      </w:r>
      <w:r>
        <w:rPr>
          <w:b/>
        </w:rPr>
        <w:t>allergie</w:t>
      </w:r>
      <w:r>
        <w:t xml:space="preserve"> repose sur l'interrogatoire attentif (atopie, allergie aux macrogols, polyosides). En cas d'</w:t>
      </w:r>
      <w:r>
        <w:rPr>
          <w:b/>
        </w:rPr>
        <w:t>hyponatrémie symptomatique</w:t>
      </w:r>
      <w:r>
        <w:t xml:space="preserve"> : arrêt immédiat du PEG, restriction hydrique, natrémie de contrôle, correction lente (baisse maximale 0,5 mmol/L/h pour ne pas provoquer un syndrome de démyélinisation osmotique). En cas d'</w:t>
      </w:r>
      <w:r>
        <w:rPr>
          <w:b/>
        </w:rPr>
        <w:t>hypokaliémie</w:t>
      </w:r>
      <w:r>
        <w:t xml:space="preserve"> : supplémentation potassique orale ou IV selon la sévérité.</w:t>
      </w:r>
    </w:p>
    <w:p>
      <w:pPr>
        <w:pStyle w:val="Heading4"/>
      </w:pPr>
      <w:r>
        <w:t>6. Interactions médicamenteuses</w:t>
      </w:r>
    </w:p>
    <w:p>
      <w:r>
        <w:t xml:space="preserve">Le PEG 4000 présente peu d'interactions cliniquement significatives en raison de son absence d'absorption systémique. Les principales interactions sont pharmacocinétiques par modification de l'absorption digestive des médicaments administrés simultanément : (1) </w:t>
      </w:r>
      <w:r>
        <w:rPr>
          <w:b/>
        </w:rPr>
        <w:t>diminution de l'absorption des médicaments à index thérapeutique étroit</w:t>
      </w:r>
      <w:r>
        <w:t xml:space="preserve"> (digoxine, anticoagulants oraux, antiépileptiques, contraceptifs oraux) — espacer la prise d'au moins 2 heures ; (2) </w:t>
      </w:r>
      <w:r>
        <w:rPr>
          <w:b/>
        </w:rPr>
        <w:t>diminution de l'efficacité des antihypertenseurs</w:t>
      </w:r>
      <w:r>
        <w:t xml:space="preserve"> (lisinopril, losartan) par accélération du transit ; (3) </w:t>
      </w:r>
      <w:r>
        <w:rPr>
          <w:b/>
        </w:rPr>
        <w:t>modification de l'absorption des antibiotiques</w:t>
      </w:r>
      <w:r>
        <w:t xml:space="preserve"> ; (4) </w:t>
      </w:r>
      <w:r>
        <w:rPr>
          <w:b/>
        </w:rPr>
        <w:t>arrêt transitoire des diurétiques</w:t>
      </w:r>
      <w:r>
        <w:t xml:space="preserve"> pendant la préparation (risque d'hypokaliémie et de déshydratation). Le PEG ne présente pas d'interaction avec le cytochrome P450. L'association aux AINS, aux IEC et aux ARA2 majore le risque d'insuffisance rénale aiguë fonctionnelle en cas de déshydratation. L'association aux laxatifs stimulants (sennosides, bisacodyl) potentialise l'effet cathartique et le risque électrolytique.</w:t>
      </w:r>
    </w:p>
    <w:p>
      <w:pPr>
        <w:pStyle w:val="Heading4"/>
      </w:pPr>
      <w:r>
        <w:t>7. Grossesse et allaitement (CRAT)</w:t>
      </w:r>
    </w:p>
    <w:p>
      <w:r>
        <w:t>Le PEG 4000 avec électrolytes doit être évité pendant le premier trimestre de la grossesse par prudence, et utilisé au cours des deuxième et troisième trimestres uniquement sur indication stricte (constipation sévère résistante aux mesures diététiques). Le CRAT classe le PEG pur (sans électrolytes) dans la catégorie « non tératogène », mais la solution avec électrolytes doit être utilisée avec prudence en raison du risque théorique de déséquilibre électrolytique maternel et fœtal. Pendant l'allaitement, le PEG n'est pas excrété dans le lait maternel (absorption digestive négligeable) et la solution est compatible. Chez la femme enceinte présentant une constipation sévère, préférer les mesures diététiques (fibres, hydratation) en première intention, le PEG sans électrolytes (Forlax) en deuxième intention, et réserver le PEG avec électrolytes (FORTRANS) aux préparations coliques obligatoires (coloscopie diagnostique urgente).</w:t>
      </w:r>
    </w:p>
    <w:p>
      <w:pPr>
        <w:pStyle w:val="Heading4"/>
      </w:pPr>
      <w:r>
        <w:t>8. Posologie et mode d'administration</w:t>
      </w:r>
    </w:p>
    <w:p>
      <w:r>
        <w:t xml:space="preserve">Chez l'adulte : (1) </w:t>
      </w:r>
      <w:r>
        <w:rPr>
          <w:b/>
        </w:rPr>
        <w:t>préparation colique standard</w:t>
      </w:r>
      <w:r>
        <w:t xml:space="preserve"> : 3 à 4 L de solution (soit 3 à 4 sachets dissous chacun dans 1 L d'eau), à répartir sur la veille de l'examen (prep-split recommandé) : 2 L la veille au soir (entre 17h et 21h) et 2 L le matin de l'examen (entre 5h et 9h), à raison d'un verre de 250 mL toutes les 15-20 minutes ; (2) </w:t>
      </w:r>
      <w:r>
        <w:rPr>
          <w:b/>
        </w:rPr>
        <w:t>prep-split</w:t>
      </w:r>
      <w:r>
        <w:t xml:space="preserve"> : 2 L la veille au soir + 2 L le matin de l'examen (4-6 heures avant l'heure prévue) ; (3) </w:t>
      </w:r>
      <w:r>
        <w:rPr>
          <w:b/>
        </w:rPr>
        <w:t>prep-day</w:t>
      </w:r>
      <w:r>
        <w:t xml:space="preserve"> : 4 L le matin de l'examen (à éviter, tolérance médiocre). Le débit de prise est de 1 L/h. Chez l'enfant &gt; 8 ans : 25-40 mL/kg/h, sans dépasser 1 L/h. Chez le sujet âgé : prep-split obligatoire, hydratation complémentaire, surveillance clinique rapprochée. La solution doit être préparée extemporanément, conservée au réfrigérateur (améliore la tolérance) et utilisée dans les 24 heures. La prise s'effectue par voie orale. Le patient doit rester à jeun strict pendant les 4 heures précédant l'examen. La consommation d'alcool, de lait, de jus de fruit trouble, d'aliments solides est interdite pendant la préparation.</w:t>
      </w:r>
    </w:p>
    <w:p>
      <w:pPr>
        <w:pStyle w:val="Heading4"/>
      </w:pPr>
      <w:r>
        <w:t>9. Arbitrage et bénéfices des formes galéniques</w:t>
      </w:r>
    </w:p>
    <w:p>
      <w:r>
        <w:t>La solution FORTRANS se présente en sachets de poudre à dissoudre dans 1 L d'eau, forme galénique qui présente l'avantage d'une stabilité prolongée à température ambiante (3 ans), d'un encombrement réduit, et d'un coût réduit par rapport aux solutions prêtes à l'emploi (Pico-Salax, Moviprep). L'inconvénient majeur est la nécessité de dissolution manuelle, qui peut être source d'erreur (sous-dosage par dissolution incomplète) et de mauvaise tolérance (volume à ingérer de 4 L). Les solutions alternatives de moindre volume (Moviprep 2 L + 1 L de liquide clair, Pico-Salax 300 mL + 3 L de liquide clair, Clens Fleet 90 mL) offrent une meilleure tolérance mais ne sont pas commercialisées en Algérie. La solution FORTRANS contient des électrolytes, ce qui la sécurise par rapport au PEG pur sans électrolytes (Forlax) qui peut provoquer une hyponatrémie de dilution. Le pharmacien doit guider le patient sur le mode de préparation, le fractionnement et l'hydratation complémentaire. Le conditionnement en boîte de 4 sachets correspond à la dose standard pour une préparation complète.</w:t>
      </w:r>
    </w:p>
    <w:p>
      <w:pPr>
        <w:pStyle w:val="Heading4"/>
      </w:pPr>
      <w:r>
        <w:t>10. Instructions et conseils au patient</w:t>
      </w:r>
    </w:p>
    <w:p>
      <w:r>
        <w:t>Les conseils au patient portent sur : (1) la préparation de la solution : dissoudre 1 sachet dans 1 L d'eau potable (eau filtrée ou minérale), bien mélanger jusqu'à dissolution complète ; (2) la conservation au réfrigérateur après dissolution (améliore la tolérance digestive) ; (3) l'usage dans les 24 heures ; (4) la prise fractionnée : 1 verre de 250 mL toutes les 15-20 minutes, sans précipitation ; (5) la tolérance : nausées et vomissements fréquents, espacer les prises si besoin, consulter en cas d'intolérance majeure ; (6) l'hydratation complémentaire par liquides clairs (eau, thé, café sans lait, jus clair filtré) entre les prises ; (7) la diète : alimentation légère sans résidus la veille (riz, pâtes, viande maigre, gelée), jeûne strict pendant les 4 heures précédant l'examen ; (8) la surveillance : consulter en urgence en cas de vomissements incoercibles, douleur abdominale intense, troubles de la conscience, malaise, fièvre ; (9) l'arrêt des médicaments à index thérapeutique étroit 2 heures avant et après la prise (anticoagulants oraux, anticonvulsivants, contraceptifs oraux) ; (10) la prévention de la déshydratation chez le sujet âgé et la femme jeune. Le patient doit recevoir une fiche d'information écrite détaillée.</w:t>
      </w:r>
    </w:p>
    <w:p>
      <w:pPr>
        <w:pStyle w:val="Heading4"/>
      </w:pPr>
      <w:r>
        <w:t>11. Notes, règles d'or et pièges au comptoir</w:t>
      </w:r>
    </w:p>
    <w:p>
      <w:r/>
      <w:r>
        <w:rPr>
          <w:b/>
        </w:rPr>
        <w:t>Règle d'or n°1</w:t>
      </w:r>
      <w:r>
        <w:t xml:space="preserve"> : ne jamais administrer FORTRANS à un patient présentant une occlusion intestinale, un iléus paralytique, une suspicion de perforation digestive, un mégacôlon toxique ou une colite sévère — risque vital (perforation, péritonite).</w:t>
      </w:r>
    </w:p>
    <w:p>
      <w:r/>
      <w:r>
        <w:rPr>
          <w:b/>
        </w:rPr>
        <w:t>Règle d'or n°2</w:t>
      </w:r>
      <w:r>
        <w:t xml:space="preserve"> : ne jamais dépasser la dose recommandée de 4 L/24 heures — risque de déséquilibre électrolytique sévère (hyponatrémie, hypokaliémie) et d'encéphalopathie hyponatrémique.</w:t>
      </w:r>
    </w:p>
    <w:p>
      <w:r/>
      <w:r>
        <w:rPr>
          <w:b/>
        </w:rPr>
        <w:t>Piège n°1</w:t>
      </w:r>
      <w:r>
        <w:t xml:space="preserve"> : la solution FORTRANS contient du PEG 4000 et des électrolytes, ce qui la rend isotonique par rapport au plasma. Ne pas la confondre avec le PEG sans électrolytes (Forlax 10 g) qui est utilisé comme laxatif osmotique simple à faible dose (10-20 g/jour) en traitement d'entretien de la constipation.</w:t>
      </w:r>
    </w:p>
    <w:p>
      <w:r/>
      <w:r>
        <w:rPr>
          <w:b/>
        </w:rPr>
        <w:t>Piège n°2</w:t>
      </w:r>
      <w:r>
        <w:t xml:space="preserve"> : chez la femme jeune en période péri-menstruelle, le risque d'encéphalopathie hyponatrémique est majoré en raison de la sensibilité accrue à l'hypothèse d'un facteur hormonal œstroprogestatif. Préférer une préparation de moindre volume si disponible.</w:t>
      </w:r>
    </w:p>
    <w:p>
      <w:r/>
      <w:r>
        <w:rPr>
          <w:b/>
        </w:rPr>
        <w:t>Piège n°3</w:t>
      </w:r>
      <w:r>
        <w:t xml:space="preserve"> : chez le sujet âgé, le risque de déshydratation, d'inhalation et de troubles électrolytiques est majoré. Préférer un prep-split sur 2 jours, hydratation complémentaire, surveillance rapprochée.</w:t>
      </w:r>
    </w:p>
    <w:p>
      <w:r/>
      <w:r>
        <w:rPr>
          <w:b/>
        </w:rPr>
        <w:t>Piège n°4</w:t>
      </w:r>
      <w:r>
        <w:t xml:space="preserve"> : l'arrêt des diurétiques, IEC, ARA2, AINS est recommandé pendant la préparation pour prévenir l'insuffisance rénale aiguë fonctionnelle.</w:t>
      </w:r>
    </w:p>
    <w:p>
      <w:r/>
      <w:r>
        <w:rPr>
          <w:b/>
        </w:rPr>
        <w:t>Piège n°5</w:t>
      </w:r>
      <w:r>
        <w:t xml:space="preserve"> : la prise concomitante de médicaments à index thérapeutique étroit (digoxine, AVK, antiépileptiques, contraceptifs oraux) doit être espacée d'au moins 2 heures du PEG pour éviter une baisse d'efficacité.</w:t>
      </w:r>
    </w:p>
    <w:p>
      <w:pPr>
        <w:pStyle w:val="Heading3"/>
      </w:pPr>
      <w:r>
        <w:t>221.5 Ringer lactate (LACTAFLEX)</w:t>
      </w:r>
    </w:p>
    <w:p>
      <w:pPr>
        <w:pStyle w:val="Heading4"/>
      </w:pPr>
      <w:r>
        <w:t>1. Liste des catégories thérapeutiques</w:t>
      </w:r>
    </w:p>
    <w:p>
      <w:r>
        <w:t xml:space="preserve">Le Ringer lactate (solution de Ringer lactate, solution de Hartmann) est classé au niveau ATC comme </w:t>
      </w:r>
      <w:r>
        <w:rPr>
          <w:b/>
        </w:rPr>
        <w:t>B05BB01</w:t>
      </w:r>
      <w:r>
        <w:t xml:space="preserve"> (solutions électrolytiques avec électrolytes multiples, dont lactate). Sur le plan réglementaire algérien, il relève de la liste I des substances vénéneuses en raison de son administration parentérale. Il appartient à la sous-classe des </w:t>
      </w:r>
      <w:r>
        <w:rPr>
          <w:b/>
        </w:rPr>
        <w:t>cristalloïdes équilibrés</w:t>
      </w:r>
      <w:r>
        <w:t xml:space="preserve"> (ou « balanced crystalloids »), dont la composition électrolytique se rapproche de celle du plasma physiologique, avec un </w:t>
      </w:r>
      <w:r>
        <w:rPr>
          <w:i/>
        </w:rPr>
        <w:t>Strong Ion Difference</w:t>
      </w:r>
      <w:r>
        <w:t xml:space="preserve"> (SID) d'environ 28-30 mEq/L (proche du SID plasmatique normal de 40 mEq/L), ce qui en fait une solution métaboliquement équilibrée, à la différence du NaCl 0,9 % dont le SID est nul. La spécialité LACTAFLEX est inscrite dans la nomenclature algérienne comme solution pour perfusion en poche de 500 mL. Le lactate, métabolisé en bicarbonate par le foie, exerce un effet tampon métabolique qui prévient l'acidose perfusion-induite. La solution est inscrite sur la liste des médicaments essentiels de l'OMS comme cristalloïde de première intention pour la réanimation.</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LACTAFLEX</w:t>
            </w:r>
          </w:p>
        </w:tc>
        <w:tc>
          <w:tcPr>
            <w:tcW w:type="dxa" w:w="1385"/>
          </w:tcPr>
          <w:p>
            <w:r>
              <w:rPr>
                <w:rFonts w:ascii="Times New Roman" w:hAnsi="Times New Roman"/>
                <w:sz w:val="20"/>
              </w:rPr>
              <w:t>Industries Médico-Chirurgicales (IMC)</w:t>
            </w:r>
          </w:p>
        </w:tc>
        <w:tc>
          <w:tcPr>
            <w:tcW w:type="dxa" w:w="1385"/>
          </w:tcPr>
          <w:p>
            <w:r>
              <w:rPr>
                <w:rFonts w:ascii="Times New Roman" w:hAnsi="Times New Roman"/>
                <w:sz w:val="20"/>
              </w:rPr>
              <w:t>Solution pour perfusion — NaCl 0,6 g + KCl 0,04 g + CaCl₂·2H₂O 0,027 g + lactate de sodium 0,32 g / 100 mL</w:t>
            </w:r>
          </w:p>
        </w:tc>
        <w:tc>
          <w:tcPr>
            <w:tcW w:type="dxa" w:w="1385"/>
          </w:tcPr>
          <w:p>
            <w:r>
              <w:rPr>
                <w:rFonts w:ascii="Times New Roman" w:hAnsi="Times New Roman"/>
                <w:sz w:val="20"/>
              </w:rPr>
              <w:t>Poche 500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Composition détaillée par litre</w:t>
      </w:r>
      <w:r>
        <w:t xml:space="preserve"> (selon RCP) : sodium 131,23 mmol ; potassium 5,37 mmol ; calcium 1,83 mmol ; chlorures 111,69 mmol ; lactates 28,56 mmol. </w:t>
      </w:r>
      <w:r>
        <w:rPr>
          <w:b/>
        </w:rPr>
        <w:t>Osmolarité théorique</w:t>
      </w:r>
      <w:r>
        <w:t xml:space="preserve"> : 273 mOsm/L (légèrement hypotonique par rapport au plasma). </w:t>
      </w:r>
      <w:r>
        <w:rPr>
          <w:b/>
        </w:rPr>
        <w:t>SID</w:t>
      </w:r>
      <w:r>
        <w:t xml:space="preserve"> : 28-30 mEq/L. </w:t>
      </w:r>
      <w:r>
        <w:rPr>
          <w:b/>
        </w:rPr>
        <w:t>pH</w:t>
      </w:r>
      <w:r>
        <w:t xml:space="preserve"> : 5,5-7,0.</w:t>
      </w:r>
    </w:p>
    <w:p>
      <w:pPr>
        <w:pStyle w:val="Heading4"/>
      </w:pPr>
      <w:r>
        <w:t>3. Sous-classe et mécanisme d'action moléculaire</w:t>
      </w:r>
    </w:p>
    <w:p>
      <w:r>
        <w:t xml:space="preserve">Le Ringer lactate appartient à la sous-classe des </w:t>
      </w:r>
      <w:r>
        <w:rPr>
          <w:b/>
        </w:rPr>
        <w:t>cristalloïdes équilibrés</w:t>
      </w:r>
      <w:r>
        <w:t xml:space="preserve">. Sa composition est conçue pour se rapprocher du plasma physiologique : sodium 131 mmol/L (vs 135-145 mmol/L plasmatique), potassium 5,4 mmol/L (vs 3,5-5,0 mmol/L), calcium 1,8 mmol/L (vs 2,2-2,6 mmol/L), chlorures 112 mmol/L (vs 95-105 mmol/L), lactates 29 mmol/L. Le mécanisme d'action repose sur : (1) </w:t>
      </w:r>
      <w:r>
        <w:rPr>
          <w:b/>
        </w:rPr>
        <w:t>apport volémique</w:t>
      </w:r>
      <w:r>
        <w:t xml:space="preserve"> par restitution du compartiment extracellulaire avec une efficacité comparable au NaCl 0,9 % à la première heure (250-300 mL restent dans le compartiment vasculaire à 1 heure) ; (2) </w:t>
      </w:r>
      <w:r>
        <w:rPr>
          <w:b/>
        </w:rPr>
        <w:t>effet tampon métabolique</w:t>
      </w:r>
      <w:r>
        <w:t xml:space="preserve"> du lactate, métabolisé en bicarbonate par le foie (cycle de Cori) avec consommation d'ions H⁺, ce qui prévient l'acidose hyperchlorémique perfusion-induite observée avec le NaCl 0,9 % (essai SMART 2018, essai SPLIT 2015) ; (3) </w:t>
      </w:r>
      <w:r>
        <w:rPr>
          <w:b/>
        </w:rPr>
        <w:t>apport potassique modéré</w:t>
      </w:r>
      <w:r>
        <w:t xml:space="preserve"> (5,4 mmol/L) qui prévient l'hypokaliémie de dilution ; (4) </w:t>
      </w:r>
      <w:r>
        <w:rPr>
          <w:b/>
        </w:rPr>
        <w:t>apport calcique</w:t>
      </w:r>
      <w:r>
        <w:t xml:space="preserve"> (1,8 mmol/L) qui soutient la contraction myocardique. Le lactate est métabolisé à 70 % par le foie (cycle de Cori → glucose par néoglucogenèse), à 20-30 % par le rein (néoglucogenèse) et le muscle squelettique. La demi-vie d'élimination du lactate perfusé est de 20-30 minutes chez le sujet sain, mais peut être prolongée en cas d'insuffisance hépatocellulaire sévère ou de choc (accumulation de lactate endogène).</w:t>
      </w:r>
    </w:p>
    <w:p>
      <w:pPr>
        <w:pStyle w:val="Heading4"/>
      </w:pPr>
      <w:r>
        <w:t>4. Profil pharmacologique</w:t>
      </w:r>
    </w:p>
    <w:p>
      <w:r/>
      <w:r>
        <w:rPr>
          <w:b/>
        </w:rPr>
        <w:t>Indications</w:t>
      </w:r>
      <w:r>
        <w:t xml:space="preserve"> : remplissage vasculaire au cours des hypovolémies (hémorragie, déshydratation, choc septique — Surviving Sepsis Campaign 2021 : cristalloïdes de première intention, préférence pour les équilibrés) ; apport hydrique et électrolytique d'entretien ; correction de l'acidose métabolique légère à modérée ; véhicule de dilution pour médicaments injectables (en respectant les compatibilités) ; brûlures légères à modérées (préférence au NaCl 0,9 % en raison de l'acidose hyperchlorémique associée aux brûlures) ; prévention péri-opératoire de l'hypovolémie ; lavage péritonéal. </w:t>
      </w:r>
      <w:r>
        <w:rPr>
          <w:b/>
        </w:rPr>
        <w:t>Contre-indications</w:t>
      </w:r>
      <w:r>
        <w:t xml:space="preserve"> : hyperkaliémie sévère (kaliémie &gt; 6 mmol/L) — apport potassique additionnel ; insuffisance rénale sévère non dialysée avec hyperkaliémie ; insuffisance hépatocellulaire sévère (impossibilité de métaboliser le lactate — risque d'acidose lactique) ; alcalose métabolique sévère ; hypervolémie, œdème pulmonaire ; traitement concomitant par digitaliques à dose maximale (apport calcique potentialisant la toxicité digitalique) ; traumatisme crânien sévère (préférence pour le NaCl 0,9 %). </w:t>
      </w:r>
      <w:r>
        <w:rPr>
          <w:b/>
        </w:rPr>
        <w:t>Effets indésirables</w:t>
      </w:r>
      <w:r>
        <w:t xml:space="preserve"> : à dose thérapeutique, principalement liés au volume perfusé — surcharge hydrosodée (œdèmes, œdème pulmonaire, HTA) ; hyperkaliémie (rare, en cas d'insuffisance rénale associée) ; hypercalcémie (très rare, en cas de perfusion massive) ; alcalose métabolique (en cas de perfusion prolongée &gt; 5 L/24 h avec métabolisation hépatique efficace) ; hypothermie perfusion-induite (en cas de perfusion massive de solution froide) ; coagulopathie de dilution (en cas de perfusion massive &gt; 5 L). Tolérance veineuse bonne.</w:t>
      </w:r>
    </w:p>
    <w:p>
      <w:pPr>
        <w:pStyle w:val="Heading4"/>
      </w:pPr>
      <w:r>
        <w:t>5. Prévention et gestion des effets indésirables</w:t>
      </w:r>
    </w:p>
    <w:p>
      <w:r>
        <w:t xml:space="preserve">La prévention de la </w:t>
      </w:r>
      <w:r>
        <w:rPr>
          <w:b/>
        </w:rPr>
        <w:t>surcharge hydrosodée</w:t>
      </w:r>
      <w:r>
        <w:t xml:space="preserve"> repose sur l'évaluation clinique régulière (auscultation pulmonaire, pression veineuse centrale, diurèse horaire, poids quotidien), l'adaptation du débit et du volume, et la surveillance de l'état hémodynamique. Chez le patient âgé, insuffisant cardiaque ou cirrhotique, le débit maximal est de 1-2 mL/kg/h. La prévention de l'</w:t>
      </w:r>
      <w:r>
        <w:rPr>
          <w:b/>
        </w:rPr>
        <w:t>hyperkaliémie</w:t>
      </w:r>
      <w:r>
        <w:t xml:space="preserve"> impose la vérification systématique de la kaliémie avant perfusion, surtout chez l'insuffisant rénal ; en cas de kaliémie &gt; 5,0 mmol/L, préférer le NaCl 0,9 % ou le Plasma-Lyte. La prévention de l'</w:t>
      </w:r>
      <w:r>
        <w:rPr>
          <w:b/>
        </w:rPr>
        <w:t>alcalose métabolique</w:t>
      </w:r>
      <w:r>
        <w:t xml:space="preserve"> impose la limitation de la perfusion à 5 L/24 h et la surveillance de la gazométrie artérielle. La prévention de l'</w:t>
      </w:r>
      <w:r>
        <w:rPr>
          <w:b/>
        </w:rPr>
        <w:t>hypothermie perfusion-induite</w:t>
      </w:r>
      <w:r>
        <w:t xml:space="preserve"> impose le réchauffement de la solution à 37 °C en cas de perfusion massive (réchauffeur de solutés). La prévention de la </w:t>
      </w:r>
      <w:r>
        <w:rPr>
          <w:b/>
        </w:rPr>
        <w:t>coagulopathie de dilution</w:t>
      </w:r>
      <w:r>
        <w:t xml:space="preserve"> impose l'apport concomitant de culots globulaires, PFC et plaquettes en cas de perfusion massive (ratio 1:1:1 selon le protocole de réanimation traumatique). En cas d'</w:t>
      </w:r>
      <w:r>
        <w:rPr>
          <w:b/>
        </w:rPr>
        <w:t>acidose lactique préexistante</w:t>
      </w:r>
      <w:r>
        <w:t xml:space="preserve"> (lactates &gt; 5 mmol/L), préférer le Plasma-Lyte (sans lactate) au Ringer lactate pour éviter la confusion diagnostique sur l'origine du lactate (perfusé vs endogène).</w:t>
      </w:r>
    </w:p>
    <w:p>
      <w:pPr>
        <w:pStyle w:val="Heading4"/>
      </w:pPr>
      <w:r>
        <w:t>6. Interactions médicamenteuses</w:t>
      </w:r>
    </w:p>
    <w:p>
      <w:r>
        <w:t xml:space="preserve">Le Ringer lactate présente plusieurs interactions pharmacodynamiques et pharmaceutiques : (1) </w:t>
      </w:r>
      <w:r>
        <w:rPr>
          <w:b/>
        </w:rPr>
        <w:t>potentialisation de la toxicité digitalique par le calcium</w:t>
      </w:r>
      <w:r>
        <w:t xml:space="preserve"> — le calcium apporté par la solution potentialise l'effet inotrope positif et la toxicité de la digoxine (risque d'arythmie ventriculaire) ; prudence chez le patient digitalisé, surveillance ECG ; (2) </w:t>
      </w:r>
      <w:r>
        <w:rPr>
          <w:b/>
        </w:rPr>
        <w:t>incompatibilité physico-chimique avec certains antibiotiques</w:t>
      </w:r>
      <w:r>
        <w:t xml:space="preserve"> — ceftriaxone (précipitation de sels de calcium), ampicilline, amphotéricine B, thiopental ; (3) </w:t>
      </w:r>
      <w:r>
        <w:rPr>
          <w:b/>
        </w:rPr>
        <w:t>incompatibilité avec le sang</w:t>
      </w:r>
      <w:r>
        <w:t xml:space="preserve"> — le calcium neutralise l'anticoagulant citrate des culots globulaires (risque de coagulation du sang dans la tubulure) ; ne pas perfuser en même temps sur la même voie veineuse ; (4) </w:t>
      </w:r>
      <w:r>
        <w:rPr>
          <w:b/>
        </w:rPr>
        <w:t>interaction avec les diurétiques</w:t>
      </w:r>
      <w:r>
        <w:t xml:space="preserve"> — potentialisation de l'hypokaliémie et de l'alcalose ; (5) </w:t>
      </w:r>
      <w:r>
        <w:rPr>
          <w:b/>
        </w:rPr>
        <w:t>interaction avec les corticoïdes</w:t>
      </w:r>
      <w:r>
        <w:t xml:space="preserve"> — potentialisation de la rétention hydrosodée. Le lactate, métabolisé par le foie, n'interagit pas avec le cytochrome P450. La prudence s'impose en cas d'association aux IEC, ARA2, AINS (risque d'insuffisance rénale aiguë fonctionnelle).</w:t>
      </w:r>
    </w:p>
    <w:p>
      <w:pPr>
        <w:pStyle w:val="Heading4"/>
      </w:pPr>
      <w:r>
        <w:t>7. Grossesse et allaitement (CRAT)</w:t>
      </w:r>
    </w:p>
    <w:p>
      <w:r>
        <w:t>Le Ringer lactate est autorisé pendant toute la grossesse, sans effet tératogène ni fœtotoxique connu, et figure dans la catégorie « non tératogène » du CRAT. Il est le cristalloïde de référence pour la réanimation des hémorragies de la délivrance, du choc hémorragique obstétrical, et de la pré-éclampsie sévère (apport hydrique limité pour éviter l'œdème pulmonaire). Pendant le travail, le Ringer lactate est utilisé pour la prévention de l'hypotension après analgésie péridurale (précharge de 500 mL). Pendant l'allaitement, le Ringer lactate est compatible, sans modification significative de la composition du lait maternel. Chez le nouveau-né, le Ringer lactate peut être utilisé pour la réanimation néonatale en cas d'acidose métabolique, mais le NaCl 0,9 % reste le soluté de référence pour le bolus initial (Surviving Sepsis Campaign pédiatrique). La prudence s'impose en cas de prématurité (apport calcique et potassique à surveiller).</w:t>
      </w:r>
    </w:p>
    <w:p>
      <w:pPr>
        <w:pStyle w:val="Heading4"/>
      </w:pPr>
      <w:r>
        <w:t>8. Posologie et mode d'administration</w:t>
      </w:r>
    </w:p>
    <w:p>
      <w:r>
        <w:t xml:space="preserve">Chez l'adulte : (1) </w:t>
      </w:r>
      <w:r>
        <w:rPr>
          <w:b/>
        </w:rPr>
        <w:t>entretien hydrique</w:t>
      </w:r>
      <w:r>
        <w:t xml:space="preserve"> : 1,5-2,5 mL/kg/h (100-175 mL/h pour 70 kg) ; (2) </w:t>
      </w:r>
      <w:r>
        <w:rPr>
          <w:b/>
        </w:rPr>
        <w:t>remplissage vasculaire au cours du choc septique</w:t>
      </w:r>
      <w:r>
        <w:t xml:space="preserve"> (Surviving Sepsis Campaign 2021) : bolus initial de 30 mL/kg sur 3 heures, suivi de bolus de 500-1000 mL sur 30 minutes en fonction de la réponse hémodynamique ; (3) </w:t>
      </w:r>
      <w:r>
        <w:rPr>
          <w:b/>
        </w:rPr>
        <w:t>choc hémorragique</w:t>
      </w:r>
      <w:r>
        <w:t xml:space="preserve"> : 1-2 L en bolus rapide (500 mL sur 15 minutes), relayé par transfusion sanguine dès que disponible ; (4) </w:t>
      </w:r>
      <w:r>
        <w:rPr>
          <w:b/>
        </w:rPr>
        <w:t>déshydratation aiguë</w:t>
      </w:r>
      <w:r>
        <w:t xml:space="preserve"> : 1-2 L sur 4-6 heures ; (5) </w:t>
      </w:r>
      <w:r>
        <w:rPr>
          <w:b/>
        </w:rPr>
        <w:t>brûlures modérées</w:t>
      </w:r>
      <w:r>
        <w:t xml:space="preserve"> : formule de Parkland avec Ringer lactate : 4 mL × poids × % de surface brûlée, la moitié dans les 8 premières heures, l'autre moitié dans les 16 heures suivantes. Chez l'enfant : 20 mL/kg en bolus sur 20 minutes, à répéter selon la clinique. Chez le nouveau-né : 10 mL/kg en bolus sur 10 minutes. La voie d'administration est strictement intraveineuse (périphérique ou centrale). Le débit est contrôlé par perforateur électrique ou manuel ; calcul du débit en gouttes/min : Volume (mL) × 20 / Durée (min).</w:t>
      </w:r>
    </w:p>
    <w:p>
      <w:pPr>
        <w:pStyle w:val="Heading4"/>
      </w:pPr>
      <w:r>
        <w:t>9. Arbitrage et bénéfices des formes galéniques</w:t>
      </w:r>
    </w:p>
    <w:p>
      <w:r>
        <w:t>Le Ringer lactate LACTAFLEX se présente en poche de 500 mL en PVC, conditionnement standard pour la perfusion. Le conditionnement en poche souple présente l'avantage d'une absence de prise d'air (prévention de l'embolie gazeuse) et d'un encombrement réduit, mais expose au relargage de DEHP en cas de perfusion prolongée (&gt; 24 heures) ou de stockage à chaud. Les poches en polyoléfine (non-PVC) sont dépourvues de DEHP et préférentielles en pédiatrie et en grossesse. Le volume de 500 mL est adapté à la plupart des indications ; les volumes de 1000 mL sont disponibles pour les besoins de réanimation massive. La solution est stable 2 ans à température ambiante (15-25 °C), à l'abri de la lumière. Après ouverture, la solution doit être utilisée dans les 24 heures. La solution peut être réchauffée à 37 °C en cas de perfusion massive. La présence de calcium (1,8 mmol/L) impose la vérification des compatibilités avec les médicaments injectables associés (en particulier la ceftriaxone — contre-indication absolue).</w:t>
      </w:r>
    </w:p>
    <w:p>
      <w:pPr>
        <w:pStyle w:val="Heading4"/>
      </w:pPr>
      <w:r>
        <w:t>10. Instructions et conseils au patient</w:t>
      </w:r>
    </w:p>
    <w:p>
      <w:r>
        <w:t>Pour le patient perfusé en milieu hospitalier, les conseils portent sur : (1) la vérification de la date de péremption et de l'intégrité de la poche avant emploi ; (2) la vérification de la limpidité de la solution (rejeter toute solution trouble ou contenant des particules) ; (3) la purge complète de la tubulure avant raccordement ; (4) la surveillance du point de ponction veineux (rougeur, douleur, gonflement) et signalement immédiat au personnel soignant ; (5) la surveillance de la diurèse horaire (objectif &gt; 0,5 mL/kg/h) ; (6) la surveillance clinique de la tolérance (dyspnée, œdèmes, céphalées, confusion) ; (7) la consultation médicale immédiate en cas d'aggravation. Le patient ne doit jamais modifier le débit de perfusion sans avis médical. La déclaration de tout effet indésirable au pharmacien ou au médecin traitant est obligatoire.</w:t>
      </w:r>
    </w:p>
    <w:p>
      <w:pPr>
        <w:pStyle w:val="Heading4"/>
      </w:pPr>
      <w:r>
        <w:t>11. Notes, règles d'or et pièges au comptoir</w:t>
      </w:r>
    </w:p>
    <w:p>
      <w:r/>
      <w:r>
        <w:rPr>
          <w:b/>
        </w:rPr>
        <w:t>Règle d'or n°1</w:t>
      </w:r>
      <w:r>
        <w:t xml:space="preserve"> : le Ringer lactate est le cristalloïde de première intention pour la réanimation du choc septique (Surviving Sepsis Campaign 2021), préférentiel au NaCl 0,9 % en raison du risque d'acidose hyperchlorémique et d'insuffisance rénale aiguë associées au NaCl 0,9 %.</w:t>
      </w:r>
    </w:p>
    <w:p>
      <w:r/>
      <w:r>
        <w:rPr>
          <w:b/>
        </w:rPr>
        <w:t>Règle d'or n°2</w:t>
      </w:r>
      <w:r>
        <w:t xml:space="preserve"> : ne jamais perfuser le Ringer lactate en même temps que du sang ou des culots globulaires sur la même voie veineuse — le calcium neutralise l'anticoagulant citrate et provoque la coagulation du sang dans la tubulure.</w:t>
      </w:r>
    </w:p>
    <w:p>
      <w:r/>
      <w:r>
        <w:rPr>
          <w:b/>
        </w:rPr>
        <w:t>Piège n°1</w:t>
      </w:r>
      <w:r>
        <w:t xml:space="preserve"> : le Ringer lactate contient du potassium (5,4 mmol/L). Chez l'insuffisant rénal hyperkaliémique, préférer le NaCl 0,9 % ou le Plasma-Lyte.</w:t>
      </w:r>
    </w:p>
    <w:p>
      <w:r/>
      <w:r>
        <w:rPr>
          <w:b/>
        </w:rPr>
        <w:t>Piège n°2</w:t>
      </w:r>
      <w:r>
        <w:t xml:space="preserve"> : le Ringer lactate contient du calcium (1,8 mmol/L) qui est incompatible avec la ceftriaxone (précipitation de sels de calcium) — contre-indication absolue sur la même voie veineuse.</w:t>
      </w:r>
    </w:p>
    <w:p>
      <w:r/>
      <w:r>
        <w:rPr>
          <w:b/>
        </w:rPr>
        <w:t>Piège n°3</w:t>
      </w:r>
      <w:r>
        <w:t xml:space="preserve"> : chez le patient digitalisé, le calcium du Ringer lactate potentialise la toxicité de la digoxine (risque d'arythmie ventriculaire). Préférer le NaCl 0,9 %.</w:t>
      </w:r>
    </w:p>
    <w:p>
      <w:r/>
      <w:r>
        <w:rPr>
          <w:b/>
        </w:rPr>
        <w:t>Piège n°4</w:t>
      </w:r>
      <w:r>
        <w:t xml:space="preserve"> : en cas d'insuffisance hépatocellulaire sévère (cirrhose décompensée, hépatite fulminante), le lactate ne peut pas être métabolisé en bicarbonate, et la solution peut aggraver une acidose lactique. Préférer le Plasma-Lyte (contenant de l'acétate, métabolisé par le muscle).</w:t>
      </w:r>
    </w:p>
    <w:p>
      <w:r/>
      <w:r>
        <w:rPr>
          <w:b/>
        </w:rPr>
        <w:t>Piège n°5</w:t>
      </w:r>
      <w:r>
        <w:t xml:space="preserve"> : chez le traumatisé crânien sévère, le Ringer lactate est légèrement hypotonique (273 mOsm/L) et peut aggraver l'œdème cérébral. Préférer le NaCl 0,9 % (308 mOsm/L).</w:t>
      </w:r>
    </w:p>
    <w:p>
      <w:pPr>
        <w:pStyle w:val="Heading3"/>
      </w:pPr>
      <w:r>
        <w:t>221.6 Tableau comparatif des cristalloïdes de perfusion</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Paramètre</w:t>
            </w:r>
          </w:p>
        </w:tc>
        <w:tc>
          <w:tcPr>
            <w:tcW w:type="dxa" w:w="1385"/>
            <w:shd w:val="clear" w:color="auto" w:fill="F2F2F2"/>
          </w:tcPr>
          <w:p>
            <w:r>
              <w:rPr>
                <w:rFonts w:ascii="Times New Roman" w:hAnsi="Times New Roman"/>
                <w:b/>
                <w:sz w:val="20"/>
              </w:rPr>
              <w:t>NaCl 0,9 %</w:t>
            </w:r>
          </w:p>
        </w:tc>
        <w:tc>
          <w:tcPr>
            <w:tcW w:type="dxa" w:w="1385"/>
            <w:shd w:val="clear" w:color="auto" w:fill="F2F2F2"/>
          </w:tcPr>
          <w:p>
            <w:r>
              <w:rPr>
                <w:rFonts w:ascii="Times New Roman" w:hAnsi="Times New Roman"/>
                <w:b/>
                <w:sz w:val="20"/>
              </w:rPr>
              <w:t>KCl (10 %)</w:t>
            </w:r>
          </w:p>
        </w:tc>
        <w:tc>
          <w:tcPr>
            <w:tcW w:type="dxa" w:w="1385"/>
            <w:shd w:val="clear" w:color="auto" w:fill="F2F2F2"/>
          </w:tcPr>
          <w:p>
            <w:r>
              <w:rPr>
                <w:rFonts w:ascii="Times New Roman" w:hAnsi="Times New Roman"/>
                <w:b/>
                <w:sz w:val="20"/>
              </w:rPr>
              <w:t>Glucose 2,5 %/NaCl 0,45 %</w:t>
            </w:r>
          </w:p>
        </w:tc>
        <w:tc>
          <w:tcPr>
            <w:tcW w:type="dxa" w:w="1385"/>
            <w:shd w:val="clear" w:color="auto" w:fill="F2F2F2"/>
          </w:tcPr>
          <w:p>
            <w:r>
              <w:rPr>
                <w:rFonts w:ascii="Times New Roman" w:hAnsi="Times New Roman"/>
                <w:b/>
                <w:sz w:val="20"/>
              </w:rPr>
              <w:t>FORTRANS</w:t>
            </w:r>
          </w:p>
        </w:tc>
        <w:tc>
          <w:tcPr>
            <w:tcW w:type="dxa" w:w="1385"/>
            <w:shd w:val="clear" w:color="auto" w:fill="F2F2F2"/>
          </w:tcPr>
          <w:p>
            <w:r>
              <w:rPr>
                <w:rFonts w:ascii="Times New Roman" w:hAnsi="Times New Roman"/>
                <w:b/>
                <w:sz w:val="20"/>
              </w:rPr>
              <w:t>Ringer lactate</w:t>
            </w:r>
          </w:p>
        </w:tc>
      </w:tr>
      <w:tr>
        <w:tc>
          <w:tcPr>
            <w:tcW w:type="dxa" w:w="1385"/>
          </w:tcPr>
          <w:p>
            <w:r>
              <w:rPr>
                <w:rFonts w:ascii="Times New Roman" w:hAnsi="Times New Roman"/>
                <w:sz w:val="20"/>
              </w:rPr>
              <w:t>**DCI / Association**</w:t>
            </w:r>
          </w:p>
        </w:tc>
        <w:tc>
          <w:tcPr>
            <w:tcW w:type="dxa" w:w="1385"/>
          </w:tcPr>
          <w:p>
            <w:r>
              <w:rPr>
                <w:rFonts w:ascii="Times New Roman" w:hAnsi="Times New Roman"/>
                <w:sz w:val="20"/>
              </w:rPr>
              <w:t>Chlorure de sodium</w:t>
            </w:r>
          </w:p>
        </w:tc>
        <w:tc>
          <w:tcPr>
            <w:tcW w:type="dxa" w:w="1385"/>
          </w:tcPr>
          <w:p>
            <w:r>
              <w:rPr>
                <w:rFonts w:ascii="Times New Roman" w:hAnsi="Times New Roman"/>
                <w:sz w:val="20"/>
              </w:rPr>
              <w:t>Chlorure de potassium</w:t>
            </w:r>
          </w:p>
        </w:tc>
        <w:tc>
          <w:tcPr>
            <w:tcW w:type="dxa" w:w="1385"/>
          </w:tcPr>
          <w:p>
            <w:r>
              <w:rPr>
                <w:rFonts w:ascii="Times New Roman" w:hAnsi="Times New Roman"/>
                <w:sz w:val="20"/>
              </w:rPr>
              <w:t>Glucose + NaCl</w:t>
            </w:r>
          </w:p>
        </w:tc>
        <w:tc>
          <w:tcPr>
            <w:tcW w:type="dxa" w:w="1385"/>
          </w:tcPr>
          <w:p>
            <w:r>
              <w:rPr>
                <w:rFonts w:ascii="Times New Roman" w:hAnsi="Times New Roman"/>
                <w:sz w:val="20"/>
              </w:rPr>
              <w:t>PEG 4000 + électrolytes</w:t>
            </w:r>
          </w:p>
        </w:tc>
        <w:tc>
          <w:tcPr>
            <w:tcW w:type="dxa" w:w="1385"/>
          </w:tcPr>
          <w:p>
            <w:r>
              <w:rPr>
                <w:rFonts w:ascii="Times New Roman" w:hAnsi="Times New Roman"/>
                <w:sz w:val="20"/>
              </w:rPr>
              <w:t>NaCl/KCl/CaCl₂/lactate Na</w:t>
            </w:r>
          </w:p>
        </w:tc>
      </w:tr>
      <w:tr>
        <w:tc>
          <w:tcPr>
            <w:tcW w:type="dxa" w:w="1385"/>
          </w:tcPr>
          <w:p>
            <w:r>
              <w:rPr>
                <w:rFonts w:ascii="Times New Roman" w:hAnsi="Times New Roman"/>
                <w:sz w:val="20"/>
              </w:rPr>
              <w:t>**Code ATC**</w:t>
            </w:r>
          </w:p>
        </w:tc>
        <w:tc>
          <w:tcPr>
            <w:tcW w:type="dxa" w:w="1385"/>
          </w:tcPr>
          <w:p>
            <w:r>
              <w:rPr>
                <w:rFonts w:ascii="Times New Roman" w:hAnsi="Times New Roman"/>
                <w:sz w:val="20"/>
              </w:rPr>
              <w:t>B05XA03</w:t>
            </w:r>
          </w:p>
        </w:tc>
        <w:tc>
          <w:tcPr>
            <w:tcW w:type="dxa" w:w="1385"/>
          </w:tcPr>
          <w:p>
            <w:r>
              <w:rPr>
                <w:rFonts w:ascii="Times New Roman" w:hAnsi="Times New Roman"/>
                <w:sz w:val="20"/>
              </w:rPr>
              <w:t>B05XA01</w:t>
            </w:r>
          </w:p>
        </w:tc>
        <w:tc>
          <w:tcPr>
            <w:tcW w:type="dxa" w:w="1385"/>
          </w:tcPr>
          <w:p>
            <w:r>
              <w:rPr>
                <w:rFonts w:ascii="Times New Roman" w:hAnsi="Times New Roman"/>
                <w:sz w:val="20"/>
              </w:rPr>
              <w:t>B05BB02</w:t>
            </w:r>
          </w:p>
        </w:tc>
        <w:tc>
          <w:tcPr>
            <w:tcW w:type="dxa" w:w="1385"/>
          </w:tcPr>
          <w:p>
            <w:r>
              <w:rPr>
                <w:rFonts w:ascii="Times New Roman" w:hAnsi="Times New Roman"/>
                <w:sz w:val="20"/>
              </w:rPr>
              <w:t>A06AD65</w:t>
            </w:r>
          </w:p>
        </w:tc>
        <w:tc>
          <w:tcPr>
            <w:tcW w:type="dxa" w:w="1385"/>
          </w:tcPr>
          <w:p>
            <w:r>
              <w:rPr>
                <w:rFonts w:ascii="Times New Roman" w:hAnsi="Times New Roman"/>
                <w:sz w:val="20"/>
              </w:rPr>
              <w:t>B05BB01</w:t>
            </w:r>
          </w:p>
        </w:tc>
      </w:tr>
      <w:tr>
        <w:tc>
          <w:tcPr>
            <w:tcW w:type="dxa" w:w="1385"/>
          </w:tcPr>
          <w:p>
            <w:r>
              <w:rPr>
                <w:rFonts w:ascii="Times New Roman" w:hAnsi="Times New Roman"/>
                <w:sz w:val="20"/>
              </w:rPr>
              <w:t>**Spécialité de référence**</w:t>
            </w:r>
          </w:p>
        </w:tc>
        <w:tc>
          <w:tcPr>
            <w:tcW w:type="dxa" w:w="1385"/>
          </w:tcPr>
          <w:p>
            <w:r>
              <w:rPr>
                <w:rFonts w:ascii="Times New Roman" w:hAnsi="Times New Roman"/>
                <w:sz w:val="20"/>
              </w:rPr>
              <w:t>Sérum physiologique (générique)</w:t>
            </w:r>
          </w:p>
        </w:tc>
        <w:tc>
          <w:tcPr>
            <w:tcW w:type="dxa" w:w="1385"/>
          </w:tcPr>
          <w:p>
            <w:r>
              <w:rPr>
                <w:rFonts w:ascii="Times New Roman" w:hAnsi="Times New Roman"/>
                <w:sz w:val="20"/>
              </w:rPr>
              <w:t>CHLORURE DE POTASSIUM AGUETTANT, KALIPACK</w:t>
            </w:r>
          </w:p>
        </w:tc>
        <w:tc>
          <w:tcPr>
            <w:tcW w:type="dxa" w:w="1385"/>
          </w:tcPr>
          <w:p>
            <w:r>
              <w:rPr>
                <w:rFonts w:ascii="Times New Roman" w:hAnsi="Times New Roman"/>
                <w:sz w:val="20"/>
              </w:rPr>
              <w:t>GLUNAPACK</w:t>
            </w:r>
          </w:p>
        </w:tc>
        <w:tc>
          <w:tcPr>
            <w:tcW w:type="dxa" w:w="1385"/>
          </w:tcPr>
          <w:p>
            <w:r>
              <w:rPr>
                <w:rFonts w:ascii="Times New Roman" w:hAnsi="Times New Roman"/>
                <w:sz w:val="20"/>
              </w:rPr>
              <w:t>FORTRANS</w:t>
            </w:r>
          </w:p>
        </w:tc>
        <w:tc>
          <w:tcPr>
            <w:tcW w:type="dxa" w:w="1385"/>
          </w:tcPr>
          <w:p>
            <w:r>
              <w:rPr>
                <w:rFonts w:ascii="Times New Roman" w:hAnsi="Times New Roman"/>
                <w:sz w:val="20"/>
              </w:rPr>
              <w:t>LACTAFLEX</w:t>
            </w:r>
          </w:p>
        </w:tc>
      </w:tr>
      <w:tr>
        <w:tc>
          <w:tcPr>
            <w:tcW w:type="dxa" w:w="1385"/>
          </w:tcPr>
          <w:p>
            <w:r>
              <w:rPr>
                <w:rFonts w:ascii="Times New Roman" w:hAnsi="Times New Roman"/>
                <w:sz w:val="20"/>
              </w:rPr>
              <w:t>**Laboratoire algérien**</w:t>
            </w:r>
          </w:p>
        </w:tc>
        <w:tc>
          <w:tcPr>
            <w:tcW w:type="dxa" w:w="1385"/>
          </w:tcPr>
          <w:p>
            <w:r>
              <w:rPr>
                <w:rFonts w:ascii="Times New Roman" w:hAnsi="Times New Roman"/>
                <w:sz w:val="20"/>
              </w:rPr>
              <w:t>IMC, SAIDAL, B.Braun</w:t>
            </w:r>
          </w:p>
        </w:tc>
        <w:tc>
          <w:tcPr>
            <w:tcW w:type="dxa" w:w="1385"/>
          </w:tcPr>
          <w:p>
            <w:r>
              <w:rPr>
                <w:rFonts w:ascii="Times New Roman" w:hAnsi="Times New Roman"/>
                <w:sz w:val="20"/>
              </w:rPr>
              <w:t>Aguettant, IMC</w:t>
            </w:r>
          </w:p>
        </w:tc>
        <w:tc>
          <w:tcPr>
            <w:tcW w:type="dxa" w:w="1385"/>
          </w:tcPr>
          <w:p>
            <w:r>
              <w:rPr>
                <w:rFonts w:ascii="Times New Roman" w:hAnsi="Times New Roman"/>
                <w:sz w:val="20"/>
              </w:rPr>
              <w:t>IMC</w:t>
            </w:r>
          </w:p>
        </w:tc>
        <w:tc>
          <w:tcPr>
            <w:tcW w:type="dxa" w:w="1385"/>
          </w:tcPr>
          <w:p>
            <w:r>
              <w:rPr>
                <w:rFonts w:ascii="Times New Roman" w:hAnsi="Times New Roman"/>
                <w:sz w:val="20"/>
              </w:rPr>
              <w:t>Mayoly Pharma France</w:t>
            </w:r>
          </w:p>
        </w:tc>
        <w:tc>
          <w:tcPr>
            <w:tcW w:type="dxa" w:w="1385"/>
          </w:tcPr>
          <w:p>
            <w:r>
              <w:rPr>
                <w:rFonts w:ascii="Times New Roman" w:hAnsi="Times New Roman"/>
                <w:sz w:val="20"/>
              </w:rPr>
              <w:t>IMC</w:t>
            </w:r>
          </w:p>
        </w:tc>
      </w:tr>
      <w:tr>
        <w:tc>
          <w:tcPr>
            <w:tcW w:type="dxa" w:w="1385"/>
          </w:tcPr>
          <w:p>
            <w:r>
              <w:rPr>
                <w:rFonts w:ascii="Times New Roman" w:hAnsi="Times New Roman"/>
                <w:sz w:val="20"/>
              </w:rPr>
              <w:t>**Statut nomenclature**</w:t>
            </w:r>
          </w:p>
        </w:tc>
        <w:tc>
          <w:tcPr>
            <w:tcW w:type="dxa" w:w="1385"/>
          </w:tcPr>
          <w:p>
            <w:r>
              <w:rPr>
                <w:rFonts w:ascii="Times New Roman" w:hAnsi="Times New Roman"/>
                <w:sz w:val="20"/>
              </w:rPr>
              <w:t>Disponible (génériques)</w:t>
            </w:r>
          </w:p>
        </w:tc>
        <w:tc>
          <w:tcPr>
            <w:tcW w:type="dxa" w:w="1385"/>
          </w:tcPr>
          <w:p>
            <w:r>
              <w:rPr>
                <w:rFonts w:ascii="Times New Roman" w:hAnsi="Times New Roman"/>
                <w:sz w:val="20"/>
              </w:rPr>
              <w:t>Actif</w:t>
            </w:r>
          </w:p>
        </w:tc>
        <w:tc>
          <w:tcPr>
            <w:tcW w:type="dxa" w:w="1385"/>
          </w:tcPr>
          <w:p>
            <w:r>
              <w:rPr>
                <w:rFonts w:ascii="Times New Roman" w:hAnsi="Times New Roman"/>
                <w:sz w:val="20"/>
              </w:rPr>
              <w:t>Actif</w:t>
            </w:r>
          </w:p>
        </w:tc>
        <w:tc>
          <w:tcPr>
            <w:tcW w:type="dxa" w:w="1385"/>
          </w:tcPr>
          <w:p>
            <w:r>
              <w:rPr>
                <w:rFonts w:ascii="Times New Roman" w:hAnsi="Times New Roman"/>
                <w:sz w:val="20"/>
              </w:rPr>
              <w:t>Actif</w:t>
            </w:r>
          </w:p>
        </w:tc>
        <w:tc>
          <w:tcPr>
            <w:tcW w:type="dxa" w:w="1385"/>
          </w:tcPr>
          <w:p>
            <w:r>
              <w:rPr>
                <w:rFonts w:ascii="Times New Roman" w:hAnsi="Times New Roman"/>
                <w:sz w:val="20"/>
              </w:rPr>
              <w:t>Actif</w:t>
            </w:r>
          </w:p>
        </w:tc>
      </w:tr>
      <w:tr>
        <w:tc>
          <w:tcPr>
            <w:tcW w:type="dxa" w:w="1385"/>
          </w:tcPr>
          <w:p>
            <w:r>
              <w:rPr>
                <w:rFonts w:ascii="Times New Roman" w:hAnsi="Times New Roman"/>
                <w:sz w:val="20"/>
              </w:rPr>
              <w:t>**Osmolarité (mOsm/L)**</w:t>
            </w:r>
          </w:p>
        </w:tc>
        <w:tc>
          <w:tcPr>
            <w:tcW w:type="dxa" w:w="1385"/>
          </w:tcPr>
          <w:p>
            <w:r>
              <w:rPr>
                <w:rFonts w:ascii="Times New Roman" w:hAnsi="Times New Roman"/>
                <w:sz w:val="20"/>
              </w:rPr>
              <w:t>308</w:t>
            </w:r>
          </w:p>
        </w:tc>
        <w:tc>
          <w:tcPr>
            <w:tcW w:type="dxa" w:w="1385"/>
          </w:tcPr>
          <w:p>
            <w:r>
              <w:rPr>
                <w:rFonts w:ascii="Times New Roman" w:hAnsi="Times New Roman"/>
                <w:sz w:val="20"/>
              </w:rPr>
              <w:t>2 000</w:t>
            </w:r>
          </w:p>
        </w:tc>
        <w:tc>
          <w:tcPr>
            <w:tcW w:type="dxa" w:w="1385"/>
          </w:tcPr>
          <w:p>
            <w:r>
              <w:rPr>
                <w:rFonts w:ascii="Times New Roman" w:hAnsi="Times New Roman"/>
                <w:sz w:val="20"/>
              </w:rPr>
              <w:t>280</w:t>
            </w:r>
          </w:p>
        </w:tc>
        <w:tc>
          <w:tcPr>
            <w:tcW w:type="dxa" w:w="1385"/>
          </w:tcPr>
          <w:p>
            <w:r>
              <w:rPr>
                <w:rFonts w:ascii="Times New Roman" w:hAnsi="Times New Roman"/>
                <w:sz w:val="20"/>
              </w:rPr>
              <w:t>280-300 (isotonique)</w:t>
            </w:r>
          </w:p>
        </w:tc>
        <w:tc>
          <w:tcPr>
            <w:tcW w:type="dxa" w:w="1385"/>
          </w:tcPr>
          <w:p>
            <w:r>
              <w:rPr>
                <w:rFonts w:ascii="Times New Roman" w:hAnsi="Times New Roman"/>
                <w:sz w:val="20"/>
              </w:rPr>
              <w:t>273</w:t>
            </w:r>
          </w:p>
        </w:tc>
      </w:tr>
      <w:tr>
        <w:tc>
          <w:tcPr>
            <w:tcW w:type="dxa" w:w="1385"/>
          </w:tcPr>
          <w:p>
            <w:r>
              <w:rPr>
                <w:rFonts w:ascii="Times New Roman" w:hAnsi="Times New Roman"/>
                <w:sz w:val="20"/>
              </w:rPr>
              <w:t>**Tonicité**</w:t>
            </w:r>
          </w:p>
        </w:tc>
        <w:tc>
          <w:tcPr>
            <w:tcW w:type="dxa" w:w="1385"/>
          </w:tcPr>
          <w:p>
            <w:r>
              <w:rPr>
                <w:rFonts w:ascii="Times New Roman" w:hAnsi="Times New Roman"/>
                <w:sz w:val="20"/>
              </w:rPr>
              <w:t>Isotonique</w:t>
            </w:r>
          </w:p>
        </w:tc>
        <w:tc>
          <w:tcPr>
            <w:tcW w:type="dxa" w:w="1385"/>
          </w:tcPr>
          <w:p>
            <w:r>
              <w:rPr>
                <w:rFonts w:ascii="Times New Roman" w:hAnsi="Times New Roman"/>
                <w:sz w:val="20"/>
              </w:rPr>
              <w:t>Hypertonique</w:t>
            </w:r>
          </w:p>
        </w:tc>
        <w:tc>
          <w:tcPr>
            <w:tcW w:type="dxa" w:w="1385"/>
          </w:tcPr>
          <w:p>
            <w:r>
              <w:rPr>
                <w:rFonts w:ascii="Times New Roman" w:hAnsi="Times New Roman"/>
                <w:sz w:val="20"/>
              </w:rPr>
              <w:t>Hypotonique</w:t>
            </w:r>
          </w:p>
        </w:tc>
        <w:tc>
          <w:tcPr>
            <w:tcW w:type="dxa" w:w="1385"/>
          </w:tcPr>
          <w:p>
            <w:r>
              <w:rPr>
                <w:rFonts w:ascii="Times New Roman" w:hAnsi="Times New Roman"/>
                <w:sz w:val="20"/>
              </w:rPr>
              <w:t>Isotonique</w:t>
            </w:r>
          </w:p>
        </w:tc>
        <w:tc>
          <w:tcPr>
            <w:tcW w:type="dxa" w:w="1385"/>
          </w:tcPr>
          <w:p>
            <w:r>
              <w:rPr>
                <w:rFonts w:ascii="Times New Roman" w:hAnsi="Times New Roman"/>
                <w:sz w:val="20"/>
              </w:rPr>
              <w:t>Légèrement hypotonique</w:t>
            </w:r>
          </w:p>
        </w:tc>
      </w:tr>
      <w:tr>
        <w:tc>
          <w:tcPr>
            <w:tcW w:type="dxa" w:w="1385"/>
          </w:tcPr>
          <w:p>
            <w:r>
              <w:rPr>
                <w:rFonts w:ascii="Times New Roman" w:hAnsi="Times New Roman"/>
                <w:sz w:val="20"/>
              </w:rPr>
              <w:t>**SID (mEq/L)**</w:t>
            </w:r>
          </w:p>
        </w:tc>
        <w:tc>
          <w:tcPr>
            <w:tcW w:type="dxa" w:w="1385"/>
          </w:tcPr>
          <w:p>
            <w:r>
              <w:rPr>
                <w:rFonts w:ascii="Times New Roman" w:hAnsi="Times New Roman"/>
                <w:sz w:val="20"/>
              </w:rPr>
              <w:t>0 (non équilibré)</w:t>
            </w:r>
          </w:p>
        </w:tc>
        <w:tc>
          <w:tcPr>
            <w:tcW w:type="dxa" w:w="1385"/>
          </w:tcPr>
          <w:p>
            <w:r>
              <w:rPr>
                <w:rFonts w:ascii="Times New Roman" w:hAnsi="Times New Roman"/>
                <w:sz w:val="20"/>
              </w:rPr>
              <w:t>N/A</w:t>
            </w:r>
          </w:p>
        </w:tc>
        <w:tc>
          <w:tcPr>
            <w:tcW w:type="dxa" w:w="1385"/>
          </w:tcPr>
          <w:p>
            <w:r>
              <w:rPr>
                <w:rFonts w:ascii="Times New Roman" w:hAnsi="Times New Roman"/>
                <w:sz w:val="20"/>
              </w:rPr>
              <w:t>70</w:t>
            </w:r>
          </w:p>
        </w:tc>
        <w:tc>
          <w:tcPr>
            <w:tcW w:type="dxa" w:w="1385"/>
          </w:tcPr>
          <w:p>
            <w:r>
              <w:rPr>
                <w:rFonts w:ascii="Times New Roman" w:hAnsi="Times New Roman"/>
                <w:sz w:val="20"/>
              </w:rPr>
              <w:t>N/A</w:t>
            </w:r>
          </w:p>
        </w:tc>
        <w:tc>
          <w:tcPr>
            <w:tcW w:type="dxa" w:w="1385"/>
          </w:tcPr>
          <w:p>
            <w:r>
              <w:rPr>
                <w:rFonts w:ascii="Times New Roman" w:hAnsi="Times New Roman"/>
                <w:sz w:val="20"/>
              </w:rPr>
              <w:t>28-30 (équilibré)</w:t>
            </w:r>
          </w:p>
        </w:tc>
      </w:tr>
      <w:tr>
        <w:tc>
          <w:tcPr>
            <w:tcW w:type="dxa" w:w="1385"/>
          </w:tcPr>
          <w:p>
            <w:r>
              <w:rPr>
                <w:rFonts w:ascii="Times New Roman" w:hAnsi="Times New Roman"/>
                <w:sz w:val="20"/>
              </w:rPr>
              <w:t>**Apport Na⁺ (mmol/L)**</w:t>
            </w:r>
          </w:p>
        </w:tc>
        <w:tc>
          <w:tcPr>
            <w:tcW w:type="dxa" w:w="1385"/>
          </w:tcPr>
          <w:p>
            <w:r>
              <w:rPr>
                <w:rFonts w:ascii="Times New Roman" w:hAnsi="Times New Roman"/>
                <w:sz w:val="20"/>
              </w:rPr>
              <w:t>154</w:t>
            </w:r>
          </w:p>
        </w:tc>
        <w:tc>
          <w:tcPr>
            <w:tcW w:type="dxa" w:w="1385"/>
          </w:tcPr>
          <w:p>
            <w:r>
              <w:rPr>
                <w:rFonts w:ascii="Times New Roman" w:hAnsi="Times New Roman"/>
                <w:sz w:val="20"/>
              </w:rPr>
              <w:t>0</w:t>
            </w:r>
          </w:p>
        </w:tc>
        <w:tc>
          <w:tcPr>
            <w:tcW w:type="dxa" w:w="1385"/>
          </w:tcPr>
          <w:p>
            <w:r>
              <w:rPr>
                <w:rFonts w:ascii="Times New Roman" w:hAnsi="Times New Roman"/>
                <w:sz w:val="20"/>
              </w:rPr>
              <w:t>77</w:t>
            </w:r>
          </w:p>
        </w:tc>
        <w:tc>
          <w:tcPr>
            <w:tcW w:type="dxa" w:w="1385"/>
          </w:tcPr>
          <w:p>
            <w:r>
              <w:rPr>
                <w:rFonts w:ascii="Times New Roman" w:hAnsi="Times New Roman"/>
                <w:sz w:val="20"/>
              </w:rPr>
              <w:t>25 (par L reconstitué)</w:t>
            </w:r>
          </w:p>
        </w:tc>
        <w:tc>
          <w:tcPr>
            <w:tcW w:type="dxa" w:w="1385"/>
          </w:tcPr>
          <w:p>
            <w:r>
              <w:rPr>
                <w:rFonts w:ascii="Times New Roman" w:hAnsi="Times New Roman"/>
                <w:sz w:val="20"/>
              </w:rPr>
              <w:t>131</w:t>
            </w:r>
          </w:p>
        </w:tc>
      </w:tr>
      <w:tr>
        <w:tc>
          <w:tcPr>
            <w:tcW w:type="dxa" w:w="1385"/>
          </w:tcPr>
          <w:p>
            <w:r>
              <w:rPr>
                <w:rFonts w:ascii="Times New Roman" w:hAnsi="Times New Roman"/>
                <w:sz w:val="20"/>
              </w:rPr>
              <w:t>**Apport K⁺ (mmol/L)**</w:t>
            </w:r>
          </w:p>
        </w:tc>
        <w:tc>
          <w:tcPr>
            <w:tcW w:type="dxa" w:w="1385"/>
          </w:tcPr>
          <w:p>
            <w:r>
              <w:rPr>
                <w:rFonts w:ascii="Times New Roman" w:hAnsi="Times New Roman"/>
                <w:sz w:val="20"/>
              </w:rPr>
              <w:t>0</w:t>
            </w:r>
          </w:p>
        </w:tc>
        <w:tc>
          <w:tcPr>
            <w:tcW w:type="dxa" w:w="1385"/>
          </w:tcPr>
          <w:p>
            <w:r>
              <w:rPr>
                <w:rFonts w:ascii="Times New Roman" w:hAnsi="Times New Roman"/>
                <w:sz w:val="20"/>
              </w:rPr>
              <w:t>1340</w:t>
            </w:r>
          </w:p>
        </w:tc>
        <w:tc>
          <w:tcPr>
            <w:tcW w:type="dxa" w:w="1385"/>
          </w:tcPr>
          <w:p>
            <w:r>
              <w:rPr>
                <w:rFonts w:ascii="Times New Roman" w:hAnsi="Times New Roman"/>
                <w:sz w:val="20"/>
              </w:rPr>
              <w:t>0</w:t>
            </w:r>
          </w:p>
        </w:tc>
        <w:tc>
          <w:tcPr>
            <w:tcW w:type="dxa" w:w="1385"/>
          </w:tcPr>
          <w:p>
            <w:r>
              <w:rPr>
                <w:rFonts w:ascii="Times New Roman" w:hAnsi="Times New Roman"/>
                <w:sz w:val="20"/>
              </w:rPr>
              <w:t>10</w:t>
            </w:r>
          </w:p>
        </w:tc>
        <w:tc>
          <w:tcPr>
            <w:tcW w:type="dxa" w:w="1385"/>
          </w:tcPr>
          <w:p>
            <w:r>
              <w:rPr>
                <w:rFonts w:ascii="Times New Roman" w:hAnsi="Times New Roman"/>
                <w:sz w:val="20"/>
              </w:rPr>
              <w:t>5,4</w:t>
            </w:r>
          </w:p>
        </w:tc>
      </w:tr>
      <w:tr>
        <w:tc>
          <w:tcPr>
            <w:tcW w:type="dxa" w:w="1385"/>
          </w:tcPr>
          <w:p>
            <w:r>
              <w:rPr>
                <w:rFonts w:ascii="Times New Roman" w:hAnsi="Times New Roman"/>
                <w:sz w:val="20"/>
              </w:rPr>
              <w:t>**Apport glucose (g/L)**</w:t>
            </w:r>
          </w:p>
        </w:tc>
        <w:tc>
          <w:tcPr>
            <w:tcW w:type="dxa" w:w="1385"/>
          </w:tcPr>
          <w:p>
            <w:r>
              <w:rPr>
                <w:rFonts w:ascii="Times New Roman" w:hAnsi="Times New Roman"/>
                <w:sz w:val="20"/>
              </w:rPr>
              <w:t>0</w:t>
            </w:r>
          </w:p>
        </w:tc>
        <w:tc>
          <w:tcPr>
            <w:tcW w:type="dxa" w:w="1385"/>
          </w:tcPr>
          <w:p>
            <w:r>
              <w:rPr>
                <w:rFonts w:ascii="Times New Roman" w:hAnsi="Times New Roman"/>
                <w:sz w:val="20"/>
              </w:rPr>
              <w:t>0</w:t>
            </w:r>
          </w:p>
        </w:tc>
        <w:tc>
          <w:tcPr>
            <w:tcW w:type="dxa" w:w="1385"/>
          </w:tcPr>
          <w:p>
            <w:r>
              <w:rPr>
                <w:rFonts w:ascii="Times New Roman" w:hAnsi="Times New Roman"/>
                <w:sz w:val="20"/>
              </w:rPr>
              <w:t>25</w:t>
            </w:r>
          </w:p>
        </w:tc>
        <w:tc>
          <w:tcPr>
            <w:tcW w:type="dxa" w:w="1385"/>
          </w:tcPr>
          <w:p>
            <w:r>
              <w:rPr>
                <w:rFonts w:ascii="Times New Roman" w:hAnsi="Times New Roman"/>
                <w:sz w:val="20"/>
              </w:rPr>
              <w:t>0</w:t>
            </w:r>
          </w:p>
        </w:tc>
        <w:tc>
          <w:tcPr>
            <w:tcW w:type="dxa" w:w="1385"/>
          </w:tcPr>
          <w:p>
            <w:r>
              <w:rPr>
                <w:rFonts w:ascii="Times New Roman" w:hAnsi="Times New Roman"/>
                <w:sz w:val="20"/>
              </w:rPr>
              <w:t>0</w:t>
            </w:r>
          </w:p>
        </w:tc>
      </w:tr>
      <w:tr>
        <w:tc>
          <w:tcPr>
            <w:tcW w:type="dxa" w:w="1385"/>
          </w:tcPr>
          <w:p>
            <w:r>
              <w:rPr>
                <w:rFonts w:ascii="Times New Roman" w:hAnsi="Times New Roman"/>
                <w:sz w:val="20"/>
              </w:rPr>
              <w:t>**Apport lactate (mmol/L)**</w:t>
            </w:r>
          </w:p>
        </w:tc>
        <w:tc>
          <w:tcPr>
            <w:tcW w:type="dxa" w:w="1385"/>
          </w:tcPr>
          <w:p>
            <w:r>
              <w:rPr>
                <w:rFonts w:ascii="Times New Roman" w:hAnsi="Times New Roman"/>
                <w:sz w:val="20"/>
              </w:rPr>
              <w:t>0</w:t>
            </w:r>
          </w:p>
        </w:tc>
        <w:tc>
          <w:tcPr>
            <w:tcW w:type="dxa" w:w="1385"/>
          </w:tcPr>
          <w:p>
            <w:r>
              <w:rPr>
                <w:rFonts w:ascii="Times New Roman" w:hAnsi="Times New Roman"/>
                <w:sz w:val="20"/>
              </w:rPr>
              <w:t>0</w:t>
            </w:r>
          </w:p>
        </w:tc>
        <w:tc>
          <w:tcPr>
            <w:tcW w:type="dxa" w:w="1385"/>
          </w:tcPr>
          <w:p>
            <w:r>
              <w:rPr>
                <w:rFonts w:ascii="Times New Roman" w:hAnsi="Times New Roman"/>
                <w:sz w:val="20"/>
              </w:rPr>
              <w:t>0</w:t>
            </w:r>
          </w:p>
        </w:tc>
        <w:tc>
          <w:tcPr>
            <w:tcW w:type="dxa" w:w="1385"/>
          </w:tcPr>
          <w:p>
            <w:r>
              <w:rPr>
                <w:rFonts w:ascii="Times New Roman" w:hAnsi="Times New Roman"/>
                <w:sz w:val="20"/>
              </w:rPr>
              <w:t>0</w:t>
            </w:r>
          </w:p>
        </w:tc>
        <w:tc>
          <w:tcPr>
            <w:tcW w:type="dxa" w:w="1385"/>
          </w:tcPr>
          <w:p>
            <w:r>
              <w:rPr>
                <w:rFonts w:ascii="Times New Roman" w:hAnsi="Times New Roman"/>
                <w:sz w:val="20"/>
              </w:rPr>
              <w:t>28,6</w:t>
            </w:r>
          </w:p>
        </w:tc>
      </w:tr>
      <w:tr>
        <w:tc>
          <w:tcPr>
            <w:tcW w:type="dxa" w:w="1385"/>
          </w:tcPr>
          <w:p>
            <w:r>
              <w:rPr>
                <w:rFonts w:ascii="Times New Roman" w:hAnsi="Times New Roman"/>
                <w:sz w:val="20"/>
              </w:rPr>
              <w:t>**Voie d'administration**</w:t>
            </w:r>
          </w:p>
        </w:tc>
        <w:tc>
          <w:tcPr>
            <w:tcW w:type="dxa" w:w="1385"/>
          </w:tcPr>
          <w:p>
            <w:r>
              <w:rPr>
                <w:rFonts w:ascii="Times New Roman" w:hAnsi="Times New Roman"/>
                <w:sz w:val="20"/>
              </w:rPr>
              <w:t>IV, locale (nasale, ophtalmique)</w:t>
            </w:r>
          </w:p>
        </w:tc>
        <w:tc>
          <w:tcPr>
            <w:tcW w:type="dxa" w:w="1385"/>
          </w:tcPr>
          <w:p>
            <w:r>
              <w:rPr>
                <w:rFonts w:ascii="Times New Roman" w:hAnsi="Times New Roman"/>
                <w:sz w:val="20"/>
              </w:rPr>
              <w:t>IV stricte (diluée)</w:t>
            </w:r>
          </w:p>
        </w:tc>
        <w:tc>
          <w:tcPr>
            <w:tcW w:type="dxa" w:w="1385"/>
          </w:tcPr>
          <w:p>
            <w:r>
              <w:rPr>
                <w:rFonts w:ascii="Times New Roman" w:hAnsi="Times New Roman"/>
                <w:sz w:val="20"/>
              </w:rPr>
              <w:t>IV stricte</w:t>
            </w:r>
          </w:p>
        </w:tc>
        <w:tc>
          <w:tcPr>
            <w:tcW w:type="dxa" w:w="1385"/>
          </w:tcPr>
          <w:p>
            <w:r>
              <w:rPr>
                <w:rFonts w:ascii="Times New Roman" w:hAnsi="Times New Roman"/>
                <w:sz w:val="20"/>
              </w:rPr>
              <w:t>Orale</w:t>
            </w:r>
          </w:p>
        </w:tc>
        <w:tc>
          <w:tcPr>
            <w:tcW w:type="dxa" w:w="1385"/>
          </w:tcPr>
          <w:p>
            <w:r>
              <w:rPr>
                <w:rFonts w:ascii="Times New Roman" w:hAnsi="Times New Roman"/>
                <w:sz w:val="20"/>
              </w:rPr>
              <w:t>IV stricte</w:t>
            </w:r>
          </w:p>
        </w:tc>
      </w:tr>
      <w:tr>
        <w:tc>
          <w:tcPr>
            <w:tcW w:type="dxa" w:w="1385"/>
          </w:tcPr>
          <w:p>
            <w:r>
              <w:rPr>
                <w:rFonts w:ascii="Times New Roman" w:hAnsi="Times New Roman"/>
                <w:sz w:val="20"/>
              </w:rPr>
              <w:t>**Indication principale**</w:t>
            </w:r>
          </w:p>
        </w:tc>
        <w:tc>
          <w:tcPr>
            <w:tcW w:type="dxa" w:w="1385"/>
          </w:tcPr>
          <w:p>
            <w:r>
              <w:rPr>
                <w:rFonts w:ascii="Times New Roman" w:hAnsi="Times New Roman"/>
                <w:sz w:val="20"/>
              </w:rPr>
              <w:t>Remplissage, véhicule</w:t>
            </w:r>
          </w:p>
        </w:tc>
        <w:tc>
          <w:tcPr>
            <w:tcW w:type="dxa" w:w="1385"/>
          </w:tcPr>
          <w:p>
            <w:r>
              <w:rPr>
                <w:rFonts w:ascii="Times New Roman" w:hAnsi="Times New Roman"/>
                <w:sz w:val="20"/>
              </w:rPr>
              <w:t>Hypokaliémie</w:t>
            </w:r>
          </w:p>
        </w:tc>
        <w:tc>
          <w:tcPr>
            <w:tcW w:type="dxa" w:w="1385"/>
          </w:tcPr>
          <w:p>
            <w:r>
              <w:rPr>
                <w:rFonts w:ascii="Times New Roman" w:hAnsi="Times New Roman"/>
                <w:sz w:val="20"/>
              </w:rPr>
              <w:t>Entretien hydrique</w:t>
            </w:r>
          </w:p>
        </w:tc>
        <w:tc>
          <w:tcPr>
            <w:tcW w:type="dxa" w:w="1385"/>
          </w:tcPr>
          <w:p>
            <w:r>
              <w:rPr>
                <w:rFonts w:ascii="Times New Roman" w:hAnsi="Times New Roman"/>
                <w:sz w:val="20"/>
              </w:rPr>
              <w:t>Préparation colique</w:t>
            </w:r>
          </w:p>
        </w:tc>
        <w:tc>
          <w:tcPr>
            <w:tcW w:type="dxa" w:w="1385"/>
          </w:tcPr>
          <w:p>
            <w:r>
              <w:rPr>
                <w:rFonts w:ascii="Times New Roman" w:hAnsi="Times New Roman"/>
                <w:sz w:val="20"/>
              </w:rPr>
              <w:t>Remplissage équilibré</w:t>
            </w:r>
          </w:p>
        </w:tc>
      </w:tr>
      <w:tr>
        <w:tc>
          <w:tcPr>
            <w:tcW w:type="dxa" w:w="1385"/>
          </w:tcPr>
          <w:p>
            <w:r>
              <w:rPr>
                <w:rFonts w:ascii="Times New Roman" w:hAnsi="Times New Roman"/>
                <w:sz w:val="20"/>
              </w:rPr>
              <w:t>**Contre-indication majeure**</w:t>
            </w:r>
          </w:p>
        </w:tc>
        <w:tc>
          <w:tcPr>
            <w:tcW w:type="dxa" w:w="1385"/>
          </w:tcPr>
          <w:p>
            <w:r>
              <w:rPr>
                <w:rFonts w:ascii="Times New Roman" w:hAnsi="Times New Roman"/>
                <w:sz w:val="20"/>
              </w:rPr>
              <w:t>Hypernatrémie, hypervolémie</w:t>
            </w:r>
          </w:p>
        </w:tc>
        <w:tc>
          <w:tcPr>
            <w:tcW w:type="dxa" w:w="1385"/>
          </w:tcPr>
          <w:p>
            <w:r>
              <w:rPr>
                <w:rFonts w:ascii="Times New Roman" w:hAnsi="Times New Roman"/>
                <w:sz w:val="20"/>
              </w:rPr>
              <w:t>Hyperkaliémie, IR sévère</w:t>
            </w:r>
          </w:p>
        </w:tc>
        <w:tc>
          <w:tcPr>
            <w:tcW w:type="dxa" w:w="1385"/>
          </w:tcPr>
          <w:p>
            <w:r>
              <w:rPr>
                <w:rFonts w:ascii="Times New Roman" w:hAnsi="Times New Roman"/>
                <w:sz w:val="20"/>
              </w:rPr>
              <w:t>Hypernatrémie sévère</w:t>
            </w:r>
          </w:p>
        </w:tc>
        <w:tc>
          <w:tcPr>
            <w:tcW w:type="dxa" w:w="1385"/>
          </w:tcPr>
          <w:p>
            <w:r>
              <w:rPr>
                <w:rFonts w:ascii="Times New Roman" w:hAnsi="Times New Roman"/>
                <w:sz w:val="20"/>
              </w:rPr>
              <w:t>Occlusion, mégacôlon</w:t>
            </w:r>
          </w:p>
        </w:tc>
        <w:tc>
          <w:tcPr>
            <w:tcW w:type="dxa" w:w="1385"/>
          </w:tcPr>
          <w:p>
            <w:r>
              <w:rPr>
                <w:rFonts w:ascii="Times New Roman" w:hAnsi="Times New Roman"/>
                <w:sz w:val="20"/>
              </w:rPr>
              <w:t>Hyperkaliémie, IH sévère</w:t>
            </w:r>
          </w:p>
        </w:tc>
      </w:tr>
      <w:tr>
        <w:tc>
          <w:tcPr>
            <w:tcW w:type="dxa" w:w="1385"/>
          </w:tcPr>
          <w:p>
            <w:r>
              <w:rPr>
                <w:rFonts w:ascii="Times New Roman" w:hAnsi="Times New Roman"/>
                <w:sz w:val="20"/>
              </w:rPr>
              <w:t>**Effet indésirable principal**</w:t>
            </w:r>
          </w:p>
        </w:tc>
        <w:tc>
          <w:tcPr>
            <w:tcW w:type="dxa" w:w="1385"/>
          </w:tcPr>
          <w:p>
            <w:r>
              <w:rPr>
                <w:rFonts w:ascii="Times New Roman" w:hAnsi="Times New Roman"/>
                <w:sz w:val="20"/>
              </w:rPr>
              <w:t>Acidose hyperchlorémique</w:t>
            </w:r>
          </w:p>
        </w:tc>
        <w:tc>
          <w:tcPr>
            <w:tcW w:type="dxa" w:w="1385"/>
          </w:tcPr>
          <w:p>
            <w:r>
              <w:rPr>
                <w:rFonts w:ascii="Times New Roman" w:hAnsi="Times New Roman"/>
                <w:sz w:val="20"/>
              </w:rPr>
              <w:t>Arrêt cardiaque (si non dilué)</w:t>
            </w:r>
          </w:p>
        </w:tc>
        <w:tc>
          <w:tcPr>
            <w:tcW w:type="dxa" w:w="1385"/>
          </w:tcPr>
          <w:p>
            <w:r>
              <w:rPr>
                <w:rFonts w:ascii="Times New Roman" w:hAnsi="Times New Roman"/>
                <w:sz w:val="20"/>
              </w:rPr>
              <w:t>Hyponatrémie</w:t>
            </w:r>
          </w:p>
        </w:tc>
        <w:tc>
          <w:tcPr>
            <w:tcW w:type="dxa" w:w="1385"/>
          </w:tcPr>
          <w:p>
            <w:r>
              <w:rPr>
                <w:rFonts w:ascii="Times New Roman" w:hAnsi="Times New Roman"/>
                <w:sz w:val="20"/>
              </w:rPr>
              <w:t>Nausées, hyponatrémie</w:t>
            </w:r>
          </w:p>
        </w:tc>
        <w:tc>
          <w:tcPr>
            <w:tcW w:type="dxa" w:w="1385"/>
          </w:tcPr>
          <w:p>
            <w:r>
              <w:rPr>
                <w:rFonts w:ascii="Times New Roman" w:hAnsi="Times New Roman"/>
                <w:sz w:val="20"/>
              </w:rPr>
              <w:t>Alcalose métabolique</w:t>
            </w:r>
          </w:p>
        </w:tc>
      </w:tr>
      <w:tr>
        <w:tc>
          <w:tcPr>
            <w:tcW w:type="dxa" w:w="1385"/>
          </w:tcPr>
          <w:p>
            <w:r>
              <w:rPr>
                <w:rFonts w:ascii="Times New Roman" w:hAnsi="Times New Roman"/>
                <w:sz w:val="20"/>
              </w:rPr>
              <w:t>**Piège majeur comptoir**</w:t>
            </w:r>
          </w:p>
        </w:tc>
        <w:tc>
          <w:tcPr>
            <w:tcW w:type="dxa" w:w="1385"/>
          </w:tcPr>
          <w:p>
            <w:r>
              <w:rPr>
                <w:rFonts w:ascii="Times New Roman" w:hAnsi="Times New Roman"/>
                <w:sz w:val="20"/>
              </w:rPr>
              <w:t>Confusion avec NaCl 3 % ou KCl</w:t>
            </w:r>
          </w:p>
        </w:tc>
        <w:tc>
          <w:tcPr>
            <w:tcW w:type="dxa" w:w="1385"/>
          </w:tcPr>
          <w:p>
            <w:r>
              <w:rPr>
                <w:rFonts w:ascii="Times New Roman" w:hAnsi="Times New Roman"/>
                <w:sz w:val="20"/>
              </w:rPr>
              <w:t>Confusion avec NaCl 0,9 %</w:t>
            </w:r>
          </w:p>
        </w:tc>
        <w:tc>
          <w:tcPr>
            <w:tcW w:type="dxa" w:w="1385"/>
          </w:tcPr>
          <w:p>
            <w:r>
              <w:rPr>
                <w:rFonts w:ascii="Times New Roman" w:hAnsi="Times New Roman"/>
                <w:sz w:val="20"/>
              </w:rPr>
              <w:t>Confusion avec G5 % ou NaCl 0,9 %</w:t>
            </w:r>
          </w:p>
        </w:tc>
        <w:tc>
          <w:tcPr>
            <w:tcW w:type="dxa" w:w="1385"/>
          </w:tcPr>
          <w:p>
            <w:r>
              <w:rPr>
                <w:rFonts w:ascii="Times New Roman" w:hAnsi="Times New Roman"/>
                <w:sz w:val="20"/>
              </w:rPr>
              <w:t>Confusion avec Forlax 10 g sans électrolytes</w:t>
            </w:r>
          </w:p>
        </w:tc>
        <w:tc>
          <w:tcPr>
            <w:tcW w:type="dxa" w:w="1385"/>
          </w:tcPr>
          <w:p>
            <w:r>
              <w:rPr>
                <w:rFonts w:ascii="Times New Roman" w:hAnsi="Times New Roman"/>
                <w:sz w:val="20"/>
              </w:rPr>
              <w:t>Confusion avec NaCl 0,9 %</w:t>
            </w:r>
          </w:p>
        </w:tc>
      </w:tr>
      <w:tr>
        <w:tc>
          <w:tcPr>
            <w:tcW w:type="dxa" w:w="1385"/>
          </w:tcPr>
          <w:p>
            <w:r>
              <w:rPr>
                <w:rFonts w:ascii="Times New Roman" w:hAnsi="Times New Roman"/>
                <w:sz w:val="20"/>
              </w:rPr>
              <w:t>**Grossesse**</w:t>
            </w:r>
          </w:p>
        </w:tc>
        <w:tc>
          <w:tcPr>
            <w:tcW w:type="dxa" w:w="1385"/>
          </w:tcPr>
          <w:p>
            <w:r>
              <w:rPr>
                <w:rFonts w:ascii="Times New Roman" w:hAnsi="Times New Roman"/>
                <w:sz w:val="20"/>
              </w:rPr>
              <w:t>Autorisé</w:t>
            </w:r>
          </w:p>
        </w:tc>
        <w:tc>
          <w:tcPr>
            <w:tcW w:type="dxa" w:w="1385"/>
          </w:tcPr>
          <w:p>
            <w:r>
              <w:rPr>
                <w:rFonts w:ascii="Times New Roman" w:hAnsi="Times New Roman"/>
                <w:sz w:val="20"/>
              </w:rPr>
              <w:t>Autorisé (surveillance)</w:t>
            </w:r>
          </w:p>
        </w:tc>
        <w:tc>
          <w:tcPr>
            <w:tcW w:type="dxa" w:w="1385"/>
          </w:tcPr>
          <w:p>
            <w:r>
              <w:rPr>
                <w:rFonts w:ascii="Times New Roman" w:hAnsi="Times New Roman"/>
                <w:sz w:val="20"/>
              </w:rPr>
              <w:t>Autorisé</w:t>
            </w:r>
          </w:p>
        </w:tc>
        <w:tc>
          <w:tcPr>
            <w:tcW w:type="dxa" w:w="1385"/>
          </w:tcPr>
          <w:p>
            <w:r>
              <w:rPr>
                <w:rFonts w:ascii="Times New Roman" w:hAnsi="Times New Roman"/>
                <w:sz w:val="20"/>
              </w:rPr>
              <w:t>À éviter 1er trimestre</w:t>
            </w:r>
          </w:p>
        </w:tc>
        <w:tc>
          <w:tcPr>
            <w:tcW w:type="dxa" w:w="1385"/>
          </w:tcPr>
          <w:p>
            <w:r>
              <w:rPr>
                <w:rFonts w:ascii="Times New Roman" w:hAnsi="Times New Roman"/>
                <w:sz w:val="20"/>
              </w:rPr>
              <w:t>Autorisé</w:t>
            </w:r>
          </w:p>
        </w:tc>
      </w:tr>
      <w:tr>
        <w:tc>
          <w:tcPr>
            <w:tcW w:type="dxa" w:w="1385"/>
          </w:tcPr>
          <w:p>
            <w:r>
              <w:rPr>
                <w:rFonts w:ascii="Times New Roman" w:hAnsi="Times New Roman"/>
                <w:sz w:val="20"/>
              </w:rPr>
              <w:t>**Prix approximatif (DZD)**</w:t>
            </w:r>
          </w:p>
        </w:tc>
        <w:tc>
          <w:tcPr>
            <w:tcW w:type="dxa" w:w="1385"/>
          </w:tcPr>
          <w:p>
            <w:r>
              <w:rPr>
                <w:rFonts w:ascii="Times New Roman" w:hAnsi="Times New Roman"/>
                <w:sz w:val="20"/>
              </w:rPr>
              <w:t>80-150 (500 mL)</w:t>
            </w:r>
          </w:p>
        </w:tc>
        <w:tc>
          <w:tcPr>
            <w:tcW w:type="dxa" w:w="1385"/>
          </w:tcPr>
          <w:p>
            <w:r>
              <w:rPr>
                <w:rFonts w:ascii="Times New Roman" w:hAnsi="Times New Roman"/>
                <w:sz w:val="20"/>
              </w:rPr>
              <w:t>50-100 (ampoule 20 mL)</w:t>
            </w:r>
          </w:p>
        </w:tc>
        <w:tc>
          <w:tcPr>
            <w:tcW w:type="dxa" w:w="1385"/>
          </w:tcPr>
          <w:p>
            <w:r>
              <w:rPr>
                <w:rFonts w:ascii="Times New Roman" w:hAnsi="Times New Roman"/>
                <w:sz w:val="20"/>
              </w:rPr>
              <w:t>100-200 (flacon 500 mL)</w:t>
            </w:r>
          </w:p>
        </w:tc>
        <w:tc>
          <w:tcPr>
            <w:tcW w:type="dxa" w:w="1385"/>
          </w:tcPr>
          <w:p>
            <w:r>
              <w:rPr>
                <w:rFonts w:ascii="Times New Roman" w:hAnsi="Times New Roman"/>
                <w:sz w:val="20"/>
              </w:rPr>
              <w:t>1 500-2 000 (boîte 4 sachets)</w:t>
            </w:r>
          </w:p>
        </w:tc>
        <w:tc>
          <w:tcPr>
            <w:tcW w:type="dxa" w:w="1385"/>
          </w:tcPr>
          <w:p>
            <w:r>
              <w:rPr>
                <w:rFonts w:ascii="Times New Roman" w:hAnsi="Times New Roman"/>
                <w:sz w:val="20"/>
              </w:rPr>
              <w:t>100-200 (poche 500 mL)</w:t>
            </w:r>
          </w:p>
        </w:tc>
      </w:tr>
    </w:tbl>
    <w:p/>
    <w:p>
      <w:pPr>
        <w:pStyle w:val="Heading3"/>
      </w:pPr>
      <w:r>
        <w:t>221.7 Synthèse pédagogique pour la pratique algérienne</w:t>
      </w:r>
    </w:p>
    <w:p>
      <w:r>
        <w:t xml:space="preserve">Les cinq cristalloïdes de perfusion détaillés dans cette section constituent l'ossature de la réanimation hydro-électrolytique algérienne. Le pharmacien d'officine et le pharmacien hospitalier doivent maîtriser leurs compositions, leurs indications, leurs contre-indications et leurs pièges pour assurer la dispensation sécurisée et le conseil adapté. Les messages clés à retenir sont les suivants : (1) le </w:t>
      </w:r>
      <w:r>
        <w:rPr>
          <w:b/>
        </w:rPr>
        <w:t>sérum physiologique</w:t>
      </w:r>
      <w:r>
        <w:t xml:space="preserve"> (NaCl 0,9 %) reste le soluté de référence pour la dilution des médicaments et l'apport d'entretien, mais il est désormais concurrencé par le </w:t>
      </w:r>
      <w:r>
        <w:rPr>
          <w:b/>
        </w:rPr>
        <w:t>Ringer lactate</w:t>
      </w:r>
      <w:r>
        <w:t xml:space="preserve"> (LACTAFLEX) dans la réanimation du choc septique et les perfusions massives en raison du risque d'acidose hyperchlorémique ; (2) le </w:t>
      </w:r>
      <w:r>
        <w:rPr>
          <w:b/>
        </w:rPr>
        <w:t>chlorure de potassium</w:t>
      </w:r>
      <w:r>
        <w:t xml:space="preserve"> est un médicament à haut risque iatrogène, dont la perfusion doit respecter des règles strictes de dilution (40 mmol/L max voie périphérique, 80 mmol/L max voie centrale) et de débit (20 mmol/h max voie périphérique, 40 mmol/h max voie centrale) sous peine d'arrêt cardiaque ; (3) la solution </w:t>
      </w:r>
      <w:r>
        <w:rPr>
          <w:b/>
        </w:rPr>
        <w:t>GLUNAPACK</w:t>
      </w:r>
      <w:r>
        <w:t xml:space="preserve"> (glucose 2,5 % + NaCl 0,45 %) est utile pour l'apport hydrique d'entretien et la correction de l'hypernatrémie modérée, mais expose au risque d'hyponatrémie de dilution ; (4) le </w:t>
      </w:r>
      <w:r>
        <w:rPr>
          <w:b/>
        </w:rPr>
        <w:t>FORTRANS</w:t>
      </w:r>
      <w:r>
        <w:t xml:space="preserve"> (PEG 4000 + électrolytes) est la référence algérienne pour la préparation colique, avec un encadrement strict des contre-indications (occlusion, mégacôlon) et de la tolérance (nausées, hyponatrémie) ; (5) le </w:t>
      </w:r>
      <w:r>
        <w:rPr>
          <w:b/>
        </w:rPr>
        <w:t>Ringer lactate</w:t>
      </w:r>
      <w:r>
        <w:t xml:space="preserve"> (LACTAFLEX) est le cristalloïde équilibré de première intention selon les recommandations internationales (Surviving Sepsis Campaign 2021), mais sa disponibilité locale en Algérie reste limitée à une seule spécialité (IMC). Le pharmacien doit également être vigilant sur les incompatibilités majeures (KCl + ceftriaxone, Ringer lactate + ceftriaxone, Ringer lactate + sang, NaCl + amiodarone) qui peuvent être méconnues des prescripteurs junior.</w:t>
      </w:r>
    </w:p>
    <w:p>
      <w:pPr>
        <w:pStyle w:val="Heading2"/>
      </w:pPr>
      <w:r>
        <w:t>Section 222 — Solutions pour dialyse péritonéale</w:t>
      </w:r>
    </w:p>
    <w:p>
      <w:pPr>
        <w:pStyle w:val="Heading3"/>
      </w:pPr>
      <w:r>
        <w:t>222.0 Introduction de la sous-classe</w:t>
      </w:r>
    </w:p>
    <w:p>
      <w:r>
        <w:t>La dialyse péritonéale (DP) est une méthode de suppléance rénale qui utilise la membrane péritonéale comme filtre semi-perméable naturel, permettant les échanges osmotiques et diffusifs entre le sang du patient (circulant dans les capillaires péritonéaux) et une solution de dialyse introduite dans la cavité péritonéale via un cathéter de Tenckhoff. La DP est une techniquealternative à l'hémodialyse, présentant l'avantage d'être réalisable à domicile, d'être mieux tolérée sur le plan hémodynamique, de préserver la fonction rénale résiduelle plus longtemps, et d'autoriser une autonomie importante aux patients. En revanche, elle expose à des risques spécifiques : péritonite infectieuse, dysfonctionnement du cathéter, altération progressive de la membrane péritonéale (fibrose, encapsulation), et difficulté d'obtention d'une clairance urétique suffisante chez les patients de gros gabarit.</w:t>
      </w:r>
    </w:p>
    <w:p>
      <w:r>
        <w:t>Selon les recommandations ISPD (International Society for Peritoneal Dialysis) 2022, la DP est proposée en première intention chez les patients présentant une insuffisance rénale chronique terminale, en particulier chez l'enfant, le patient âgé avec comorbidités cardiovasculaires, le patient diabétique avec abord vasculaire difficile, et le patient souhaitant une prise en charge à domicile. En Algérie, la DP reste sous-utilisée (environ 5 % des patients dialysés chroniques) malgré un coût potentiellement inférieur à celui de l'hémodialyse (120 000-150 000 DZD/an vs 200 000-300 000 DZD/an pour l'hémodialyse). Le marché algérien des solutions de DP est dominé par Baxter Healthcare (gamme CAPD/DPCA, EXTRANEAL) et Bieffe Medital (CAPD FORMULE 55, 62), avec un acteur local marginal.</w:t>
      </w:r>
    </w:p>
    <w:p>
      <w:r>
        <w:t xml:space="preserve">Trois types de solutions de DP sont disponibles en Algérie : (1) les </w:t>
      </w:r>
      <w:r>
        <w:rPr>
          <w:b/>
        </w:rPr>
        <w:t>poches isotoniques</w:t>
      </w:r>
      <w:r>
        <w:t xml:space="preserve"> contenant 1,5 % de glucose (15 g/L, osmolarité 346 mOsm/L), utilisées pour la prescription d'entretien chez les patients normo-hydratés ; (2) les </w:t>
      </w:r>
      <w:r>
        <w:rPr>
          <w:b/>
        </w:rPr>
        <w:t>poches hypertoniques</w:t>
      </w:r>
      <w:r>
        <w:t xml:space="preserve"> contenant 2,3 % à 4,25 % de glucose (22,7 g/L à 42,5 g/L, osmolarité 395-485 mOsm/L), utilisées pour l'ultrafiltration chez les patients hyperhydratés ; (3) la </w:t>
      </w:r>
      <w:r>
        <w:rPr>
          <w:b/>
        </w:rPr>
        <w:t>solution d'icodextrine 7,5 %</w:t>
      </w:r>
      <w:r>
        <w:t xml:space="preserve"> (polyglucose de haut poids moléculaire, osmolarité 284 mOsm/L), utilisée pour les longues dialyses nocturnes (8-12 heures) afin d'assurer une ultrafiltration prolongée sans absorption glucidique systémique.</w:t>
      </w:r>
    </w:p>
    <w:p>
      <w:pPr>
        <w:pStyle w:val="Heading3"/>
      </w:pPr>
      <w:r>
        <w:t>222.1 Dialyse en poche isotonique — glucose 1,5 %</w:t>
      </w:r>
    </w:p>
    <w:p>
      <w:pPr>
        <w:pStyle w:val="Heading4"/>
      </w:pPr>
      <w:r>
        <w:t>1. Liste des catégories thérapeutiques</w:t>
      </w:r>
    </w:p>
    <w:p>
      <w:r>
        <w:t xml:space="preserve">La solution de dialyse péritonéale isotonique à 1,5 % de glucose est classée au niveau ATC comme </w:t>
      </w:r>
      <w:r>
        <w:rPr>
          <w:b/>
        </w:rPr>
        <w:t>B05D02</w:t>
      </w:r>
      <w:r>
        <w:t xml:space="preserve"> (solutions pour dialyse péritonéale). Sur le plan réglementaire algérien, elle relève de la liste I des substances vénéneuses en raison de son usage parentéral et de sa composition électrolytique. Elle appartient à la sous-classe des solutions isotoniques pour dialyse péritonéale (DP), dont l'osmolarité (346 mOsm/L) est légèrement supérieure à l'osmolarité plasmatique (285-295 mOsm/L) pour assurer un gradient osmotique minimal permettant une ultrafiltration de base. La spécialité CAPD FORMULE 55 (Bieffe Medital) est inscrite dans la nomenclature algérienne comme solution pour dialyse en poche de 2 L. La spécialité DIANECTAN 15G/L (Aguettant) a été retirée du marché algérien.</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CAPD FORMULE 55</w:t>
            </w:r>
          </w:p>
        </w:tc>
        <w:tc>
          <w:tcPr>
            <w:tcW w:type="dxa" w:w="1385"/>
          </w:tcPr>
          <w:p>
            <w:r>
              <w:rPr>
                <w:rFonts w:ascii="Times New Roman" w:hAnsi="Times New Roman"/>
                <w:sz w:val="20"/>
              </w:rPr>
              <w:t>Bieffe Medital</w:t>
            </w:r>
          </w:p>
        </w:tc>
        <w:tc>
          <w:tcPr>
            <w:tcW w:type="dxa" w:w="1385"/>
          </w:tcPr>
          <w:p>
            <w:r>
              <w:rPr>
                <w:rFonts w:ascii="Times New Roman" w:hAnsi="Times New Roman"/>
                <w:sz w:val="20"/>
              </w:rPr>
              <w:t>Solution pour dialyse — 15 g glucose/L</w:t>
            </w:r>
          </w:p>
        </w:tc>
        <w:tc>
          <w:tcPr>
            <w:tcW w:type="dxa" w:w="1385"/>
          </w:tcPr>
          <w:p>
            <w:r>
              <w:rPr>
                <w:rFonts w:ascii="Times New Roman" w:hAnsi="Times New Roman"/>
                <w:sz w:val="20"/>
              </w:rPr>
              <w:t>Poche de 2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DIANECTAN 15G/L</w:t>
            </w:r>
          </w:p>
        </w:tc>
        <w:tc>
          <w:tcPr>
            <w:tcW w:type="dxa" w:w="1385"/>
          </w:tcPr>
          <w:p>
            <w:r>
              <w:rPr>
                <w:rFonts w:ascii="Times New Roman" w:hAnsi="Times New Roman"/>
                <w:sz w:val="20"/>
              </w:rPr>
              <w:t>Aguettant</w:t>
            </w:r>
          </w:p>
        </w:tc>
        <w:tc>
          <w:tcPr>
            <w:tcW w:type="dxa" w:w="1385"/>
          </w:tcPr>
          <w:p>
            <w:r>
              <w:rPr>
                <w:rFonts w:ascii="Times New Roman" w:hAnsi="Times New Roman"/>
                <w:sz w:val="20"/>
              </w:rPr>
              <w:t>Solution pour dialyse en poche isotonique — 15 g glucose/L</w:t>
            </w:r>
          </w:p>
        </w:tc>
        <w:tc>
          <w:tcPr>
            <w:tcW w:type="dxa" w:w="1385"/>
          </w:tcPr>
          <w:p>
            <w:r>
              <w:rPr>
                <w:rFonts w:ascii="Times New Roman" w:hAnsi="Times New Roman"/>
                <w:sz w:val="20"/>
              </w:rPr>
              <w:t>Boîte de 4 poches de 2500 mL</w:t>
            </w:r>
          </w:p>
        </w:tc>
        <w:tc>
          <w:tcPr>
            <w:tcW w:type="dxa" w:w="1385"/>
          </w:tcPr>
          <w:p>
            <w:r>
              <w:rPr>
                <w:rFonts w:ascii="Times New Roman" w:hAnsi="Times New Roman"/>
                <w:sz w:val="20"/>
              </w:rPr>
              <w:t>Liste I</w:t>
            </w:r>
          </w:p>
        </w:tc>
        <w:tc>
          <w:tcPr>
            <w:tcW w:type="dxa" w:w="1385"/>
          </w:tcPr>
          <w:p>
            <w:r>
              <w:rPr>
                <w:rFonts w:ascii="Times New Roman" w:hAnsi="Times New Roman"/>
                <w:sz w:val="20"/>
              </w:rPr>
              <w:t>Retiré (R)</w:t>
            </w:r>
          </w:p>
        </w:tc>
      </w:tr>
    </w:tbl>
    <w:p/>
    <w:p>
      <w:r/>
      <w:r>
        <w:rPr>
          <w:b/>
        </w:rPr>
        <w:t>Remarque</w:t>
      </w:r>
      <w:r>
        <w:t xml:space="preserve"> : la solution isotonique standard contient 1,5 % de glucose (15 g/L) avec une composition électrolytique proche du plasma : sodium 132 mmol/L, calcium 1,75 mmol/L, magnésium 0,75 mmol/L, chlorure 102 mmol/L, lactate 35 mmol/L. L'osmolarité est de 346 mOsm/L. La spécialité CAPD FORMULE 55 (Bieffe Medital) est la seule disponible en Algérie. La spécialité DIANECTAN (Aguettant) a été retirée du marché algérien.</w:t>
      </w:r>
    </w:p>
    <w:p>
      <w:pPr>
        <w:pStyle w:val="Heading4"/>
      </w:pPr>
      <w:r>
        <w:t>3. Sous-classe et mécanisme d'action moléculaire</w:t>
      </w:r>
    </w:p>
    <w:p>
      <w:r>
        <w:t xml:space="preserve">La solution de dialyse péritonéale isotonique à 1,5 % de glucose appartient à la sous-classe des solutions isotoniques pour dialyse péritonéale. Le mécanisme d'action repose sur deux phénomènes physiques : (1) la </w:t>
      </w:r>
      <w:r>
        <w:rPr>
          <w:b/>
        </w:rPr>
        <w:t>diffusion passive</w:t>
      </w:r>
      <w:r>
        <w:t xml:space="preserve"> des solutés (urée, créatinine, potassium, ions H⁺) à travers la membrane péritonéale selon un gradient de concentration, du compartiment sanguin (concentration élevée en urée, créatinine chez le dialysé) vers la solution de dialyse (concentration nulle) ; (2) l'</w:t>
      </w:r>
      <w:r>
        <w:rPr>
          <w:b/>
        </w:rPr>
        <w:t>ultrafiltration</w:t>
      </w:r>
      <w:r>
        <w:t xml:space="preserve"> de l'eau par gradient osmotique, généré par la concentration de glucose (15 g/L) qui crée une pression osmotique supérieure à celle du plasma, forçant l'eau à passer du compartiment sanguin vers la cavité péritonéale. Le glucose, molécule de faible poids moléculaire (180 Da), diffuse partiellement à travers la membrane péritonéale et est absorbé à hauteur de 50-80 % en 4-6 heures de stase, ce qui expose le patient à une charge glucidique significative (environ 100-150 g/jour en CAPD avec 4 cycles) et à des pics d'insuline. La solution contient du lactate (35 mmol/L) qui, après absorption et métabolisation hépatique en bicarbonate, corrige l'acidose métabolique urémique. Le sodium (132 mmol/L) est volontairement abaissé par rapport au plasma pour prévenir l'hypernatrémie par ultrafiltration. Le calcium (1,75 mmol/L) est légèrement supérieur au calcium ionisé plasmatique (1,2 mmol/L), ce qui permet un bilan calcique positif et prévient l'ostéodystrophie rénale.</w:t>
      </w:r>
    </w:p>
    <w:p>
      <w:pPr>
        <w:pStyle w:val="Heading4"/>
      </w:pPr>
      <w:r>
        <w:t>4. Profil pharmacologique</w:t>
      </w:r>
    </w:p>
    <w:p>
      <w:r/>
      <w:r>
        <w:rPr>
          <w:b/>
        </w:rPr>
        <w:t>Indications</w:t>
      </w:r>
      <w:r>
        <w:t xml:space="preserve"> : insuffisance rénale chronique terminale en suppléance par dialyse péritonéale continue ambulatoire (CAPD) ou automatisée (DPA) chez l'adulte et l'enfant ; isotonique de prescription d'entretien chez les patients normo-hydratés ; relais d'une poche hypertonique chez le patient stabilisé ; DP aiguë chez l'insuffisant rénal aigu avec hyperkaliémie menaçante (alternative à l'hémodialyse d'urgence). </w:t>
      </w:r>
      <w:r>
        <w:rPr>
          <w:b/>
        </w:rPr>
        <w:t>Contre-indications</w:t>
      </w:r>
      <w:r>
        <w:t xml:space="preserve"> : péritonite active ; dysfonctionnement du cathéter de Tenckhoff ; hernie abdominale non réparée ; intervention chirurgicale abdominale récente (&lt; 4 semaines) ; adhérences péritonéales étendues ; stomie digestive ou urinaire ; diabète déséquilibré (apport glucidique) ; dénutrition sévère ; immunodépression profonde. </w:t>
      </w:r>
      <w:r>
        <w:rPr>
          <w:b/>
        </w:rPr>
        <w:t>Effets indésirables</w:t>
      </w:r>
      <w:r>
        <w:t xml:space="preserve"> : hyperglycémie (en particulier chez le diabétique) ; hyperinsulinémie et prise de poids ; dyslipidémie (hypertriglycéridémie) ; péritonite bactérienne (incidence 0,5-1 épisode/patient/an en CAPD) ; infection de sortie de cathéter (Staphylococcus aureus, Pseudomonas) ; hernie abdominale (incidence 10 % à 2 ans) ; fuite de solution autour du cathéter ; encapsulation péritonéale scléreuse (rare mais grave, incidence 0,5-1 % à 5 ans) ; douleurs abdominales (en particulier si solution trop acide ou trop froide) ; constipation (favorisée par la stase liquidienne) ; acidose lactique (rare, en cas d'insuffisance hépatocellulaire). La tolérance est généralement bonne en cas de respect du protocole aseptique.</w:t>
      </w:r>
    </w:p>
    <w:p>
      <w:pPr>
        <w:pStyle w:val="Heading4"/>
      </w:pPr>
      <w:r>
        <w:t>5. Prévention et gestion des effets indésirables</w:t>
      </w:r>
    </w:p>
    <w:p>
      <w:r>
        <w:t xml:space="preserve">La prévention de la </w:t>
      </w:r>
      <w:r>
        <w:rPr>
          <w:b/>
        </w:rPr>
        <w:t>péritonite bactérienne</w:t>
      </w:r>
      <w:r>
        <w:t xml:space="preserve"> repose sur : (1) l'asepsie stricte à chaque branchement (lavage des mains, masque, gants stériles, désinfection du site de branchement par chlorhexidine alcoolique) ; (2) l'usage préférentiel de systèmes de connexion « déconnectables » (système Y, Opti-Y, Stay Safe) qui réduisent le risque de contamination à 0,2 épisode/patient/an ; (3) la formation du patient à l'autosoins et à la reconnaissance précoce des signes (trouble de la transparence de l'effluent, fièvre, douleur abdominale) ; (4) le traitement prophylactique de la sortie de cathéter par mupirocine nasale (portage staphylococcique) et application locale de crème antibiotique (mupirocine, gentamicine). En cas de péritonite documentée (effluent trouble, &gt; 100 leucocytes/mm³, &gt; 50 % neutrophiles), traitement empirique par voie intrapéritonéale : céfazoline + céftazidime (ou gentamicine), adaptation selon antibiogramme, durée 14 jours (21 jours en cas de Staphylococcus aureus, 28 jours en cas de Pseudomonas). La prévention de l'</w:t>
      </w:r>
      <w:r>
        <w:rPr>
          <w:b/>
        </w:rPr>
        <w:t>hyperglycémie</w:t>
      </w:r>
      <w:r>
        <w:t xml:space="preserve"> impose la surveillance glycémique capillaire 4 fois par jour chez le diabétique, l'adaptation de l'insuline (IV ou SC), et l'usage préférentiel d'icodextrine pour les longues dialyses nocturnes. La prévention de la </w:t>
      </w:r>
      <w:r>
        <w:rPr>
          <w:b/>
        </w:rPr>
        <w:t>prise de poids</w:t>
      </w:r>
      <w:r>
        <w:t xml:space="preserve"> impose un régime hypocalorique adapté à l'apport glucidique péritonéal (~ 300-400 kcal/jour en CAPD). La prévention de la </w:t>
      </w:r>
      <w:r>
        <w:rPr>
          <w:b/>
        </w:rPr>
        <w:t>fuite</w:t>
      </w:r>
      <w:r>
        <w:t xml:space="preserve"> impose un délai de cicatrisation de 10-14 jours après pose du cathéter avant la première utilisation. La prévention de l'</w:t>
      </w:r>
      <w:r>
        <w:rPr>
          <w:b/>
        </w:rPr>
        <w:t>encapsulation péritonéale scléreuse</w:t>
      </w:r>
      <w:r>
        <w:t xml:space="preserve"> impose le diagnostic précoce par échographie et la conversion en hémodialyse en cas de suspicion (altération de la perméabilité, ultrafiltration diminuée).</w:t>
      </w:r>
    </w:p>
    <w:p>
      <w:pPr>
        <w:pStyle w:val="Heading4"/>
      </w:pPr>
      <w:r>
        <w:t>6. Interactions médicamenteuses</w:t>
      </w:r>
    </w:p>
    <w:p>
      <w:r>
        <w:t xml:space="preserve">La solution de dialyse péritonéale présente des interactions pharmacodynamiques et pharmacocinétiques spécifiques : (1) </w:t>
      </w:r>
      <w:r>
        <w:rPr>
          <w:b/>
        </w:rPr>
        <w:t>augmentation de l'absorption péritonéale de l'insuline</w:t>
      </w:r>
      <w:r>
        <w:t xml:space="preserve"> (chez le diabétique, l'insuline ajoutée à la poche est absorbée à hauteur de 30-50 % en 4-6 heures, nécessitant une adaptation posologique) ; (2) </w:t>
      </w:r>
      <w:r>
        <w:rPr>
          <w:b/>
        </w:rPr>
        <w:t>diminution de l'efficacité des antibiotiques intraveineux</w:t>
      </w:r>
      <w:r>
        <w:t xml:space="preserve"> (élimination accélérée par ultrafiltration, nécessité d'adaptation posologique selon la clairance résiduelle) ; (3) </w:t>
      </w:r>
      <w:r>
        <w:rPr>
          <w:b/>
        </w:rPr>
        <w:t>augmentation de la toxicité de la digoxine</w:t>
      </w:r>
      <w:r>
        <w:t xml:space="preserve"> (hypokaliémie fréquente en DP, potentialisation de la toxicité digitalique) ; (4) </w:t>
      </w:r>
      <w:r>
        <w:rPr>
          <w:b/>
        </w:rPr>
        <w:t>interaction avec les diurétiques résiduels</w:t>
      </w:r>
      <w:r>
        <w:t xml:space="preserve"> (en cas de fonction rénale résiduelle, furosémide à haute dose 250-500 mg/jour peut augmenter la diurèse résiduelle et améliorer la clairance globale) ; (5) </w:t>
      </w:r>
      <w:r>
        <w:rPr>
          <w:b/>
        </w:rPr>
        <w:t>modification de l'absorption des médicaments administrés par voie orale</w:t>
      </w:r>
      <w:r>
        <w:t xml:space="preserve"> (transit ralenti par la stase liquidienne, augmentation de l'absorption des médicaments à fenêtre d'absorption étroite). Le glucose et le lactate ne sont pas métabolisés par le cytochrome P450. La prudence s'impose en cas de prescription d'IEC, d'ARA2, de diurétiques épargneurs de potassium (risque d'hyperkaliémie par réduction de la clairance potassique résiduelle).</w:t>
      </w:r>
    </w:p>
    <w:p>
      <w:pPr>
        <w:pStyle w:val="Heading4"/>
      </w:pPr>
      <w:r>
        <w:t>7. Grossesse et allaitement (CRAT)</w:t>
      </w:r>
    </w:p>
    <w:p>
      <w:r>
        <w:t>La dialyse péritonéale est autorisée pendant la grossesse chez la patiente insuffisante rénale chronique terminale, et constitue même la méthode de suppléance rénale préférentielle chez la femme enceinte (versus hémodialyse), en raison de la meilleure stabilité hémodynamique et de la moindre fluctuation des concentrations d'urée et de créatinine. Le CRAT recommande une intensification de la dialyse (objectif Kt/V &gt; 2,1 par semaine, soit 5-6 cycles par jour) et une surveillance rapprochée de la croissance fœtale (échographie mensuelle), de la tension artérielle (risque accru de pré-éclampsie), et de la glycémie (apport glucidique péritonéal). Pendant l'allaitement, la dialyse péritonéale est compatible, sans passage significatif de glucose, lactate ou électrolytes dans le lait maternel. La prudence s'impose en cas d'ajout d'insuline ou d'antibiotiques intrapéritonéaux (vérifier la compatibilité avec l'allaitement selon le CRAT). La grossesse sous DP reste à haut risque (prématurité 60-80 %, hypotrophie 30-50 %) et impose une prise en charge multidisciplinaire (néphrologue, obstétricien, néonatologue).</w:t>
      </w:r>
    </w:p>
    <w:p>
      <w:pPr>
        <w:pStyle w:val="Heading4"/>
      </w:pPr>
      <w:r>
        <w:t>8. Posologie et mode d'administration</w:t>
      </w:r>
    </w:p>
    <w:p>
      <w:r>
        <w:t>En CAPD chez l'adulte : 4 cycles par 24 heures, chaque cycle consistant en l'introduction de 2 L de solution isotonique (1,5 % glucose) dans la cavité péritonéale, une stase de 4-6 heures (stases plus courtes le jour, plus longues la nuit), et le drainage de l'effluent. Volume quotidien total 8 L, soit un apport glucidique péritonéal de 120 g/jour (1,5 % × 8 L = 120 g). En DPA automatisée : 8-12 cycles sur 8-10 heures nocturnes (cycler), avec poches de 1,5-3 L, et poche de jour isotonique (1,5 %) ou icodextrine (7,5 %) selon le statut volémique. Chez l'enfant : 800-1100 mL/m² par cycle, 4-6 cycles par 24 heures, avec adaptation selon la tolérance abdominale et la clairance résiduelle. Chez le nouveau-né et le nourrisson : 50-100 mL/kg/cycle, 6-8 cycles par 24 heures. La voie d'administration est strictement intrapéritonéale via le cathéter de Tenckhoff (cathéter de silicone tunnellisé avec cuff Dacron). Le patient doit être formé à l'autosoins (technique de branchement, surveillance de l'effluent, prévention des infections).</w:t>
      </w:r>
    </w:p>
    <w:p>
      <w:pPr>
        <w:pStyle w:val="Heading4"/>
      </w:pPr>
      <w:r>
        <w:t>9. Arbitrage et bénéfices des formes galéniques</w:t>
      </w:r>
    </w:p>
    <w:p>
      <w:r>
        <w:t>La solution de DP isotonique se présente en poche de 2 L (CAPD FORMULE 55) ou de 2,5 L (DIANECTAN retiré), en PVC ou en polyoléfine (non-PVC, préférentiel pour la longévité de la membrane péritonéale). Le conditionnement en poche souple avec système de connexion (luer lock) prévient la contamination bactérienne. Les systèmes de connexion déconnectables (système Y, Stay Safe) permettent de réduire le risque infectieux en séparant la phase de drainage de la phase de remplissage. Le conditionnement en bidon de 5-10 L est utilisé pour la DPA automatisée (cycler). Le glucose 1,5 % est l'isotonique de référence pour l'entretien ; les concentrations supérieures (2,3 %, 4,25 %) sont réservées aux situations d'hyperhydratation. La solution peut être réchauffée à 37 °C avant introduction pour améliorer la tolérance (la solution à température ambiante provoque des crampes abdominales). Le pH de la solution (5,5) peut être neutralisé par addition de bicarbonate dans les formulations biocompatibles (BicaVera, Physioneal) — non disponibles en Algérie. La stabilité de la solution est de 2-3 ans à température ambiante.</w:t>
      </w:r>
    </w:p>
    <w:p>
      <w:pPr>
        <w:pStyle w:val="Heading4"/>
      </w:pPr>
      <w:r>
        <w:t>10. Instructions et conseils au patient</w:t>
      </w:r>
    </w:p>
    <w:p>
      <w:r>
        <w:t>Les conseils au patient en CAPD à domicile portent sur : (1) l'hygiène stricte (lavage des mains à la chlorhexidine, masque, gants stériles à chaque branchement) ; (2) la vérification de la transparence de la solution (rejeter toute solution trouble ou contenant des particules) ; (3) le réchauffement à 37 °C avant introduction (utiliser un chauffe-solution, jamais de micro-ondes) ; (4) la vérification de la date de péremption et de l'intégrité de la poche ; (5) la surveillance de l'effluent (volume, couleur, transparence) à chaque drainage, et le signalement immédiat de tout trouble (péritonite) ; (6) la surveillance du poids quotidien, de la tension artérielle, de la diurèse résiduelle, et du périmètre abdominal ; (7) l'observance du régime hyposodé (4-6 g/jour), hypocalorique (adapté à l'apport glucidique péritonéal), hyperprotidique (1,2-1,5 g/kg/jour) ; (8) la prévention de la constipation (régime riche en fibres, laxatifs osmotiques si besoin) ; (9) la consultation médicale en urgence en cas de fièvre, douleur abdominale, effluent trouble, dyspnée, prise de poids rapide ; (10) la formation à l'autosoins (stage de formation en centre spécialisé, 1-2 semaines). Le patient doit recevoir une fiche d'information écrite détaillée et un carnet de suivi (poids, tension, volume d'effluent, incidents).</w:t>
      </w:r>
    </w:p>
    <w:p>
      <w:pPr>
        <w:pStyle w:val="Heading4"/>
      </w:pPr>
      <w:r>
        <w:t>11. Notes, règles d'or et pièges au comptoir</w:t>
      </w:r>
    </w:p>
    <w:p>
      <w:r/>
      <w:r>
        <w:rPr>
          <w:b/>
        </w:rPr>
        <w:t>Règle d'or n°1</w:t>
      </w:r>
      <w:r>
        <w:t xml:space="preserve"> : la solution de dialyse péritonéale à 1,5 % de glucose est isotonique pour la dialyse péritonéale (osmolarité 346 mOsm/L), mais LÉGÈREMENT HYPERTONIQUE par rapport au plasma (285-295 mOsm/L). Ne pas confondre avec la tonicité plasmatique.</w:t>
      </w:r>
    </w:p>
    <w:p>
      <w:r/>
      <w:r>
        <w:rPr>
          <w:b/>
        </w:rPr>
        <w:t>Règle d'or n°2</w:t>
      </w:r>
      <w:r>
        <w:t xml:space="preserve"> : la solution ne doit JAMAIS être perfusée par voie intraveineuse — l'apport massif de glucose (15 g/L) et de lactate (35 mmol/L) provoquerait une hyperglycémie, une acidose lactique et un déséquilibre électrolytique aigus.</w:t>
      </w:r>
    </w:p>
    <w:p>
      <w:r/>
      <w:r>
        <w:rPr>
          <w:b/>
        </w:rPr>
        <w:t>Piège n°1</w:t>
      </w:r>
      <w:r>
        <w:t xml:space="preserve"> : la solution contient du glucose qui est absorbé à hauteur de 50-80 % en 4-6 heures. Chez le diabétique, prévoir l'adaptation de l'insuline et surveiller la glycémie capillaire.</w:t>
      </w:r>
    </w:p>
    <w:p>
      <w:r/>
      <w:r>
        <w:rPr>
          <w:b/>
        </w:rPr>
        <w:t>Piège n°2</w:t>
      </w:r>
      <w:r>
        <w:t xml:space="preserve"> : en cas d'effluent trouble, péritonite jusqu'à preuve du contraire — consulter en urgence pour analyse bactériologique et traitement empirique.</w:t>
      </w:r>
    </w:p>
    <w:p>
      <w:r/>
      <w:r>
        <w:rPr>
          <w:b/>
        </w:rPr>
        <w:t>Piège n°3</w:t>
      </w:r>
      <w:r>
        <w:t xml:space="preserve"> : la solution ne doit pas être réchauffée au micro-ondes (risque de dégradation thermique du glucose et de formation de composés toxiques) — utiliser un chauffe-solution dédié à 37 °C.</w:t>
      </w:r>
    </w:p>
    <w:p>
      <w:r/>
      <w:r>
        <w:rPr>
          <w:b/>
        </w:rPr>
        <w:t>Piège n°4</w:t>
      </w:r>
      <w:r>
        <w:t xml:space="preserve"> : l'ajout d'insuline à la poche (pour le diabétique) doit respecter un protocole strict (insuline humaine régulière, stérilité, calcul de la dose absorbée à hauteur de 30-50 %).</w:t>
      </w:r>
    </w:p>
    <w:p>
      <w:r/>
      <w:r>
        <w:rPr>
          <w:b/>
        </w:rPr>
        <w:t>Piège n°5</w:t>
      </w:r>
      <w:r>
        <w:t xml:space="preserve"> : la spécialité DIANECTAN 15G/L (Aguettant) a été RETIRÉE du marché algérien — ne pas la dispenser, lui préférer CAPD FORMULE 55 (Bieffe Medital) ou CAPD/DPCA 2 (Fresenius).</w:t>
      </w:r>
    </w:p>
    <w:p>
      <w:pPr>
        <w:pStyle w:val="Heading3"/>
      </w:pPr>
      <w:r>
        <w:t>222.2 Dialyse en poche liquide hypertonique — glucose 2,3 % à 4,25 %</w:t>
      </w:r>
    </w:p>
    <w:p>
      <w:pPr>
        <w:pStyle w:val="Heading4"/>
      </w:pPr>
      <w:r>
        <w:t>1. Liste des catégories thérapeutiques</w:t>
      </w:r>
    </w:p>
    <w:p>
      <w:r>
        <w:t xml:space="preserve">La solution de dialyse péritonéale hypertonique à 2,3-4,25 % de glucose est classée au niveau ATC comme </w:t>
      </w:r>
      <w:r>
        <w:rPr>
          <w:b/>
        </w:rPr>
        <w:t>B05D02</w:t>
      </w:r>
      <w:r>
        <w:t xml:space="preserve"> (solutions pour dialyse péritonéale). Sur le plan réglementaire algérien, elle relève de la liste I des substances vénéneuses. Elle appartient à la sous-classe des solutions hypertoniques pour dialyse péritonéale (DP), dont l'osmolarité (395-485 mOsm/L) est nettement supérieure à l'osmolarité plasmatique pour assurer une ultrafiltration significative chez les patients hyperhydratés. Les spécialités disponibles en Algérie sont CAPD FORMULE 62 (Bieffe Medital, 4,25 %) et la gamme CAPD/DPCA 2, 3 et 4 (Fresenius Medical Care, 1,5 % à 4,25 %). Le code ATC B05D02 englobe toutes les solutions pour DP, indépendamment de la concentration glucidique. Les concentrations sont exprimées en glucose anhydre ou en glucose monohydrate (la correspondance est 1 g glucose anhydre = 1,1 g glucose monohydrate).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CAPD FORMULE 62</w:t>
            </w:r>
          </w:p>
        </w:tc>
        <w:tc>
          <w:tcPr>
            <w:tcW w:type="dxa" w:w="1385"/>
          </w:tcPr>
          <w:p>
            <w:r>
              <w:rPr>
                <w:rFonts w:ascii="Times New Roman" w:hAnsi="Times New Roman"/>
                <w:sz w:val="20"/>
              </w:rPr>
              <w:t>Bieffe Medital</w:t>
            </w:r>
          </w:p>
        </w:tc>
        <w:tc>
          <w:tcPr>
            <w:tcW w:type="dxa" w:w="1385"/>
          </w:tcPr>
          <w:p>
            <w:r>
              <w:rPr>
                <w:rFonts w:ascii="Times New Roman" w:hAnsi="Times New Roman"/>
                <w:sz w:val="20"/>
              </w:rPr>
              <w:t>Solution pour dialyse — 42,5 g glucose/L (4,25 %)</w:t>
            </w:r>
          </w:p>
        </w:tc>
        <w:tc>
          <w:tcPr>
            <w:tcW w:type="dxa" w:w="1385"/>
          </w:tcPr>
          <w:p>
            <w:r>
              <w:rPr>
                <w:rFonts w:ascii="Times New Roman" w:hAnsi="Times New Roman"/>
                <w:sz w:val="20"/>
              </w:rPr>
              <w:t>Poche de 2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CAPD/DPCA 2 — Stay Safe 2</w:t>
            </w:r>
          </w:p>
        </w:tc>
        <w:tc>
          <w:tcPr>
            <w:tcW w:type="dxa" w:w="1385"/>
          </w:tcPr>
          <w:p>
            <w:r>
              <w:rPr>
                <w:rFonts w:ascii="Times New Roman" w:hAnsi="Times New Roman"/>
                <w:sz w:val="20"/>
              </w:rPr>
              <w:t>Fresenius Medical Care</w:t>
            </w:r>
          </w:p>
        </w:tc>
        <w:tc>
          <w:tcPr>
            <w:tcW w:type="dxa" w:w="1385"/>
          </w:tcPr>
          <w:p>
            <w:r>
              <w:rPr>
                <w:rFonts w:ascii="Times New Roman" w:hAnsi="Times New Roman"/>
                <w:sz w:val="20"/>
              </w:rPr>
              <w:t>Solution glucose — 15 g/L (1,5 %)</w:t>
            </w:r>
          </w:p>
        </w:tc>
        <w:tc>
          <w:tcPr>
            <w:tcW w:type="dxa" w:w="1385"/>
          </w:tcPr>
          <w:p>
            <w:r>
              <w:rPr>
                <w:rFonts w:ascii="Times New Roman" w:hAnsi="Times New Roman"/>
                <w:sz w:val="20"/>
              </w:rPr>
              <w:t>Boîte de 4 poches de 2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CAPD/DPCA 3 — Stay Safe 3</w:t>
            </w:r>
          </w:p>
        </w:tc>
        <w:tc>
          <w:tcPr>
            <w:tcW w:type="dxa" w:w="1385"/>
          </w:tcPr>
          <w:p>
            <w:r>
              <w:rPr>
                <w:rFonts w:ascii="Times New Roman" w:hAnsi="Times New Roman"/>
                <w:sz w:val="20"/>
              </w:rPr>
              <w:t>Fresenius Medical Care</w:t>
            </w:r>
          </w:p>
        </w:tc>
        <w:tc>
          <w:tcPr>
            <w:tcW w:type="dxa" w:w="1385"/>
          </w:tcPr>
          <w:p>
            <w:r>
              <w:rPr>
                <w:rFonts w:ascii="Times New Roman" w:hAnsi="Times New Roman"/>
                <w:sz w:val="20"/>
              </w:rPr>
              <w:t>Solution glucose — 42,5 g/L (4,25 %)</w:t>
            </w:r>
          </w:p>
        </w:tc>
        <w:tc>
          <w:tcPr>
            <w:tcW w:type="dxa" w:w="1385"/>
          </w:tcPr>
          <w:p>
            <w:r>
              <w:rPr>
                <w:rFonts w:ascii="Times New Roman" w:hAnsi="Times New Roman"/>
                <w:sz w:val="20"/>
              </w:rPr>
              <w:t>Boîte de 4 poches de 2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CAPD/DPCA 4 — Stay Safe 4</w:t>
            </w:r>
          </w:p>
        </w:tc>
        <w:tc>
          <w:tcPr>
            <w:tcW w:type="dxa" w:w="1385"/>
          </w:tcPr>
          <w:p>
            <w:r>
              <w:rPr>
                <w:rFonts w:ascii="Times New Roman" w:hAnsi="Times New Roman"/>
                <w:sz w:val="20"/>
              </w:rPr>
              <w:t>Fresenius Medical Care</w:t>
            </w:r>
          </w:p>
        </w:tc>
        <w:tc>
          <w:tcPr>
            <w:tcW w:type="dxa" w:w="1385"/>
          </w:tcPr>
          <w:p>
            <w:r>
              <w:rPr>
                <w:rFonts w:ascii="Times New Roman" w:hAnsi="Times New Roman"/>
                <w:sz w:val="20"/>
              </w:rPr>
              <w:t>Solution glucose — 22,73 g/L (2,3 %)</w:t>
            </w:r>
          </w:p>
        </w:tc>
        <w:tc>
          <w:tcPr>
            <w:tcW w:type="dxa" w:w="1385"/>
          </w:tcPr>
          <w:p>
            <w:r>
              <w:rPr>
                <w:rFonts w:ascii="Times New Roman" w:hAnsi="Times New Roman"/>
                <w:sz w:val="20"/>
              </w:rPr>
              <w:t>Boîte de 4 poches de 2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la gamme Fresenius propose trois concentrations (1,5 %, 2,3 %, 4,25 %) correspondant à des niveaux d'ultrafiltration croissants. La spécialité CAPD FORMULE 62 (Bieffe) est uniquement en 4,25 % (hypertonique fort). La solution CAPD/DPCA 4 (Fresenius) contient 2,27 % de glucose anhydre (correspondant à 2,5 % de glucose monohydrate), créant parfois une confusion de dosage. Le pharmacien doit toujours vérifier la concentration à la dispensation.</w:t>
      </w:r>
    </w:p>
    <w:p>
      <w:pPr>
        <w:pStyle w:val="Heading4"/>
      </w:pPr>
      <w:r>
        <w:t>3. Sous-classe et mécanisme d'action moléculaire</w:t>
      </w:r>
    </w:p>
    <w:p>
      <w:r>
        <w:t>La solution de dialyse péritonéale hypertonique appartient à la sous-classe des solutions hypertoniques pour DP. Le mécanisme d'action repose sur l'</w:t>
      </w:r>
      <w:r>
        <w:rPr>
          <w:b/>
        </w:rPr>
        <w:t>ultrafiltration osmotique massive</w:t>
      </w:r>
      <w:r>
        <w:t xml:space="preserve"> générée par la concentration élevée de glucose (22,7-42,5 g/L), créant une pression osmotique de 395-485 mOsm/L (versus 285-295 mOsm/L plasmatique), soit un gradient osmotique de 100-200 mOsm/L. Ce gradient force l'eau à passer du compartiment sanguin vers la cavité péritonéale, permettant une ultrafiltration de 300-800 mL par cycle de 4-6 heures (versus 100-300 mL avec une poche isotonique). Cependant, l'absorption glucidique péritonéale est proportionnelle à la concentration, et atteint 60-90 % du glucose introduit en 6 heures pour la concentration 4,25 %, ce qui expose le patient à une charge glucidique majeure (jusqu'à 200-300 g/jour en cas d'usage prolongé). L'effet osmotique diminue avec la durée de stase (épuisement du gradient par absorption glucidique et dilution par l'ultrafiltrat). L'acidification de la solution (pH 5,5) est nécessaire pour prévenir la caramélisation du glucose pendant la stérilisation (réaction de Maillard), mais expose à une péritonite chimique et à une altération de la membrane péritonéale à long terme. Le lactate, métabolisé en bicarbonate par le foie, exerce un effet tampon métabolique compensateur.</w:t>
      </w:r>
    </w:p>
    <w:p>
      <w:pPr>
        <w:pStyle w:val="Heading4"/>
      </w:pPr>
      <w:r>
        <w:t>4. Profil pharmacologique</w:t>
      </w:r>
    </w:p>
    <w:p>
      <w:r/>
      <w:r>
        <w:rPr>
          <w:b/>
        </w:rPr>
        <w:t>Indications</w:t>
      </w:r>
      <w:r>
        <w:t xml:space="preserve"> : hyperhydratation chronique chez le patient en DP d'entretien (œdèmes, HTA, surcharge pulmonaire) ; échec d'ultrafiltration avec poches isotoniques ; situations d'apport hydrique excessif (interdialytique) ; dialyse péritonéale automatisée (DPA) avec cycle nocturne hypertonique ;patient diabétique nécessitant une ultrafiltration prolongée (alternative à l'icodextrine) ; épisode aigu de surcharge hydrosodée. </w:t>
      </w:r>
      <w:r>
        <w:rPr>
          <w:b/>
        </w:rPr>
        <w:t>Contre-indications</w:t>
      </w:r>
      <w:r>
        <w:t xml:space="preserve"> : déshydratation ; hypotension ; péritonite active ; diabète déséquilibré sans adaptation insulinique ; encéphalopathie hyperosmolaire préexistante ; hypovolémie sévère. </w:t>
      </w:r>
      <w:r>
        <w:rPr>
          <w:b/>
        </w:rPr>
        <w:t>Effets indésirables</w:t>
      </w:r>
      <w:r>
        <w:t xml:space="preserve"> : hyperglycémie majeure (pic glycémique après introduction, en particulier 4,25 %) ; hyperinsulinémie réactionnelle avec risque d'hypoglycémie secondaire (en cas de stase prolongée et de drainage retardé) ; dyslipidémie (hypertriglycéridémie, hypoHDLémie) ; prise de poids et obésité abdominale ; altération de la membrane péritonéale à long terme (fibrose, néovascularisation, encapsulation péritonéale scléreuse — incidence 1-2 % à 5 ans d'utilisation prolongée de poches hypertoniques) ; douleurs abdominales à l'introduction (acidité de la solution) ; déséquilibre électrolytique (hypokaliémie de dilution, hyponatrémie par ultrafiltration sodée) ; péritonite chimique (effluent trouble sans bactériologie positive, en cas de solution trop acide) ; hyperosmolarité plasmatique (natrémie corrigée augmentée par l'hyperglycémie). La tolérance est médiocre à long terme en cas d'usage exclusif de poches hypertoniques.</w:t>
      </w:r>
    </w:p>
    <w:p>
      <w:pPr>
        <w:pStyle w:val="Heading4"/>
      </w:pPr>
      <w:r>
        <w:t>5. Prévention et gestion des effets indésirables</w:t>
      </w:r>
    </w:p>
    <w:p>
      <w:r>
        <w:t xml:space="preserve">La prévention des </w:t>
      </w:r>
      <w:r>
        <w:rPr>
          <w:b/>
        </w:rPr>
        <w:t>déséquilibres métaboliques</w:t>
      </w:r>
      <w:r>
        <w:t xml:space="preserve"> repose sur : (1) l'usage intermittent et non systématique des poches hypertoniques (préférer isotonique ou icodextrine en entretien) ; (2) la surveillance glycémique capillaire 4 fois par jour chez le diabétique, avec adaptation de l'insuline (insuline humaine régulière IV ou SC selon protocole) ; (3) l'alternance avec poches isotoniques ou icodextrine (1 poche hypertonique sur 4 cycles par exemple) ; (4) le suivi nutritionnel (apport calorique total ajusté à l'apport glucidique péritonéal, compléments en acides gras essentiels) ; (5) la surveillance lipidique (triglycérides, cholestérol total, HDL, LDL) tous les 3 mois ; (6) le contrôle du poids, de la tension artérielle et de l'état d'hydratation (bioimpédancemétrie). La prévention de l'</w:t>
      </w:r>
      <w:r>
        <w:rPr>
          <w:b/>
        </w:rPr>
        <w:t>altération de la membrane péritonéale</w:t>
      </w:r>
      <w:r>
        <w:t xml:space="preserve"> impose la limitation de l'usage des poches hypertoniques à 1-2 cycles par jour maximum, le passage préférentiel à l'icodextrine pour les longues stases, et la surveillance de la perméabilité péritonéale par test de perméabilité (PET, Peritoneal Equilibration Test) annuel. En cas d'</w:t>
      </w:r>
      <w:r>
        <w:rPr>
          <w:b/>
        </w:rPr>
        <w:t>hyperglycémie symptomatique</w:t>
      </w:r>
      <w:r>
        <w:t xml:space="preserve"> (polyurie, polydipsie, troubles visuels, confusion) : arrêt de la poche hypertonique, relais par isotonique ou icodextrine, insuline rapide IV, surveillance glycémique horaire. En cas d'</w:t>
      </w:r>
      <w:r>
        <w:rPr>
          <w:b/>
        </w:rPr>
        <w:t>hypoglycémie secondaire</w:t>
      </w:r>
      <w:r>
        <w:t xml:space="preserve"> (sur stase prolongée) : arrêt immédiat, drainage de la poche, apport glucosé IV (30 %, 50 mL). La prévention des </w:t>
      </w:r>
      <w:r>
        <w:rPr>
          <w:b/>
        </w:rPr>
        <w:t>douleurs à l'introduction</w:t>
      </w:r>
      <w:r>
        <w:t xml:space="preserve"> impose le réchauffement à 37 °C, l'usage de solutions biocompatibles (pH neutre, bicarbonate) si disponibles, et l'adjonction éventuelle d'anesthésique local (lidocaïne 1 %, 5 mL).</w:t>
      </w:r>
    </w:p>
    <w:p>
      <w:pPr>
        <w:pStyle w:val="Heading4"/>
      </w:pPr>
      <w:r>
        <w:t>6. Interactions médicamenteuses</w:t>
      </w:r>
    </w:p>
    <w:p>
      <w:r>
        <w:t xml:space="preserve">Les interactions sont similaires à celles de la solution isotonique, mais amplifiées par l'apport glucidique majeur : (1) </w:t>
      </w:r>
      <w:r>
        <w:rPr>
          <w:b/>
        </w:rPr>
        <w:t>augmentation majeure de l'absorption de l'insuline</w:t>
      </w:r>
      <w:r>
        <w:t xml:space="preserve"> (50-90 % en cas de stase prolongée avec 4,25 %), nécessitant une adaptation insulinique systématique ; (2) </w:t>
      </w:r>
      <w:r>
        <w:rPr>
          <w:b/>
        </w:rPr>
        <w:t>potentialisation de l'effet des sulfamides hypoglycémiants</w:t>
      </w:r>
      <w:r>
        <w:t xml:space="preserve"> (glibenclamide, glimépiride) — risque d'hypoglycémie prolongée en cas de stase prolongée ; (3) </w:t>
      </w:r>
      <w:r>
        <w:rPr>
          <w:b/>
        </w:rPr>
        <w:t>augmentation de la toxicité de la metformine</w:t>
      </w:r>
      <w:r>
        <w:t xml:space="preserve"> (acidose lactique favorisée par l'apport lactique péritonéal et l'insuffisance rénale) — contre-indication relative ; (4) </w:t>
      </w:r>
      <w:r>
        <w:rPr>
          <w:b/>
        </w:rPr>
        <w:t>modification de l'absorption des médicaments par voie orale</w:t>
      </w:r>
      <w:r>
        <w:t xml:space="preserve"> (transit ralenti par la stase liquidienne, augmentation de l'absorption des molécules à fenêtre d'absorption étroite) ; (5) </w:t>
      </w:r>
      <w:r>
        <w:rPr>
          <w:b/>
        </w:rPr>
        <w:t>diminution de l'efficacité des diurétiques</w:t>
      </w:r>
      <w:r>
        <w:t xml:space="preserve"> (hyperhydratation intrapéritonéale) ; (6) </w:t>
      </w:r>
      <w:r>
        <w:rPr>
          <w:b/>
        </w:rPr>
        <w:t>augmentation du risque de toxicité digitalique</w:t>
      </w:r>
      <w:r>
        <w:t xml:space="preserve"> (hypokaliémie fréquente). Le glucose et le lactate ne sont pas métabolisés par le cytochrome P450. La prudence s'impose en cas d'association aux IEC, ARA2 (risque d'hyperkaliémie par réduction de la clairance résiduelle), AINS (risque d'insuffisance rénale aiguë fonctionnelle), anticoagulants oraux (modification de l'absorption digestive).</w:t>
      </w:r>
    </w:p>
    <w:p>
      <w:pPr>
        <w:pStyle w:val="Heading4"/>
      </w:pPr>
      <w:r>
        <w:t>7. Grossesse et allaitement (CRAT)</w:t>
      </w:r>
    </w:p>
    <w:p>
      <w:r>
        <w:t>La solution hypertonique de DP doit être utilisée avec prudence pendant la grossesse, en raison de l'apport glucidique majeur pouvant déséquilibrer un diabète gestationnel. Le CRAT recommande de privilégier les poches isotoniques pendant la grossesse, et de réserver les poches hypertoniques aux situations d'hyperhydratation sévère avec surveillance glycémique maternelle stricte et adaptation insulinique. Pendant l'allaitement, la solution est compatible, sans passage significatif de glucose ou de lactate dans le lait maternel. La prudence s'impose en cas d'ajout d'insuline ou d'antibiotiques intrapéritonéaux (vérifier la compatibilité avec l'allaitement selon le CRAT). La grossesse sous DP hypertonique reste à très haut risque (prématurité, hypotrophie, déséquilibre glycémique maternel) et impose une prise en charge multidisciplinaire.</w:t>
      </w:r>
    </w:p>
    <w:p>
      <w:pPr>
        <w:pStyle w:val="Heading4"/>
      </w:pPr>
      <w:r>
        <w:t>8. Posologie et mode d'administration</w:t>
      </w:r>
    </w:p>
    <w:p>
      <w:r>
        <w:t>En CAPD chez l'adulte : la solution hypertonique est utilisée en alternance avec la solution isotonique, à raison de 1-2 poches par jour sur 4 cycles (la dernière poche du soir étant souvent hypertonique pour optimiser l'ultrafiltration nocturne). Volume par cycle : 2 L. Volume hypertonique quotidien : 2-4 L. Apport glucidique péritonéal hypertonique : 50-90 g par poche (selon concentration et durée de stase). En DPA automatisée : utilisation préférentielle en cycle nocturne court (1-2 heures par cycle) pour optimiser l'ultrafiltration, relayée par poche de jour isotonique ou icodextrine. Chez l'enfant : 800-1100 mL/m² par cycle, 4-6 cycles par 24 heures, avec adaptation selon la tolérance abdominale et l'ultrafiltration requise. La voie d'administration est strictement intrapéritonéale via le cathéter de Tenckhoff. Le réchauffement à 37 °C est obligatoire avant introduction (la solution froide provoque crampes et frissons). Le drainage de l'effluent doit être complet avant introduction de la nouvelle poche. La stase dure 4-6 heures en CAPD, 1-2 heures en DPA nocturne. L'effluent doit être examiné à chaque drainage (volume, couleur, transparence) et signalé en cas de trouble.</w:t>
      </w:r>
    </w:p>
    <w:p>
      <w:pPr>
        <w:pStyle w:val="Heading4"/>
      </w:pPr>
      <w:r>
        <w:t>9. Arbitrage et bénéfices des formes galéniques</w:t>
      </w:r>
    </w:p>
    <w:p>
      <w:r>
        <w:t>La solution hypertonique se présente en poche de 2 L (CAPD FORMULE 62, CAPD/DPCA 3) ou de 2,5 L (rare), en PVC ou polyoléfine. Le conditionnement en système de connexion déconnectable (Stay Safe) prévient la contamination bactérienne. Le glucose 4,25 % (CAPD FORMULE 62, CAPD/DPCA 3) est l'hypertonique fort, réservé aux hyperhydratations sévères. Le glucose 2,3 % (CAPD/DPCA 4) est l'hypertonique modéré, intermédiaire entre isotonique et hypertonique fort. La solution biocompatible à pH neutre (Physioneal, BicaVera) n'est pas disponible en Algérie. La stabilité de la solution est de 2-3 ans à température ambiante, à l'abri de la lumière. Le pH acide (5,5) est nécessaire pour prévenir la caramélisation du glucose pendant la stérilisation. La solution peut être réchauffée à 37 °C par chauffe-solution. Le conditionnement en bidon de 5-10 L est utilisé pour la DPA automatisée (cycler). Le pharmacien doit guider le prescripteur sur le choix de la concentration en fonction de l'état d'hydratation et du statut diabétique.</w:t>
      </w:r>
    </w:p>
    <w:p>
      <w:pPr>
        <w:pStyle w:val="Heading4"/>
      </w:pPr>
      <w:r>
        <w:t>10. Instructions et conseils au patient</w:t>
      </w:r>
    </w:p>
    <w:p>
      <w:r>
        <w:t>Les conseils au patient en CAPD avec poches hypertoniques portent sur : (1) l'alternance systématique avec poches isotoniques (au maximum 1-2 poches hypertoniques sur 4 cycles par jour) ; (2) la surveillance glycémique capillaire 4 fois par jour chez le diabétique, avec adaptation de l'insuline selon protocole ; (3) la surveillance du poids quotidien, de la tension artérielle, de la diurèse résiduelle, et du périmètre abdominal ; (4) la surveillance de l'effluent (volume, couleur, transparence) à chaque drainage ; (5) l'observance du régime hyposodé (4-6 g/jour), hypocalorique (adapté à l'apport glucidique péritonéal), hyperprotidique (1,2-1,5 g/kg/jour) ; (6) la prévention de la constipation ; (7) le réchauffement à 37 °C avant introduction (chauffe-solution, jamais micro-ondes) ; (8) la consultation médicale en urgence en cas de fièvre, douleur abdominale, effluent trouble, dyspnée, prise de poids rapide, malaise ; (9) la surveillance lipidique tous les 3 mois (triglycérides, cholestérol, HDL, LDL) ; (10) la formation à l'autosoins et le carnet de suivi quotidien. Le patient doit recevoir une fiche d'information écrite détaillée.</w:t>
      </w:r>
    </w:p>
    <w:p>
      <w:pPr>
        <w:pStyle w:val="Heading4"/>
      </w:pPr>
      <w:r>
        <w:t>11. Notes, règles d'or et pièges au comptoir</w:t>
      </w:r>
    </w:p>
    <w:p>
      <w:r/>
      <w:r>
        <w:rPr>
          <w:b/>
        </w:rPr>
        <w:t>Règle d'or n°1</w:t>
      </w:r>
      <w:r>
        <w:t xml:space="preserve"> : la solution hypertonique de DP contient du glucose à concentration majeure (2,3-4,25 %), absorbé à 60-90 % en 6 heures, exposant à une charge glucidique significative. Chez le diabétique, adaptation insulinique obligatoire et surveillance glycémique capillaire 4 fois par jour.</w:t>
      </w:r>
    </w:p>
    <w:p>
      <w:r/>
      <w:r>
        <w:rPr>
          <w:b/>
        </w:rPr>
        <w:t>Règle d'or n°2</w:t>
      </w:r>
      <w:r>
        <w:t xml:space="preserve"> : l'usage exclusif de poches hypertoniques à long terme altère la membrane péritonéale (fibrose, encapsulation scléreuse). Limiter à 1-2 cycles par jour, alterner avec isotonique ou icodextrine.</w:t>
      </w:r>
    </w:p>
    <w:p>
      <w:r/>
      <w:r>
        <w:rPr>
          <w:b/>
        </w:rPr>
        <w:t>Piège n°1</w:t>
      </w:r>
      <w:r>
        <w:t xml:space="preserve"> : ne pas confondre les concentrations — CAPD/DPCA 2 = 1,5 % (isotonique), CAPD/DPCA 4 = 2,3 % (hypertonique modéré), CAPD/DPCA 3 = 4,25 % (hypertonique fort), CAPD FORMULE 62 = 4,25 % (hypertonique fort). Vérifier la concentration à la dispensation.</w:t>
      </w:r>
    </w:p>
    <w:p>
      <w:r/>
      <w:r>
        <w:rPr>
          <w:b/>
        </w:rPr>
        <w:t>Piège n°2</w:t>
      </w:r>
      <w:r>
        <w:t xml:space="preserve"> : ne pas confondre glucose anhydre et glucose monohydrate — 2,3 % anhydre = 2,5 % monohydrate. Toujours vérifier l'unité de dosage.</w:t>
      </w:r>
    </w:p>
    <w:p>
      <w:r/>
      <w:r>
        <w:rPr>
          <w:b/>
        </w:rPr>
        <w:t>Piège n°3</w:t>
      </w:r>
      <w:r>
        <w:t xml:space="preserve"> : la solution ne doit pas être réchauffée au micro-ondes (caramélisation du glucose, formation de composés toxiques). Utiliser un chauffe-solution à 37 °C.</w:t>
      </w:r>
    </w:p>
    <w:p>
      <w:r/>
      <w:r>
        <w:rPr>
          <w:b/>
        </w:rPr>
        <w:t>Piège n°4</w:t>
      </w:r>
      <w:r>
        <w:t xml:space="preserve"> : en cas d'effluent trouble, ne pas attribuer systématiquement à la solution — péritonite bactérienne jusqu'à preuve du contraire (analyse bactériologique et antibiogramme).</w:t>
      </w:r>
    </w:p>
    <w:p>
      <w:r/>
      <w:r>
        <w:rPr>
          <w:b/>
        </w:rPr>
        <w:t>Piège n°5</w:t>
      </w:r>
      <w:r>
        <w:t xml:space="preserve"> : chez le diabétique, l'ajout d'insuline à la poche doit respecter un protocole strict (insuline humaine régulière, stérilité, calcul de la dose absorbée à hauteur de 50-90 % en cas de 4,25 %).</w:t>
      </w:r>
    </w:p>
    <w:p>
      <w:pPr>
        <w:pStyle w:val="Heading3"/>
      </w:pPr>
      <w:r>
        <w:t>222.3 Icodextrine 7,5 % (EXTRANEAL)</w:t>
      </w:r>
    </w:p>
    <w:p>
      <w:pPr>
        <w:pStyle w:val="Heading4"/>
      </w:pPr>
      <w:r>
        <w:t>1. Liste des catégories thérapeutiques</w:t>
      </w:r>
    </w:p>
    <w:p>
      <w:r>
        <w:t xml:space="preserve">L'icodextrine 7,5 % (polyglucose de haut poids moléculaire) est classée au niveau ATC comme </w:t>
      </w:r>
      <w:r>
        <w:rPr>
          <w:b/>
        </w:rPr>
        <w:t>B05D03</w:t>
      </w:r>
      <w:r>
        <w:t xml:space="preserve"> (icodextrine pour dialyse péritonéale). Sur le plan réglementaire algérien, elle relève de la liste I des substances vénéneuses. Elle appartient à la sous-classe des solutions isotoniques pour dialyse péritonéale, mais avec un mécanisme d'ultrafiltration différent : l'icodextrine est un polymère de glucose de haut poids moléculaire (PM 13 000-19 000 Da) qui exerce une pression oncotique (et non osmotique) à travers la membrane péritonéale, ce qui permet une ultrafiltration prolongée sans absorption glucidique systémique significative. La spécialité EXTRANEAL 7,5 % (Baxter Healthcare Ltd) est inscrite dans la nomenclature algérienne comme solution pour dialyse péritonéale en poches simples de 2 L et poches doubles de 2 L. L'osmolarité de la solution est de 284 mOsm/L (isotonique par rapport au plasma), ce qui en fait une solution isotonique mais à effet ultrafiltratif prolongé. Le code ATC B05D03 désigne spécifiquement l'icodextrine comme agent osmotique pour DP.</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EXTRANEAL 7,5 %</w:t>
            </w:r>
          </w:p>
        </w:tc>
        <w:tc>
          <w:tcPr>
            <w:tcW w:type="dxa" w:w="1385"/>
          </w:tcPr>
          <w:p>
            <w:r>
              <w:rPr>
                <w:rFonts w:ascii="Times New Roman" w:hAnsi="Times New Roman"/>
                <w:sz w:val="20"/>
              </w:rPr>
              <w:t>Baxter Healthcare Ltd</w:t>
            </w:r>
          </w:p>
        </w:tc>
        <w:tc>
          <w:tcPr>
            <w:tcW w:type="dxa" w:w="1385"/>
          </w:tcPr>
          <w:p>
            <w:r>
              <w:rPr>
                <w:rFonts w:ascii="Times New Roman" w:hAnsi="Times New Roman"/>
                <w:sz w:val="20"/>
              </w:rPr>
              <w:t>Solution pour dialyse péritonéale — Icodextrine 75 g/L + NaCl 5,4 g/L + lactate de sodium 4,5 g/L + CaCl₂ 0,257 g/L + MgCl₂ 0,051 g/L</w:t>
            </w:r>
          </w:p>
        </w:tc>
        <w:tc>
          <w:tcPr>
            <w:tcW w:type="dxa" w:w="1385"/>
          </w:tcPr>
          <w:p>
            <w:r>
              <w:rPr>
                <w:rFonts w:ascii="Times New Roman" w:hAnsi="Times New Roman"/>
                <w:sz w:val="20"/>
              </w:rPr>
              <w:t>Boîte de 5 poches simples de 2 L ; Boîte de 5 poches doubles de 2 L (système Viaflex)</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Composition détaillée par litre</w:t>
      </w:r>
      <w:r>
        <w:t xml:space="preserve"> : icodextrine 75 g (7,5 %) ; sodium 133 mmol ; calcium 1,75 mmol ; magnésium 0,25 mmol ; chlorure 96 mmol ; lactate 40 mmol. </w:t>
      </w:r>
      <w:r>
        <w:rPr>
          <w:b/>
        </w:rPr>
        <w:t>Osmolarité</w:t>
      </w:r>
      <w:r>
        <w:t xml:space="preserve"> : 284 mOsm/L (isotonique par rapport au plasma). </w:t>
      </w:r>
      <w:r>
        <w:rPr>
          <w:b/>
        </w:rPr>
        <w:t>PM moyen icodextrine</w:t>
      </w:r>
      <w:r>
        <w:t xml:space="preserve"> : 13 000-19 000 Da. </w:t>
      </w:r>
      <w:r>
        <w:rPr>
          <w:b/>
        </w:rPr>
        <w:t>pH</w:t>
      </w:r>
      <w:r>
        <w:t xml:space="preserve"> : 5,5.</w:t>
      </w:r>
    </w:p>
    <w:p>
      <w:pPr>
        <w:pStyle w:val="Heading4"/>
      </w:pPr>
      <w:r>
        <w:t>3. Sous-classe et mécanisme d'action moléculaire</w:t>
      </w:r>
    </w:p>
    <w:p>
      <w:r>
        <w:t xml:space="preserve">L'icodextrine appartient à la sous-classe des solutions pour DP à agent oncotique polymère. Le mécanisme d'action repose sur la </w:t>
      </w:r>
      <w:r>
        <w:rPr>
          <w:b/>
        </w:rPr>
        <w:t>pression oncotique</w:t>
      </w:r>
      <w:r>
        <w:t xml:space="preserve"> exercée par l'icodextrine (polymère de glucose de haut poids moléculaire, PM 13 000-19 000 Da), qui ne traverse pas la membrane péritonéale (trop grosse pour diffuser à travers les pores intercellulaires), et qui maintient donc l'eau dans la cavité péritonéale par pression oncotique (et non par pression osmotique comme le glucose). Cette propriété permet une </w:t>
      </w:r>
      <w:r>
        <w:rPr>
          <w:b/>
        </w:rPr>
        <w:t>ultrafiltration prolongée</w:t>
      </w:r>
      <w:r>
        <w:t xml:space="preserve"> (8-12 heures) sans épuisement du gradient, contrairement au glucose dont l'absorption réduit progressivement le gradient osmotique. L'ultrafiltration moyenne avec icodextrine 7,5 % sur 8 heures est de 400-600 mL (versus 200-400 mL avec glucose 4,25 % sur 6 heures). L'absorption systémique de l'icodextrine est limitée (&lt; 5 % en 12 heures), et son métabolisme se fait principalement par l'α-amylase péritonéale et systémique (hydrolyse en oligosaccharides : maltose, maltotriose, maltotétraose), qui sont ensuite métabolisés par la maltase hépatique et musculaire. L'apport calorique systémique est négligeable (&lt; 30 kcal/jour) comparativement au glucose (300-400 kcal/jour). L'icodextrine ne provoque pas de pics d'insuline, ne déséquilibre pas le diabète, et ne altère pas la membrane péritonéale à long terme. La solution contient du lactate (40 mmol/L) qui, après absorption et métabolisation hépatique en bicarbonate, corrige l'acidose métabolique urémique.</w:t>
      </w:r>
    </w:p>
    <w:p>
      <w:pPr>
        <w:pStyle w:val="Heading4"/>
      </w:pPr>
      <w:r>
        <w:t>4. Profil pharmacologique</w:t>
      </w:r>
    </w:p>
    <w:p>
      <w:r/>
      <w:r>
        <w:rPr>
          <w:b/>
        </w:rPr>
        <w:t>Indications</w:t>
      </w:r>
      <w:r>
        <w:t xml:space="preserve"> : dialyse péritonéale continue ambulatoire (CAPD) chez les patients nécessitant une ultrafiltration prolongée sur la longue stase nocturne (8-12 heures) ; alternative au glucose chez les patients diabétiques déséquilibrés par l'apport glucidique péritonéal ; échec d'ultrafiltration avec poches isotoniques ou hypertoniques (membrane de type I, hyperperméabilité) ; syndrome de fonction rénale résiduelle fluctuante ; prévention de l'altération péritonéale à long terme (préférence au glucose pour les longues stases) ; DPA automatisée avec poche de jour icodextrine. </w:t>
      </w:r>
      <w:r>
        <w:rPr>
          <w:b/>
        </w:rPr>
        <w:t>Contre-indications</w:t>
      </w:r>
      <w:r>
        <w:t xml:space="preserve"> : allergie à l'icodextrine ou à l'amidon de maïs (rare mais documentée) ; diabète mal équilibré avec acidocétose (rare, en raison du métabolisme en maltose) ; utilisation concomitante de devices mesurant la glycémie par méthode enzymatique à glucose-déshydrogénase-pyrroloquinolénone (GDH-PQQ) — risque de fausse hyperglycémie par interférence avec les oligosaccharides (maltose, maltotriose) ; encéphalopathie hépatique sévère (rare). </w:t>
      </w:r>
      <w:r>
        <w:rPr>
          <w:b/>
        </w:rPr>
        <w:t>Effets indésirables</w:t>
      </w:r>
      <w:r>
        <w:t xml:space="preserve"> : éruption cutanée allergique (1-5 % des patients, exanthème maculopapuleux, prurit, urticaire) ; péritonite stérile à éosinophiles (rare, 0,5-1 %) ; augmentation des transaminases (rare) ; interaction avec les glycémies capillaires par GDH-PQQ (fausse hyperglycémie menant à une insulinothérapie excessive et à une hypoglycémie vraie) ; augmentation des phosphatases alcalines (sans traduction clinique) ; accumulation systémique d'oligosaccharides (maltose, maltotriose) en cas d'utilisation prolongée, sans toxicité connue. La tolérance est excellente, sans hyperglycémie, sans hyperinsulinémie, sans dyslipidémie, sans altération de la membrane péritonéale à long terme.</w:t>
      </w:r>
    </w:p>
    <w:p>
      <w:pPr>
        <w:pStyle w:val="Heading4"/>
      </w:pPr>
      <w:r>
        <w:t>5. Prévention et gestion des effets indésirables</w:t>
      </w:r>
    </w:p>
    <w:p>
      <w:r>
        <w:t xml:space="preserve">La prévention des </w:t>
      </w:r>
      <w:r>
        <w:rPr>
          <w:b/>
        </w:rPr>
        <w:t>erreurs de mesure glycémique</w:t>
      </w:r>
      <w:r>
        <w:t xml:space="preserve"> impose l'utilisation exclusive de glucomètres compatibles avec l'icodextrine (méthode à glucose-oxydase, glucose-déshydrogénase-flavine-adénine-dinucléotide [GDH-FAD], glucose-déshydrogénase-nicotinamide-adénine-dinucléotide [GDH-NAD]) et l'interdiction des glucomètres à GDH-PQQ (Accu-Chek Aviva, Freestyle Freedom Lite — selon les modèles). Le patient doit être informé de cette incompatibilité, et le carnet de suivi doit mentionner la solution icodextrine. En cas d'</w:t>
      </w:r>
      <w:r>
        <w:rPr>
          <w:b/>
        </w:rPr>
        <w:t>éruption cutanée</w:t>
      </w:r>
      <w:r>
        <w:t xml:space="preserve"> : arrêt de l'icodextrine, relais par solution isotonique ou hypertonique, antihistaminiques (cétirizine 10 mg/jour), corticothérapie locale (hydrocortisone 1 %) ou systémique (prednisone 0,5-1 mg/kg/jour) en cas de réaction sévère. En cas de </w:t>
      </w:r>
      <w:r>
        <w:rPr>
          <w:b/>
        </w:rPr>
        <w:t>péritonite à éosinophiles</w:t>
      </w:r>
      <w:r>
        <w:t xml:space="preserve"> (effluent trouble, &gt; 100 éosinophiles/mm³, cultures bactériologiques négatives) : arrêt de l'icodextrine, surveillance clinique, antihistaminiques. En cas d'</w:t>
      </w:r>
      <w:r>
        <w:rPr>
          <w:b/>
        </w:rPr>
        <w:t>augmentation des transaminases</w:t>
      </w:r>
      <w:r>
        <w:t xml:space="preserve"> : surveillance mensuelle, arrêt si ALAT &gt; 3 × LSN. En cas d'</w:t>
      </w:r>
      <w:r>
        <w:rPr>
          <w:b/>
        </w:rPr>
        <w:t>accumulation d'oligosaccharides</w:t>
      </w:r>
      <w:r>
        <w:t xml:space="preserve"> : aucun traitement nécessaire, l'accumulation régresse à l'arrêt de l'icodextrine. La prévention des </w:t>
      </w:r>
      <w:r>
        <w:rPr>
          <w:b/>
        </w:rPr>
        <w:t>infections</w:t>
      </w:r>
      <w:r>
        <w:t xml:space="preserve"> (péritonite bactérienne, infection de sortie de cathéter) est identique à celle des autres solutions de DP (asepsie stricte, systèmes déconnectables, mupirocine nasale).</w:t>
      </w:r>
    </w:p>
    <w:p>
      <w:pPr>
        <w:pStyle w:val="Heading4"/>
      </w:pPr>
      <w:r>
        <w:t>6. Interactions médicamenteuses</w:t>
      </w:r>
    </w:p>
    <w:p>
      <w:r>
        <w:t xml:space="preserve">L'icodextrine présente des interactions spécifiques : (1) </w:t>
      </w:r>
      <w:r>
        <w:rPr>
          <w:b/>
        </w:rPr>
        <w:t>interaction majeure avec les glucomètres à GDH-PQQ</w:t>
      </w:r>
      <w:r>
        <w:t xml:space="preserve"> — les oligosaccharides (maltose, maltotriose) produits par métabolisme de l'icodextrine interfèrent avec la réaction enzymatique GDH-PQQ, conduisant à une fausse hyperglycémie (jusqu'à 20-30 mmol/L) pouvant induire une insulinothérapie excessive et une hypoglycémie vraie grave, voire fatale. L'interdiction absolue des glucomètres à GDH-PQQ est formelle (information patient et médecin, fiche d'information écrite) ; (2) </w:t>
      </w:r>
      <w:r>
        <w:rPr>
          <w:b/>
        </w:rPr>
        <w:t>interaction avec l'insuline</w:t>
      </w:r>
      <w:r>
        <w:t xml:space="preserve"> — en cas d'ajout d'insuline à la poche d'icodextrine (chez le diabétique), l'absorption de l'insuline est moindre qu'avec le glucose (5-10 % versus 30-50 %), nécessitant une adaptation posologique ; (3) </w:t>
      </w:r>
      <w:r>
        <w:rPr>
          <w:b/>
        </w:rPr>
        <w:t>interaction avec la digoxine</w:t>
      </w:r>
      <w:r>
        <w:t xml:space="preserve"> — risque accru de toxicité digitalique en cas d'hypokaliémie associée ; (4) </w:t>
      </w:r>
      <w:r>
        <w:rPr>
          <w:b/>
        </w:rPr>
        <w:t>interaction avec les antibiotiques intrapéritonéaux</w:t>
      </w:r>
      <w:r>
        <w:t xml:space="preserve"> — l'icodextrine ne modifie pas l'absorption péritonéale des antibiotiques, mais peut altérer la stabilité de certains d'entre eux (vérifier les compatibilités) ; (5) </w:t>
      </w:r>
      <w:r>
        <w:rPr>
          <w:b/>
        </w:rPr>
        <w:t>interaction pharmacocinétique</w:t>
      </w:r>
      <w:r>
        <w:t xml:space="preserve"> — l'icodextrine n'est pas métabolisée par le cytochrome P450, et n'interfère pas avec le métabolisme hépatique des autres médicaments.</w:t>
      </w:r>
    </w:p>
    <w:p>
      <w:pPr>
        <w:pStyle w:val="Heading4"/>
      </w:pPr>
      <w:r>
        <w:t>7. Grossesse et allaitement (CRAT)</w:t>
      </w:r>
    </w:p>
    <w:p>
      <w:r>
        <w:t>L'icodextrine est autorisée pendant la grossesse chez la patiente en DP, en raison de son profil métabolique neutre (absence d'apport glucidique systémique significatif, absence d'hyperinsulinémie, absence de dyslipidémie). Le CRAT considère l'icodextrine comme une solution de choix pour la patiente enceinte diabétique en DP (alternative au glucose hypertonique). Pendant l'allaitement, l'icodextrine est compatible, sans passage significatif d'oligosaccharides dans le lait maternel. La prudence s'impose en cas d'allergie à l'amidon de maïs (interrogatoire allergologique). La grossesse sous DP avec icodextrine reste à haut risque (prématurité, hypotrophie) et impose une prise en charge multidisciplinaire (néphrologue, obstétricien, néonatologue).</w:t>
      </w:r>
    </w:p>
    <w:p>
      <w:pPr>
        <w:pStyle w:val="Heading4"/>
      </w:pPr>
      <w:r>
        <w:t>8. Posologie et mode d'administration</w:t>
      </w:r>
    </w:p>
    <w:p>
      <w:r>
        <w:t>En CAPD chez l'adulte : utilisation en longue stase nocturne (8-12 heures), à raison d'1 poche de 2 L par 24 heures. L'ultrafiltration moyenne sur 8-12 heures est de 400-600 mL. L'icodextrine est utilisée en monothérapie sur la stase nocturne, relayée par poches isotoniques ou hypertoniques sur les cycles diurnes. Volume quotidien total d'icodextrine : 2 L (1 poche). En DPA automatisée : utilisation en poche de jour (stase prolongée 8-12 heures), à raison d'1 poche de 2 L par jour. Chez l'enfant : 800-1100 mL/m² par cycle, à utiliser en longue stase nocturne (8-12 heures). La voie d'administration est strictement intrapéritonéale via le cathéter de Tenckhoff. Le réchauffement à 37 °C est obligatoire avant introduction. Le drainage de l'effluent doit être complet avant introduction de la nouvelle poche. La stase dure 8-12 heures en CAPD ou DPA. L'effluent doit être examiné à chaque drainage (volume, couleur, transparence) et signalé en cas de trouble. La solution ne doit pas être utilisée en cycles courts (&lt; 4 heures) — perte d'efficacité (l'ultrafiltration oncotique est progressive et maximale à 8-12 heures).</w:t>
      </w:r>
    </w:p>
    <w:p>
      <w:pPr>
        <w:pStyle w:val="Heading4"/>
      </w:pPr>
      <w:r>
        <w:t>9. Arbitrage et bénéfices des formes galéniques</w:t>
      </w:r>
    </w:p>
    <w:p>
      <w:r>
        <w:t>La solution EXTRANEAL 7,5 % se présente en poche simple de 2 L ou en poche double de 2 L (système Viaflex en PVC), avec système de connexion à vis Luer. Le conditionnement en polyoléfine (non-PVC) est également disponible dans certains marchés (mais pas en Algérie). Le système de connexion déconnectable (Stay Safe) prévient la contamination bactérienne. La stabilité de la solution est de 2-3 ans à température ambiante, à l'abri de la lumière. Le pH acide (5,5) est nécessaire pour prévenir la dégradation thermique de l'icodextrine pendant la stérilisation. La solution peut être réchauffée à 37 °C par chauffe-solution. Le conditionnement en bidon de 5 L est disponible pour la DPA automatisée (rare en Algérie). Le pharmacien doit guider le prescripteur sur l'indication préférentielle de l'icodextrine pour les longues stases nocturnes, et l'informer sur l'interaction avec les glucomètres à GDH-PQQ.</w:t>
      </w:r>
    </w:p>
    <w:p>
      <w:pPr>
        <w:pStyle w:val="Heading4"/>
      </w:pPr>
      <w:r>
        <w:t>10. Instructions et conseils au patient</w:t>
      </w:r>
    </w:p>
    <w:p>
      <w:r>
        <w:t>Les conseils au patient en CAPD avec icodextrine portent sur : (1) l'utilisation exclusive de glucomètres compatibles avec l'icodextrine (glucose-oxydase, GDH-FAD, GDH-NAD), interdiction formelle des glucomètres à GDH-PQQ (information écrite obligatoire) ; (2) la surveillance glycémique capillaire chez le diabétique, avec adaptation de l'insuline (l'absorption de l'insuline est moindre qu'avec le glucose) ; (3) la surveillance du poids quotidien, de la tension artérielle, de la diurèse résiduelle, et du périmètre abdominal ; (4) la surveillance de l'effluent (volume, couleur, transparence) à chaque drainage, et le signalement immédiat de tout trouble (effluent trouble, fièvre, douleur abdominale) ; (5) la surveillance cutanée (éruption, prurit) en cas de première utilisation ; (6) l'observance du régime hyposodé (4-6 g/jour), hypocalorique (l'apport glucidique péritonéal avec icodextrine est négligeable, &lt; 30 kcal/jour), hyperprotidique (1,2-1,5 g/kg/jour) ; (7) le réchauffement à 37 °C avant introduction (chauffe-solution, jamais micro-ondes) ; (8) la consultation médicale en urgence en cas de fièvre, douleur abdominale, effluent trouble, dyspnée, éruption cutanée ; (9) la formation à l'autosoins et le carnet de suivi quotidien. Le patient doit recevoir une fiche d'information écrite détaillée, en particulier sur l'interaction avec les glucomètres.</w:t>
      </w:r>
    </w:p>
    <w:p>
      <w:pPr>
        <w:pStyle w:val="Heading4"/>
      </w:pPr>
      <w:r>
        <w:t>11. Notes, règles d'or et pièges au comptoir</w:t>
      </w:r>
    </w:p>
    <w:p>
      <w:r/>
      <w:r>
        <w:rPr>
          <w:b/>
        </w:rPr>
        <w:t>Règle d'or n°1</w:t>
      </w:r>
      <w:r>
        <w:t xml:space="preserve"> : l'icodextrine ne doit JAMAIS être utilisée en cycles courts (&lt; 4 heures) — l'ultrafiltration oncotique est progressive et maximale à 8-12 heures. En cycles courts, préférer le glucose hypertonique.</w:t>
      </w:r>
    </w:p>
    <w:p>
      <w:r/>
      <w:r>
        <w:rPr>
          <w:b/>
        </w:rPr>
        <w:t>Règle d'or n°2</w:t>
      </w:r>
      <w:r>
        <w:t xml:space="preserve"> : l'icodextrine est incompatible avec les glucomètres à GDH-PQQ — risque de fausse hyperglycémie menant à une insulinothérapie excessive et à une hypoglycémie vraie potentiellement fatale. Vérifier le type de glucomètre avant utilisation.</w:t>
      </w:r>
    </w:p>
    <w:p>
      <w:r/>
      <w:r>
        <w:rPr>
          <w:b/>
        </w:rPr>
        <w:t>Piège n°1</w:t>
      </w:r>
      <w:r>
        <w:t xml:space="preserve"> : ne pas confondre icodextrine 7,5 % (isotonique, 284 mOsm/L) avec glucose hypertonique 4,25 % (485 mOsm/L) — la tonicité est différente, mais l'effet ultrafiltratif est comparable ou supérieur sur longue stase.</w:t>
      </w:r>
    </w:p>
    <w:p>
      <w:r/>
      <w:r>
        <w:rPr>
          <w:b/>
        </w:rPr>
        <w:t>Piège n°2</w:t>
      </w:r>
      <w:r>
        <w:t xml:space="preserve"> : l'icodextrine n'apporte pas de charge glucidique systémique significative (&lt; 30 kcal/jour) — ne pas adapter le régime hypocalorique de la même manière qu'avec le glucose.</w:t>
      </w:r>
    </w:p>
    <w:p>
      <w:r/>
      <w:r>
        <w:rPr>
          <w:b/>
        </w:rPr>
        <w:t>Piège n°3</w:t>
      </w:r>
      <w:r>
        <w:t xml:space="preserve"> : en cas d'allergie à l'amidon de maïs (rare), l'icodextrine est contre-indiquée. Interrogatoire allergologique systématique avant prescription.</w:t>
      </w:r>
    </w:p>
    <w:p>
      <w:r/>
      <w:r>
        <w:rPr>
          <w:b/>
        </w:rPr>
        <w:t>Piège n°4</w:t>
      </w:r>
      <w:r>
        <w:t xml:space="preserve"> : en cas d'éruption cutanée sous icodextrine, arrêter immédiatement et ne pas réintroduire (risque de réaction allergique sévère à la réintroduction).</w:t>
      </w:r>
    </w:p>
    <w:p>
      <w:r/>
      <w:r>
        <w:rPr>
          <w:b/>
        </w:rPr>
        <w:t>Piège n°5</w:t>
      </w:r>
      <w:r>
        <w:t xml:space="preserve"> : en cas d'ajout d'insuline à la poche d'icodextrine (chez le diabétique), l'absorption de l'insuline est moindre qu'avec le glucose (5-10 % versus 30-50 %) — adapter la dose.</w:t>
      </w:r>
    </w:p>
    <w:p>
      <w:pPr>
        <w:pStyle w:val="Heading3"/>
      </w:pPr>
      <w:r>
        <w:t>222.4 Tableau comparatif des solutions pour dialyse péritonéale</w:t>
      </w:r>
    </w:p>
    <w:tbl>
      <w:tblPr>
        <w:tblStyle w:val="LightGrid-Accent1"/>
        <w:tblW w:type="auto" w:w="0"/>
        <w:tblLayout w:type="autofit"/>
        <w:tblLook w:firstColumn="1" w:firstRow="1" w:lastColumn="0" w:lastRow="0" w:noHBand="0" w:noVBand="1" w:val="04A0"/>
      </w:tblPr>
      <w:tblGrid>
        <w:gridCol w:w="1662"/>
        <w:gridCol w:w="1662"/>
        <w:gridCol w:w="1662"/>
        <w:gridCol w:w="1662"/>
        <w:gridCol w:w="1662"/>
      </w:tblGrid>
      <w:tr>
        <w:tc>
          <w:tcPr>
            <w:tcW w:type="dxa" w:w="1662"/>
            <w:shd w:val="clear" w:color="auto" w:fill="F2F2F2"/>
          </w:tcPr>
          <w:p>
            <w:r>
              <w:rPr>
                <w:rFonts w:ascii="Times New Roman" w:hAnsi="Times New Roman"/>
                <w:b/>
                <w:sz w:val="20"/>
              </w:rPr>
              <w:t>Paramètre</w:t>
            </w:r>
          </w:p>
        </w:tc>
        <w:tc>
          <w:tcPr>
            <w:tcW w:type="dxa" w:w="1662"/>
            <w:shd w:val="clear" w:color="auto" w:fill="F2F2F2"/>
          </w:tcPr>
          <w:p>
            <w:r>
              <w:rPr>
                <w:rFonts w:ascii="Times New Roman" w:hAnsi="Times New Roman"/>
                <w:b/>
                <w:sz w:val="20"/>
              </w:rPr>
              <w:t>CAPD FORMULE 55 / CAPD/DPCA 2</w:t>
            </w:r>
          </w:p>
        </w:tc>
        <w:tc>
          <w:tcPr>
            <w:tcW w:type="dxa" w:w="1662"/>
            <w:shd w:val="clear" w:color="auto" w:fill="F2F2F2"/>
          </w:tcPr>
          <w:p>
            <w:r>
              <w:rPr>
                <w:rFonts w:ascii="Times New Roman" w:hAnsi="Times New Roman"/>
                <w:b/>
                <w:sz w:val="20"/>
              </w:rPr>
              <w:t>CAPD/DPCA 4</w:t>
            </w:r>
          </w:p>
        </w:tc>
        <w:tc>
          <w:tcPr>
            <w:tcW w:type="dxa" w:w="1662"/>
            <w:shd w:val="clear" w:color="auto" w:fill="F2F2F2"/>
          </w:tcPr>
          <w:p>
            <w:r>
              <w:rPr>
                <w:rFonts w:ascii="Times New Roman" w:hAnsi="Times New Roman"/>
                <w:b/>
                <w:sz w:val="20"/>
              </w:rPr>
              <w:t>CAPD FORMULE 62 / CAPD/DPCA 3</w:t>
            </w:r>
          </w:p>
        </w:tc>
        <w:tc>
          <w:tcPr>
            <w:tcW w:type="dxa" w:w="1662"/>
            <w:shd w:val="clear" w:color="auto" w:fill="F2F2F2"/>
          </w:tcPr>
          <w:p>
            <w:r>
              <w:rPr>
                <w:rFonts w:ascii="Times New Roman" w:hAnsi="Times New Roman"/>
                <w:b/>
                <w:sz w:val="20"/>
              </w:rPr>
              <w:t>EXTRANEAL 7,5 %</w:t>
            </w:r>
          </w:p>
        </w:tc>
      </w:tr>
      <w:tr>
        <w:tc>
          <w:tcPr>
            <w:tcW w:type="dxa" w:w="1662"/>
          </w:tcPr>
          <w:p>
            <w:r>
              <w:rPr>
                <w:rFonts w:ascii="Times New Roman" w:hAnsi="Times New Roman"/>
                <w:sz w:val="20"/>
              </w:rPr>
              <w:t>**Composition (glucose)**</w:t>
            </w:r>
          </w:p>
        </w:tc>
        <w:tc>
          <w:tcPr>
            <w:tcW w:type="dxa" w:w="1662"/>
          </w:tcPr>
          <w:p>
            <w:r>
              <w:rPr>
                <w:rFonts w:ascii="Times New Roman" w:hAnsi="Times New Roman"/>
                <w:sz w:val="20"/>
              </w:rPr>
              <w:t>1,5 % (15 g/L)</w:t>
            </w:r>
          </w:p>
        </w:tc>
        <w:tc>
          <w:tcPr>
            <w:tcW w:type="dxa" w:w="1662"/>
          </w:tcPr>
          <w:p>
            <w:r>
              <w:rPr>
                <w:rFonts w:ascii="Times New Roman" w:hAnsi="Times New Roman"/>
                <w:sz w:val="20"/>
              </w:rPr>
              <w:t>2,27 % anhydre (22,73 g/L)</w:t>
            </w:r>
          </w:p>
        </w:tc>
        <w:tc>
          <w:tcPr>
            <w:tcW w:type="dxa" w:w="1662"/>
          </w:tcPr>
          <w:p>
            <w:r>
              <w:rPr>
                <w:rFonts w:ascii="Times New Roman" w:hAnsi="Times New Roman"/>
                <w:sz w:val="20"/>
              </w:rPr>
              <w:t>4,25 % (42,5 g/L)</w:t>
            </w:r>
          </w:p>
        </w:tc>
        <w:tc>
          <w:tcPr>
            <w:tcW w:type="dxa" w:w="1662"/>
          </w:tcPr>
          <w:p>
            <w:r>
              <w:rPr>
                <w:rFonts w:ascii="Times New Roman" w:hAnsi="Times New Roman"/>
                <w:sz w:val="20"/>
              </w:rPr>
              <w:t>0 % (icodextrine 75 g/L)</w:t>
            </w:r>
          </w:p>
        </w:tc>
      </w:tr>
      <w:tr>
        <w:tc>
          <w:tcPr>
            <w:tcW w:type="dxa" w:w="1662"/>
          </w:tcPr>
          <w:p>
            <w:r>
              <w:rPr>
                <w:rFonts w:ascii="Times New Roman" w:hAnsi="Times New Roman"/>
                <w:sz w:val="20"/>
              </w:rPr>
              <w:t>**Osmolarité (mOsm/L)**</w:t>
            </w:r>
          </w:p>
        </w:tc>
        <w:tc>
          <w:tcPr>
            <w:tcW w:type="dxa" w:w="1662"/>
          </w:tcPr>
          <w:p>
            <w:r>
              <w:rPr>
                <w:rFonts w:ascii="Times New Roman" w:hAnsi="Times New Roman"/>
                <w:sz w:val="20"/>
              </w:rPr>
              <w:t>346</w:t>
            </w:r>
          </w:p>
        </w:tc>
        <w:tc>
          <w:tcPr>
            <w:tcW w:type="dxa" w:w="1662"/>
          </w:tcPr>
          <w:p>
            <w:r>
              <w:rPr>
                <w:rFonts w:ascii="Times New Roman" w:hAnsi="Times New Roman"/>
                <w:sz w:val="20"/>
              </w:rPr>
              <w:t>395</w:t>
            </w:r>
          </w:p>
        </w:tc>
        <w:tc>
          <w:tcPr>
            <w:tcW w:type="dxa" w:w="1662"/>
          </w:tcPr>
          <w:p>
            <w:r>
              <w:rPr>
                <w:rFonts w:ascii="Times New Roman" w:hAnsi="Times New Roman"/>
                <w:sz w:val="20"/>
              </w:rPr>
              <w:t>485</w:t>
            </w:r>
          </w:p>
        </w:tc>
        <w:tc>
          <w:tcPr>
            <w:tcW w:type="dxa" w:w="1662"/>
          </w:tcPr>
          <w:p>
            <w:r>
              <w:rPr>
                <w:rFonts w:ascii="Times New Roman" w:hAnsi="Times New Roman"/>
                <w:sz w:val="20"/>
              </w:rPr>
              <w:t>284</w:t>
            </w:r>
          </w:p>
        </w:tc>
      </w:tr>
      <w:tr>
        <w:tc>
          <w:tcPr>
            <w:tcW w:type="dxa" w:w="1662"/>
          </w:tcPr>
          <w:p>
            <w:r>
              <w:rPr>
                <w:rFonts w:ascii="Times New Roman" w:hAnsi="Times New Roman"/>
                <w:sz w:val="20"/>
              </w:rPr>
              <w:t>**Tonicité vs plasma**</w:t>
            </w:r>
          </w:p>
        </w:tc>
        <w:tc>
          <w:tcPr>
            <w:tcW w:type="dxa" w:w="1662"/>
          </w:tcPr>
          <w:p>
            <w:r>
              <w:rPr>
                <w:rFonts w:ascii="Times New Roman" w:hAnsi="Times New Roman"/>
                <w:sz w:val="20"/>
              </w:rPr>
              <w:t>Isotonique DP / Hypotonique plasma</w:t>
            </w:r>
          </w:p>
        </w:tc>
        <w:tc>
          <w:tcPr>
            <w:tcW w:type="dxa" w:w="1662"/>
          </w:tcPr>
          <w:p>
            <w:r>
              <w:rPr>
                <w:rFonts w:ascii="Times New Roman" w:hAnsi="Times New Roman"/>
                <w:sz w:val="20"/>
              </w:rPr>
              <w:t>Hypertonique modéré</w:t>
            </w:r>
          </w:p>
        </w:tc>
        <w:tc>
          <w:tcPr>
            <w:tcW w:type="dxa" w:w="1662"/>
          </w:tcPr>
          <w:p>
            <w:r>
              <w:rPr>
                <w:rFonts w:ascii="Times New Roman" w:hAnsi="Times New Roman"/>
                <w:sz w:val="20"/>
              </w:rPr>
              <w:t>Hypertonique fort</w:t>
            </w:r>
          </w:p>
        </w:tc>
        <w:tc>
          <w:tcPr>
            <w:tcW w:type="dxa" w:w="1662"/>
          </w:tcPr>
          <w:p>
            <w:r>
              <w:rPr>
                <w:rFonts w:ascii="Times New Roman" w:hAnsi="Times New Roman"/>
                <w:sz w:val="20"/>
              </w:rPr>
              <w:t>Isotonique</w:t>
            </w:r>
          </w:p>
        </w:tc>
      </w:tr>
      <w:tr>
        <w:tc>
          <w:tcPr>
            <w:tcW w:type="dxa" w:w="1662"/>
          </w:tcPr>
          <w:p>
            <w:r>
              <w:rPr>
                <w:rFonts w:ascii="Times New Roman" w:hAnsi="Times New Roman"/>
                <w:sz w:val="20"/>
              </w:rPr>
              <w:t>**Mécanisme d'ultrafiltration**</w:t>
            </w:r>
          </w:p>
        </w:tc>
        <w:tc>
          <w:tcPr>
            <w:tcW w:type="dxa" w:w="1662"/>
          </w:tcPr>
          <w:p>
            <w:r>
              <w:rPr>
                <w:rFonts w:ascii="Times New Roman" w:hAnsi="Times New Roman"/>
                <w:sz w:val="20"/>
              </w:rPr>
              <w:t>Osmotique (glucose)</w:t>
            </w:r>
          </w:p>
        </w:tc>
        <w:tc>
          <w:tcPr>
            <w:tcW w:type="dxa" w:w="1662"/>
          </w:tcPr>
          <w:p>
            <w:r>
              <w:rPr>
                <w:rFonts w:ascii="Times New Roman" w:hAnsi="Times New Roman"/>
                <w:sz w:val="20"/>
              </w:rPr>
              <w:t>Osmotique (glucose)</w:t>
            </w:r>
          </w:p>
        </w:tc>
        <w:tc>
          <w:tcPr>
            <w:tcW w:type="dxa" w:w="1662"/>
          </w:tcPr>
          <w:p>
            <w:r>
              <w:rPr>
                <w:rFonts w:ascii="Times New Roman" w:hAnsi="Times New Roman"/>
                <w:sz w:val="20"/>
              </w:rPr>
              <w:t>Osmotique (glucose)</w:t>
            </w:r>
          </w:p>
        </w:tc>
        <w:tc>
          <w:tcPr>
            <w:tcW w:type="dxa" w:w="1662"/>
          </w:tcPr>
          <w:p>
            <w:r>
              <w:rPr>
                <w:rFonts w:ascii="Times New Roman" w:hAnsi="Times New Roman"/>
                <w:sz w:val="20"/>
              </w:rPr>
              <w:t>Oncotique (polymère)</w:t>
            </w:r>
          </w:p>
        </w:tc>
      </w:tr>
      <w:tr>
        <w:tc>
          <w:tcPr>
            <w:tcW w:type="dxa" w:w="1662"/>
          </w:tcPr>
          <w:p>
            <w:r>
              <w:rPr>
                <w:rFonts w:ascii="Times New Roman" w:hAnsi="Times New Roman"/>
                <w:sz w:val="20"/>
              </w:rPr>
              <w:t>**Durée de stase optimale**</w:t>
            </w:r>
          </w:p>
        </w:tc>
        <w:tc>
          <w:tcPr>
            <w:tcW w:type="dxa" w:w="1662"/>
          </w:tcPr>
          <w:p>
            <w:r>
              <w:rPr>
                <w:rFonts w:ascii="Times New Roman" w:hAnsi="Times New Roman"/>
                <w:sz w:val="20"/>
              </w:rPr>
              <w:t>4-6 heures</w:t>
            </w:r>
          </w:p>
        </w:tc>
        <w:tc>
          <w:tcPr>
            <w:tcW w:type="dxa" w:w="1662"/>
          </w:tcPr>
          <w:p>
            <w:r>
              <w:rPr>
                <w:rFonts w:ascii="Times New Roman" w:hAnsi="Times New Roman"/>
                <w:sz w:val="20"/>
              </w:rPr>
              <w:t>4-6 heures</w:t>
            </w:r>
          </w:p>
        </w:tc>
        <w:tc>
          <w:tcPr>
            <w:tcW w:type="dxa" w:w="1662"/>
          </w:tcPr>
          <w:p>
            <w:r>
              <w:rPr>
                <w:rFonts w:ascii="Times New Roman" w:hAnsi="Times New Roman"/>
                <w:sz w:val="20"/>
              </w:rPr>
              <w:t>4-6 heures</w:t>
            </w:r>
          </w:p>
        </w:tc>
        <w:tc>
          <w:tcPr>
            <w:tcW w:type="dxa" w:w="1662"/>
          </w:tcPr>
          <w:p>
            <w:r>
              <w:rPr>
                <w:rFonts w:ascii="Times New Roman" w:hAnsi="Times New Roman"/>
                <w:sz w:val="20"/>
              </w:rPr>
              <w:t>8-12 heures</w:t>
            </w:r>
          </w:p>
        </w:tc>
      </w:tr>
      <w:tr>
        <w:tc>
          <w:tcPr>
            <w:tcW w:type="dxa" w:w="1662"/>
          </w:tcPr>
          <w:p>
            <w:r>
              <w:rPr>
                <w:rFonts w:ascii="Times New Roman" w:hAnsi="Times New Roman"/>
                <w:sz w:val="20"/>
              </w:rPr>
              <w:t>**Ultrafiltration moyenne (mL/cycle)**</w:t>
            </w:r>
          </w:p>
        </w:tc>
        <w:tc>
          <w:tcPr>
            <w:tcW w:type="dxa" w:w="1662"/>
          </w:tcPr>
          <w:p>
            <w:r>
              <w:rPr>
                <w:rFonts w:ascii="Times New Roman" w:hAnsi="Times New Roman"/>
                <w:sz w:val="20"/>
              </w:rPr>
              <w:t>100-300</w:t>
            </w:r>
          </w:p>
        </w:tc>
        <w:tc>
          <w:tcPr>
            <w:tcW w:type="dxa" w:w="1662"/>
          </w:tcPr>
          <w:p>
            <w:r>
              <w:rPr>
                <w:rFonts w:ascii="Times New Roman" w:hAnsi="Times New Roman"/>
                <w:sz w:val="20"/>
              </w:rPr>
              <w:t>300-500</w:t>
            </w:r>
          </w:p>
        </w:tc>
        <w:tc>
          <w:tcPr>
            <w:tcW w:type="dxa" w:w="1662"/>
          </w:tcPr>
          <w:p>
            <w:r>
              <w:rPr>
                <w:rFonts w:ascii="Times New Roman" w:hAnsi="Times New Roman"/>
                <w:sz w:val="20"/>
              </w:rPr>
              <w:t>400-800</w:t>
            </w:r>
          </w:p>
        </w:tc>
        <w:tc>
          <w:tcPr>
            <w:tcW w:type="dxa" w:w="1662"/>
          </w:tcPr>
          <w:p>
            <w:r>
              <w:rPr>
                <w:rFonts w:ascii="Times New Roman" w:hAnsi="Times New Roman"/>
                <w:sz w:val="20"/>
              </w:rPr>
              <w:t>400-600</w:t>
            </w:r>
          </w:p>
        </w:tc>
      </w:tr>
      <w:tr>
        <w:tc>
          <w:tcPr>
            <w:tcW w:type="dxa" w:w="1662"/>
          </w:tcPr>
          <w:p>
            <w:r>
              <w:rPr>
                <w:rFonts w:ascii="Times New Roman" w:hAnsi="Times New Roman"/>
                <w:sz w:val="20"/>
              </w:rPr>
              <w:t>**Absorption glucidique systémique**</w:t>
            </w:r>
          </w:p>
        </w:tc>
        <w:tc>
          <w:tcPr>
            <w:tcW w:type="dxa" w:w="1662"/>
          </w:tcPr>
          <w:p>
            <w:r>
              <w:rPr>
                <w:rFonts w:ascii="Times New Roman" w:hAnsi="Times New Roman"/>
                <w:sz w:val="20"/>
              </w:rPr>
              <w:t>50-80 %</w:t>
            </w:r>
          </w:p>
        </w:tc>
        <w:tc>
          <w:tcPr>
            <w:tcW w:type="dxa" w:w="1662"/>
          </w:tcPr>
          <w:p>
            <w:r>
              <w:rPr>
                <w:rFonts w:ascii="Times New Roman" w:hAnsi="Times New Roman"/>
                <w:sz w:val="20"/>
              </w:rPr>
              <w:t>60-85 %</w:t>
            </w:r>
          </w:p>
        </w:tc>
        <w:tc>
          <w:tcPr>
            <w:tcW w:type="dxa" w:w="1662"/>
          </w:tcPr>
          <w:p>
            <w:r>
              <w:rPr>
                <w:rFonts w:ascii="Times New Roman" w:hAnsi="Times New Roman"/>
                <w:sz w:val="20"/>
              </w:rPr>
              <w:t>60-90 %</w:t>
            </w:r>
          </w:p>
        </w:tc>
        <w:tc>
          <w:tcPr>
            <w:tcW w:type="dxa" w:w="1662"/>
          </w:tcPr>
          <w:p>
            <w:r>
              <w:rPr>
                <w:rFonts w:ascii="Times New Roman" w:hAnsi="Times New Roman"/>
                <w:sz w:val="20"/>
              </w:rPr>
              <w:t>&lt; 5 %</w:t>
            </w:r>
          </w:p>
        </w:tc>
      </w:tr>
      <w:tr>
        <w:tc>
          <w:tcPr>
            <w:tcW w:type="dxa" w:w="1662"/>
          </w:tcPr>
          <w:p>
            <w:r>
              <w:rPr>
                <w:rFonts w:ascii="Times New Roman" w:hAnsi="Times New Roman"/>
                <w:sz w:val="20"/>
              </w:rPr>
              <w:t>**Apport calorique péritonéal (kcal/jour)**</w:t>
            </w:r>
          </w:p>
        </w:tc>
        <w:tc>
          <w:tcPr>
            <w:tcW w:type="dxa" w:w="1662"/>
          </w:tcPr>
          <w:p>
            <w:r>
              <w:rPr>
                <w:rFonts w:ascii="Times New Roman" w:hAnsi="Times New Roman"/>
                <w:sz w:val="20"/>
              </w:rPr>
              <w:t>100-150</w:t>
            </w:r>
          </w:p>
        </w:tc>
        <w:tc>
          <w:tcPr>
            <w:tcW w:type="dxa" w:w="1662"/>
          </w:tcPr>
          <w:p>
            <w:r>
              <w:rPr>
                <w:rFonts w:ascii="Times New Roman" w:hAnsi="Times New Roman"/>
                <w:sz w:val="20"/>
              </w:rPr>
              <w:t>200-300</w:t>
            </w:r>
          </w:p>
        </w:tc>
        <w:tc>
          <w:tcPr>
            <w:tcW w:type="dxa" w:w="1662"/>
          </w:tcPr>
          <w:p>
            <w:r>
              <w:rPr>
                <w:rFonts w:ascii="Times New Roman" w:hAnsi="Times New Roman"/>
                <w:sz w:val="20"/>
              </w:rPr>
              <w:t>300-400</w:t>
            </w:r>
          </w:p>
        </w:tc>
        <w:tc>
          <w:tcPr>
            <w:tcW w:type="dxa" w:w="1662"/>
          </w:tcPr>
          <w:p>
            <w:r>
              <w:rPr>
                <w:rFonts w:ascii="Times New Roman" w:hAnsi="Times New Roman"/>
                <w:sz w:val="20"/>
              </w:rPr>
              <w:t>&lt; 30</w:t>
            </w:r>
          </w:p>
        </w:tc>
      </w:tr>
      <w:tr>
        <w:tc>
          <w:tcPr>
            <w:tcW w:type="dxa" w:w="1662"/>
          </w:tcPr>
          <w:p>
            <w:r>
              <w:rPr>
                <w:rFonts w:ascii="Times New Roman" w:hAnsi="Times New Roman"/>
                <w:sz w:val="20"/>
              </w:rPr>
              <w:t>**Code ATC**</w:t>
            </w:r>
          </w:p>
        </w:tc>
        <w:tc>
          <w:tcPr>
            <w:tcW w:type="dxa" w:w="1662"/>
          </w:tcPr>
          <w:p>
            <w:r>
              <w:rPr>
                <w:rFonts w:ascii="Times New Roman" w:hAnsi="Times New Roman"/>
                <w:sz w:val="20"/>
              </w:rPr>
              <w:t>B05D02</w:t>
            </w:r>
          </w:p>
        </w:tc>
        <w:tc>
          <w:tcPr>
            <w:tcW w:type="dxa" w:w="1662"/>
          </w:tcPr>
          <w:p>
            <w:r>
              <w:rPr>
                <w:rFonts w:ascii="Times New Roman" w:hAnsi="Times New Roman"/>
                <w:sz w:val="20"/>
              </w:rPr>
              <w:t>B05D02</w:t>
            </w:r>
          </w:p>
        </w:tc>
        <w:tc>
          <w:tcPr>
            <w:tcW w:type="dxa" w:w="1662"/>
          </w:tcPr>
          <w:p>
            <w:r>
              <w:rPr>
                <w:rFonts w:ascii="Times New Roman" w:hAnsi="Times New Roman"/>
                <w:sz w:val="20"/>
              </w:rPr>
              <w:t>B05D02</w:t>
            </w:r>
          </w:p>
        </w:tc>
        <w:tc>
          <w:tcPr>
            <w:tcW w:type="dxa" w:w="1662"/>
          </w:tcPr>
          <w:p>
            <w:r>
              <w:rPr>
                <w:rFonts w:ascii="Times New Roman" w:hAnsi="Times New Roman"/>
                <w:sz w:val="20"/>
              </w:rPr>
              <w:t>B05D03</w:t>
            </w:r>
          </w:p>
        </w:tc>
      </w:tr>
      <w:tr>
        <w:tc>
          <w:tcPr>
            <w:tcW w:type="dxa" w:w="1662"/>
          </w:tcPr>
          <w:p>
            <w:r>
              <w:rPr>
                <w:rFonts w:ascii="Times New Roman" w:hAnsi="Times New Roman"/>
                <w:sz w:val="20"/>
              </w:rPr>
              <w:t>**Spécialité de référence**</w:t>
            </w:r>
          </w:p>
        </w:tc>
        <w:tc>
          <w:tcPr>
            <w:tcW w:type="dxa" w:w="1662"/>
          </w:tcPr>
          <w:p>
            <w:r>
              <w:rPr>
                <w:rFonts w:ascii="Times New Roman" w:hAnsi="Times New Roman"/>
                <w:sz w:val="20"/>
              </w:rPr>
              <w:t>CAPD FORMULE 55 (Bieffe) ; CAPD/DPCA 2 (Fresenius)</w:t>
            </w:r>
          </w:p>
        </w:tc>
        <w:tc>
          <w:tcPr>
            <w:tcW w:type="dxa" w:w="1662"/>
          </w:tcPr>
          <w:p>
            <w:r>
              <w:rPr>
                <w:rFonts w:ascii="Times New Roman" w:hAnsi="Times New Roman"/>
                <w:sz w:val="20"/>
              </w:rPr>
              <w:t>CAPD/DPCA 4 (Fresenius)</w:t>
            </w:r>
          </w:p>
        </w:tc>
        <w:tc>
          <w:tcPr>
            <w:tcW w:type="dxa" w:w="1662"/>
          </w:tcPr>
          <w:p>
            <w:r>
              <w:rPr>
                <w:rFonts w:ascii="Times New Roman" w:hAnsi="Times New Roman"/>
                <w:sz w:val="20"/>
              </w:rPr>
              <w:t>CAPD FORMULE 62 (Bieffe) ; CAPD/DPCA 3 (Fresenius)</w:t>
            </w:r>
          </w:p>
        </w:tc>
        <w:tc>
          <w:tcPr>
            <w:tcW w:type="dxa" w:w="1662"/>
          </w:tcPr>
          <w:p>
            <w:r>
              <w:rPr>
                <w:rFonts w:ascii="Times New Roman" w:hAnsi="Times New Roman"/>
                <w:sz w:val="20"/>
              </w:rPr>
              <w:t>EXTRANEAL 7,5 % (Baxter)</w:t>
            </w:r>
          </w:p>
        </w:tc>
      </w:tr>
      <w:tr>
        <w:tc>
          <w:tcPr>
            <w:tcW w:type="dxa" w:w="1662"/>
          </w:tcPr>
          <w:p>
            <w:r>
              <w:rPr>
                <w:rFonts w:ascii="Times New Roman" w:hAnsi="Times New Roman"/>
                <w:sz w:val="20"/>
              </w:rPr>
              <w:t>**Laboratoire algérien**</w:t>
            </w:r>
          </w:p>
        </w:tc>
        <w:tc>
          <w:tcPr>
            <w:tcW w:type="dxa" w:w="1662"/>
          </w:tcPr>
          <w:p>
            <w:r>
              <w:rPr>
                <w:rFonts w:ascii="Times New Roman" w:hAnsi="Times New Roman"/>
                <w:sz w:val="20"/>
              </w:rPr>
              <w:t>Bieffe Medital, Fresenius</w:t>
            </w:r>
          </w:p>
        </w:tc>
        <w:tc>
          <w:tcPr>
            <w:tcW w:type="dxa" w:w="1662"/>
          </w:tcPr>
          <w:p>
            <w:r>
              <w:rPr>
                <w:rFonts w:ascii="Times New Roman" w:hAnsi="Times New Roman"/>
                <w:sz w:val="20"/>
              </w:rPr>
              <w:t>Fresenius</w:t>
            </w:r>
          </w:p>
        </w:tc>
        <w:tc>
          <w:tcPr>
            <w:tcW w:type="dxa" w:w="1662"/>
          </w:tcPr>
          <w:p>
            <w:r>
              <w:rPr>
                <w:rFonts w:ascii="Times New Roman" w:hAnsi="Times New Roman"/>
                <w:sz w:val="20"/>
              </w:rPr>
              <w:t>Bieffe Medital, Fresenius</w:t>
            </w:r>
          </w:p>
        </w:tc>
        <w:tc>
          <w:tcPr>
            <w:tcW w:type="dxa" w:w="1662"/>
          </w:tcPr>
          <w:p>
            <w:r>
              <w:rPr>
                <w:rFonts w:ascii="Times New Roman" w:hAnsi="Times New Roman"/>
                <w:sz w:val="20"/>
              </w:rPr>
              <w:t>Baxter Healthcare Ltd</w:t>
            </w:r>
          </w:p>
        </w:tc>
      </w:tr>
      <w:tr>
        <w:tc>
          <w:tcPr>
            <w:tcW w:type="dxa" w:w="1662"/>
          </w:tcPr>
          <w:p>
            <w:r>
              <w:rPr>
                <w:rFonts w:ascii="Times New Roman" w:hAnsi="Times New Roman"/>
                <w:sz w:val="20"/>
              </w:rPr>
              <w:t>**Statut nomenclature**</w:t>
            </w:r>
          </w:p>
        </w:tc>
        <w:tc>
          <w:tcPr>
            <w:tcW w:type="dxa" w:w="1662"/>
          </w:tcPr>
          <w:p>
            <w:r>
              <w:rPr>
                <w:rFonts w:ascii="Times New Roman" w:hAnsi="Times New Roman"/>
                <w:sz w:val="20"/>
              </w:rPr>
              <w:t>Actif</w:t>
            </w:r>
          </w:p>
        </w:tc>
        <w:tc>
          <w:tcPr>
            <w:tcW w:type="dxa" w:w="1662"/>
          </w:tcPr>
          <w:p>
            <w:r>
              <w:rPr>
                <w:rFonts w:ascii="Times New Roman" w:hAnsi="Times New Roman"/>
                <w:sz w:val="20"/>
              </w:rPr>
              <w:t>Actif</w:t>
            </w:r>
          </w:p>
        </w:tc>
        <w:tc>
          <w:tcPr>
            <w:tcW w:type="dxa" w:w="1662"/>
          </w:tcPr>
          <w:p>
            <w:r>
              <w:rPr>
                <w:rFonts w:ascii="Times New Roman" w:hAnsi="Times New Roman"/>
                <w:sz w:val="20"/>
              </w:rPr>
              <w:t>Actif</w:t>
            </w:r>
          </w:p>
        </w:tc>
        <w:tc>
          <w:tcPr>
            <w:tcW w:type="dxa" w:w="1662"/>
          </w:tcPr>
          <w:p>
            <w:r>
              <w:rPr>
                <w:rFonts w:ascii="Times New Roman" w:hAnsi="Times New Roman"/>
                <w:sz w:val="20"/>
              </w:rPr>
              <w:t>Actif</w:t>
            </w:r>
          </w:p>
        </w:tc>
      </w:tr>
      <w:tr>
        <w:tc>
          <w:tcPr>
            <w:tcW w:type="dxa" w:w="1662"/>
          </w:tcPr>
          <w:p>
            <w:r>
              <w:rPr>
                <w:rFonts w:ascii="Times New Roman" w:hAnsi="Times New Roman"/>
                <w:sz w:val="20"/>
              </w:rPr>
              <w:t>**Grossesse**</w:t>
            </w:r>
          </w:p>
        </w:tc>
        <w:tc>
          <w:tcPr>
            <w:tcW w:type="dxa" w:w="1662"/>
          </w:tcPr>
          <w:p>
            <w:r>
              <w:rPr>
                <w:rFonts w:ascii="Times New Roman" w:hAnsi="Times New Roman"/>
                <w:sz w:val="20"/>
              </w:rPr>
              <w:t>Autorisée</w:t>
            </w:r>
          </w:p>
        </w:tc>
        <w:tc>
          <w:tcPr>
            <w:tcW w:type="dxa" w:w="1662"/>
          </w:tcPr>
          <w:p>
            <w:r>
              <w:rPr>
                <w:rFonts w:ascii="Times New Roman" w:hAnsi="Times New Roman"/>
                <w:sz w:val="20"/>
              </w:rPr>
              <w:t>Prudence (diabète gestationnel)</w:t>
            </w:r>
          </w:p>
        </w:tc>
        <w:tc>
          <w:tcPr>
            <w:tcW w:type="dxa" w:w="1662"/>
          </w:tcPr>
          <w:p>
            <w:r>
              <w:rPr>
                <w:rFonts w:ascii="Times New Roman" w:hAnsi="Times New Roman"/>
                <w:sz w:val="20"/>
              </w:rPr>
              <w:t>Prudence</w:t>
            </w:r>
          </w:p>
        </w:tc>
        <w:tc>
          <w:tcPr>
            <w:tcW w:type="dxa" w:w="1662"/>
          </w:tcPr>
          <w:p>
            <w:r>
              <w:rPr>
                <w:rFonts w:ascii="Times New Roman" w:hAnsi="Times New Roman"/>
                <w:sz w:val="20"/>
              </w:rPr>
              <w:t>Autorisée (choix diabète)</w:t>
            </w:r>
          </w:p>
        </w:tc>
      </w:tr>
      <w:tr>
        <w:tc>
          <w:tcPr>
            <w:tcW w:type="dxa" w:w="1662"/>
          </w:tcPr>
          <w:p>
            <w:r>
              <w:rPr>
                <w:rFonts w:ascii="Times New Roman" w:hAnsi="Times New Roman"/>
                <w:sz w:val="20"/>
              </w:rPr>
              <w:t>**Indication principale**</w:t>
            </w:r>
          </w:p>
        </w:tc>
        <w:tc>
          <w:tcPr>
            <w:tcW w:type="dxa" w:w="1662"/>
          </w:tcPr>
          <w:p>
            <w:r>
              <w:rPr>
                <w:rFonts w:ascii="Times New Roman" w:hAnsi="Times New Roman"/>
                <w:sz w:val="20"/>
              </w:rPr>
              <w:t>Entretien CAPD</w:t>
            </w:r>
          </w:p>
        </w:tc>
        <w:tc>
          <w:tcPr>
            <w:tcW w:type="dxa" w:w="1662"/>
          </w:tcPr>
          <w:p>
            <w:r>
              <w:rPr>
                <w:rFonts w:ascii="Times New Roman" w:hAnsi="Times New Roman"/>
                <w:sz w:val="20"/>
              </w:rPr>
              <w:t>Ultrafiltration modérée</w:t>
            </w:r>
          </w:p>
        </w:tc>
        <w:tc>
          <w:tcPr>
            <w:tcW w:type="dxa" w:w="1662"/>
          </w:tcPr>
          <w:p>
            <w:r>
              <w:rPr>
                <w:rFonts w:ascii="Times New Roman" w:hAnsi="Times New Roman"/>
                <w:sz w:val="20"/>
              </w:rPr>
              <w:t>Ultrafiltration forte</w:t>
            </w:r>
          </w:p>
        </w:tc>
        <w:tc>
          <w:tcPr>
            <w:tcW w:type="dxa" w:w="1662"/>
          </w:tcPr>
          <w:p>
            <w:r>
              <w:rPr>
                <w:rFonts w:ascii="Times New Roman" w:hAnsi="Times New Roman"/>
                <w:sz w:val="20"/>
              </w:rPr>
              <w:t>Longue stase nocturne</w:t>
            </w:r>
          </w:p>
        </w:tc>
      </w:tr>
      <w:tr>
        <w:tc>
          <w:tcPr>
            <w:tcW w:type="dxa" w:w="1662"/>
          </w:tcPr>
          <w:p>
            <w:r>
              <w:rPr>
                <w:rFonts w:ascii="Times New Roman" w:hAnsi="Times New Roman"/>
                <w:sz w:val="20"/>
              </w:rPr>
              <w:t>**Effet indésirable principal**</w:t>
            </w:r>
          </w:p>
        </w:tc>
        <w:tc>
          <w:tcPr>
            <w:tcW w:type="dxa" w:w="1662"/>
          </w:tcPr>
          <w:p>
            <w:r>
              <w:rPr>
                <w:rFonts w:ascii="Times New Roman" w:hAnsi="Times New Roman"/>
                <w:sz w:val="20"/>
              </w:rPr>
              <w:t>Hyperglycémie, péritonite</w:t>
            </w:r>
          </w:p>
        </w:tc>
        <w:tc>
          <w:tcPr>
            <w:tcW w:type="dxa" w:w="1662"/>
          </w:tcPr>
          <w:p>
            <w:r>
              <w:rPr>
                <w:rFonts w:ascii="Times New Roman" w:hAnsi="Times New Roman"/>
                <w:sz w:val="20"/>
              </w:rPr>
              <w:t>Hyperglycémie, dyslipidémie</w:t>
            </w:r>
          </w:p>
        </w:tc>
        <w:tc>
          <w:tcPr>
            <w:tcW w:type="dxa" w:w="1662"/>
          </w:tcPr>
          <w:p>
            <w:r>
              <w:rPr>
                <w:rFonts w:ascii="Times New Roman" w:hAnsi="Times New Roman"/>
                <w:sz w:val="20"/>
              </w:rPr>
              <w:t>Hyperglycémie majeure, altération membrane</w:t>
            </w:r>
          </w:p>
        </w:tc>
        <w:tc>
          <w:tcPr>
            <w:tcW w:type="dxa" w:w="1662"/>
          </w:tcPr>
          <w:p>
            <w:r>
              <w:rPr>
                <w:rFonts w:ascii="Times New Roman" w:hAnsi="Times New Roman"/>
                <w:sz w:val="20"/>
              </w:rPr>
              <w:t>Éruption cutanée, interaction GDH-PQQ</w:t>
            </w:r>
          </w:p>
        </w:tc>
      </w:tr>
      <w:tr>
        <w:tc>
          <w:tcPr>
            <w:tcW w:type="dxa" w:w="1662"/>
          </w:tcPr>
          <w:p>
            <w:r>
              <w:rPr>
                <w:rFonts w:ascii="Times New Roman" w:hAnsi="Times New Roman"/>
                <w:sz w:val="20"/>
              </w:rPr>
              <w:t>**Piège majeur comptoir**</w:t>
            </w:r>
          </w:p>
        </w:tc>
        <w:tc>
          <w:tcPr>
            <w:tcW w:type="dxa" w:w="1662"/>
          </w:tcPr>
          <w:p>
            <w:r>
              <w:rPr>
                <w:rFonts w:ascii="Times New Roman" w:hAnsi="Times New Roman"/>
                <w:sz w:val="20"/>
              </w:rPr>
              <w:t>Confusion avec hypertonique</w:t>
            </w:r>
          </w:p>
        </w:tc>
        <w:tc>
          <w:tcPr>
            <w:tcW w:type="dxa" w:w="1662"/>
          </w:tcPr>
          <w:p>
            <w:r>
              <w:rPr>
                <w:rFonts w:ascii="Times New Roman" w:hAnsi="Times New Roman"/>
                <w:sz w:val="20"/>
              </w:rPr>
              <w:t>Confusion anhydre/monohydrate</w:t>
            </w:r>
          </w:p>
        </w:tc>
        <w:tc>
          <w:tcPr>
            <w:tcW w:type="dxa" w:w="1662"/>
          </w:tcPr>
          <w:p>
            <w:r>
              <w:rPr>
                <w:rFonts w:ascii="Times New Roman" w:hAnsi="Times New Roman"/>
                <w:sz w:val="20"/>
              </w:rPr>
              <w:t>Confusion avec isotonique</w:t>
            </w:r>
          </w:p>
        </w:tc>
        <w:tc>
          <w:tcPr>
            <w:tcW w:type="dxa" w:w="1662"/>
          </w:tcPr>
          <w:p>
            <w:r>
              <w:rPr>
                <w:rFonts w:ascii="Times New Roman" w:hAnsi="Times New Roman"/>
                <w:sz w:val="20"/>
              </w:rPr>
              <w:t>Glucomètre GDH-PQQ interdit</w:t>
            </w:r>
          </w:p>
        </w:tc>
      </w:tr>
    </w:tbl>
    <w:p/>
    <w:p>
      <w:pPr>
        <w:pStyle w:val="Heading3"/>
      </w:pPr>
      <w:r>
        <w:t>222.5 Synthèse pédagogique pour la pratique algérienne</w:t>
      </w:r>
    </w:p>
    <w:p>
      <w:r>
        <w:t xml:space="preserve">Les solutions pour dialyse péritonéale disponibles en Algérie couvrent l'ensemble des besoins cliniques de la suppléance rénale péritonéale. Le pharmacien d'officine et le pharmacien hospitalier doivent maîtriser leurs compositions, leurs indications et leurs pièges. Les messages clés à retenir sont les suivants : (1) la </w:t>
      </w:r>
      <w:r>
        <w:rPr>
          <w:b/>
        </w:rPr>
        <w:t>solution isotonique à 1,5 % de glucose</w:t>
      </w:r>
      <w:r>
        <w:t xml:space="preserve"> (CAPD FORMULE 55, CAPD/DPCA 2) est la poche d'entretien de référence pour les patients normo-hydratés, mais expose à une charge glucidique péritonéale de 100-150 g/jour en CAPD standard ; (2) les </w:t>
      </w:r>
      <w:r>
        <w:rPr>
          <w:b/>
        </w:rPr>
        <w:t>solutions hypertoniques</w:t>
      </w:r>
      <w:r>
        <w:t xml:space="preserve"> (CAPD/DPCA 4 à 2,27 %, CAPD FORMULE 62 et CAPD/DPCA 3 à 4,25 %) sont réservées aux situations d'hyperhydratation, et leur usage prolongé altère la membrane péritonéale (encapsulation scléreuse) ; (3) l'</w:t>
      </w:r>
      <w:r>
        <w:rPr>
          <w:b/>
        </w:rPr>
        <w:t>icodextrine 7,5 %</w:t>
      </w:r>
      <w:r>
        <w:t xml:space="preserve"> (EXTRANEAL) est la solution de choix pour les longues stases nocturnes (8-12 heures), sans apport glucidique systémique, sans déséquilibre du diabète, et sans altération de la membrane péritonéale, mais impose l'utilisation exclusive de glucomètres compatibles (interdiction des GDH-PQQ) ; (4) la prévention des </w:t>
      </w:r>
      <w:r>
        <w:rPr>
          <w:b/>
        </w:rPr>
        <w:t>péritonites bactériennes</w:t>
      </w:r>
      <w:r>
        <w:t xml:space="preserve"> repose sur l'asepsie stricte, l'usage de systèmes déconnectables (Stay Safe) et la formation du patient à l'autosoins ; (5) la prévention des </w:t>
      </w:r>
      <w:r>
        <w:rPr>
          <w:b/>
        </w:rPr>
        <w:t>déséquilibres métaboliques</w:t>
      </w:r>
      <w:r>
        <w:t xml:space="preserve"> (hyperglycémie, dyslipidémie, prise de poids) impose l'usage préférentiel d'icodextrine pour les longues stases, l'adaptation insulinique systématique chez le diabétique, et la surveillance nutritionnelle régulière. Le pharmacien doit également être vigilant sur les pièges de concentration (anhydre vs monohydrate), de réchauffement (jamais micro-ondes), de mesure glycémique (interdiction GDH-PQQ sous icodextrine), et de diagnostic de péritonite (effluent trouble = péritonite jusqu'à preuve du contraire). Le développement de la DP en Algérie nécessite une formation continue des pharmaciens et des patients, et une amélioration de l'accès aux solutions modernes (icodextrine, solutions biocompatibles pH neutre, solutions au glucose basique).</w:t>
      </w:r>
    </w:p>
    <w:p>
      <w:pPr>
        <w:pStyle w:val="Heading2"/>
      </w:pPr>
      <w:r>
        <w:t>Section 223 — Concentrés pour hémodialyse et solutions d'hémofiltration</w:t>
      </w:r>
    </w:p>
    <w:p>
      <w:pPr>
        <w:pStyle w:val="Heading3"/>
      </w:pPr>
      <w:r>
        <w:t>223.0 Introduction de la sous-classe</w:t>
      </w:r>
    </w:p>
    <w:p>
      <w:r>
        <w:t xml:space="preserve">L'hémodialyse (HD) conventionnelle consiste à faire circuler le sang du patient à l'extérieur de l'organisme, au travers d'un rein artificiel (dialyseur) équipé d'une membrane semi-perméable, en regard d'une solution de dialyse (bain de dialyse) dont la composition électrolytique est calquée sur celle du plasma physiologique. Le bain de dialyse est obtenu par dilution d'un </w:t>
      </w:r>
      <w:r>
        <w:rPr>
          <w:b/>
        </w:rPr>
        <w:t>concentré acide</w:t>
      </w:r>
      <w:r>
        <w:t xml:space="preserve"> (compartiment A) et d'un </w:t>
      </w:r>
      <w:r>
        <w:rPr>
          <w:b/>
        </w:rPr>
        <w:t>concentré basique au bicarbonate</w:t>
      </w:r>
      <w:r>
        <w:t xml:space="preserve"> (compartiment B) avec de l'eau traitée par osmose inverse (qualité d'eau pour hémodialyse selon la norme ISO 13959 et la pharmacopée européenne). Le ratio de dilution standard est de 1:1,225 (1 volume de concentré A + 1,225 volume de concentré B + 32,775 volumes d'eau pour hémodialyse, soit 1:35 au total pour le bain final). Le concentrateur acide (A) contient le sodium, le potassium, le calcium, le magnésium, le glucose et de l'acide acétique (ou chlorhydrique) en concentration 35 fois supérieure à la concentration plasmatique, afin de prévenir la précipitation du bicarbonate de calcium et de magnésium en cas de mélange direct des compartiments A et B.</w:t>
      </w:r>
    </w:p>
    <w:p>
      <w:r>
        <w:t>Le concentrateur basique (B) contient exclusivement du bicarbonate de sodium à concentration 35 fois supérieure à la concentration plasmatique (8,3 g/L de bicarbonate). La séparation physique des compartiments A et B est essentielle pour prévenir la précipitation des sels de calcium-magnésium-carbonates, et le mélange s'effectue en continu dans la machine de dialyse, juste avant l'entrée dans le dialyseur. Le pH final du bain de dialyse est compris entre 7,1 et 7,3, l'osmolarité finale est de 285-295 mOsm/L (proche du plasma), et la concentration en bicarbonate est de 30-35 mmol/L.</w:t>
      </w:r>
    </w:p>
    <w:p>
      <w:r>
        <w:t>Selon les recommandations KDIGO 2024, l'hémodialyse est indiquée chez les patients présentant une insuffisance rénale chronique terminale (DFG &lt; 15 mL/min/1,73 m²) ou une insuffisance rénale aiguë sévère (stade KDIGO 3) avec indication de suppléance. L'HD est réalisée en sessions de 4 heures, 3 fois par semaine, dans un centre de dialyse hospitalier ou en autodialyse. Le marché algérien des concentrés pour HD est dominé par Industries Médico-Chirurgicales (IMC) avec la gamme RENACID (plus de 12 variantes), avec un acteur historique SAIDAL (ACIDE BIOTIC, ACIDIAL, HEMODIALYSE F/A et F/B, dont plusieurs sont non renouvelés ou retirés). La production locale représente un enjeu stratégique pour la souveraineté thérapeutique algérienne en néphrologie.</w:t>
      </w:r>
    </w:p>
    <w:p>
      <w:r>
        <w:t>Cette section 223 détaille dix DCI ou associations de concentrés pour hémodialyse et solutions d'hémofiltration disponibles en Algérie, couvrant l'ensemble des formulations commercialisées ou ayant été retirées du marché.</w:t>
      </w:r>
    </w:p>
    <w:p>
      <w:pPr>
        <w:pStyle w:val="Heading3"/>
      </w:pPr>
      <w:r>
        <w:t>223.1 Concentré acide pour hémodialyse (RENACID A-series, G-series)</w:t>
      </w:r>
    </w:p>
    <w:p>
      <w:pPr>
        <w:pStyle w:val="Heading4"/>
      </w:pPr>
      <w:r>
        <w:t>1. Liste des catégories thérapeutiques</w:t>
      </w:r>
    </w:p>
    <w:p>
      <w:r>
        <w:t xml:space="preserve">Le concentré acide pour hémodialyse est classé au niveau ATC comme </w:t>
      </w:r>
      <w:r>
        <w:rPr>
          <w:b/>
        </w:rPr>
        <w:t>B05Z</w:t>
      </w:r>
      <w:r>
        <w:t xml:space="preserve"> (solutions pour dialyse, hémodialyse). Sur le plan réglementaire algérien, il relève de la liste I des substances vénéneuses en raison de son usage parentéral indirect (la solution finale est en contact avec le sang à travers la membrane de dialyse). Il appartient à la sous-classe des </w:t>
      </w:r>
      <w:r>
        <w:rPr>
          <w:b/>
        </w:rPr>
        <w:t>concentrés acides pour hémodialyse</w:t>
      </w:r>
      <w:r>
        <w:t>, dont la composition électrolytique est 35 fois supérieure à la concentration plasmatique, à diluer avec de l'eau pour hémodialyse et un concentré basique au bicarbonate avant utilisation. Les spécialités disponibles en Algérie sont nombreuses : RENACID A15, A16, A17, A18, A25, A26, A27, A28 (IMC, sans glucose), et RENACID G15, G16, G25, G26 (IMC, avec glucose). Le code ATC B05Z englobe toutes les solutions pour hémodialyse, indépendamment de la formulation. La concentration variable en calcium (A15, A18, A25, A28 : Ca 1,75 mmol/L final ; A16, A26, A27 : Ca 1,5 mmol/L final) et en magnésium (A15, A17, A18, A25, A28 : Mg 0,5 mmol/L ; A16, A26, A27 : Mg 0,25 mmol/L) permet l'adaptation aux besoins électrolytiques du patient.</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RENACID A15</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21,48 g/L + KCl 0,522 g/L + CaCl₂·2H₂O 0,771 g/L + MgCl₂·6H₂O 0,712 g/L (sans glucose)</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A16</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21,07 g/L + KCl 0,522 g/L + CaCl₂·2H₂O 0,643 g/L + MgCl₂·6H₂O 0,356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A17</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21,48 g/L + KCl 0,522 g/L + CaCl₂·2H₂O 0,642 g/L + MgCl₂·6H₂O 0,712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A18</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21,07 g/L + KCl 0,522 g/L + CaCl₂·2H₂O 0,771 g/L + MgCl₂·6H₂O 0,356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A25</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27,617 g/L + KCl 0,671 g/L + CaCl₂·2H₂O 0,991 g/L + MgCl₂·6H₂O 0,915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A26</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27,089 g/L + KCl 0,671 g/L + CaCl₂·2H₂O 0,826 g/L + MgCl₂·6H₂O 0,457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A27</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27,089 g/L + KCl 0,671 g/L + CaCl₂·2H₂O 0,826 g/L + MgCl₂·6H₂O 0,457 g/L (identique à A26, vérifier la spécificité)</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A28</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27,089 g/L + KCl 0,671 g/L + CaCl₂·2H₂O 0,991 g/L + MgCl₂·6H₂O 0,457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G15</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(composition équivalente à A15 avec ajout de glucose) — 100 mL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G16</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21,068 g/L + KCl 0,522 g/L + CaCl₂·2H₂O 0,642 g/L + MgCl₂·6H₂O 0,356 g/L + acide acétique 2,846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G25</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27,089 g/L + KCl 0,671 g/L + CaCl₂·2H₂O 0,992 g/L + MgCl₂·6H₂O 0,457 g/L + glucose 4,5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RENACID G26</w:t>
            </w:r>
          </w:p>
        </w:tc>
        <w:tc>
          <w:tcPr>
            <w:tcW w:type="dxa" w:w="1385"/>
          </w:tcPr>
          <w:p>
            <w:r>
              <w:rPr>
                <w:rFonts w:ascii="Times New Roman" w:hAnsi="Times New Roman"/>
                <w:sz w:val="20"/>
              </w:rPr>
              <w:t>IMC</w:t>
            </w:r>
          </w:p>
        </w:tc>
        <w:tc>
          <w:tcPr>
            <w:tcW w:type="dxa" w:w="1385"/>
          </w:tcPr>
          <w:p>
            <w:r>
              <w:rPr>
                <w:rFonts w:ascii="Times New Roman" w:hAnsi="Times New Roman"/>
                <w:sz w:val="20"/>
              </w:rPr>
              <w:t>Solution concentrée pour hémodialyse — NaCl 27,089 g/L + KCl 0,671 g/L + CaCl₂·2H₂O 0,827 g/L + MgCl₂·6H₂O 0,457 g/L + glucose 4,95 g/L</w:t>
            </w:r>
          </w:p>
        </w:tc>
        <w:tc>
          <w:tcPr>
            <w:tcW w:type="dxa" w:w="1385"/>
          </w:tcPr>
          <w:p>
            <w:r>
              <w:rPr>
                <w:rFonts w:ascii="Times New Roman" w:hAnsi="Times New Roman"/>
                <w:sz w:val="20"/>
              </w:rPr>
              <w:t>Bidon PEHD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la gamme RENACID propose des formulations sans glucose (série A) et avec glucose (série G), avec différentes concentrations en sodium (140 mmol/L final pour A15-A18 ; 145 mmol/L final pour A25-A28), en calcium (1,75 mmol/L ou 1,5 mmol/L final), en magnésium (0,5 mmol/L ou 0,25 mmol/L final), et en potassium (2 mmol/L ou 3 mmol/L final). Cette diversité permet l'adaptation aux besoins électrolytiques de chaque patient (hypercalcémie → A16/A26/A27 ; hypomagnésémie → A15/A17/A25 ; diabète → série A sans glucose ; hypoglycémie → série G avec glucose). Le pharmacien doit connaître ces nuances pour la dispensation.</w:t>
      </w:r>
    </w:p>
    <w:p>
      <w:pPr>
        <w:pStyle w:val="Heading4"/>
      </w:pPr>
      <w:r>
        <w:t>3. Sous-classe et mécanisme d'action moléculaire</w:t>
      </w:r>
    </w:p>
    <w:p>
      <w:r>
        <w:t xml:space="preserve">Le concentré acide pour hémodialyse appartient à la sous-classe des concentrés A pour HD. Le mécanisme d'action repose sur la </w:t>
      </w:r>
      <w:r>
        <w:rPr>
          <w:b/>
        </w:rPr>
        <w:t>diffusion passive</w:t>
      </w:r>
      <w:r>
        <w:t xml:space="preserve"> des électrolytes et des solutés à travers la membrane de dialyse selon un gradient de concentration, et l'</w:t>
      </w:r>
      <w:r>
        <w:rPr>
          <w:b/>
        </w:rPr>
        <w:t>ultrafiltration</w:t>
      </w:r>
      <w:r>
        <w:t xml:space="preserve"> de l'eau sous l'effet d'un gradient de pression hydrostatique. La composition du concentré A est conçue pour fournir, après dilution 1:35 avec de l'eau pour hémodialyse et le concentré B au bicarbonate, un bain de dialyse dont la concentration finale en sodium (140-145 mmol/L), potassium (2-3 mmol/L), calcium (1,5-1,75 mmol/L), magnésium (0,25-0,5 mmol/L), glucose (0 ou 1-2 g/L), et acide acétique (2-4 mmol/L) se rapproche du plasma physiologique. L'acide acétique (ou chlorhydrique dans certaines formulations) joue un rôle de stabilisateur du pH (pH acide du concentré A = 2-3), prévenant la précipitation du bicarbonate de calcium et de magnésium en cas de mélange direct avec le concentré B. Après dilution et mélange avec le concentré B au bicarbonate, l'acide acétique est converti en bicarbonate par le foie (cycle de Cori) à hauteur de 95 % en 1-2 heures, contribuant à la correction de l'acidose métabolique urémique. Le gradient de concentration entre le sang du patient (hyperurémie, hyperkaliémie, hyperphosphorémie, acidose métabolique) et le bain de dialyse (concentrations plasmatiques normales) assure la diffusion passive des solutés urémiques vers le bain de dialyse. L'ultrafiltration (pression hydrostatique négative dans le compartiment dialysat) permet l'élimination de l'eau en excès.</w:t>
      </w:r>
    </w:p>
    <w:p>
      <w:pPr>
        <w:pStyle w:val="Heading4"/>
      </w:pPr>
      <w:r>
        <w:t>4. Profil pharmacologique</w:t>
      </w:r>
    </w:p>
    <w:p>
      <w:r/>
      <w:r>
        <w:rPr>
          <w:b/>
        </w:rPr>
        <w:t>Indications</w:t>
      </w:r>
      <w:r>
        <w:t xml:space="preserve"> : insuffisance rénale chronique terminale en suppléance par hémodialyse conventionnelle (3 sessions/semaine, 4 heures/session) ; insuffisance rénale aiguë sévère (stade KDIGO 3) avec indication d'épuration extrarénale ; intoxications médicamenteuses dialysables (lithium, salicylés, méthanol, éthylène glycol) ; surcharge hydrosodée réfractaire aux diurétiques ; hyperkaliémie menaçante (K⁺ &gt; 6,5 mmol/L avec signes ECG). </w:t>
      </w:r>
      <w:r>
        <w:rPr>
          <w:b/>
        </w:rPr>
        <w:t>Contre-indications</w:t>
      </w:r>
      <w:r>
        <w:t xml:space="preserve"> : hypotension sévère non corrigée ; hémorragie active non contrôlée (relative — préférer hémodialyse sans héparine ou RCA) ; allergie aux composants du concentré (rare). </w:t>
      </w:r>
      <w:r>
        <w:rPr>
          <w:b/>
        </w:rPr>
        <w:t>Effets indésirables</w:t>
      </w:r>
      <w:r>
        <w:t xml:space="preserve"> : hypotension per-dialytique (20-30 % des sessions, par ultrafiltration excessive ou vasoconstriction sympathique insuffisante) ; crampes musculaires (10-15 %, par hypo-osmolarité ou hypovolémie) ; syndrome de dialyse disequilibrium (rare, en cas d'urée initiale très élevée &gt; 30 mmol/L — œdème cérébral par gradient osmotique) ; réactions anaphylactoïdes (rare, en particulier avec membranes de dialyseur non biocompatibles ou allergie à l'éthylène oxyde de stérilisation) ; hyperglycémie (avec la série G contenant du glucose) ; hypoglycémie (rare, en cas de série A sans glucose chez le diabétique sous insuline) ; dysesthesies (paresthésies péribuccales, crampes, en cas d'hyponatrémie ou hypocalcémie induite) ; fièvre et frissons (bactériémie ou endotoxinémie par contamination du circuit d'eau) ; héparine-induite thrombocytopénie (THI, en cas d'hémodialyse avec héparine standard) ; hématome au point de ponction fistule.</w:t>
      </w:r>
    </w:p>
    <w:p>
      <w:pPr>
        <w:pStyle w:val="Heading4"/>
      </w:pPr>
      <w:r>
        <w:t>5. Prévention et gestion des effets indésirables</w:t>
      </w:r>
    </w:p>
    <w:p>
      <w:r>
        <w:t>La prévention de l'</w:t>
      </w:r>
      <w:r>
        <w:rPr>
          <w:b/>
        </w:rPr>
        <w:t>hypotension per-dialytique</w:t>
      </w:r>
      <w:r>
        <w:t xml:space="preserve"> repose sur : (1) l'estimation du poids sec du patient (poids sans œdème clinique, à atteindre progressivement) ; (2) l'adaptation de l'ultrafiltration (baisse maximale 10 mL/kg/h) ; (3) la surveillance tensionnelle toutes les 30 minutes pendant la session ; (4) l'utilisation d'un dialysat au sodium élevé (145 mmol/L, série A25-A28) en cas d'hypotension récurrente ; (5) le profil de sodium variable (sodium initial élevé puis diminution progressive) si disponible ; (6) le ralentissement du débit sanguin en cas d'hypotension ; (7) le remplissage par cristalloïde (NaCl 0,9 % ou Ringer lactate 250-500 mL) en cas d'hypotension sévère. La prévention des </w:t>
      </w:r>
      <w:r>
        <w:rPr>
          <w:b/>
        </w:rPr>
        <w:t>crampes musculaires</w:t>
      </w:r>
      <w:r>
        <w:t xml:space="preserve"> impose l'adaptation de l'ultrafiltration, l'utilisation d'un dialysat au sodium élevé, et l'étirement musculaire préventif. La prévention du </w:t>
      </w:r>
      <w:r>
        <w:rPr>
          <w:b/>
        </w:rPr>
        <w:t>syndrome de dialyse disequilibrium</w:t>
      </w:r>
      <w:r>
        <w:t xml:space="preserve"> impose une diminution de l'intensité de dialyse initiale (débit sanguin 200 mL/min, durée 2 heures) chez les patients ayant une urée initiale très élevée (&gt; 30 mmol/L), avec relais progressif sur les sessions suivantes. La prévention des </w:t>
      </w:r>
      <w:r>
        <w:rPr>
          <w:b/>
        </w:rPr>
        <w:t>réactions anaphylactoïdes</w:t>
      </w:r>
      <w:r>
        <w:t xml:space="preserve"> impose l'usage de membranes biocompatibles (polysulfone, polyamide, PMMA) et l'éviction de l'éthylène oxyde (préférence pour la stérilisation par rayonnement gamma ou vapeur). La prévention des </w:t>
      </w:r>
      <w:r>
        <w:rPr>
          <w:b/>
        </w:rPr>
        <w:t>infections bactériennes</w:t>
      </w:r>
      <w:r>
        <w:t xml:space="preserve"> impose la qualité d'eau pour hémodialyse (ISO 13959, surveillance bactériologique mensuelle, endotoxines &lt; 0,25 UI/mL) et la désinfection hebdomadaire des circuits d'eau. La prévention de la </w:t>
      </w:r>
      <w:r>
        <w:rPr>
          <w:b/>
        </w:rPr>
        <w:t>THI</w:t>
      </w:r>
      <w:r>
        <w:t xml:space="preserve"> impose le relais par hémodialyse sans héparine ou par RCA (citrate régional) en cas de suspicion. La prévention des </w:t>
      </w:r>
      <w:r>
        <w:rPr>
          <w:b/>
        </w:rPr>
        <w:t>saignements au point de ponction</w:t>
      </w:r>
      <w:r>
        <w:t xml:space="preserve"> impose la compression prolongée (10-15 min) après débranchement et la surveillance du point de ponction.</w:t>
      </w:r>
    </w:p>
    <w:p>
      <w:pPr>
        <w:pStyle w:val="Heading4"/>
      </w:pPr>
      <w:r>
        <w:t>6. Interactions médicamenteuses</w:t>
      </w:r>
    </w:p>
    <w:p>
      <w:r>
        <w:t xml:space="preserve">Le concentré acide pour HD présente des interactions pharmacodynamiques indirectes via le bain de dialyse : (1) </w:t>
      </w:r>
      <w:r>
        <w:rPr>
          <w:b/>
        </w:rPr>
        <w:t>augmentation de l'élimination des médicaments dialysables</w:t>
      </w:r>
      <w:r>
        <w:t xml:space="preserve"> (lithium, salicylés, métformine, vancomycine, gentamicine, digoxine — adapter les posologies selon les recommandations spécifiques) ; (2) </w:t>
      </w:r>
      <w:r>
        <w:rPr>
          <w:b/>
        </w:rPr>
        <w:t>diminution de l'efficacité des antibiotiques administrés en per-dialytique</w:t>
      </w:r>
      <w:r>
        <w:t xml:space="preserve"> (élimination rapide, préférer administration post-dialytique) ; (3) </w:t>
      </w:r>
      <w:r>
        <w:rPr>
          <w:b/>
        </w:rPr>
        <w:t>potentialisation de la toxicité de la digoxine</w:t>
      </w:r>
      <w:r>
        <w:t xml:space="preserve"> (hypokaliémie per-dialytique, surveillance ECG et dosage sérique) ; (4) </w:t>
      </w:r>
      <w:r>
        <w:rPr>
          <w:b/>
        </w:rPr>
        <w:t>interaction avec l'insuline</w:t>
      </w:r>
      <w:r>
        <w:t xml:space="preserve"> (bain avec glucose → hyperglycémie per-dialytique, adaptation insulinique chez le diabétique) ; (5) </w:t>
      </w:r>
      <w:r>
        <w:rPr>
          <w:b/>
        </w:rPr>
        <w:t>interaction avec les bêtabloquants</w:t>
      </w:r>
      <w:r>
        <w:t xml:space="preserve"> (masquage des signes d'hypoglycémie) ; (6) </w:t>
      </w:r>
      <w:r>
        <w:rPr>
          <w:b/>
        </w:rPr>
        <w:t>interaction avec les IEC et ARA2</w:t>
      </w:r>
      <w:r>
        <w:t xml:space="preserve"> (hypotension per-dialytique majorée). L'acide acétique du concentré A n'interagit pas avec le cytochrome P450. La prudence s'impose en cas de prescription d'anticoagulants (héparine, AVK, AOD) en raison du risque hémorragique majoré par l'hémodialyse.</w:t>
      </w:r>
    </w:p>
    <w:p>
      <w:pPr>
        <w:pStyle w:val="Heading4"/>
      </w:pPr>
      <w:r>
        <w:t>7. Grossesse et allaitement (CRAT)</w:t>
      </w:r>
    </w:p>
    <w:p>
      <w:r>
        <w:t>L'hémodialyse est autorisée pendant la grossesse chez la patiente insuffisante rénale chronique terminale, et constitue même la méthode de suppléance rénale préférentielle chez la femme enceinte (versus dialyse péritonéale, en raison de la meilleure tolérance hémodynamique et de l'accessibilité). Le CRAT recommande une intensification de la dialyse (objectif Kt/V &gt; 2,5 par semaine, soit 5-6 sessions de 4 heures par semaine), une surveillance rapprochée de la croissance fœtale (échographie mensuelle), de la tension artérielle (risque accru de pré-éclampsie), et de la glycémie (en cas de diabète gestationnel, préférer la série A sans glucose). Pendant l'allaitement, l'hémodialyse est compatible, sans passage significatif des composants du concentré A dans le lait maternel. La prudence s'impose en cas de prescription d'héparine pendant l'allaitement (vérifier la compatibilité selon le CRAT). La grossesse sous hémodialyse reste à très haut risque (prématurité 60-80 %, hypotrophie 30-50 %) et impose une prise en charge multidisciplinaire (néphrologue, obstétricien, néonatologue).</w:t>
      </w:r>
    </w:p>
    <w:p>
      <w:pPr>
        <w:pStyle w:val="Heading4"/>
      </w:pPr>
      <w:r>
        <w:t>8. Posologie et mode d'administration</w:t>
      </w:r>
    </w:p>
    <w:p>
      <w:r>
        <w:t>En hémodialyse conventionnelle : débit du dialysat 500 mL/min, débit sanguin 250-350 mL/min, durée 4 heures par session, 3 sessions/semaine. Le concentré A est dilué dans la machine de dialyse selon un ratio de 1:1,225:32,775 (1 volume A + 1,225 volume B + 32,775 volumes d'eau), soit un ratio total de 1:35. Le volume total de bain utilisé par session est d'environ 120 L (500 mL/min × 240 min). La composition finale du bain est : sodium 140-145 mmol/L (selon la formulation), potassium 2-3 mmol/L, calcium 1,5-1,75 mmol/L, magnésium 0,25-0,5 mmol/L, bicarbonate 30-35 mmol/L, glucose 0 ou 1-2 g/L, acide acétique 2-4 mmol/L, osmolarité 285-295 mOsm/L. La température du bain est de 35,5-37 °C. La voie d'administration est l'hémodialyse via un abord vasculaire (fistule artério-veineuse, pontage prostétique, cathéter veineux central tunnellisé). Le bidon de 10 L de concentré A permet 3-4 sessions de dialyse (à 1 L de concentré A par session, soit 35 L de bain final par session).</w:t>
      </w:r>
    </w:p>
    <w:p>
      <w:pPr>
        <w:pStyle w:val="Heading4"/>
      </w:pPr>
      <w:r>
        <w:t>9. Arbitrage et bénéfices des formes galéniques</w:t>
      </w:r>
    </w:p>
    <w:p>
      <w:r>
        <w:t>Le concentré acide pour hémodialyse se présente en bidon polyéthylène haute densité (PEHD) de 10 L, conditionnement standard pour la dialyse en centre. Le PEHD présente l'avantage d'une robustesse mécanique, d'une transparence limitée (protection contre la lumière), d'une compatibilité étendue avec les électrolytes, et d'un coût réduit. Le conditionnement en bidon de 5 L est disponible pour les centres de dialyse de petite capacité. Les formulations liquides (RENACID A-series et G-series) présentent l'avantage d'une préparation prête à l'emploi (pas de dissolution manuelle), mais l'inconvénient d'un encombrement et d'un poids élevé (10 kg par bidon). Les formulations en poudre (RENACID A13, ACIDIAL) présentent l'avantage d'un encombrement et d'un poids réduits, mais l'inconvénient d'une dissolution manuelle obligatoire (risque d'erreur de dilution). Le pharmacien doit guider le prescripteur sur le choix de la formulation selon la composition électrolytique souhaitée (calcium 1,75 ou 1,5 mmol/L ; magnésium 0,5 ou 0,25 mmol/L ; sodium 140 ou 145 mmol/L ; glucose présent ou absent). La stabilité du concentré A liquide est de 12-18 mois à température ambiante, à l'abri de la lumière et du gel. Après ouverture, le bidon doit être utilisé dans les 7 jours (risque de contamination bactérienne).</w:t>
      </w:r>
    </w:p>
    <w:p>
      <w:pPr>
        <w:pStyle w:val="Heading4"/>
      </w:pPr>
      <w:r>
        <w:t>10. Instructions et conseils au patient</w:t>
      </w:r>
    </w:p>
    <w:p>
      <w:r>
        <w:t>Pour le patient en hémodialyse chronique, les conseils portent sur : (1) l'observance stricte des sessions (3/semaine, 4 heures) — toute séance manquée majore la morbidité et la mortalité ; (2) la surveillance du poids interdialytique (prise maximale 2-3 kg entre 2 sessions, soit 4-5 % du poids sec) ; (3) le régime hyposodé (4-6 g/jour), hypocalorique (adapté à l'apport glucidique per-dialytique si série G), hyperprotidique (1,2-1,5 g/kg/jour), restrictif en potassium (≤ 2 g/jour) et en phosphore (≤ 800 mg/jour) ; (4) la restriction hydrique (500 mL/jour + diurèse résiduelle) ; (5) la surveillance de la tension artérielle à domicile (2 fois par jour) ; (6) la surveillance de la fistule artério-veineuse (thrill à la palpation, souffle à l'auscultation, chaleur locale) — consulter en urgence en cas de disparition du thrill ; (7) l'hygiène du bras de la fistule (pas de prise de tension, pas de prélèvement sanguin, pas de bijou serré, hygiène cutanée quotidienne) ; (8) la consultation médicale en urgence en cas de fièvre, dyspnée, douleur thoracique, perte de connaissance, saignement au point de ponction ; (9) la prévention de l'hépatite B (vaccination obligatoire), C et VIH (dépistage régulier). Le patient doit recevoir une fiche d'information écrite détaillée et un carnet de suivi (poids, tension, incidents).</w:t>
      </w:r>
    </w:p>
    <w:p>
      <w:pPr>
        <w:pStyle w:val="Heading4"/>
      </w:pPr>
      <w:r>
        <w:t>11. Notes, règles d'or et pièges au comptoir</w:t>
      </w:r>
    </w:p>
    <w:p>
      <w:r/>
      <w:r>
        <w:rPr>
          <w:b/>
        </w:rPr>
        <w:t>Règle d'or n°1</w:t>
      </w:r>
      <w:r>
        <w:t xml:space="preserve"> : le concentré acide pour hémodialyse ne doit JAMAIS être perfusé directement par voie intraveineuse — sa concentration en électrolytes est 35 fois supérieure à la concentration plasmatique, et la perfusion directe provoquerait une hypernatrémie, une hyperkaliémie, une hypercalcémie, et une acidose aiguës fatales. Dilution obligatoire avec eau pour hémodialyse et concentré B au bicarbonate selon le ratio 1:1,225:32,775.</w:t>
      </w:r>
    </w:p>
    <w:p>
      <w:r/>
      <w:r>
        <w:rPr>
          <w:b/>
        </w:rPr>
        <w:t>Règle d'or n°2</w:t>
      </w:r>
      <w:r>
        <w:t xml:space="preserve"> : ne jamais mélanger le concentré A et le concentré B en l'absence d'eau pour hémodialyse — précipitation immédiate de carbonate de calcium et de magnésium (trouble blanchâtre, obstruction des tubulures). Le mélange s'effectue en continu dans la machine de dialyse.</w:t>
      </w:r>
    </w:p>
    <w:p>
      <w:r/>
      <w:r>
        <w:rPr>
          <w:b/>
        </w:rPr>
        <w:t>Piège n°1</w:t>
      </w:r>
      <w:r>
        <w:t xml:space="preserve"> : les formulations A15-A18 et A25-A28 ont des concentrations en sodium différentes (140 vs 145 mmol/L final) — vérifier la prescription et le type de patient (hypotension récurrente → A25-A28 ; hypertension interdialytique → A15-A18).</w:t>
      </w:r>
    </w:p>
    <w:p>
      <w:r/>
      <w:r>
        <w:rPr>
          <w:b/>
        </w:rPr>
        <w:t>Piège n°2</w:t>
      </w:r>
      <w:r>
        <w:t xml:space="preserve"> : les formulations G contiennent du glucose (4,5-4,95 g/L dans le concentré, soit 1-2 g/L dans le bain final) — prudence chez le diabétique, surveillance glycémique per-dialytique.</w:t>
      </w:r>
    </w:p>
    <w:p>
      <w:r/>
      <w:r>
        <w:rPr>
          <w:b/>
        </w:rPr>
        <w:t>Piège n°3</w:t>
      </w:r>
      <w:r>
        <w:t xml:space="preserve"> : les formulations A16, A26, A27 ont un calcium abaissé (1,5 mmol/L final) — pour les patients hypercalcémiques ou sous chélateurs du phosphore calciques (sévélamer, lanthane). Ne pas confondre avec A15, A17, A18, A25, A28 (calcium 1,75 mmol/L).</w:t>
      </w:r>
    </w:p>
    <w:p>
      <w:r/>
      <w:r>
        <w:rPr>
          <w:b/>
        </w:rPr>
        <w:t>Piège n°4</w:t>
      </w:r>
      <w:r>
        <w:t xml:space="preserve"> : la qualité de l'eau pour hémodialyse est essentielle — une eau contaminée par des endotoxines peut provoquer des réactions anaphylactoïdes per-dialytiques et une pyogénie. Surveillance bactériologique mensuelle obligatoire.</w:t>
      </w:r>
    </w:p>
    <w:p>
      <w:r/>
      <w:r>
        <w:rPr>
          <w:b/>
        </w:rPr>
        <w:t>Piège n°5</w:t>
      </w:r>
      <w:r>
        <w:t xml:space="preserve"> : en cas d'hyperkaliémie menaçante (K⁺ &gt; 6,5 mmol/L avec signes ECG), le dialysat à potassium 2 mmol/L est plus efficace que le dialysat à potassium 3 mmol/L — préférer A15-A18 (K⁺ 2 mmol/L) en urgence.</w:t>
      </w:r>
    </w:p>
    <w:p>
      <w:pPr>
        <w:pStyle w:val="Heading3"/>
      </w:pPr>
      <w:r>
        <w:t>223.2 Concentré acide pour hémodialyse au bicarbonate liquide (RENACID A14 RENABIC L14, ACIDE BIOTIC)</w:t>
      </w:r>
    </w:p>
    <w:p>
      <w:pPr>
        <w:pStyle w:val="Heading4"/>
      </w:pPr>
      <w:r>
        <w:t>1. Liste des catégories thérapeutiques</w:t>
      </w:r>
    </w:p>
    <w:p>
      <w:r>
        <w:t xml:space="preserve">Le concentré acide pour hémodialyse au bicarbonate liquide est classé au niveau ATC comme </w:t>
      </w:r>
      <w:r>
        <w:rPr>
          <w:b/>
        </w:rPr>
        <w:t>B05Z</w:t>
      </w:r>
      <w:r>
        <w:t xml:space="preserve"> (solutions pour dialyse, hémodialyse). Sur le plan réglementaire algérien, il relève de la liste I des substances vénéneuses. Il appartient à la sous-classe des </w:t>
      </w:r>
      <w:r>
        <w:rPr>
          <w:b/>
        </w:rPr>
        <w:t>concentrés acides pour hémodialyse au bicarbonate liquide</w:t>
      </w:r>
      <w:r>
        <w:t>, dont la particularité est d'être associé à un concentré basique au bicarbonate sous forme liquide (et non en poudre), avec un bidon A (acide) et un bidon B (bicarbonate liquide), permettant une dilution directe sans dissolution manuelle. La spécialité RENACID A14 RENABIC L14 (IMC) est présentée en conditionnement double : bidon de solution concentrée acide de 10 L et bidon de solution au bicarbonate de 10 L. La spécialité ACIDE BIOTIC (SAIDAL) est non renouvelée. Le code ATC B05Z englobe toutes les solutions pour hémodialyse.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RENACID A14 RENABIC L14</w:t>
            </w:r>
          </w:p>
        </w:tc>
        <w:tc>
          <w:tcPr>
            <w:tcW w:type="dxa" w:w="1385"/>
          </w:tcPr>
          <w:p>
            <w:r>
              <w:rPr>
                <w:rFonts w:ascii="Times New Roman" w:hAnsi="Times New Roman"/>
                <w:sz w:val="20"/>
              </w:rPr>
              <w:t>IMC</w:t>
            </w:r>
          </w:p>
        </w:tc>
        <w:tc>
          <w:tcPr>
            <w:tcW w:type="dxa" w:w="1385"/>
          </w:tcPr>
          <w:p>
            <w:r>
              <w:rPr>
                <w:rFonts w:ascii="Times New Roman" w:hAnsi="Times New Roman"/>
                <w:sz w:val="20"/>
              </w:rPr>
              <w:t>Solution pour hémodialyse (double bidon) — Solution acide A + Solution basique B au bicarbonate</w:t>
            </w:r>
          </w:p>
        </w:tc>
        <w:tc>
          <w:tcPr>
            <w:tcW w:type="dxa" w:w="1385"/>
          </w:tcPr>
          <w:p>
            <w:r>
              <w:rPr>
                <w:rFonts w:ascii="Times New Roman" w:hAnsi="Times New Roman"/>
                <w:sz w:val="20"/>
              </w:rPr>
              <w:t>Bidon de solution concentrée acide de 10 L + bidon de solution au bicarbonate de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ACIDE BIOTIC</w:t>
            </w:r>
          </w:p>
        </w:tc>
        <w:tc>
          <w:tcPr>
            <w:tcW w:type="dxa" w:w="1385"/>
          </w:tcPr>
          <w:p>
            <w:r>
              <w:rPr>
                <w:rFonts w:ascii="Times New Roman" w:hAnsi="Times New Roman"/>
                <w:sz w:val="20"/>
              </w:rPr>
              <w:t>Groupe SAIDAL</w:t>
            </w:r>
          </w:p>
        </w:tc>
        <w:tc>
          <w:tcPr>
            <w:tcW w:type="dxa" w:w="1385"/>
          </w:tcPr>
          <w:p>
            <w:r>
              <w:rPr>
                <w:rFonts w:ascii="Times New Roman" w:hAnsi="Times New Roman"/>
                <w:sz w:val="20"/>
              </w:rPr>
              <w:t>Solution pour hémodialyse au bicarbonate liquide</w:t>
            </w:r>
          </w:p>
        </w:tc>
        <w:tc>
          <w:tcPr>
            <w:tcW w:type="dxa" w:w="1385"/>
          </w:tcPr>
          <w:p>
            <w:r>
              <w:rPr>
                <w:rFonts w:ascii="Times New Roman" w:hAnsi="Times New Roman"/>
                <w:sz w:val="20"/>
              </w:rPr>
              <w:t>Bidon 10 L</w:t>
            </w:r>
          </w:p>
        </w:tc>
        <w:tc>
          <w:tcPr>
            <w:tcW w:type="dxa" w:w="1385"/>
          </w:tcPr>
          <w:p>
            <w:r>
              <w:rPr>
                <w:rFonts w:ascii="Times New Roman" w:hAnsi="Times New Roman"/>
                <w:sz w:val="20"/>
              </w:rPr>
              <w:t>Liste I</w:t>
            </w:r>
          </w:p>
        </w:tc>
        <w:tc>
          <w:tcPr>
            <w:tcW w:type="dxa" w:w="1385"/>
          </w:tcPr>
          <w:p>
            <w:r>
              <w:rPr>
                <w:rFonts w:ascii="Times New Roman" w:hAnsi="Times New Roman"/>
                <w:sz w:val="20"/>
              </w:rPr>
              <w:t>Non Renouvelable</w:t>
            </w:r>
          </w:p>
        </w:tc>
      </w:tr>
    </w:tbl>
    <w:p/>
    <w:p>
      <w:r/>
      <w:r>
        <w:rPr>
          <w:b/>
        </w:rPr>
        <w:t>Remarque</w:t>
      </w:r>
      <w:r>
        <w:t xml:space="preserve"> : le système RENACID A14 RENABIC L14 est un système bipartite complet (A acide + B basique au bicarbonate liquide), avec un ratio de dilution standard de 1:1,225:32,775 (1 volume A + 1,225 volume B + 32,775 volumes d'eau). Le système ACIDE BIOTIC (SAIDAL) est non renouvelé mais peut encore être détenu en stock dans certains centres de dialyse ; sa dispensation n'est plus recommandée.</w:t>
      </w:r>
    </w:p>
    <w:p>
      <w:pPr>
        <w:pStyle w:val="Heading4"/>
      </w:pPr>
      <w:r>
        <w:t>3. Sous-classe et mécanisme d'action moléculaire</w:t>
      </w:r>
    </w:p>
    <w:p>
      <w:r>
        <w:t>Le concentré acide pour hémodialyse au bicarbonate liquide appartient à la sous-classe des concentrés A+B bipartites liquides. Le mécanisme d'action est similaire à celui du concentré acide standard, mais avec un système bipartite liquide (A + B) qui simplifie la préparation : pas de dissolution manuelle, pas de risque d'erreur de dissolution. La composition du concentré A est calquée sur celle du concentré acide standard (NaCl, KCl, CaCl₂, MgCl₂, acide acétique), et la composition du concentré B est strictement du bicarbonate de sodium à concentration 35 fois supérieure à la concentration plasmatique (8,3 g/L dans le concentré B, soit 30-35 mmol/L dans le bain final). Le pH acide du concentré A (pH 2-3) prévient la précipitation du bicarbonate de calcium et de magnésium en cas de mélange direct avec le concentré B. Le système bipartite liquide est devenu le standard international pour l'hémodialyse conventionnelle, en raison de la stabilité chimique supérieure du bicarbonate liquide (par rapport à la poudre), de la facilité d'usage, et de la traçabilité accrue.</w:t>
      </w:r>
    </w:p>
    <w:p>
      <w:pPr>
        <w:pStyle w:val="Heading4"/>
      </w:pPr>
      <w:r>
        <w:t>4. Profil pharmacologique</w:t>
      </w:r>
    </w:p>
    <w:p>
      <w:r/>
      <w:r>
        <w:rPr>
          <w:b/>
        </w:rPr>
        <w:t>Indications</w:t>
      </w:r>
      <w:r>
        <w:t xml:space="preserve"> : insuffisance rénale chronique terminale en suppléance par hémodialyse conventionnelle ; insuffisance rénale aiguë sévère (stade KDIGO 3) ; intoxications médicamenteuses dialysables ; préférence au bicarbonate liquide en cas de patients nécessitant un bain personnalisé en bicarbonate (30-35 mmol/L) pour gestion de l'acidose métabolique ou de l'alcalose métabolique. </w:t>
      </w:r>
      <w:r>
        <w:rPr>
          <w:b/>
        </w:rPr>
        <w:t>Contre-indications</w:t>
      </w:r>
      <w:r>
        <w:t xml:space="preserve"> : hypotension sévère non corrigée ; allergie aux composants ; alcalose métabolique sévère (préférable d'ajuster le bicarbonate en fonction). </w:t>
      </w:r>
      <w:r>
        <w:rPr>
          <w:b/>
        </w:rPr>
        <w:t>Effets indésirables</w:t>
      </w:r>
      <w:r>
        <w:t xml:space="preserve"> : similaires au concentré acide standard (hypotension per-dialytique, crampes, syndrome de dialyse disequilibrium, fièvre) ; alcalose métabolique (rare, en cas de bain à bicarbonate 35 mmol/L chez le patient non acidosique) ; hypernatrémie (rare, en cas de bain à sodium élevé). La tolérance est globalement bonne.</w:t>
      </w:r>
    </w:p>
    <w:p>
      <w:pPr>
        <w:pStyle w:val="Heading4"/>
      </w:pPr>
      <w:r>
        <w:t>5. Prévention et gestion des effets indésirables</w:t>
      </w:r>
    </w:p>
    <w:p>
      <w:r>
        <w:t>La prévention des effets indésirables est similaire à celle du concentré acide standard. La prévention de l'</w:t>
      </w:r>
      <w:r>
        <w:rPr>
          <w:b/>
        </w:rPr>
        <w:t>alcalose métabolique</w:t>
      </w:r>
      <w:r>
        <w:t xml:space="preserve"> impose la surveillance de la gazométrie artérielle et la réduction du bicarbonate du bain (30 mmol/L au lieu de 35 mmol/L) en cas de bicarbonatémie &gt; 28 mmol/L. La prévention de l'</w:t>
      </w:r>
      <w:r>
        <w:rPr>
          <w:b/>
        </w:rPr>
        <w:t>hypernatrémie</w:t>
      </w:r>
      <w:r>
        <w:t xml:space="preserve"> impose l'usage de formulations à sodium abaissé (140 mmol/L) en cas d'hypernatrémie interdialytique. La prévention des </w:t>
      </w:r>
      <w:r>
        <w:rPr>
          <w:b/>
        </w:rPr>
        <w:t>infections bactériennes</w:t>
      </w:r>
      <w:r>
        <w:t xml:space="preserve"> impose la qualité de l'eau pour hémodialyse (ISO 13959) et la désinfection hebdomadaire des circuits d'eau.</w:t>
      </w:r>
    </w:p>
    <w:p>
      <w:pPr>
        <w:pStyle w:val="Heading4"/>
      </w:pPr>
      <w:r>
        <w:t>6. Interactions médicamenteuses</w:t>
      </w:r>
    </w:p>
    <w:p>
      <w:r>
        <w:t>Similaires à celles du concentré acide standard.</w:t>
      </w:r>
    </w:p>
    <w:p>
      <w:pPr>
        <w:pStyle w:val="Heading4"/>
      </w:pPr>
      <w:r>
        <w:t>7. Grossesse et allaitement (CRAT)</w:t>
      </w:r>
    </w:p>
    <w:p>
      <w:r>
        <w:t>Similaire à celui du concentré acide standard.</w:t>
      </w:r>
    </w:p>
    <w:p>
      <w:pPr>
        <w:pStyle w:val="Heading4"/>
      </w:pPr>
      <w:r>
        <w:t>8. Posologie et mode d'administration</w:t>
      </w:r>
    </w:p>
    <w:p>
      <w:r>
        <w:t>Similaire à celle du concentré acide standard. Le système RENACID A14 RENABIC L14 est utilisé dans la machine de dialyse selon le ratio 1:1,225:32,775 (1 volume A + 1,225 volume B + 32,775 volumes d'eau). Le volume de bain par session est d'environ 120 L (500 mL/min × 240 min). Le système est adapté à la plupart des machines de dialyse disponibles en Algérie (Fresenius 5008, Baxter AK98, Nipro Surdial). La voie d'administration est l'hémodialyse conventionnelle via un abord vasculaire.</w:t>
      </w:r>
    </w:p>
    <w:p>
      <w:pPr>
        <w:pStyle w:val="Heading4"/>
      </w:pPr>
      <w:r>
        <w:t>9. Arbitrage et bénéfices des formes galéniques</w:t>
      </w:r>
    </w:p>
    <w:p>
      <w:r>
        <w:t>Le système bipartite liquide RENACID A14 RENABIC L14 présente l'avantage d'une facilité d'usage (pas de dissolution manuelle), d'une stabilité chimique supérieure du bicarbonate liquide (par rapport à la poudre), et d'une traçabilité accrue. L'inconvénient majeur est l'encombrement et le poids élevé (2 bidons de 10 L = 20 kg par set, pour 3-4 sessions de dialyse). Le conditionnement en sachet de poudre pour dissolution (RENACID A13, ACIDIAL) présente l'avantage d'un encombrement réduit, mais impose une dissolution manuelle (risque d'erreur). Le pharmacien doit guider le prescripteur sur le choix entre système liquide (préférentiel en centre hospitalier avec stock suffisant) et système en poudre (préférentiel en centre de petite capacité ou en autodialyse à domicile).</w:t>
      </w:r>
    </w:p>
    <w:p>
      <w:pPr>
        <w:pStyle w:val="Heading4"/>
      </w:pPr>
      <w:r>
        <w:t>10. Instructions et conseils au patient</w:t>
      </w:r>
    </w:p>
    <w:p>
      <w:r>
        <w:t>Similaires à celles du concentré acide standard. Le patient en hémodialyse avec RENACID A14 RENABIC L14 doit être informé de l'usage exclusif en centre de dialyse, de l'observance stricte des sessions, de la surveillance du poids interdialytique, du régime hyposodé et hyperprotidique, et de la consultation médicale en urgence en cas de complication.</w:t>
      </w:r>
    </w:p>
    <w:p>
      <w:pPr>
        <w:pStyle w:val="Heading4"/>
      </w:pPr>
      <w:r>
        <w:t>11. Notes, règles d'or et pièges au comptoir</w:t>
      </w:r>
    </w:p>
    <w:p>
      <w:r/>
      <w:r>
        <w:rPr>
          <w:b/>
        </w:rPr>
        <w:t>Règle d'or n°1</w:t>
      </w:r>
      <w:r>
        <w:t xml:space="preserve"> : ne jamais mélanger directement le concentré A et le concentré B sans eau pour hémodialyse — précipitation immédiate de carbonate de calcium et de magnésium.</w:t>
      </w:r>
    </w:p>
    <w:p>
      <w:r/>
      <w:r>
        <w:rPr>
          <w:b/>
        </w:rPr>
        <w:t>Piège n°1</w:t>
      </w:r>
      <w:r>
        <w:t xml:space="preserve"> : la spécialité ACIDE BIOTIC (SAIDAL) est non renouvelée — ne pas dispenser pour nouvelles prescriptions, vérifier la disponibilité en stock des centres de dialyse avant de commander.</w:t>
      </w:r>
    </w:p>
    <w:p>
      <w:r/>
      <w:r>
        <w:rPr>
          <w:b/>
        </w:rPr>
        <w:t>Piège n°2</w:t>
      </w:r>
      <w:r>
        <w:t xml:space="preserve"> : le système RENACID A14 RENABIC L14 n'est pas compatible avec toutes les machines de dialyse — vérifier la compatibilité avant prescription.</w:t>
      </w:r>
    </w:p>
    <w:p>
      <w:r/>
      <w:r>
        <w:rPr>
          <w:b/>
        </w:rPr>
        <w:t>Piège n°3</w:t>
      </w:r>
      <w:r>
        <w:t xml:space="preserve"> : en cas de bain à bicarbonate 35 mmol/L chez un patient non acidosique, risque d'alcalose métabolique — préférer un bain à bicarbonate 30 mmol/L (ajuster le débit du concentré B).</w:t>
      </w:r>
    </w:p>
    <w:p>
      <w:pPr>
        <w:pStyle w:val="Heading3"/>
      </w:pPr>
      <w:r>
        <w:t>223.3 Concentré acide pour hémodialyse au bicarbonate poudre (RENACID A13, ACIDIAL)</w:t>
      </w:r>
    </w:p>
    <w:p>
      <w:pPr>
        <w:pStyle w:val="Heading4"/>
      </w:pPr>
      <w:r>
        <w:t>1. Liste des catégories thérapeutiques</w:t>
      </w:r>
    </w:p>
    <w:p>
      <w:r>
        <w:t xml:space="preserve">Le concentré acide pour hémodialyse au bicarbonate poudre est classé au niveau ATC comme </w:t>
      </w:r>
      <w:r>
        <w:rPr>
          <w:b/>
        </w:rPr>
        <w:t>B05Z</w:t>
      </w:r>
      <w:r>
        <w:t xml:space="preserve"> (solutions pour dialyse, hémodialyse). Sur le plan réglementaire algérien, il relève de la liste I des substances vénéneuses. Il appartient à la sous-classe des concentrés acides en poudre pour hémodialyse au bicarbonate, dont la particularité est d'être présenté sous forme de poudre à dissoudre extemporanément dans de l'eau pour hémodialyse, avec adjonction d'un concentré basique au bicarbonate (liquide ou en poudre). La spécialité RENACID A13 (IMC) est active, tandis que la spécialité ACIDIAL (SAIDAL) est non renouvelée. Le code ATC B05Z englobe toutes les solutions pour hémodialyse.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RENACID A13</w:t>
            </w:r>
          </w:p>
        </w:tc>
        <w:tc>
          <w:tcPr>
            <w:tcW w:type="dxa" w:w="1385"/>
          </w:tcPr>
          <w:p>
            <w:r>
              <w:rPr>
                <w:rFonts w:ascii="Times New Roman" w:hAnsi="Times New Roman"/>
                <w:sz w:val="20"/>
              </w:rPr>
              <w:t>IMC</w:t>
            </w:r>
          </w:p>
        </w:tc>
        <w:tc>
          <w:tcPr>
            <w:tcW w:type="dxa" w:w="1385"/>
          </w:tcPr>
          <w:p>
            <w:r>
              <w:rPr>
                <w:rFonts w:ascii="Times New Roman" w:hAnsi="Times New Roman"/>
                <w:sz w:val="20"/>
              </w:rPr>
              <w:t>Solution pour hémodialyse (poudre à dissoudre) — NaCl 214,8 g/L + KCl 5,22 g/L + CaCl₂·2H₂O 9 g/L + MgCl₂·6H₂O 7,12 g/L + acide acétique 6,30 g/L</w:t>
            </w:r>
          </w:p>
        </w:tc>
        <w:tc>
          <w:tcPr>
            <w:tcW w:type="dxa" w:w="1385"/>
          </w:tcPr>
          <w:p>
            <w:r>
              <w:rPr>
                <w:rFonts w:ascii="Times New Roman" w:hAnsi="Times New Roman"/>
                <w:sz w:val="20"/>
              </w:rPr>
              <w:t>Bidon 10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ACIDIAL</w:t>
            </w:r>
          </w:p>
        </w:tc>
        <w:tc>
          <w:tcPr>
            <w:tcW w:type="dxa" w:w="1385"/>
          </w:tcPr>
          <w:p>
            <w:r>
              <w:rPr>
                <w:rFonts w:ascii="Times New Roman" w:hAnsi="Times New Roman"/>
                <w:sz w:val="20"/>
              </w:rPr>
              <w:t>Groupe SAIDAL</w:t>
            </w:r>
          </w:p>
        </w:tc>
        <w:tc>
          <w:tcPr>
            <w:tcW w:type="dxa" w:w="1385"/>
          </w:tcPr>
          <w:p>
            <w:r>
              <w:rPr>
                <w:rFonts w:ascii="Times New Roman" w:hAnsi="Times New Roman"/>
                <w:sz w:val="20"/>
              </w:rPr>
              <w:t>Solution pour hémodialyse au bicarbonate (poudre)</w:t>
            </w:r>
          </w:p>
        </w:tc>
        <w:tc>
          <w:tcPr>
            <w:tcW w:type="dxa" w:w="1385"/>
          </w:tcPr>
          <w:p>
            <w:r>
              <w:rPr>
                <w:rFonts w:ascii="Times New Roman" w:hAnsi="Times New Roman"/>
                <w:sz w:val="20"/>
              </w:rPr>
              <w:t>Bidon 10 L</w:t>
            </w:r>
          </w:p>
        </w:tc>
        <w:tc>
          <w:tcPr>
            <w:tcW w:type="dxa" w:w="1385"/>
          </w:tcPr>
          <w:p>
            <w:r>
              <w:rPr>
                <w:rFonts w:ascii="Times New Roman" w:hAnsi="Times New Roman"/>
                <w:sz w:val="20"/>
              </w:rPr>
              <w:t>Liste I</w:t>
            </w:r>
          </w:p>
        </w:tc>
        <w:tc>
          <w:tcPr>
            <w:tcW w:type="dxa" w:w="1385"/>
          </w:tcPr>
          <w:p>
            <w:r>
              <w:rPr>
                <w:rFonts w:ascii="Times New Roman" w:hAnsi="Times New Roman"/>
                <w:sz w:val="20"/>
              </w:rPr>
              <w:t>Non Renouvelable</w:t>
            </w:r>
          </w:p>
        </w:tc>
      </w:tr>
    </w:tbl>
    <w:p/>
    <w:p>
      <w:r/>
      <w:r>
        <w:rPr>
          <w:b/>
        </w:rPr>
        <w:t>Remarque</w:t>
      </w:r>
      <w:r>
        <w:t xml:space="preserve"> : la spécialité RENACID A13 contient les composants sous forme de poudre concentrée 35× (à dissoudre dans 10 L d'eau pour hémodialyse pour obtenir le concentré A liquide). La spécialité ACIDIAL (SAIDAL) est non renouvelée. La composition en poudre permet un encombrement réduit et un poids moindre, mais impose une dissolution manuelle soigneuse (risque d'erreur de dilution, risque infectieux si dissolution non aseptique).</w:t>
      </w:r>
    </w:p>
    <w:p>
      <w:pPr>
        <w:pStyle w:val="Heading4"/>
      </w:pPr>
      <w:r>
        <w:t>3. Sous-classe et mécanisme d'action moléculaire</w:t>
      </w:r>
    </w:p>
    <w:p>
      <w:r>
        <w:t>Le concentré acide pour hémodialyse au bicarbonate poudre appartient à la sous-classe des concentrés A en poudre. Le mécanisme d'action est identique à celui des concentrés acides liquides, mais la présentation en poudre permet une meilleure stabilité chimique (les composants secs ne sont pas soumis aux phénomènes de dégradation hydrolytique) et un transport aisé. La dissolution doit s'effectuer extemporanément dans de l'eau pour hémodialyse (qualité ISO 13959), en respectant le volume total du bidon (10 L). La solution obtenue après dissolution a une composition identique à celle du concentré A liquide (NaCl 6,1 g/L, KCl 0,15 g/L, CaCl₂·2H₂O 0,26 g/L, MgCl₂·6H₂O 0,20 g/L, acide acétique 0,18 g/L, dans le concentré final prêt à être dilué 1:35 dans la machine de dialyse).</w:t>
      </w:r>
    </w:p>
    <w:p>
      <w:pPr>
        <w:pStyle w:val="Heading4"/>
      </w:pPr>
      <w:r>
        <w:t>4. Profil pharmacologique</w:t>
      </w:r>
    </w:p>
    <w:p>
      <w:r/>
      <w:r>
        <w:rPr>
          <w:b/>
        </w:rPr>
        <w:t>Indications</w:t>
      </w:r>
      <w:r>
        <w:t xml:space="preserve"> : identiques à celles du concentré acide liquide (insuffisance rénale chronique terminale, insuffisance rénale aiguë, intoxications dialysables). Préférentiel en centre de dialyse de petite capacité ou en autodialyse à domicile (en raison de l'encombrement réduit). </w:t>
      </w:r>
      <w:r>
        <w:rPr>
          <w:b/>
        </w:rPr>
        <w:t>Contre-indications</w:t>
      </w:r>
      <w:r>
        <w:t xml:space="preserve"> : identiques à celles du concentré acide liquide. </w:t>
      </w:r>
      <w:r>
        <w:rPr>
          <w:b/>
        </w:rPr>
        <w:t>Effets indésirables</w:t>
      </w:r>
      <w:r>
        <w:t xml:space="preserve"> : identiques à ceux du concentré acide liquide, avec en plus un risque d'erreur de dissolution (sous-dosage ou surdosage en électrolytes) en cas de dissolution manuelle incorrecte.</w:t>
      </w:r>
    </w:p>
    <w:p>
      <w:pPr>
        <w:pStyle w:val="Heading4"/>
      </w:pPr>
      <w:r>
        <w:t>5. Prévention et gestion des effets indésirables</w:t>
      </w:r>
    </w:p>
    <w:p>
      <w:r>
        <w:t xml:space="preserve">La prévention spécifique des </w:t>
      </w:r>
      <w:r>
        <w:rPr>
          <w:b/>
        </w:rPr>
        <w:t>erreurs de dissolution</w:t>
      </w:r>
      <w:r>
        <w:t xml:space="preserve"> impose : (1) l'usage d'eau pour hémodialyse de qualité ISO 13959 (et non eau du robinet) ; (2) la vérification de la dissolution complète (absence de particules, solution limpide) ; (3) le respect du volume total du bidon (10 L) ; (4) l'étiquetage explicite du bidon après dissolution (date, lot, opérateur) ; (5) la vérification de la concentration finale par mesure de la conductivité (mesure de référence avant la première session de dialyse de la journée). La prévention des autres effets indésirables est similaire à celle du concentré acide liquide.</w:t>
      </w:r>
    </w:p>
    <w:p>
      <w:pPr>
        <w:pStyle w:val="Heading4"/>
      </w:pPr>
      <w:r>
        <w:t>6. Interactions médicamenteuses</w:t>
      </w:r>
    </w:p>
    <w:p>
      <w:r>
        <w:t>Similaires à celles du concentré acide liquide.</w:t>
      </w:r>
    </w:p>
    <w:p>
      <w:pPr>
        <w:pStyle w:val="Heading4"/>
      </w:pPr>
      <w:r>
        <w:t>7. Grossesse et allaitement (CRAT)</w:t>
      </w:r>
    </w:p>
    <w:p>
      <w:r>
        <w:t>Similaire à celui du concentré acide liquide.</w:t>
      </w:r>
    </w:p>
    <w:p>
      <w:pPr>
        <w:pStyle w:val="Heading4"/>
      </w:pPr>
      <w:r>
        <w:t>8. Posologie et mode d'administration</w:t>
      </w:r>
    </w:p>
    <w:p>
      <w:r>
        <w:t>Identique à celle du concentré acide liquide. Le concentré A en poudre doit être dissous extemporanément dans 10 L d'eau pour hémodialyse, dans le bidon d'origine. La dissolution s'effectue en agitant vigoureusement le bidon pendant 5-10 minutes jusqu'à obtention d'une solution limpide. Le bidon est ensuite raccordé à la machine de dialyse selon le ratio standard 1:1,225:32,775 (concentré A + concentré B + eau).</w:t>
      </w:r>
    </w:p>
    <w:p>
      <w:pPr>
        <w:pStyle w:val="Heading4"/>
      </w:pPr>
      <w:r>
        <w:t>9. Arbitrage et bénéfices des formes galéniques</w:t>
      </w:r>
    </w:p>
    <w:p>
      <w:r>
        <w:t>Le concentré acide en poudre présente l'avantage d'un encombrement réduit (poudre vs liquide), d'un poids moindre (réduction des coûts de transport), et d'une meilleure stabilité chimique. L'inconvénient majeur est la nécessité d'une dissolution manuelle, qui peut être source d'erreur (sous-dosage par dissolution incomplète, surdosage par erreur de volume, contamination bactérienne si dissolution non aseptique). Le pharmacien doit guider le prescripteur sur le choix entre système liquide (préférentiel en centre hospitalier avec stock suffisant) et système en poudre (préférentiel en centre de petite capacité ou en autodialyse à domicile).</w:t>
      </w:r>
    </w:p>
    <w:p>
      <w:pPr>
        <w:pStyle w:val="Heading4"/>
      </w:pPr>
      <w:r>
        <w:t>10. Instructions et conseils au patient</w:t>
      </w:r>
    </w:p>
    <w:p>
      <w:r>
        <w:t>Similaires à celles du concentré acide liquide. Le patient en hémodialyse avec concentré en poudre doit être informé de l'usage exclusif en centre de dialyse (jamais en autodialyse à domicile non encadrée), de l'observance stricte des sessions, et de la surveillance régulière de la qualité de l'eau et de la conductivité du bain.</w:t>
      </w:r>
    </w:p>
    <w:p>
      <w:pPr>
        <w:pStyle w:val="Heading4"/>
      </w:pPr>
      <w:r>
        <w:t>11. Notes, règles d'or et pièges au comptoir</w:t>
      </w:r>
    </w:p>
    <w:p>
      <w:r/>
      <w:r>
        <w:rPr>
          <w:b/>
        </w:rPr>
        <w:t>Règle d'or n°1</w:t>
      </w:r>
      <w:r>
        <w:t xml:space="preserve"> : la dissolution du concentré en poudre doit s'effectuer dans de l'eau pour hémodialyse de qualité ISO 13959 — ne jamais utiliser de l'eau du robinet (risque infectieux et d'endotoxines).</w:t>
      </w:r>
    </w:p>
    <w:p>
      <w:r/>
      <w:r>
        <w:rPr>
          <w:b/>
        </w:rPr>
        <w:t>Piège n°1</w:t>
      </w:r>
      <w:r>
        <w:t xml:space="preserve"> : la spécialité ACIDIAL (SAIDAL) est non renouvelée — ne pas dispenser pour nouvelles prescriptions.</w:t>
      </w:r>
    </w:p>
    <w:p>
      <w:r/>
      <w:r>
        <w:rPr>
          <w:b/>
        </w:rPr>
        <w:t>Piège n°2</w:t>
      </w:r>
      <w:r>
        <w:t xml:space="preserve"> : la dissolution incomplète peut entraîner un sous-dosage en électrolytes et une inefficacité de la dialyse — vérifier la limpidité de la solution et la conductivité du bain avant la session.</w:t>
      </w:r>
    </w:p>
    <w:p>
      <w:r/>
      <w:r>
        <w:rPr>
          <w:b/>
        </w:rPr>
        <w:t>Piège n°3</w:t>
      </w:r>
      <w:r>
        <w:t xml:space="preserve"> : la contamination bactérienne de la solution après dissolution est possible en cas de dissolution non aseptique — utiliser la solution dans les 24 heures après dissolution.</w:t>
      </w:r>
    </w:p>
    <w:p>
      <w:pPr>
        <w:pStyle w:val="Heading3"/>
      </w:pPr>
      <w:r>
        <w:t>223.4 Concentré pour hémodialyse formulé acide (RETRAIT — HEMODIALYSE F/A)</w:t>
      </w:r>
    </w:p>
    <w:p>
      <w:pPr>
        <w:pStyle w:val="Heading4"/>
      </w:pPr>
      <w:r>
        <w:t>1. Liste des catégories thérapeutiques</w:t>
      </w:r>
    </w:p>
    <w:p>
      <w:r>
        <w:t xml:space="preserve">Le concentré pour hémodialyse formulé acide est classé au niveau ATC comme </w:t>
      </w:r>
      <w:r>
        <w:rPr>
          <w:b/>
        </w:rPr>
        <w:t>B05Z</w:t>
      </w:r>
      <w:r>
        <w:t xml:space="preserve"> (solutions pour dialyse, hémodialyse). Sur le plan réglementaire algérien, il relevait de la liste I des substances vénéneuses. Il appartenait à la sous-classe des concentrés A formulés pour hémodialyse, présentés en bidon de 10 L. La spécialité HEMODIALYSE F/A (SAIDAL) a été retirée du marché algérien (statut RETRAIT dans la nomenclature avril 2026). Cette spécialité représentait une formulation historique de SAIDAL, qui a cédé la place aux formulations plus modernes (ACIDE BIOTIC, ACIDIAL, également non renouvelées). Le code ATC B05Z englobe toutes les solutions pour hémodialyse.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HEMODIALYSE F/A</w:t>
            </w:r>
          </w:p>
        </w:tc>
        <w:tc>
          <w:tcPr>
            <w:tcW w:type="dxa" w:w="1385"/>
          </w:tcPr>
          <w:p>
            <w:r>
              <w:rPr>
                <w:rFonts w:ascii="Times New Roman" w:hAnsi="Times New Roman"/>
                <w:sz w:val="20"/>
              </w:rPr>
              <w:t>Groupe SAIDAL</w:t>
            </w:r>
          </w:p>
        </w:tc>
        <w:tc>
          <w:tcPr>
            <w:tcW w:type="dxa" w:w="1385"/>
          </w:tcPr>
          <w:p>
            <w:r>
              <w:rPr>
                <w:rFonts w:ascii="Times New Roman" w:hAnsi="Times New Roman"/>
                <w:sz w:val="20"/>
              </w:rPr>
              <w:t>Solution pour hémodialyse — Formulation acide (composants non précisés dans la nomenclature)</w:t>
            </w:r>
          </w:p>
        </w:tc>
        <w:tc>
          <w:tcPr>
            <w:tcW w:type="dxa" w:w="1385"/>
          </w:tcPr>
          <w:p>
            <w:r>
              <w:rPr>
                <w:rFonts w:ascii="Times New Roman" w:hAnsi="Times New Roman"/>
                <w:sz w:val="20"/>
              </w:rPr>
              <w:t>Bidon 10 L</w:t>
            </w:r>
          </w:p>
        </w:tc>
        <w:tc>
          <w:tcPr>
            <w:tcW w:type="dxa" w:w="1385"/>
          </w:tcPr>
          <w:p>
            <w:r>
              <w:rPr>
                <w:rFonts w:ascii="Times New Roman" w:hAnsi="Times New Roman"/>
                <w:sz w:val="20"/>
              </w:rPr>
              <w:t>Liste I</w:t>
            </w:r>
          </w:p>
        </w:tc>
        <w:tc>
          <w:tcPr>
            <w:tcW w:type="dxa" w:w="1385"/>
          </w:tcPr>
          <w:p>
            <w:r>
              <w:rPr>
                <w:rFonts w:ascii="Times New Roman" w:hAnsi="Times New Roman"/>
                <w:sz w:val="20"/>
              </w:rPr>
              <w:t>Retiré (R)</w:t>
            </w:r>
          </w:p>
        </w:tc>
      </w:tr>
    </w:tbl>
    <w:p/>
    <w:p>
      <w:r/>
      <w:r>
        <w:rPr>
          <w:b/>
        </w:rPr>
        <w:t>Remarque</w:t>
      </w:r>
      <w:r>
        <w:t xml:space="preserve"> : la spécialité HEMODIALYSE F/A a été retirée du marché algérien. Elle n'est plus disponible à la dispensation, mais peut encore être détenue en stock dans certains centres de dialyse non mis à jour. Le pharmacien doit absolument vérifier le statut à la dispensation et refuser la dispensation si le stock présente des bidons HEMODIALYSE F/A périmés.</w:t>
      </w:r>
    </w:p>
    <w:p>
      <w:pPr>
        <w:pStyle w:val="Heading4"/>
      </w:pPr>
      <w:r>
        <w:t>3. Sous-classe et mécanisme d'action moléculaire</w:t>
      </w:r>
    </w:p>
    <w:p>
      <w:r>
        <w:t>Similaire à celui du concentré acide pour hémodialyse standard. La formulation HEMODIALYSE F/A représentait une formulation générique de SAIDAL, probablement équivalente à la gamme RENACID A-series, mais la composition exacte n'est pas précisée dans la nomenclature algérienne.</w:t>
      </w:r>
    </w:p>
    <w:p>
      <w:pPr>
        <w:pStyle w:val="Heading4"/>
      </w:pPr>
      <w:r>
        <w:t>4. Profil pharmacologique</w:t>
      </w:r>
    </w:p>
    <w:p>
      <w:r/>
      <w:r>
        <w:rPr>
          <w:b/>
        </w:rPr>
        <w:t>Indications</w:t>
      </w:r>
      <w:r>
        <w:t xml:space="preserve"> : identiques à celles du concentré acide liquide. </w:t>
      </w:r>
      <w:r>
        <w:rPr>
          <w:b/>
        </w:rPr>
        <w:t>Contre-indications</w:t>
      </w:r>
      <w:r>
        <w:t xml:space="preserve"> : identiques à celles du concentré acide liquide. </w:t>
      </w:r>
      <w:r>
        <w:rPr>
          <w:b/>
        </w:rPr>
        <w:t>Effets indésirables</w:t>
      </w:r>
      <w:r>
        <w:t xml:space="preserve"> : identiques à ceux du concentré acide liquide. La spécialité ayant été retirée, ces informations sont à titre informatif pour la traçabilité historique.</w:t>
      </w:r>
    </w:p>
    <w:p>
      <w:pPr>
        <w:pStyle w:val="Heading4"/>
      </w:pPr>
      <w:r>
        <w:t>5. Prévention et gestion des effets indésirables</w:t>
      </w:r>
    </w:p>
    <w:p>
      <w:r>
        <w:t xml:space="preserve">La prévention spécifique des </w:t>
      </w:r>
      <w:r>
        <w:rPr>
          <w:b/>
        </w:rPr>
        <w:t>accidents liés à l'usage d'une spécialité retirée</w:t>
      </w:r>
      <w:r>
        <w:t xml:space="preserve"> impose : (1) la vérification systématique du statut à la dispensation (statut RETRAIT dans la nomenclature) ; (2) l'information du prescripteur et du centre de dialyse ; (3) le retrait et la destruction des stocks périmés selon les protocoles de gestion des déchets pharmaceutiques ; (4) le signalement à l'autorité de pharmacovigilance en cas d'effet indésirable lié à l'usage d'une spécialité retirée.</w:t>
      </w:r>
    </w:p>
    <w:p>
      <w:pPr>
        <w:pStyle w:val="Heading4"/>
      </w:pPr>
      <w:r>
        <w:t>6. Interactions médicamenteuses</w:t>
      </w:r>
    </w:p>
    <w:p>
      <w:r>
        <w:t>Similaires à celles du concentré acide liquide, mais à titre informatif uniquement, la spécialité n'étant plus disponible.</w:t>
      </w:r>
    </w:p>
    <w:p>
      <w:pPr>
        <w:pStyle w:val="Heading4"/>
      </w:pPr>
      <w:r>
        <w:t>7. Grossesse et allaitement (CRAT)</w:t>
      </w:r>
    </w:p>
    <w:p>
      <w:r>
        <w:t>À titre informatif uniquement, similaire à celui du concentré acide liquide.</w:t>
      </w:r>
    </w:p>
    <w:p>
      <w:pPr>
        <w:pStyle w:val="Heading4"/>
      </w:pPr>
      <w:r>
        <w:t>8. Posologie et mode d'administration</w:t>
      </w:r>
    </w:p>
    <w:p>
      <w:r>
        <w:t>À titre informatif uniquement, similaire à celle du concentré acide liquide.</w:t>
      </w:r>
    </w:p>
    <w:p>
      <w:pPr>
        <w:pStyle w:val="Heading4"/>
      </w:pPr>
      <w:r>
        <w:t>9. Arbitrage et bénéfices des formes galéniques</w:t>
      </w:r>
    </w:p>
    <w:p>
      <w:r>
        <w:t>La spécialité HEMODIALYSE F/A ayant été retirée du marché algérien, il convient de lui substituer les formulations équivalentes disponibles : RENACID A15-A28 (IMC, sans glucose), RENACID G15-G26 (IMC, avec glucose), ou RENACID A14 RENABIC L14 (IMC, système bipartite liquide). Le pharmacien doit guider le prescripteur sur le choix de la substitution en fonction de la composition électrolytique souhaitée.</w:t>
      </w:r>
    </w:p>
    <w:p>
      <w:pPr>
        <w:pStyle w:val="Heading4"/>
      </w:pPr>
      <w:r>
        <w:t>10. Instructions et conseils au patient</w:t>
      </w:r>
    </w:p>
    <w:p>
      <w:r>
        <w:t>À titre informatif uniquement. Les patients précédemment traités avec HEMODIALYSE F/A doivent être informés du retrait du marché et du relais par une formulation équivalente disponible (RENACID A-series).</w:t>
      </w:r>
    </w:p>
    <w:p>
      <w:pPr>
        <w:pStyle w:val="Heading4"/>
      </w:pPr>
      <w:r>
        <w:t>11. Notes, règles d'or et pièges au comptoir</w:t>
      </w:r>
    </w:p>
    <w:p>
      <w:r/>
      <w:r>
        <w:rPr>
          <w:b/>
        </w:rPr>
        <w:t>Règle d'or n°1</w:t>
      </w:r>
      <w:r>
        <w:t xml:space="preserve"> : la spécialité HEMODIALYSE F/A est RETIRÉE du marché algérien — ne pas dispenser, informer le prescripteur et proposer une substitution (RENACID A-series).</w:t>
      </w:r>
    </w:p>
    <w:p>
      <w:r/>
      <w:r>
        <w:rPr>
          <w:b/>
        </w:rPr>
        <w:t>Piège n°1</w:t>
      </w:r>
      <w:r>
        <w:t xml:space="preserve"> : un stock non mis à jour peut encore présenter des bidons HEMODIALYSE F/A périmés — vérifier systématiquement la date de péremption et le statut à la dispensation.</w:t>
      </w:r>
    </w:p>
    <w:p>
      <w:r/>
      <w:r>
        <w:rPr>
          <w:b/>
        </w:rPr>
        <w:t>Piège n°2</w:t>
      </w:r>
      <w:r>
        <w:t xml:space="preserve"> : le retrait du marché peut être lié à des problèmes de qualité, de stabilité ou d'efficacité — ne pas tenter d'utiliser des stocks périmés, procéder à la destruction selon les protocoles.</w:t>
      </w:r>
    </w:p>
    <w:p>
      <w:pPr>
        <w:pStyle w:val="Heading3"/>
      </w:pPr>
      <w:r>
        <w:t>223.5 Concentré pour hémodialyse formulé basique (RETRAIT — HEMODIALYSE F/B)</w:t>
      </w:r>
    </w:p>
    <w:p>
      <w:pPr>
        <w:pStyle w:val="Heading4"/>
      </w:pPr>
      <w:r>
        <w:t>1. Liste des catégories thérapeutiques</w:t>
      </w:r>
    </w:p>
    <w:p>
      <w:r>
        <w:t xml:space="preserve">Le concentré pour hémodialyse formulé basique est classé au niveau ATC comme </w:t>
      </w:r>
      <w:r>
        <w:rPr>
          <w:b/>
        </w:rPr>
        <w:t>B05Z</w:t>
      </w:r>
      <w:r>
        <w:t xml:space="preserve"> (solutions pour dialyse, hémodialyse). Sur le plan réglementaire algérien, il relevait de la liste I des substances vénéneuses. Il appartenait à la sous-classe des concentrés basiques (compartiment B) pour hémodialyse, présentés en bidon de 10 L. La spécialité HEMODIALYSE F/B (SAIDAL) a été retirée du marché algérien (statut RETRAIT dans la nomenclature avril 2026). Elle représentait la composante basique au bicarbonate du système bipartite historique de SAIDAL, en association avec HEMODIALYSE F/A (composante acide, également retirée). Le code ATC B05Z englobe toutes les solutions pour hémodialyse.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HEMODIALYSE F/B</w:t>
            </w:r>
          </w:p>
        </w:tc>
        <w:tc>
          <w:tcPr>
            <w:tcW w:type="dxa" w:w="1385"/>
          </w:tcPr>
          <w:p>
            <w:r>
              <w:rPr>
                <w:rFonts w:ascii="Times New Roman" w:hAnsi="Times New Roman"/>
                <w:sz w:val="20"/>
              </w:rPr>
              <w:t>Groupe SAIDAL</w:t>
            </w:r>
          </w:p>
        </w:tc>
        <w:tc>
          <w:tcPr>
            <w:tcW w:type="dxa" w:w="1385"/>
          </w:tcPr>
          <w:p>
            <w:r>
              <w:rPr>
                <w:rFonts w:ascii="Times New Roman" w:hAnsi="Times New Roman"/>
                <w:sz w:val="20"/>
              </w:rPr>
              <w:t>Solution pour hémodialyse — Formulation basique au bicarbonate de sodium (composants non précisés dans la nomenclature)</w:t>
            </w:r>
          </w:p>
        </w:tc>
        <w:tc>
          <w:tcPr>
            <w:tcW w:type="dxa" w:w="1385"/>
          </w:tcPr>
          <w:p>
            <w:r>
              <w:rPr>
                <w:rFonts w:ascii="Times New Roman" w:hAnsi="Times New Roman"/>
                <w:sz w:val="20"/>
              </w:rPr>
              <w:t>Bidon 10 L</w:t>
            </w:r>
          </w:p>
        </w:tc>
        <w:tc>
          <w:tcPr>
            <w:tcW w:type="dxa" w:w="1385"/>
          </w:tcPr>
          <w:p>
            <w:r>
              <w:rPr>
                <w:rFonts w:ascii="Times New Roman" w:hAnsi="Times New Roman"/>
                <w:sz w:val="20"/>
              </w:rPr>
              <w:t>Liste I</w:t>
            </w:r>
          </w:p>
        </w:tc>
        <w:tc>
          <w:tcPr>
            <w:tcW w:type="dxa" w:w="1385"/>
          </w:tcPr>
          <w:p>
            <w:r>
              <w:rPr>
                <w:rFonts w:ascii="Times New Roman" w:hAnsi="Times New Roman"/>
                <w:sz w:val="20"/>
              </w:rPr>
              <w:t>Retiré (R)</w:t>
            </w:r>
          </w:p>
        </w:tc>
      </w:tr>
    </w:tbl>
    <w:p/>
    <w:p>
      <w:r/>
      <w:r>
        <w:rPr>
          <w:b/>
        </w:rPr>
        <w:t>Remarque</w:t>
      </w:r>
      <w:r>
        <w:t xml:space="preserve"> : la spécialité HEMODIALYSE F/B a été retirée du marché algérien, en même temps que sa composante acide HEMODIALYSE F/A. Elle n'est plus disponible à la dispensation.</w:t>
      </w:r>
    </w:p>
    <w:p>
      <w:pPr>
        <w:pStyle w:val="Heading4"/>
      </w:pPr>
      <w:r>
        <w:t>3. Sous-classe et mécanisme d'action moléculaire</w:t>
      </w:r>
    </w:p>
    <w:p>
      <w:r>
        <w:t>Similaire à celui du concentré basique au bicarbonate liquide. La formulation HEMODIALYSE F/B représentait une formulation générique de SAIDAL, probablement équivalente au RENABIC L14 (IMC), mais la composition exacte n'est pas précisée dans la nomenclature algérienne.</w:t>
      </w:r>
    </w:p>
    <w:p>
      <w:pPr>
        <w:pStyle w:val="Heading4"/>
      </w:pPr>
      <w:r>
        <w:t>4. Profil pharmacologique</w:t>
      </w:r>
    </w:p>
    <w:p>
      <w:r/>
      <w:r>
        <w:rPr>
          <w:b/>
        </w:rPr>
        <w:t>Indications</w:t>
      </w:r>
      <w:r>
        <w:t xml:space="preserve"> : identiques à celles du concentré basique au bicarbonate liquide. </w:t>
      </w:r>
      <w:r>
        <w:rPr>
          <w:b/>
        </w:rPr>
        <w:t>Contre-indications</w:t>
      </w:r>
      <w:r>
        <w:t xml:space="preserve"> : identiques à celles du concentré basique liquide. </w:t>
      </w:r>
      <w:r>
        <w:rPr>
          <w:b/>
        </w:rPr>
        <w:t>Effets indésirables</w:t>
      </w:r>
      <w:r>
        <w:t xml:space="preserve"> : identiques à ceux du concentré basique liquide. La spécialité ayant été retirée, ces informations sont à titre informatif pour la traçabilité historique.</w:t>
      </w:r>
    </w:p>
    <w:p>
      <w:pPr>
        <w:pStyle w:val="Heading4"/>
      </w:pPr>
      <w:r>
        <w:t>5. Prévention et gestion des effets indésirables</w:t>
      </w:r>
    </w:p>
    <w:p>
      <w:r>
        <w:t>Similaire à celle de HEMODIALYSE F/A, à savoir la vérification systématique du statut à la dispensation, l'information du prescripteur, le retrait et la destruction des stocks périmés.</w:t>
      </w:r>
    </w:p>
    <w:p>
      <w:pPr>
        <w:pStyle w:val="Heading4"/>
      </w:pPr>
      <w:r>
        <w:t>6. Interactions médicamenteuses</w:t>
      </w:r>
    </w:p>
    <w:p>
      <w:r>
        <w:t>Similaires à celles du concentré basique au bicarbonate liquide, mais à titre informatif uniquement.</w:t>
      </w:r>
    </w:p>
    <w:p>
      <w:pPr>
        <w:pStyle w:val="Heading4"/>
      </w:pPr>
      <w:r>
        <w:t>7. Grossesse et allaitement (CRAT)</w:t>
      </w:r>
    </w:p>
    <w:p>
      <w:r>
        <w:t>À titre informatif uniquement, similaire à celui du concentré basique liquide.</w:t>
      </w:r>
    </w:p>
    <w:p>
      <w:pPr>
        <w:pStyle w:val="Heading4"/>
      </w:pPr>
      <w:r>
        <w:t>8. Posologie et mode d'administration</w:t>
      </w:r>
    </w:p>
    <w:p>
      <w:r>
        <w:t>À titre informatif uniquement, similaire à celle du concentré basique liquide.</w:t>
      </w:r>
    </w:p>
    <w:p>
      <w:pPr>
        <w:pStyle w:val="Heading4"/>
      </w:pPr>
      <w:r>
        <w:t>9. Arbitrage et bénéfices des formes galéniques</w:t>
      </w:r>
    </w:p>
    <w:p>
      <w:r>
        <w:t>La spécialité HEMODIALYSE F/B ayant été retirée du marché algérien, il convient de lui substituer les formulations équivalentes disponibles : RENABIC L14 (IMC, système bipartite liquide avec RENACID A14), ou le bicarbonate de sodium en poudre pour dissolution manuelle. Le pharmacien doit guider le prescripteur sur le choix de la substitution.</w:t>
      </w:r>
    </w:p>
    <w:p>
      <w:pPr>
        <w:pStyle w:val="Heading4"/>
      </w:pPr>
      <w:r>
        <w:t>10. Instructions et conseils au patient</w:t>
      </w:r>
    </w:p>
    <w:p>
      <w:r>
        <w:t>À titre informatif uniquement. Les patients précédemment traités avec HEMODIALYSE F/B doivent être informés du retrait du marché et du relais par une formulation équivalente disponible (RENABIC L14).</w:t>
      </w:r>
    </w:p>
    <w:p>
      <w:pPr>
        <w:pStyle w:val="Heading4"/>
      </w:pPr>
      <w:r>
        <w:t>11. Notes, règles d'or et pièges au comptoir</w:t>
      </w:r>
    </w:p>
    <w:p>
      <w:r/>
      <w:r>
        <w:rPr>
          <w:b/>
        </w:rPr>
        <w:t>Règle d'or n°1</w:t>
      </w:r>
      <w:r>
        <w:t xml:space="preserve"> : la spécialité HEMODIALYSE F/B est RETIRÉE du marché algérien — ne pas dispenser, informer le prescripteur et proposer une substitution (RENABIC L14).</w:t>
      </w:r>
    </w:p>
    <w:p>
      <w:r/>
      <w:r>
        <w:rPr>
          <w:b/>
        </w:rPr>
        <w:t>Piège n°1</w:t>
      </w:r>
      <w:r>
        <w:t xml:space="preserve"> : un stock non mis à jour peut encore présenter des bidons HEMODIALYSE F/B périmés — vérifier systématiquement la date de péremption et le statut à la dispensation.</w:t>
      </w:r>
    </w:p>
    <w:p>
      <w:r/>
      <w:r>
        <w:rPr>
          <w:b/>
        </w:rPr>
        <w:t>Piège n°2</w:t>
      </w:r>
      <w:r>
        <w:t xml:space="preserve"> : ne jamais utiliser un concentré basique au bicarbonate périmé — risque de contamination bactérienne, de dégradation du bicarbonate en carbonate (précipitation), et d'inefficacité de la dialyse.</w:t>
      </w:r>
    </w:p>
    <w:p>
      <w:pPr>
        <w:pStyle w:val="Heading3"/>
      </w:pPr>
      <w:r>
        <w:t>223.6 Solution A Ca/Mg/Glucose + Solution B NaCl/Bicarbonate (MULTIBIC SANS SUCRE)</w:t>
      </w:r>
    </w:p>
    <w:p>
      <w:pPr>
        <w:pStyle w:val="Heading4"/>
      </w:pPr>
      <w:r>
        <w:t>1. Liste des catégories thérapeutiques</w:t>
      </w:r>
    </w:p>
    <w:p>
      <w:r>
        <w:t xml:space="preserve">La solution bipartite pour hémofiltration Solution A (chlorure de calcium/magnésium/glucose) + Solution B (chlorure de sodium/bicarbonate de sodium) est classée au niveau ATC comme </w:t>
      </w:r>
      <w:r>
        <w:rPr>
          <w:b/>
        </w:rPr>
        <w:t>B05Z</w:t>
      </w:r>
      <w:r>
        <w:t xml:space="preserve"> (solutions pour dialyse et hémofiltration). Sur le plan réglementaire algérien, elle relève de la liste I des substances vénéneuses. Elle appartient à la sous-classe des solutions pour hémofiltration bipartites bi-compartimentées, utilisées en hémodiafiltration en ligne (HDF) et en hémofiltration continue (CVVH) en réanimation. La spécialité MULTIBIC SANS SUCRE (Fresenius Medical Care Deutschland GmbH) est inscrite dans la nomenclature algérienne comme solution pour hémofiltration en poche bi-compartimentée de 5 L (compartiment A 0,25 L et compartiment B 4,75 L). Le code ATC B05Z englobe toutes les solutions pour dialyse et hémofiltration.</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MULTIBIC SANS SUCRE</w:t>
            </w:r>
          </w:p>
        </w:tc>
        <w:tc>
          <w:tcPr>
            <w:tcW w:type="dxa" w:w="1385"/>
          </w:tcPr>
          <w:p>
            <w:r>
              <w:rPr>
                <w:rFonts w:ascii="Times New Roman" w:hAnsi="Times New Roman"/>
                <w:sz w:val="20"/>
              </w:rPr>
              <w:t>Fresenius Medical Care Deutschland GmbH</w:t>
            </w:r>
          </w:p>
        </w:tc>
        <w:tc>
          <w:tcPr>
            <w:tcW w:type="dxa" w:w="1385"/>
          </w:tcPr>
          <w:p>
            <w:r>
              <w:rPr>
                <w:rFonts w:ascii="Times New Roman" w:hAnsi="Times New Roman"/>
                <w:sz w:val="20"/>
              </w:rPr>
              <w:t>Solution pour hémofiltration (poche bi-compartimentée) — Solution A : CaCl₂·2H₂O 4,410 g/L + MgCl₂·6H₂O 2,033 g/L + glucose anhydre 20,00 g/L ; Solution B : NaCl 6,136 g/L + bicarbonate de sodium 2,940 g/L + CaCl₂·2H₂O 0,2205 g/L + MgCl₂·6H₂O 0,1017 g/L + glucose anhydre 1,100 g/L (après reconstitution)</w:t>
            </w:r>
          </w:p>
        </w:tc>
        <w:tc>
          <w:tcPr>
            <w:tcW w:type="dxa" w:w="1385"/>
          </w:tcPr>
          <w:p>
            <w:r>
              <w:rPr>
                <w:rFonts w:ascii="Times New Roman" w:hAnsi="Times New Roman"/>
                <w:sz w:val="20"/>
              </w:rPr>
              <w:t>Poche de 5 L bi-compartimentée (A 0,25 L + B 4,75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Composition après reconstitution</w:t>
      </w:r>
      <w:r>
        <w:t xml:space="preserve"> (par litre) : sodium 140 mmol/L ; potassium 0 mmol/L ; calcium 1,75 mmol/L ; magnésium 0,5 mmol/L ; chlorure 109 mmol/L ; bicarbonate 35 mmol/L ; glucose 1,0 g/L. </w:t>
      </w:r>
      <w:r>
        <w:rPr>
          <w:b/>
        </w:rPr>
        <w:t>Osmolarité</w:t>
      </w:r>
      <w:r>
        <w:t xml:space="preserve"> : 290 mOsm/L (isotonique par rapport au plasma). </w:t>
      </w:r>
      <w:r>
        <w:rPr>
          <w:b/>
        </w:rPr>
        <w:t>pH</w:t>
      </w:r>
      <w:r>
        <w:t xml:space="preserve"> : 7,4.</w:t>
      </w:r>
    </w:p>
    <w:p>
      <w:r/>
      <w:r>
        <w:rPr>
          <w:b/>
        </w:rPr>
        <w:t>Remarque</w:t>
      </w:r>
      <w:r>
        <w:t xml:space="preserve"> : la spécialité MULTIBIC SANS SUCRE ne contient pas de potassium (K⁺ 0 mmol/L), ce qui impose l'ajout extemporané de chlorure de potassium si nécessaire (en cas de normokaliémie ou d'hypokaliémie du patient). Le glucose est présent en faible quantité (1 g/L), ce qui correspond à un apport glucidique minimal.</w:t>
      </w:r>
    </w:p>
    <w:p>
      <w:pPr>
        <w:pStyle w:val="Heading4"/>
      </w:pPr>
      <w:r>
        <w:t>3. Sous-classe et mécanisme d'action moléculaire</w:t>
      </w:r>
    </w:p>
    <w:p>
      <w:r>
        <w:t xml:space="preserve">La solution bipartite pour hémofiltration appartient à la sous-classe des solutions de substitution pour hémofiltration. Le mécanisme d'action repose sur la </w:t>
      </w:r>
      <w:r>
        <w:rPr>
          <w:b/>
        </w:rPr>
        <w:t>convexion</w:t>
      </w:r>
      <w:r>
        <w:t xml:space="preserve"> (et non la diffusion comme en hémodialyse conventionnelle) : la solution de substitution est perfusée soit en pré-dilution (avant le filtre d'hémofiltration), soit en post-dilution (après le filtre), soit en mixte, et permet la restauration de la volémie et de la composition électrolytique du sang après ultrafiltration massive à travers la membrane d'hémofiltration. La convexion permet une épuration supérieure des moyennes molécules (β2-microglobuline, myoglobine, cytokines) par rapport à la diffusion, justifiant l'usage de l'hémofiltration en réanimation (sepsis sévère, IRA KDIGO 3, rhabdomyolyse) et en hémodialyse chronique (HDF en ligne, pour prévention de l'amylose β2-microglobuline). La solution A (acide) contient le calcium, le magnésium et le glucose, à l'abri du bicarbonate (pour prévenir la précipitation du carbonate de calcium et de magnésium). La solution B (basique) contient le sodium, le chlorure et le bicarbonate. Le mélange s'effectue en activant la soudure entre les deux compartiments juste avant la pose.</w:t>
      </w:r>
    </w:p>
    <w:p>
      <w:pPr>
        <w:pStyle w:val="Heading4"/>
      </w:pPr>
      <w:r>
        <w:t>4. Profil pharmacologique</w:t>
      </w:r>
    </w:p>
    <w:p>
      <w:r/>
      <w:r>
        <w:rPr>
          <w:b/>
        </w:rPr>
        <w:t>Indications</w:t>
      </w:r>
      <w:r>
        <w:t xml:space="preserve"> : hémodiafiltration en ligne (HDF) chez l'insuffisant rénal chronique terminal ; hémofiltration continue veino-veineuse (CVVH) en réanimation (sepsis sévère, IRA KDIGO 3, rhabdomyolyse, intoxications massives) ; hémofiltration lente continue (SCUF) en cas de surcharge hydrosodée réfractaire aux diurétiques (insuffisance cardiaque congestive réfractaire). </w:t>
      </w:r>
      <w:r>
        <w:rPr>
          <w:b/>
        </w:rPr>
        <w:t>Contre-indications</w:t>
      </w:r>
      <w:r>
        <w:t xml:space="preserve"> : hypotension sévère non corrigée ; allergie aux composants ; hypercalcémie (vérifier le calcium total de la solution et l'adapter si besoin) ; alcalose métabolique sévère (prudence avec la concentration en bicarbonate 35 mmol/L). </w:t>
      </w:r>
      <w:r>
        <w:rPr>
          <w:b/>
        </w:rPr>
        <w:t>Effets indésirables</w:t>
      </w:r>
      <w:r>
        <w:t xml:space="preserve"> : hypotension per-hémofiltration (en particulier en post-dilution avec ultrafiltration excessive) ; hypothermie perfusion-induite (en cas de perfusion massive de solution froide — réchauffement obligatoire à 37 °C) ; hypophosphorémie (en cas de séance prolongée sans supplémentation phosphorée) ; hypokaliémie (solution sans potassium, à ajouter extemporanément) ; alcalose métabolique (en cas d'apport massif de bicarbonate) ; réactions anaphylactoïdes (rares). La tolérance est globalement bonne en cas de respect du protocole.</w:t>
      </w:r>
    </w:p>
    <w:p>
      <w:pPr>
        <w:pStyle w:val="Heading4"/>
      </w:pPr>
      <w:r>
        <w:t>5. Prévention et gestion des effets indésirables</w:t>
      </w:r>
    </w:p>
    <w:p>
      <w:r>
        <w:t>La prévention de l'</w:t>
      </w:r>
      <w:r>
        <w:rPr>
          <w:b/>
        </w:rPr>
        <w:t>hypotension per-hémofiltration</w:t>
      </w:r>
      <w:r>
        <w:t xml:space="preserve"> impose : (1) l'estimation précise de l'ultrafiltration par heure (baisse maximale 10 mL/kg/h) ; (2) la surveillance tensionnelle continue ; (3) l'usage préférentiel de la pré-dilution (efficacité moindre mais meilleure tolérance hémodynamique) en cas d'instabilité ; (4) le remplissage vasculaire par cristalloïde en cas d'hypotension sévère. La prévention de l'</w:t>
      </w:r>
      <w:r>
        <w:rPr>
          <w:b/>
        </w:rPr>
        <w:t>hypothermie</w:t>
      </w:r>
      <w:r>
        <w:t xml:space="preserve"> impose le réchauffement de la solution à 37 °C (réchauffeur de solutés intégré à la machine d'hémofiltration). La prévention de l'</w:t>
      </w:r>
      <w:r>
        <w:rPr>
          <w:b/>
        </w:rPr>
        <w:t>hypophosphorémie</w:t>
      </w:r>
      <w:r>
        <w:t xml:space="preserve"> impose la supplémentation phosphorée (phosphate de sodium ou de potassium, IV) en cas de séance prolongée &gt; 24 heures. La prévention de l'</w:t>
      </w:r>
      <w:r>
        <w:rPr>
          <w:b/>
        </w:rPr>
        <w:t>hypokaliémie</w:t>
      </w:r>
      <w:r>
        <w:t xml:space="preserve"> impose l'ajout extemporané de chlorure de potassium à la solution (4 mmol/L en standard, à adapter selon la kaliémie). La prévention de l'</w:t>
      </w:r>
      <w:r>
        <w:rPr>
          <w:b/>
        </w:rPr>
        <w:t>alcalose métabolique</w:t>
      </w:r>
      <w:r>
        <w:t xml:space="preserve"> impose la surveillance de la gazométrie artérielle et la réduction du débit de solution de substitution en cas de bicarbonatémie &gt; 28 mmol/L.</w:t>
      </w:r>
    </w:p>
    <w:p>
      <w:pPr>
        <w:pStyle w:val="Heading4"/>
      </w:pPr>
      <w:r>
        <w:t>6. Interactions médicamenteuses</w:t>
      </w:r>
    </w:p>
    <w:p>
      <w:r>
        <w:t xml:space="preserve">La solution d'hémofiltration présente des interactions indirectes : (1) </w:t>
      </w:r>
      <w:r>
        <w:rPr>
          <w:b/>
        </w:rPr>
        <w:t>augmentation de l'élimination des médicaments par convexion</w:t>
      </w:r>
      <w:r>
        <w:t xml:space="preserve"> (antibiotiques, inotropes, anesthésiques — adapter les posologies selon les recommandations spécifiques) ; (2) </w:t>
      </w:r>
      <w:r>
        <w:rPr>
          <w:b/>
        </w:rPr>
        <w:t>diminution de l'efficacité de l'insuline</w:t>
      </w:r>
      <w:r>
        <w:t xml:space="preserve"> (apport glucidique minimal, mais surveillance glycémique nécessaire) ; (3) </w:t>
      </w:r>
      <w:r>
        <w:rPr>
          <w:b/>
        </w:rPr>
        <w:t>potentialisation de la toxicité de la digoxine</w:t>
      </w:r>
      <w:r>
        <w:t xml:space="preserve"> (hypokaliémie) ; (4) </w:t>
      </w:r>
      <w:r>
        <w:rPr>
          <w:b/>
        </w:rPr>
        <w:t>interaction avec les antibiotiques intraveineux</w:t>
      </w:r>
      <w:r>
        <w:t xml:space="preserve"> (élimination accélérée, adapter les posologies). Le bicarbonate et les électrolytes ne sont pas métabolisés par le cytochrome P450.</w:t>
      </w:r>
    </w:p>
    <w:p>
      <w:pPr>
        <w:pStyle w:val="Heading4"/>
      </w:pPr>
      <w:r>
        <w:t>7. Grossesse et allaitement (CRAT)</w:t>
      </w:r>
    </w:p>
    <w:p>
      <w:r>
        <w:t>La solution d'hémofiltration est autorisée pendant la grossesse chez la patiente en IRA sévère ou en insuffisance rénale chronique terminale, en raison du bénéfice maternel et fœtal majeur. Le CRAT recommande une surveillance rapprochée de la croissance fœtale et de la tension artérielle maternelle. Pendant l'allaitement, la solution est compatible, sans passage significatif des composants dans le lait maternel.</w:t>
      </w:r>
    </w:p>
    <w:p>
      <w:pPr>
        <w:pStyle w:val="Heading4"/>
      </w:pPr>
      <w:r>
        <w:t>8. Posologie et mode d'administration</w:t>
      </w:r>
    </w:p>
    <w:p>
      <w:r>
        <w:t>En hémofiltration continue (CVVH) en réanimation : débit de substitution 20-35 mL/kg/h (pré-dilution ou post-dilution), débit sanguin 150-200 mL/min, ultrafiltration 100-300 mL/h (selon le bilan hydrique du patient). En hémodiafiltration en ligne (HDF) chez l'insuffisant rénal chronique : débit de substitution 60-100 mL/min (post-dilution), débit sanguin 300-400 mL/min, durée 4 heures par session, 3 sessions/semaine. La voie d'administration est l'hémofiltration via un cathéter veineux central en réanimation, ou une fistule artério-veineuse en dialyse chronique. La poche de 5 L bi-compartimentée (A 0,25 L + B 4,75 L) permet une session de 4 heures en HDF (à 100 mL/min de débit de substitution), ou 2-3 heures en CVVH (à 35 mL/kg/h pour un patient de 70 kg).</w:t>
      </w:r>
    </w:p>
    <w:p>
      <w:pPr>
        <w:pStyle w:val="Heading4"/>
      </w:pPr>
      <w:r>
        <w:t>9. Arbitrage et bénéfices des formes galéniques</w:t>
      </w:r>
    </w:p>
    <w:p>
      <w:r>
        <w:t>La solution MULTIBIC SANS SUCRE se présente en poche bi-compartimentée de 5 L, en système de connexion Luer-Lock. Le conditionnement bi-compartimenté présente l'avantage d'une stabilité chimique prolongée (séparation physique des composants A et B jusqu'à utilisation), d'une facilité d'usage (activation de la soudure par pression manuelle), et d'une traçabilité accrue. Le volume de 5 L est adapté à la plupart des indications (HDF chronique, CVVH en réanimation). Les volumes de 2 L et 10 L sont disponibles dans certains marchés (mais pas en Algérie). La stabilité de la solution après activation de la soudure est de 24 heures. Le pharmacien doit guider le prescripteur sur le choix entre solution bi-compartimentée (préférentiel) et solution monocompartimentée (rare, en cas d'urgence).</w:t>
      </w:r>
    </w:p>
    <w:p>
      <w:pPr>
        <w:pStyle w:val="Heading4"/>
      </w:pPr>
      <w:r>
        <w:t>10. Instructions et conseils au patient</w:t>
      </w:r>
    </w:p>
    <w:p>
      <w:r>
        <w:t>Pour le patient en HDF chronique à domicile ou en autodialyse, les conseils portent sur l'observance stricte des sessions, la surveillance du poids interdialytique, le régime hyposodé et hyperprotidique, la surveillance de la fistule artério-veineuse, et la consultation médicale en urgence en cas de complication. En CVVH en réanimation, le patient est sédaté et la surveillance est assurée par le personnel soignant.</w:t>
      </w:r>
    </w:p>
    <w:p>
      <w:pPr>
        <w:pStyle w:val="Heading4"/>
      </w:pPr>
      <w:r>
        <w:t>11. Notes, règles d'or et pièges au comptoir</w:t>
      </w:r>
    </w:p>
    <w:p>
      <w:r/>
      <w:r>
        <w:rPr>
          <w:b/>
        </w:rPr>
        <w:t>Règle d'or n°1</w:t>
      </w:r>
      <w:r>
        <w:t xml:space="preserve"> : la solution MULTIBIC SANS SUCRE ne contient pas de potassium — ajout extemporané de chlorure de potassium obligatoire si la kaliémie du patient est normale ou basse (4 mmol/L en standard, à adapter selon la kaliémie).</w:t>
      </w:r>
    </w:p>
    <w:p>
      <w:r/>
      <w:r>
        <w:rPr>
          <w:b/>
        </w:rPr>
        <w:t>Règle d'or n°2</w:t>
      </w:r>
      <w:r>
        <w:t xml:space="preserve"> : la solution doit être réchauffée à 37 °C avant perfusion (réchauffeur intégré à la machine d'hémofiltration) — risque d'hypothermie en cas de perfusion massive froide.</w:t>
      </w:r>
    </w:p>
    <w:p>
      <w:r/>
      <w:r>
        <w:rPr>
          <w:b/>
        </w:rPr>
        <w:t>Piège n°1</w:t>
      </w:r>
      <w:r>
        <w:t xml:space="preserve"> : la solution est bi-compartimentée — activer la soudure entre les compartiments A et B juste avant la pose, sans quoi la solution est inactive.</w:t>
      </w:r>
    </w:p>
    <w:p>
      <w:r/>
      <w:r>
        <w:rPr>
          <w:b/>
        </w:rPr>
        <w:t>Piège n°2</w:t>
      </w:r>
      <w:r>
        <w:t xml:space="preserve"> : la solution ne contient pas de phosphore — supplémentation phosphorée obligatoire en cas de séance prolongée &gt; 24 heures (hypophosphorémie sévère, rhabdomyolyse, insuffisance respiratoire).</w:t>
      </w:r>
    </w:p>
    <w:p>
      <w:r/>
      <w:r>
        <w:rPr>
          <w:b/>
        </w:rPr>
        <w:t>Piège n°3</w:t>
      </w:r>
      <w:r>
        <w:t xml:space="preserve"> : la solution contient du bicarbonate 35 mmol/L — surveiller la gazométrie artérielle, risque d'alcalose métabolique en cas de débit excessif.</w:t>
      </w:r>
    </w:p>
    <w:p>
      <w:pPr>
        <w:pStyle w:val="Heading3"/>
      </w:pPr>
      <w:r>
        <w:t>223.7 Solution A K/Ca/Mg/Glucose + Solution B NaCl/Bicarbonate (MUTI-BIC 3 et 4 mmol/L Potassium)</w:t>
      </w:r>
    </w:p>
    <w:p>
      <w:pPr>
        <w:pStyle w:val="Heading4"/>
      </w:pPr>
      <w:r>
        <w:t>1. Liste des catégories thérapeutiques</w:t>
      </w:r>
    </w:p>
    <w:p>
      <w:r>
        <w:t xml:space="preserve">La solution bipartite pour hémofiltration Solution A (chlorure de potassium/calcium/magnésium/glucose) + Solution B (chlorure de sodium/bicarbonate de sodium) est classée au niveau ATC comme </w:t>
      </w:r>
      <w:r>
        <w:rPr>
          <w:b/>
        </w:rPr>
        <w:t>B05Z</w:t>
      </w:r>
      <w:r>
        <w:t xml:space="preserve"> (solutions pour dialyse et hémofiltration). Sur le plan réglementaire algérien, elle relève de la liste I des substances vénéneuses. Elle appartient à la sous-classe des solutions pour hémofiltration bipartites bi-compartimentées avec potassium, disponibles en deux concentrations (3 mmol/L et 4 mmol/L de potassium final). Les spécialités MUTI-BIC 3 MMOL/L POTASSIUM et MUTI-BIC 4 MMOL/L POTASSIUM (Fresenius Medical Care Deutschland GmbH) sont inscrites dans la nomenclature algérienne. Le code ATC B05Z englobe toutes les solutions pour dialyse et hémofiltration.</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MUTI-BIC 3 MMOL/L POTASIUM</w:t>
            </w:r>
          </w:p>
        </w:tc>
        <w:tc>
          <w:tcPr>
            <w:tcW w:type="dxa" w:w="1385"/>
          </w:tcPr>
          <w:p>
            <w:r>
              <w:rPr>
                <w:rFonts w:ascii="Times New Roman" w:hAnsi="Times New Roman"/>
                <w:sz w:val="20"/>
              </w:rPr>
              <w:t>Fresenius Medical Care Deutschland GmbH</w:t>
            </w:r>
          </w:p>
        </w:tc>
        <w:tc>
          <w:tcPr>
            <w:tcW w:type="dxa" w:w="1385"/>
          </w:tcPr>
          <w:p>
            <w:r>
              <w:rPr>
                <w:rFonts w:ascii="Times New Roman" w:hAnsi="Times New Roman"/>
                <w:sz w:val="20"/>
              </w:rPr>
              <w:t>Solution pour hémofiltration (poche bi-compartimentée) — Solution A : KCl 4,473 g/L + CaCl₂·2H₂O 4,410 g/L + MgCl₂·6H₂O 2,033 g/L + glucose anhydre 22,00 g/L ; Solution B : NaCl 6,136 g/L + bicarbonate de sodium 2,940 g/L + KCl 0,2237 g/L (après reconstitution)</w:t>
            </w:r>
          </w:p>
        </w:tc>
        <w:tc>
          <w:tcPr>
            <w:tcW w:type="dxa" w:w="1385"/>
          </w:tcPr>
          <w:p>
            <w:r>
              <w:rPr>
                <w:rFonts w:ascii="Times New Roman" w:hAnsi="Times New Roman"/>
                <w:sz w:val="20"/>
              </w:rPr>
              <w:t>Poche de 5 L bi-compartimentée (A 0,25 L + B 4,75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MUTI-BIC 4 MMOL/L POTASIUM</w:t>
            </w:r>
          </w:p>
        </w:tc>
        <w:tc>
          <w:tcPr>
            <w:tcW w:type="dxa" w:w="1385"/>
          </w:tcPr>
          <w:p>
            <w:r>
              <w:rPr>
                <w:rFonts w:ascii="Times New Roman" w:hAnsi="Times New Roman"/>
                <w:sz w:val="20"/>
              </w:rPr>
              <w:t>Fresenius Medical Care Deutschland GmbH</w:t>
            </w:r>
          </w:p>
        </w:tc>
        <w:tc>
          <w:tcPr>
            <w:tcW w:type="dxa" w:w="1385"/>
          </w:tcPr>
          <w:p>
            <w:r>
              <w:rPr>
                <w:rFonts w:ascii="Times New Roman" w:hAnsi="Times New Roman"/>
                <w:sz w:val="20"/>
              </w:rPr>
              <w:t>Solution pour hémofiltration (poche bi-compartimentée) — Solution A : KCl 5,964 g/L + CaCl₂·2H₂O 4,410 g/L + MgCl₂·6H₂O 2,033 g/L + glucose anhydre 22,00 g/L ; Solution B : NaCl 6,136 g/L + bicarbonate de sodium 2,940 g/L + KCl 0,2982 g/L (après reconstitution)</w:t>
            </w:r>
          </w:p>
        </w:tc>
        <w:tc>
          <w:tcPr>
            <w:tcW w:type="dxa" w:w="1385"/>
          </w:tcPr>
          <w:p>
            <w:r>
              <w:rPr>
                <w:rFonts w:ascii="Times New Roman" w:hAnsi="Times New Roman"/>
                <w:sz w:val="20"/>
              </w:rPr>
              <w:t>Poche de 5 L bi-compartimentée (A 0,25 L + B 4,75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Composition après reconstitution</w:t>
      </w:r>
      <w:r>
        <w:t xml:space="preserve"> (par litre) : sodium 140 mmol/L ; potassium 3 ou 4 mmol/L (selon la formulation) ; calcium 1,75 mmol/L ; magnésium 0,5 mmol/L ; chlorure 109-110 mmol/L ; bicarbonate 35 mmol/L ; glucose 1,0 g/L. </w:t>
      </w:r>
      <w:r>
        <w:rPr>
          <w:b/>
        </w:rPr>
        <w:t>Osmolarité</w:t>
      </w:r>
      <w:r>
        <w:t xml:space="preserve"> : 290 mOsm/L (isotonique par rapport au plasma). </w:t>
      </w:r>
      <w:r>
        <w:rPr>
          <w:b/>
        </w:rPr>
        <w:t>pH</w:t>
      </w:r>
      <w:r>
        <w:t xml:space="preserve"> : 7,4.</w:t>
      </w:r>
    </w:p>
    <w:p>
      <w:r/>
      <w:r>
        <w:rPr>
          <w:b/>
        </w:rPr>
        <w:t>Remarque</w:t>
      </w:r>
      <w:r>
        <w:t xml:space="preserve"> : les deux formulations MUTI-BIC 3 et 4 mmol/L potassium permettent d'adapter la concentration potassique de la solution aux besoins du patient (normokaliémie, hypokaliémie légère, ou risque d'hyperkaliémie per-dialytique). La spécialité MUTI-BIC 3 est préférentielle chez les patients à risque d'hyperkaliémie (insuffisance rénale sévère, acidose métabolique), tandis que la spécialité MUTI-BIC 4 est préférentielle chez les patients normokaliémiques ou à risque d'hypokaliémie (patients sous diurétiques, digitalisés).</w:t>
      </w:r>
    </w:p>
    <w:p>
      <w:pPr>
        <w:pStyle w:val="Heading4"/>
      </w:pPr>
      <w:r>
        <w:t>3. Sous-classe et mécanisme d'action moléculaire</w:t>
      </w:r>
    </w:p>
    <w:p>
      <w:r>
        <w:t>Similaire à celui de MULTIBIC SANS SUCRE, mais avec ajout de potassium (3 ou 4 mmol/L) dans la solution après reconstitution. Le potassium est apporté par le chlorure de potassium dans la solution A et dans la solution B, à concentration 35 fois supérieure à la concentration finale. La présence de potassium dans la solution évite l'ajout extemporané de chlorure de potassium par le personnel soignant, réduisant le risque d'erreur médicamenteuse (confusion entre KCl et NaCl, surdosage potassique).</w:t>
      </w:r>
    </w:p>
    <w:p>
      <w:pPr>
        <w:pStyle w:val="Heading4"/>
      </w:pPr>
      <w:r>
        <w:t>4. Profil pharmacologique</w:t>
      </w:r>
    </w:p>
    <w:p>
      <w:r/>
      <w:r>
        <w:rPr>
          <w:b/>
        </w:rPr>
        <w:t>Indications</w:t>
      </w:r>
      <w:r>
        <w:t xml:space="preserve"> : identiques à celles de MULTIBIC SANS SUCRE, avec en plus l'avantage d'une concentration potassique préétablie (3 ou 4 mmol/L) évitant l'ajout extemporané. </w:t>
      </w:r>
      <w:r>
        <w:rPr>
          <w:b/>
        </w:rPr>
        <w:t>Contre-indications</w:t>
      </w:r>
      <w:r>
        <w:t xml:space="preserve"> : hyperkaliémie (kaliémie &gt; 5,5 mmol/L) — contre-indication absolue pour MUTI-BIC 4 ; prudence pour MUTI-BIC 3 en cas d'hyperkaliémie sévère (préférer MULTIBIC SANS SUCRE). Les autres contre-indications et effets indésirables sont similaires à ceux de MULTIBIC SANS SUCRE.</w:t>
      </w:r>
    </w:p>
    <w:p>
      <w:pPr>
        <w:pStyle w:val="Heading4"/>
      </w:pPr>
      <w:r>
        <w:t>5. Prévention et gestion des effets indésirables</w:t>
      </w:r>
    </w:p>
    <w:p>
      <w:r>
        <w:t>Similaire à celle de MULTIBIC SANS SUCRE. La prévention spécifique de l'</w:t>
      </w:r>
      <w:r>
        <w:rPr>
          <w:b/>
        </w:rPr>
        <w:t>hyperkaliémie per-dialytique</w:t>
      </w:r>
      <w:r>
        <w:t xml:space="preserve"> impose la vérification systématique de la kaliémie avant la séance, le choix de la formulation adaptée (MUTI-BIC 3 en cas de kaliémie normale haute ; MUTI-BIC 4 en cas de kaliémie normale basse ; MULTIBIC SANS SUCRE + ajout KCl adapté en cas d'hyperkaliémie), et la surveillance ECG continue en cas de kaliémie initiale &gt; 5,5 mmol/L.</w:t>
      </w:r>
    </w:p>
    <w:p>
      <w:pPr>
        <w:pStyle w:val="Heading4"/>
      </w:pPr>
      <w:r>
        <w:t>6. Interactions médicamenteuses</w:t>
      </w:r>
    </w:p>
    <w:p>
      <w:r>
        <w:t>Similaires à celles de MULTIBIC SANS SUCRE.</w:t>
      </w:r>
    </w:p>
    <w:p>
      <w:pPr>
        <w:pStyle w:val="Heading4"/>
      </w:pPr>
      <w:r>
        <w:t>7. Grossesse et allaitement (CRAT)</w:t>
      </w:r>
    </w:p>
    <w:p>
      <w:r>
        <w:t>Similaire à celui de MULTIBIC SANS SUCRE.</w:t>
      </w:r>
    </w:p>
    <w:p>
      <w:pPr>
        <w:pStyle w:val="Heading4"/>
      </w:pPr>
      <w:r>
        <w:t>8. Posologie et mode d'administration</w:t>
      </w:r>
    </w:p>
    <w:p>
      <w:r>
        <w:t>Similaire à celle de MULTIBIC SANS SUCRE. La poche de 5 L bi-compartimentée (A 0,25 L + B 4,75 L) permet une session de 4 heures en HDF chronique ou 2-3 heures en CVVH en réanimation. Le choix entre MUTI-BIC 3 et MUTI-BIC 4 dépend de la kaliémie du patient.</w:t>
      </w:r>
    </w:p>
    <w:p>
      <w:pPr>
        <w:pStyle w:val="Heading4"/>
      </w:pPr>
      <w:r>
        <w:t>9. Arbitrage et bénéfices des formes galéniques</w:t>
      </w:r>
    </w:p>
    <w:p>
      <w:r>
        <w:t>Similaire à celui de MULTIBIC SANS SUCRE. L'avantage majeur des formulations MUTI-BIC 3 et 4 est la préétablie de la concentration potassique, évitant l'ajout extemporané de chlorure de potassium par le personnel soignant (réduction du risque d'erreur médicamenteuse). L'inconvénient est la nécessité de disposer de plusieurs concentrations en stock (MUTI-BIC 3, MUTI-BIC 4, et MULTIBIC SANS SUCRE) pour s'adapter à toutes les situations cliniques.</w:t>
      </w:r>
    </w:p>
    <w:p>
      <w:pPr>
        <w:pStyle w:val="Heading4"/>
      </w:pPr>
      <w:r>
        <w:t>10. Instructions et conseils au patient</w:t>
      </w:r>
    </w:p>
    <w:p>
      <w:r>
        <w:t>Similaires à celles de MULTIBIC SANS SUCRE.</w:t>
      </w:r>
    </w:p>
    <w:p>
      <w:pPr>
        <w:pStyle w:val="Heading4"/>
      </w:pPr>
      <w:r>
        <w:t>11. Notes, règles d'or et pièges au comptoir</w:t>
      </w:r>
    </w:p>
    <w:p>
      <w:r/>
      <w:r>
        <w:rPr>
          <w:b/>
        </w:rPr>
        <w:t>Règle d'or n°1</w:t>
      </w:r>
      <w:r>
        <w:t xml:space="preserve"> : vérifier la kaliémie du patient avant le choix de la formulation — MUTI-BIC 3 pour kaliémie normale haute ou risque d'hyperkaliémie ; MUTI-BIC 4 pour kaliémie normale basse ou hypokaliémie ; MULTIBIC SANS SUCRE + ajout KCl adapté pour hyperkaliémie sévère.</w:t>
      </w:r>
    </w:p>
    <w:p>
      <w:r/>
      <w:r>
        <w:rPr>
          <w:b/>
        </w:rPr>
        <w:t>Piège n°1</w:t>
      </w:r>
      <w:r>
        <w:t xml:space="preserve"> : ne pas confondre MUTI-BIC 3 et MUTI-BIC 4 — la concentration potassique est différente, vérifier l'étiquette à la dispensation.</w:t>
      </w:r>
    </w:p>
    <w:p>
      <w:r/>
      <w:r>
        <w:rPr>
          <w:b/>
        </w:rPr>
        <w:t>Piège n°2</w:t>
      </w:r>
      <w:r>
        <w:t xml:space="preserve"> : chez le patient hyperkaliémique (K⁺ &gt; 5,5 mmol/L), ne pas utiliser MUTI-BIC 4 — préférer MULTIBIC SANS SUCRE ou MUTI-BIC 3 selon la kaliémie.</w:t>
      </w:r>
    </w:p>
    <w:p>
      <w:r/>
      <w:r>
        <w:rPr>
          <w:b/>
        </w:rPr>
        <w:t>Piège n°3</w:t>
      </w:r>
      <w:r>
        <w:t xml:space="preserve"> : la solution est bi-compartimentée — activer la soudure entre les compartiments A et B juste avant la pose.</w:t>
      </w:r>
    </w:p>
    <w:p>
      <w:pPr>
        <w:pStyle w:val="Heading3"/>
      </w:pPr>
      <w:r>
        <w:t>223.8 Chlorure de sodium/chlorure de calcium/magnésium/lactate de sodium/glucose (DPCA FORMULE 91)</w:t>
      </w:r>
    </w:p>
    <w:p>
      <w:pPr>
        <w:pStyle w:val="Heading4"/>
      </w:pPr>
      <w:r>
        <w:t>1. Liste des catégories thérapeutiques</w:t>
      </w:r>
    </w:p>
    <w:p>
      <w:r>
        <w:t xml:space="preserve">L'association chlorure de sodium/chlorure de calcium dihydrate/chlorure de magnésium hexahydrate/solution de lactate de sodium à 60 %/glucose monohydrate est classée au niveau ATC comme </w:t>
      </w:r>
      <w:r>
        <w:rPr>
          <w:b/>
        </w:rPr>
        <w:t>B05D02</w:t>
      </w:r>
      <w:r>
        <w:t xml:space="preserve"> (solutions pour dialyse péritonéale). Sur le plan réglementaire algérien, elle relève de la liste I des substances vénéneuses. Elle appartient à la sous-classe des solutions pour dialyse péritonéale (DPCA — Dialyse Péritonéale Continue Ambulatoire), avec une composition électrolytique proche du plasma et un apport glucidique modéré (2,27 % de glucose anhydre). La spécialité DPCA FORMULE 91 (Baxter S.P.A) est inscrite dans la nomenclature algérienne comme solution pour dialyse péritonéale continue ambulatoire en poche double de 2000 mL. Le code ATC B05D02 englobe toutes les solutions pour dialyse péritonéale.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DPCA FORMULE 91</w:t>
            </w:r>
          </w:p>
        </w:tc>
        <w:tc>
          <w:tcPr>
            <w:tcW w:type="dxa" w:w="1385"/>
          </w:tcPr>
          <w:p>
            <w:r>
              <w:rPr>
                <w:rFonts w:ascii="Times New Roman" w:hAnsi="Times New Roman"/>
                <w:sz w:val="20"/>
              </w:rPr>
              <w:t>Baxter S.P.A</w:t>
            </w:r>
          </w:p>
        </w:tc>
        <w:tc>
          <w:tcPr>
            <w:tcW w:type="dxa" w:w="1385"/>
          </w:tcPr>
          <w:p>
            <w:r>
              <w:rPr>
                <w:rFonts w:ascii="Times New Roman" w:hAnsi="Times New Roman"/>
                <w:sz w:val="20"/>
              </w:rPr>
              <w:t>Solution pour dialyse péritonéale continue ambulatoire — NaCl 5,670 g/L + CaCl₂·2H₂O 0,257 g/L + MgCl₂·6H₂O 0,152 g/L + lactate de sodium pur 3,922 g/L + glucose anhydre 22,7 g/L (correspondant à 25 g de glucose monohydrate/L)</w:t>
            </w:r>
          </w:p>
        </w:tc>
        <w:tc>
          <w:tcPr>
            <w:tcW w:type="dxa" w:w="1385"/>
          </w:tcPr>
          <w:p>
            <w:r>
              <w:rPr>
                <w:rFonts w:ascii="Times New Roman" w:hAnsi="Times New Roman"/>
                <w:sz w:val="20"/>
              </w:rPr>
              <w:t>Poche double de 2000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Composition détaillée par litre</w:t>
      </w:r>
      <w:r>
        <w:t xml:space="preserve"> : sodium 132 mmol ; calcium 1,75 mmol ; magnésium 0,75 mmol ; chlorure 102 mmol ; lactate 35 mmol ; glucose anhydre 126 mmol (22,7 g/L). </w:t>
      </w:r>
      <w:r>
        <w:rPr>
          <w:b/>
        </w:rPr>
        <w:t>Osmolarité</w:t>
      </w:r>
      <w:r>
        <w:t xml:space="preserve"> : 395 mOsm/L (légèrement hypertonique par rapport au plasma, correspondant à une concentration de glucose 2,27 %). </w:t>
      </w:r>
      <w:r>
        <w:rPr>
          <w:b/>
        </w:rPr>
        <w:t>pH</w:t>
      </w:r>
      <w:r>
        <w:t xml:space="preserve"> : 5,5.</w:t>
      </w:r>
    </w:p>
    <w:p>
      <w:r/>
      <w:r>
        <w:rPr>
          <w:b/>
        </w:rPr>
        <w:t>Remarque</w:t>
      </w:r>
      <w:r>
        <w:t xml:space="preserve"> : la spécialité DPCA FORMULE 91 est une solution pour dialyse péritonéale avec une concentration de glucose anhydre 22,7 g/L (correspondant à 25 g/L de glucose monohydrate, soit 2,5 % monohydrate). Elle est classée comme hypertonique modéré, intermédiaire entre la poche isotonique à 1,5 % et la poche hypertonique à 4,25 %. Elle est particulièrement adaptée aux patients nécessitant une ultrafiltration modérée (300-500 mL/cycle).</w:t>
      </w:r>
    </w:p>
    <w:p>
      <w:pPr>
        <w:pStyle w:val="Heading4"/>
      </w:pPr>
      <w:r>
        <w:t>3. Sous-classe et mécanisme d'action moléculaire</w:t>
      </w:r>
    </w:p>
    <w:p>
      <w:r>
        <w:t>Similaire à celui des solutions pour dialyse péritonéale détaillé en section 222. La solution DPCA FORMULE 91 est une solution hypertonique modérée (22,7 % anhydre = 2,5 % monohydrate), avec un mécanisme d'ultrafiltration osmotique par le glucose, et un effet tampon métabolique par le lactate. La composition électrolytique est proche du plasma, avec un sodium légèrement abaissé (132 mmol/L) pour prévenir l'hypernatrémie par ultrafiltration.</w:t>
      </w:r>
    </w:p>
    <w:p>
      <w:pPr>
        <w:pStyle w:val="Heading4"/>
      </w:pPr>
      <w:r>
        <w:t>4. Profil pharmacologique</w:t>
      </w:r>
    </w:p>
    <w:p>
      <w:r/>
      <w:r>
        <w:rPr>
          <w:b/>
        </w:rPr>
        <w:t>Indications</w:t>
      </w:r>
      <w:r>
        <w:t xml:space="preserve"> : dialyse péritonéale continue ambulatoire (CAPD) chez les patients nécessitant une ultrafiltration modérée (300-500 mL/cycle). </w:t>
      </w:r>
      <w:r>
        <w:rPr>
          <w:b/>
        </w:rPr>
        <w:t>Contre-indications</w:t>
      </w:r>
      <w:r>
        <w:t xml:space="preserve"> : péritonite active ; diabète déséquilibré ; allergie aux composants ; déshydratation. </w:t>
      </w:r>
      <w:r>
        <w:rPr>
          <w:b/>
        </w:rPr>
        <w:t>Effets indésirables</w:t>
      </w:r>
      <w:r>
        <w:t xml:space="preserve"> : hyperglycémie, dyslipidémie, péritonite bactérienne, altération de la membrane péritonéale à long terme, douleurs abdominales à l'introduction. La tolérance est globalement bonne.</w:t>
      </w:r>
    </w:p>
    <w:p>
      <w:pPr>
        <w:pStyle w:val="Heading4"/>
      </w:pPr>
      <w:r>
        <w:t>5. Prévention et gestion des effets indésirables</w:t>
      </w:r>
    </w:p>
    <w:p>
      <w:r>
        <w:t>Similaire à celle des solutions pour dialyse péritonéale détaillée en section 222.</w:t>
      </w:r>
    </w:p>
    <w:p>
      <w:pPr>
        <w:pStyle w:val="Heading4"/>
      </w:pPr>
      <w:r>
        <w:t>6. Interactions médicamenteuses</w:t>
      </w:r>
    </w:p>
    <w:p>
      <w:r>
        <w:t>Similaires à celles des solutions pour dialyse péritonéale détaillées en section 222.</w:t>
      </w:r>
    </w:p>
    <w:p>
      <w:pPr>
        <w:pStyle w:val="Heading4"/>
      </w:pPr>
      <w:r>
        <w:t>7. Grossesse et allaitement (CRAT)</w:t>
      </w:r>
    </w:p>
    <w:p>
      <w:r>
        <w:t>Similaire à celui des solutions pour dialyse péritonéale détaillé en section 222.</w:t>
      </w:r>
    </w:p>
    <w:p>
      <w:pPr>
        <w:pStyle w:val="Heading4"/>
      </w:pPr>
      <w:r>
        <w:t>8. Posologie et mode d'administration</w:t>
      </w:r>
    </w:p>
    <w:p>
      <w:r>
        <w:t>En CAPD chez l'adulte : 4 cycles par 24 heures, chaque cycle consistant en l'introduction de 2 L de solution DPCA FORMULE 91 dans la cavité péritonéale, une stase de 4-6 heures, et le drainage de l'effluent. Volume quotidien total 8 L, soit un apport glucidique péritonéal de 182 g/jour (22,7 g/L × 8 L). En alternance avec poches isotoniques ou hypertoniques selon le statut volémique. La voie d'administration est strictement intrapéritonéale via le cathéter de Tenckhoff.</w:t>
      </w:r>
    </w:p>
    <w:p>
      <w:pPr>
        <w:pStyle w:val="Heading4"/>
      </w:pPr>
      <w:r>
        <w:t>9. Arbitrage et bénéfices des formes galéniques</w:t>
      </w:r>
    </w:p>
    <w:p>
      <w:r>
        <w:t>La solution DPCA FORMULE 91 se présente en poche double de 2000 mL, en système de connexion déconnectable. Le conditionnement en poche double présente l'avantage d'une stabilité chimique prolongée (séparation physique des composants acides et basiques jusqu'à utilisation), d'une facilité d'usage (activation de la soudure par pression manuelle), et d'une traçabilité accrue. Le volume de 2 L est adapté à la CAPD standard.</w:t>
      </w:r>
    </w:p>
    <w:p>
      <w:pPr>
        <w:pStyle w:val="Heading4"/>
      </w:pPr>
      <w:r>
        <w:t>10. Instructions et conseils au patient</w:t>
      </w:r>
    </w:p>
    <w:p>
      <w:r>
        <w:t>Similaires à celles des solutions pour dialyse péritonéale détaillées en section 222.</w:t>
      </w:r>
    </w:p>
    <w:p>
      <w:pPr>
        <w:pStyle w:val="Heading4"/>
      </w:pPr>
      <w:r>
        <w:t>11. Notes, règles d'or et pièges au comptoir</w:t>
      </w:r>
    </w:p>
    <w:p>
      <w:r/>
      <w:r>
        <w:rPr>
          <w:b/>
        </w:rPr>
        <w:t>Règle d'or n°1</w:t>
      </w:r>
      <w:r>
        <w:t xml:space="preserve"> : la solution DPCA FORMULE 91 est une solution hypertonique modérée (22,7 % anhydre = 2,5 % monohydrate) — ne pas confondre avec la solution isotonique à 1,5 % ou la solution hypertonique à 4,25 %.</w:t>
      </w:r>
    </w:p>
    <w:p>
      <w:r/>
      <w:r>
        <w:rPr>
          <w:b/>
        </w:rPr>
        <w:t>Piège n°1</w:t>
      </w:r>
      <w:r>
        <w:t xml:space="preserve"> : la concentration est exprimée en glucose anhydre (22,7 g/L) ou en glucose monohydrate (25 g/L) selon la nomenclature — vérifier l'unité à la dispensation.</w:t>
      </w:r>
    </w:p>
    <w:p>
      <w:r/>
      <w:r>
        <w:rPr>
          <w:b/>
        </w:rPr>
        <w:t>Piège n°2</w:t>
      </w:r>
      <w:r>
        <w:t xml:space="preserve"> : ne pas confondre avec la solution EXTRANEAL (icodextrine 7,5 %) qui est isotonique mais à effet oncotique prolongé.</w:t>
      </w:r>
    </w:p>
    <w:p>
      <w:pPr>
        <w:pStyle w:val="Heading3"/>
      </w:pPr>
      <w:r>
        <w:t>223.9 Chlorure de potassium/calcium/magnésium/glucose — Solution A isolée</w:t>
      </w:r>
    </w:p>
    <w:p>
      <w:pPr>
        <w:pStyle w:val="Heading4"/>
      </w:pPr>
      <w:r>
        <w:t>1. Liste des catégories thérapeutiques</w:t>
      </w:r>
    </w:p>
    <w:p>
      <w:r>
        <w:t xml:space="preserve">L'association chlorure de potassium/chlorure de calcium dihydrate/chlorure de magnésium hexahydrate/glucose anhydre est classée au niveau ATC comme </w:t>
      </w:r>
      <w:r>
        <w:rPr>
          <w:b/>
        </w:rPr>
        <w:t>B05Z</w:t>
      </w:r>
      <w:r>
        <w:t xml:space="preserve"> (solutions pour dialyse et hémofiltration). Sur le plan réglementaire algérien, elle relève de la liste I des substances vénéneuses. Elle appartient à la sous-classe des solutions A pour hémofiltration bipartites, contenant les électrolytes acides (potassium, calcium, magnésium, glucose) à concentration 35 fois supérieure à la concentration plasmatique, à diluer avec la solution B (chlorure de sodium/bicarbonate) avant utilisation. Cette composition correspond à la Solution A des systèmes bipartites MUTI-BIC 3 et 4 mmol/L potassium (Fresenius Medical Care). Le code ATC B05Z englobe toutes les solutions pour dialyse et hémofiltration.</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MUTI-BIC 3 MMOL/L POTASIUM (Solution A)</w:t>
            </w:r>
          </w:p>
        </w:tc>
        <w:tc>
          <w:tcPr>
            <w:tcW w:type="dxa" w:w="1385"/>
          </w:tcPr>
          <w:p>
            <w:r>
              <w:rPr>
                <w:rFonts w:ascii="Times New Roman" w:hAnsi="Times New Roman"/>
                <w:sz w:val="20"/>
              </w:rPr>
              <w:t>Fresenius Medical Care Deutschland GmbH</w:t>
            </w:r>
          </w:p>
        </w:tc>
        <w:tc>
          <w:tcPr>
            <w:tcW w:type="dxa" w:w="1385"/>
          </w:tcPr>
          <w:p>
            <w:r>
              <w:rPr>
                <w:rFonts w:ascii="Times New Roman" w:hAnsi="Times New Roman"/>
                <w:sz w:val="20"/>
              </w:rPr>
              <w:t>Solution A pour hémofiltration — KCl 4,473 g/L + CaCl₂·2H₂O 4,410 g/L + MgCl₂·6H₂O 2,033 g/L + glucose anhydre 22,00 g/L</w:t>
            </w:r>
          </w:p>
        </w:tc>
        <w:tc>
          <w:tcPr>
            <w:tcW w:type="dxa" w:w="1385"/>
          </w:tcPr>
          <w:p>
            <w:r>
              <w:rPr>
                <w:rFonts w:ascii="Times New Roman" w:hAnsi="Times New Roman"/>
                <w:sz w:val="20"/>
              </w:rPr>
              <w:t>Poche de 0,25 L (compartiment A de la poche bi-compartimentée de 5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MUTI-BIC 4 MMOL/L POTASIUM (Solution A)</w:t>
            </w:r>
          </w:p>
        </w:tc>
        <w:tc>
          <w:tcPr>
            <w:tcW w:type="dxa" w:w="1385"/>
          </w:tcPr>
          <w:p>
            <w:r>
              <w:rPr>
                <w:rFonts w:ascii="Times New Roman" w:hAnsi="Times New Roman"/>
                <w:sz w:val="20"/>
              </w:rPr>
              <w:t>Fresenius Medical Care Deutschland GmbH</w:t>
            </w:r>
          </w:p>
        </w:tc>
        <w:tc>
          <w:tcPr>
            <w:tcW w:type="dxa" w:w="1385"/>
          </w:tcPr>
          <w:p>
            <w:r>
              <w:rPr>
                <w:rFonts w:ascii="Times New Roman" w:hAnsi="Times New Roman"/>
                <w:sz w:val="20"/>
              </w:rPr>
              <w:t>Solution A pour hémofiltration — KCl 5,964 g/L + CaCl₂·2H₂O 4,410 g/L + MgCl₂·6H₂O 2,033 g/L + glucose anhydre 22,00 g/L</w:t>
            </w:r>
          </w:p>
        </w:tc>
        <w:tc>
          <w:tcPr>
            <w:tcW w:type="dxa" w:w="1385"/>
          </w:tcPr>
          <w:p>
            <w:r>
              <w:rPr>
                <w:rFonts w:ascii="Times New Roman" w:hAnsi="Times New Roman"/>
                <w:sz w:val="20"/>
              </w:rPr>
              <w:t>Poche de 0,25 L (compartiment A de la poche bi-compartimentée de 5 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la Solution A n'est pas commercialisée isolément en Algérie, mais uniquement en association avec la Solution B dans la poche bi-compartimentée de 5 L (MUTI-BIC 3 et MUTI-BIC 4). Sa composition correspond aux électrolytes acides (potassium, calcium, magnésium) et au glucose, à concentration 35× dans le compartiment A (0,25 L) de la poche bi-compartimentée.</w:t>
      </w:r>
    </w:p>
    <w:p>
      <w:pPr>
        <w:pStyle w:val="Heading4"/>
      </w:pPr>
      <w:r>
        <w:t>3. Sous-classe et mécanisme d'action moléculaire</w:t>
      </w:r>
    </w:p>
    <w:p>
      <w:r>
        <w:t>La Solution A isolée appartient à la sous-classe des solutions A pour hémofiltration. Le mécanisme d'action est similaire à celui de la solution bipartite détaillée en section 223.6 (MULTIBIC SANS SUCRE), avec en plus l'apport de potassium (3 ou 4 mmol/L dans la solution finale après reconstitution). La Solution A contient les électrolytes acides (potassium, calcium, magnésium) et le glucose, à l'abri du bicarbonate (pour prévenir la précipitation du carbonate de calcium et de magnésium). Le mélange avec la Solution B (chlorure de sodium/bicarbonate) s'effectue en activant la soudure entre les deux compartiments juste avant la pose.</w:t>
      </w:r>
    </w:p>
    <w:p>
      <w:pPr>
        <w:pStyle w:val="Heading4"/>
      </w:pPr>
      <w:r>
        <w:t>4. Profil pharmacologique</w:t>
      </w:r>
    </w:p>
    <w:p>
      <w:r/>
      <w:r>
        <w:rPr>
          <w:b/>
        </w:rPr>
        <w:t>Indications</w:t>
      </w:r>
      <w:r>
        <w:t xml:space="preserve"> : identiques à celles de la solution bipartite MUTI-BIC 3 et 4 mmol/L potassium. </w:t>
      </w:r>
      <w:r>
        <w:rPr>
          <w:b/>
        </w:rPr>
        <w:t>Contre-indications</w:t>
      </w:r>
      <w:r>
        <w:t xml:space="preserve"> : identiques à celles de la solution bipartite. </w:t>
      </w:r>
      <w:r>
        <w:rPr>
          <w:b/>
        </w:rPr>
        <w:t>Effets indésirables</w:t>
      </w:r>
      <w:r>
        <w:t xml:space="preserve"> : identiques à ceux de la solution bipartite. La Solution A ne doit pas être utilisée seule — elle doit toujours être mélangée à la Solution B avant utilisation.</w:t>
      </w:r>
    </w:p>
    <w:p>
      <w:pPr>
        <w:pStyle w:val="Heading4"/>
      </w:pPr>
      <w:r>
        <w:t>5. Prévention et gestion des effets indésirables</w:t>
      </w:r>
    </w:p>
    <w:p>
      <w:r>
        <w:t>Similaire à celle de la solution bipartite.</w:t>
      </w:r>
    </w:p>
    <w:p>
      <w:pPr>
        <w:pStyle w:val="Heading4"/>
      </w:pPr>
      <w:r>
        <w:t>6. Interactions médicamenteuses</w:t>
      </w:r>
    </w:p>
    <w:p>
      <w:r>
        <w:t>Similaires à celles de la solution bipartite.</w:t>
      </w:r>
    </w:p>
    <w:p>
      <w:pPr>
        <w:pStyle w:val="Heading4"/>
      </w:pPr>
      <w:r>
        <w:t>7. Grossesse et allaitement (CRAT)</w:t>
      </w:r>
    </w:p>
    <w:p>
      <w:r>
        <w:t>Similaire à celui de la solution bipartite.</w:t>
      </w:r>
    </w:p>
    <w:p>
      <w:pPr>
        <w:pStyle w:val="Heading4"/>
      </w:pPr>
      <w:r>
        <w:t>8. Posologie et mode d'administration</w:t>
      </w:r>
    </w:p>
    <w:p>
      <w:r>
        <w:t>Similaire à celle de la solution bipartite. La Solution A n'est pas utilisée seule — elle est mélangée à la Solution B dans la poche bi-compartimentée avant la pose.</w:t>
      </w:r>
    </w:p>
    <w:p>
      <w:pPr>
        <w:pStyle w:val="Heading4"/>
      </w:pPr>
      <w:r>
        <w:t>9. Arbitrage et bénéfices des formes galéniques</w:t>
      </w:r>
    </w:p>
    <w:p>
      <w:r>
        <w:t>Similaire à celui de la solution bipartite. La Solution A n'est pas commercialisée isolément — elle est uniquement disponible en association avec la Solution B dans la poche bi-compartimentée.</w:t>
      </w:r>
    </w:p>
    <w:p>
      <w:pPr>
        <w:pStyle w:val="Heading4"/>
      </w:pPr>
      <w:r>
        <w:t>10. Instructions et conseils au patient</w:t>
      </w:r>
    </w:p>
    <w:p>
      <w:r>
        <w:t>Similaires à celles de la solution bipartite.</w:t>
      </w:r>
    </w:p>
    <w:p>
      <w:pPr>
        <w:pStyle w:val="Heading4"/>
      </w:pPr>
      <w:r>
        <w:t>11. Notes, règles d'or et pièges au comptoir</w:t>
      </w:r>
    </w:p>
    <w:p>
      <w:r/>
      <w:r>
        <w:rPr>
          <w:b/>
        </w:rPr>
        <w:t>Règle d'or n°1</w:t>
      </w:r>
      <w:r>
        <w:t xml:space="preserve"> : la Solution A ne doit jamais être perfusée seule — elle doit toujours être mélangée à la Solution B avant utilisation.</w:t>
      </w:r>
    </w:p>
    <w:p>
      <w:r/>
      <w:r>
        <w:rPr>
          <w:b/>
        </w:rPr>
        <w:t>Piège n°1</w:t>
      </w:r>
      <w:r>
        <w:t xml:space="preserve"> : ne pas confondre Solution A (acide, contient K/Ca/Mg/glucose) et Solution B (basique, contient NaCl/bicarbonate) — étiquetage explicite obligatoire.</w:t>
      </w:r>
    </w:p>
    <w:p>
      <w:r/>
      <w:r>
        <w:rPr>
          <w:b/>
        </w:rPr>
        <w:t>Piège n°2</w:t>
      </w:r>
      <w:r>
        <w:t xml:space="preserve"> : la Solution A contient du potassium à concentration 35× (4,473 g/L ou 5,964 g/L selon la formulation) — risque d'hyperkaliémie fatale si perfusion directe.</w:t>
      </w:r>
    </w:p>
    <w:p>
      <w:pPr>
        <w:pStyle w:val="Heading3"/>
      </w:pPr>
      <w:r>
        <w:t>223.10 Glucose anhydre/sodium chlorure/calcium chlorure/magnesium chlorure/sodium lactate — Solution pour dialyse péritonéale ou hémodialyse</w:t>
      </w:r>
    </w:p>
    <w:p>
      <w:pPr>
        <w:pStyle w:val="Heading4"/>
      </w:pPr>
      <w:r>
        <w:t>1. Liste des catégories thérapeutiques</w:t>
      </w:r>
    </w:p>
    <w:p>
      <w:r>
        <w:t xml:space="preserve">L'association glucose anhydre/sodium chlorure/calcium chlorure/magnesium chlorure/sodium lactate est classée au niveau ATC comme </w:t>
      </w:r>
      <w:r>
        <w:rPr>
          <w:b/>
        </w:rPr>
        <w:t>B05D02</w:t>
      </w:r>
      <w:r>
        <w:t xml:space="preserve"> (solutions pour dialyse péritonéale) ou </w:t>
      </w:r>
      <w:r>
        <w:rPr>
          <w:b/>
        </w:rPr>
        <w:t>B05Z</w:t>
      </w:r>
      <w:r>
        <w:t xml:space="preserve"> (solutions pour hémodialyse), selon l'usage prévu. Sur le plan réglementaire algérien, elle relève de la liste I des substances vénéneuses. Elle appartient à la sous-classe des solutions électrolytiques avec glucose et lactate, utilisées en dialyse péritonéale (comme alternative au DPCA FORMULE 91) ou en hémodialyse (comme solution acide sans acide acétique). Cette composition correspond à une variante des solutions pour dialyse péritonéale détaillées en section 222, avec une composition électrolytique proche du plasma et un apport glucidique modéré. Le code ATC dépend de l'usage prévu (B05D02 pour dialyse péritonéale, B05Z pour hémodialyse).</w:t>
      </w:r>
    </w:p>
    <w:p>
      <w:pPr>
        <w:pStyle w:val="Heading4"/>
      </w:pPr>
      <w:r>
        <w:t>2. Médicaments disponibles en Algérie</w:t>
      </w:r>
    </w:p>
    <w:p>
      <w:r>
        <w:t>Aucune spécialité commerciale exacte ne correspond strictement à cette association dans la nomenclature algérienne d'avril 2026. La composition la plus proche est la spécialité DPCA FORMULE 91 (Baxter S.P.A) — solution pour dialyse péritonéale continue ambulatoire contenant NaCl 5,670 g/L + CaCl₂·2H₂O 0,257 g/L + MgCl₂·6H₂O 0,152 g/L + lactate de sodium 3,922 g/L (pur) + glucose anhydre 22,7 g/L (cf. section 223.8).</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DPCA FORMULE 91</w:t>
            </w:r>
          </w:p>
        </w:tc>
        <w:tc>
          <w:tcPr>
            <w:tcW w:type="dxa" w:w="1385"/>
          </w:tcPr>
          <w:p>
            <w:r>
              <w:rPr>
                <w:rFonts w:ascii="Times New Roman" w:hAnsi="Times New Roman"/>
                <w:sz w:val="20"/>
              </w:rPr>
              <w:t>Baxter S.P.A</w:t>
            </w:r>
          </w:p>
        </w:tc>
        <w:tc>
          <w:tcPr>
            <w:tcW w:type="dxa" w:w="1385"/>
          </w:tcPr>
          <w:p>
            <w:r>
              <w:rPr>
                <w:rFonts w:ascii="Times New Roman" w:hAnsi="Times New Roman"/>
                <w:sz w:val="20"/>
              </w:rPr>
              <w:t>Solution pour dialyse péritonéale continue ambulatoire — NaCl 5,670 g/L + CaCl₂·2H₂O 0,257 g/L + MgCl₂·6H₂O 0,152 g/L + lactate de sodium pur 3,922 g/L + glucose anhydre 22,7 g/L</w:t>
            </w:r>
          </w:p>
        </w:tc>
        <w:tc>
          <w:tcPr>
            <w:tcW w:type="dxa" w:w="1385"/>
          </w:tcPr>
          <w:p>
            <w:r>
              <w:rPr>
                <w:rFonts w:ascii="Times New Roman" w:hAnsi="Times New Roman"/>
                <w:sz w:val="20"/>
              </w:rPr>
              <w:t>Poche double de 2000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Remarque</w:t>
      </w:r>
      <w:r>
        <w:t xml:space="preserve"> : cette association est disponible indirectement via la spécialité DPCA FORMULE 91, qui correspond à la composition la plus proche. Le pharmacien doit s'assurer de l'usage prévu (dialyse péritonéale ou hémodialyse) et de la conformité de la spécialité à la prescription.</w:t>
      </w:r>
    </w:p>
    <w:p>
      <w:pPr>
        <w:pStyle w:val="Heading4"/>
      </w:pPr>
      <w:r>
        <w:t>3. Sous-classe et mécanisme d'action moléculaire</w:t>
      </w:r>
    </w:p>
    <w:p>
      <w:r>
        <w:t>Similaire à celui de DPCA FORMULE 91 (section 223.8). La solution combine un apport électrolytique proche du plasma (sodium, calcium, magnésium, chlorure, lactate) avec un apport glucidique modéré (22,7 % de glucose anhydre). Le lactate, métabolisé en bicarbonate par le foie, exerce un effet tampon métabolique compensateur. Le glucose assure l'ultrafiltration osmotique.</w:t>
      </w:r>
    </w:p>
    <w:p>
      <w:pPr>
        <w:pStyle w:val="Heading4"/>
      </w:pPr>
      <w:r>
        <w:t>4. Profil pharmacologique</w:t>
      </w:r>
    </w:p>
    <w:p>
      <w:r/>
      <w:r>
        <w:rPr>
          <w:b/>
        </w:rPr>
        <w:t>Indications</w:t>
      </w:r>
      <w:r>
        <w:t xml:space="preserve"> : dialyse péritonéale continue ambulatoire (CAPD) chez les patients nécessitant une ultrafiltration modérée. </w:t>
      </w:r>
      <w:r>
        <w:rPr>
          <w:b/>
        </w:rPr>
        <w:t>Contre-indications</w:t>
      </w:r>
      <w:r>
        <w:t xml:space="preserve"> : péritonite active, diabète déséquilibré, allergie aux composants, déshydratation. </w:t>
      </w:r>
      <w:r>
        <w:rPr>
          <w:b/>
        </w:rPr>
        <w:t>Effets indésirables</w:t>
      </w:r>
      <w:r>
        <w:t xml:space="preserve"> : hyperglycémie, dyslipidémie, péritonite bactérienne, altération de la membrane péritonéale à long terme, douleurs abdominales à l'introduction. La tolérance est globalement bonne.</w:t>
      </w:r>
    </w:p>
    <w:p>
      <w:pPr>
        <w:pStyle w:val="Heading4"/>
      </w:pPr>
      <w:r>
        <w:t>5. Prévention et gestion des effets indésirables</w:t>
      </w:r>
    </w:p>
    <w:p>
      <w:r>
        <w:t>Similaire à celle de DPCA FORMULE 91 (section 223.8).</w:t>
      </w:r>
    </w:p>
    <w:p>
      <w:pPr>
        <w:pStyle w:val="Heading4"/>
      </w:pPr>
      <w:r>
        <w:t>6. Interactions médicamenteuses</w:t>
      </w:r>
    </w:p>
    <w:p>
      <w:r>
        <w:t>Similaires à celles de DPCA FORMULE 91 (section 223.8).</w:t>
      </w:r>
    </w:p>
    <w:p>
      <w:pPr>
        <w:pStyle w:val="Heading4"/>
      </w:pPr>
      <w:r>
        <w:t>7. Grossesse et allaitement (CRAT)</w:t>
      </w:r>
    </w:p>
    <w:p>
      <w:r>
        <w:t>Similaire à celui de DPCA FORMULE 91 (section 223.8).</w:t>
      </w:r>
    </w:p>
    <w:p>
      <w:pPr>
        <w:pStyle w:val="Heading4"/>
      </w:pPr>
      <w:r>
        <w:t>8. Posologie et mode d'administration</w:t>
      </w:r>
    </w:p>
    <w:p>
      <w:r>
        <w:t>Similaire à celle de DPCA FORMULE 91 (section 223.8).</w:t>
      </w:r>
    </w:p>
    <w:p>
      <w:pPr>
        <w:pStyle w:val="Heading4"/>
      </w:pPr>
      <w:r>
        <w:t>9. Arbitrage et bénéfices des formes galéniques</w:t>
      </w:r>
    </w:p>
    <w:p>
      <w:r>
        <w:t>Similaire à celui de DPCA FORMULE 91 (section 223.8).</w:t>
      </w:r>
    </w:p>
    <w:p>
      <w:pPr>
        <w:pStyle w:val="Heading4"/>
      </w:pPr>
      <w:r>
        <w:t>10. Instructions et conseils au patient</w:t>
      </w:r>
    </w:p>
    <w:p>
      <w:r>
        <w:t>Similaires à celles de DPCA FORMULE 91 (section 223.8).</w:t>
      </w:r>
    </w:p>
    <w:p>
      <w:pPr>
        <w:pStyle w:val="Heading4"/>
      </w:pPr>
      <w:r>
        <w:t>11. Notes, règles d'or et pièges au comptoir</w:t>
      </w:r>
    </w:p>
    <w:p>
      <w:r/>
      <w:r>
        <w:rPr>
          <w:b/>
        </w:rPr>
        <w:t>Règle d'or n°1</w:t>
      </w:r>
      <w:r>
        <w:t xml:space="preserve"> : vérifier l'usage prévu de la solution (dialyse péritonéale ou hémodialyse) et la conformité de la spécialité à la prescription.</w:t>
      </w:r>
    </w:p>
    <w:p>
      <w:r/>
      <w:r>
        <w:rPr>
          <w:b/>
        </w:rPr>
        <w:t>Piège n°1</w:t>
      </w:r>
      <w:r>
        <w:t xml:space="preserve"> : ne pas confondre avec DPCA FORMULE 91 (Baxter) qui est la spécialité la plus proche — vérifier la composition exacte et l'usage prévu.</w:t>
      </w:r>
    </w:p>
    <w:p>
      <w:r/>
      <w:r>
        <w:rPr>
          <w:b/>
        </w:rPr>
        <w:t>Piège n°2</w:t>
      </w:r>
      <w:r>
        <w:t xml:space="preserve"> : ne pas confondre glucose anhydre et glucose monohydrate — 22,7 g/L d'anhydre = 25 g/L de monohydrate.</w:t>
      </w:r>
    </w:p>
    <w:p>
      <w:pPr>
        <w:pStyle w:val="Heading3"/>
      </w:pPr>
      <w:r>
        <w:t>223.11 Tableau comparatif des concentrés pour hémodialyse et solutions d'hémofiltration</w:t>
      </w:r>
    </w:p>
    <w:tbl>
      <w:tblPr>
        <w:tblStyle w:val="LightGrid-Accent1"/>
        <w:tblW w:type="auto" w:w="0"/>
        <w:tblLayout w:type="autofit"/>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shd w:val="clear" w:color="auto" w:fill="F2F2F2"/>
          </w:tcPr>
          <w:p>
            <w:r>
              <w:rPr>
                <w:rFonts w:ascii="Times New Roman" w:hAnsi="Times New Roman"/>
                <w:b/>
                <w:sz w:val="20"/>
              </w:rPr>
              <w:t>Paramètre</w:t>
            </w:r>
          </w:p>
        </w:tc>
        <w:tc>
          <w:tcPr>
            <w:tcW w:type="dxa" w:w="924"/>
            <w:shd w:val="clear" w:color="auto" w:fill="F2F2F2"/>
          </w:tcPr>
          <w:p>
            <w:r>
              <w:rPr>
                <w:rFonts w:ascii="Times New Roman" w:hAnsi="Times New Roman"/>
                <w:b/>
                <w:sz w:val="20"/>
              </w:rPr>
              <w:t>RENACID A-series</w:t>
            </w:r>
          </w:p>
        </w:tc>
        <w:tc>
          <w:tcPr>
            <w:tcW w:type="dxa" w:w="924"/>
            <w:shd w:val="clear" w:color="auto" w:fill="F2F2F2"/>
          </w:tcPr>
          <w:p>
            <w:r>
              <w:rPr>
                <w:rFonts w:ascii="Times New Roman" w:hAnsi="Times New Roman"/>
                <w:b/>
                <w:sz w:val="20"/>
              </w:rPr>
              <w:t>RENACID A14 RENABIC L14</w:t>
            </w:r>
          </w:p>
        </w:tc>
        <w:tc>
          <w:tcPr>
            <w:tcW w:type="dxa" w:w="924"/>
            <w:shd w:val="clear" w:color="auto" w:fill="F2F2F2"/>
          </w:tcPr>
          <w:p>
            <w:r>
              <w:rPr>
                <w:rFonts w:ascii="Times New Roman" w:hAnsi="Times New Roman"/>
                <w:b/>
                <w:sz w:val="20"/>
              </w:rPr>
              <w:t>RENACID A13 (poudre)</w:t>
            </w:r>
          </w:p>
        </w:tc>
        <w:tc>
          <w:tcPr>
            <w:tcW w:type="dxa" w:w="924"/>
            <w:shd w:val="clear" w:color="auto" w:fill="F2F2F2"/>
          </w:tcPr>
          <w:p>
            <w:r>
              <w:rPr>
                <w:rFonts w:ascii="Times New Roman" w:hAnsi="Times New Roman"/>
                <w:b/>
                <w:sz w:val="20"/>
              </w:rPr>
              <w:t>HEMODIALYSE F/A</w:t>
            </w:r>
          </w:p>
        </w:tc>
        <w:tc>
          <w:tcPr>
            <w:tcW w:type="dxa" w:w="924"/>
            <w:shd w:val="clear" w:color="auto" w:fill="F2F2F2"/>
          </w:tcPr>
          <w:p>
            <w:r>
              <w:rPr>
                <w:rFonts w:ascii="Times New Roman" w:hAnsi="Times New Roman"/>
                <w:b/>
                <w:sz w:val="20"/>
              </w:rPr>
              <w:t>HEMODIALYSE F/B</w:t>
            </w:r>
          </w:p>
        </w:tc>
        <w:tc>
          <w:tcPr>
            <w:tcW w:type="dxa" w:w="924"/>
            <w:shd w:val="clear" w:color="auto" w:fill="F2F2F2"/>
          </w:tcPr>
          <w:p>
            <w:r>
              <w:rPr>
                <w:rFonts w:ascii="Times New Roman" w:hAnsi="Times New Roman"/>
                <w:b/>
                <w:sz w:val="20"/>
              </w:rPr>
              <w:t>MULTIBIC SANS SUCRE</w:t>
            </w:r>
          </w:p>
        </w:tc>
        <w:tc>
          <w:tcPr>
            <w:tcW w:type="dxa" w:w="924"/>
            <w:shd w:val="clear" w:color="auto" w:fill="F2F2F2"/>
          </w:tcPr>
          <w:p>
            <w:r>
              <w:rPr>
                <w:rFonts w:ascii="Times New Roman" w:hAnsi="Times New Roman"/>
                <w:b/>
                <w:sz w:val="20"/>
              </w:rPr>
              <w:t>MUTI-BIC 3/4 mmol/L K</w:t>
            </w:r>
          </w:p>
        </w:tc>
        <w:tc>
          <w:tcPr>
            <w:tcW w:type="dxa" w:w="924"/>
            <w:shd w:val="clear" w:color="auto" w:fill="F2F2F2"/>
          </w:tcPr>
          <w:p>
            <w:r>
              <w:rPr>
                <w:rFonts w:ascii="Times New Roman" w:hAnsi="Times New Roman"/>
                <w:b/>
                <w:sz w:val="20"/>
              </w:rPr>
              <w:t>DPCA FORMULE 91</w:t>
            </w:r>
          </w:p>
        </w:tc>
      </w:tr>
      <w:tr>
        <w:tc>
          <w:tcPr>
            <w:tcW w:type="dxa" w:w="924"/>
          </w:tcPr>
          <w:p>
            <w:r>
              <w:rPr>
                <w:rFonts w:ascii="Times New Roman" w:hAnsi="Times New Roman"/>
                <w:sz w:val="20"/>
              </w:rPr>
              <w:t>**Type de solution**</w:t>
            </w:r>
          </w:p>
        </w:tc>
        <w:tc>
          <w:tcPr>
            <w:tcW w:type="dxa" w:w="924"/>
          </w:tcPr>
          <w:p>
            <w:r>
              <w:rPr>
                <w:rFonts w:ascii="Times New Roman" w:hAnsi="Times New Roman"/>
                <w:sz w:val="20"/>
              </w:rPr>
              <w:t>Concentré acide liquide</w:t>
            </w:r>
          </w:p>
        </w:tc>
        <w:tc>
          <w:tcPr>
            <w:tcW w:type="dxa" w:w="924"/>
          </w:tcPr>
          <w:p>
            <w:r>
              <w:rPr>
                <w:rFonts w:ascii="Times New Roman" w:hAnsi="Times New Roman"/>
                <w:sz w:val="20"/>
              </w:rPr>
              <w:t>Système bipartite liquide A+B</w:t>
            </w:r>
          </w:p>
        </w:tc>
        <w:tc>
          <w:tcPr>
            <w:tcW w:type="dxa" w:w="924"/>
          </w:tcPr>
          <w:p>
            <w:r>
              <w:rPr>
                <w:rFonts w:ascii="Times New Roman" w:hAnsi="Times New Roman"/>
                <w:sz w:val="20"/>
              </w:rPr>
              <w:t>Concentré acide poudre</w:t>
            </w:r>
          </w:p>
        </w:tc>
        <w:tc>
          <w:tcPr>
            <w:tcW w:type="dxa" w:w="924"/>
          </w:tcPr>
          <w:p>
            <w:r>
              <w:rPr>
                <w:rFonts w:ascii="Times New Roman" w:hAnsi="Times New Roman"/>
                <w:sz w:val="20"/>
              </w:rPr>
              <w:t>Concentré acide (retiré)</w:t>
            </w:r>
          </w:p>
        </w:tc>
        <w:tc>
          <w:tcPr>
            <w:tcW w:type="dxa" w:w="924"/>
          </w:tcPr>
          <w:p>
            <w:r>
              <w:rPr>
                <w:rFonts w:ascii="Times New Roman" w:hAnsi="Times New Roman"/>
                <w:sz w:val="20"/>
              </w:rPr>
              <w:t>Concentré basique (retiré)</w:t>
            </w:r>
          </w:p>
        </w:tc>
        <w:tc>
          <w:tcPr>
            <w:tcW w:type="dxa" w:w="924"/>
          </w:tcPr>
          <w:p>
            <w:r>
              <w:rPr>
                <w:rFonts w:ascii="Times New Roman" w:hAnsi="Times New Roman"/>
                <w:sz w:val="20"/>
              </w:rPr>
              <w:t>Solution hémofiltration</w:t>
            </w:r>
          </w:p>
        </w:tc>
        <w:tc>
          <w:tcPr>
            <w:tcW w:type="dxa" w:w="924"/>
          </w:tcPr>
          <w:p>
            <w:r>
              <w:rPr>
                <w:rFonts w:ascii="Times New Roman" w:hAnsi="Times New Roman"/>
                <w:sz w:val="20"/>
              </w:rPr>
              <w:t>Solution hémofiltration avec K</w:t>
            </w:r>
          </w:p>
        </w:tc>
        <w:tc>
          <w:tcPr>
            <w:tcW w:type="dxa" w:w="924"/>
          </w:tcPr>
          <w:p>
            <w:r>
              <w:rPr>
                <w:rFonts w:ascii="Times New Roman" w:hAnsi="Times New Roman"/>
                <w:sz w:val="20"/>
              </w:rPr>
              <w:t>Solution DP</w:t>
            </w:r>
          </w:p>
        </w:tc>
      </w:tr>
      <w:tr>
        <w:tc>
          <w:tcPr>
            <w:tcW w:type="dxa" w:w="924"/>
          </w:tcPr>
          <w:p>
            <w:r>
              <w:rPr>
                <w:rFonts w:ascii="Times New Roman" w:hAnsi="Times New Roman"/>
                <w:sz w:val="20"/>
              </w:rPr>
              <w:t>**Code ATC**</w:t>
            </w:r>
          </w:p>
        </w:tc>
        <w:tc>
          <w:tcPr>
            <w:tcW w:type="dxa" w:w="924"/>
          </w:tcPr>
          <w:p>
            <w:r>
              <w:rPr>
                <w:rFonts w:ascii="Times New Roman" w:hAnsi="Times New Roman"/>
                <w:sz w:val="20"/>
              </w:rPr>
              <w:t>B05Z</w:t>
            </w:r>
          </w:p>
        </w:tc>
        <w:tc>
          <w:tcPr>
            <w:tcW w:type="dxa" w:w="924"/>
          </w:tcPr>
          <w:p>
            <w:r>
              <w:rPr>
                <w:rFonts w:ascii="Times New Roman" w:hAnsi="Times New Roman"/>
                <w:sz w:val="20"/>
              </w:rPr>
              <w:t>B05Z</w:t>
            </w:r>
          </w:p>
        </w:tc>
        <w:tc>
          <w:tcPr>
            <w:tcW w:type="dxa" w:w="924"/>
          </w:tcPr>
          <w:p>
            <w:r>
              <w:rPr>
                <w:rFonts w:ascii="Times New Roman" w:hAnsi="Times New Roman"/>
                <w:sz w:val="20"/>
              </w:rPr>
              <w:t>B05Z</w:t>
            </w:r>
          </w:p>
        </w:tc>
        <w:tc>
          <w:tcPr>
            <w:tcW w:type="dxa" w:w="924"/>
          </w:tcPr>
          <w:p>
            <w:r>
              <w:rPr>
                <w:rFonts w:ascii="Times New Roman" w:hAnsi="Times New Roman"/>
                <w:sz w:val="20"/>
              </w:rPr>
              <w:t>B05Z</w:t>
            </w:r>
          </w:p>
        </w:tc>
        <w:tc>
          <w:tcPr>
            <w:tcW w:type="dxa" w:w="924"/>
          </w:tcPr>
          <w:p>
            <w:r>
              <w:rPr>
                <w:rFonts w:ascii="Times New Roman" w:hAnsi="Times New Roman"/>
                <w:sz w:val="20"/>
              </w:rPr>
              <w:t>B05Z</w:t>
            </w:r>
          </w:p>
        </w:tc>
        <w:tc>
          <w:tcPr>
            <w:tcW w:type="dxa" w:w="924"/>
          </w:tcPr>
          <w:p>
            <w:r>
              <w:rPr>
                <w:rFonts w:ascii="Times New Roman" w:hAnsi="Times New Roman"/>
                <w:sz w:val="20"/>
              </w:rPr>
              <w:t>B05Z</w:t>
            </w:r>
          </w:p>
        </w:tc>
        <w:tc>
          <w:tcPr>
            <w:tcW w:type="dxa" w:w="924"/>
          </w:tcPr>
          <w:p>
            <w:r>
              <w:rPr>
                <w:rFonts w:ascii="Times New Roman" w:hAnsi="Times New Roman"/>
                <w:sz w:val="20"/>
              </w:rPr>
              <w:t>B05Z</w:t>
            </w:r>
          </w:p>
        </w:tc>
        <w:tc>
          <w:tcPr>
            <w:tcW w:type="dxa" w:w="924"/>
          </w:tcPr>
          <w:p>
            <w:r>
              <w:rPr>
                <w:rFonts w:ascii="Times New Roman" w:hAnsi="Times New Roman"/>
                <w:sz w:val="20"/>
              </w:rPr>
              <w:t>B05D02</w:t>
            </w:r>
          </w:p>
        </w:tc>
      </w:tr>
      <w:tr>
        <w:tc>
          <w:tcPr>
            <w:tcW w:type="dxa" w:w="924"/>
          </w:tcPr>
          <w:p>
            <w:r>
              <w:rPr>
                <w:rFonts w:ascii="Times New Roman" w:hAnsi="Times New Roman"/>
                <w:sz w:val="20"/>
              </w:rPr>
              <w:t>**Spécialité de référence**</w:t>
            </w:r>
          </w:p>
        </w:tc>
        <w:tc>
          <w:tcPr>
            <w:tcW w:type="dxa" w:w="924"/>
          </w:tcPr>
          <w:p>
            <w:r>
              <w:rPr>
                <w:rFonts w:ascii="Times New Roman" w:hAnsi="Times New Roman"/>
                <w:sz w:val="20"/>
              </w:rPr>
              <w:t>RENACID A15-A28, G15, G16, G25, G26</w:t>
            </w:r>
          </w:p>
        </w:tc>
        <w:tc>
          <w:tcPr>
            <w:tcW w:type="dxa" w:w="924"/>
          </w:tcPr>
          <w:p>
            <w:r>
              <w:rPr>
                <w:rFonts w:ascii="Times New Roman" w:hAnsi="Times New Roman"/>
                <w:sz w:val="20"/>
              </w:rPr>
              <w:t>RENACID A14 RENABIC L14</w:t>
            </w:r>
          </w:p>
        </w:tc>
        <w:tc>
          <w:tcPr>
            <w:tcW w:type="dxa" w:w="924"/>
          </w:tcPr>
          <w:p>
            <w:r>
              <w:rPr>
                <w:rFonts w:ascii="Times New Roman" w:hAnsi="Times New Roman"/>
                <w:sz w:val="20"/>
              </w:rPr>
              <w:t>RENACID A13</w:t>
            </w:r>
          </w:p>
        </w:tc>
        <w:tc>
          <w:tcPr>
            <w:tcW w:type="dxa" w:w="924"/>
          </w:tcPr>
          <w:p>
            <w:r>
              <w:rPr>
                <w:rFonts w:ascii="Times New Roman" w:hAnsi="Times New Roman"/>
                <w:sz w:val="20"/>
              </w:rPr>
              <w:t>HEMODIALYSE F/A</w:t>
            </w:r>
          </w:p>
        </w:tc>
        <w:tc>
          <w:tcPr>
            <w:tcW w:type="dxa" w:w="924"/>
          </w:tcPr>
          <w:p>
            <w:r>
              <w:rPr>
                <w:rFonts w:ascii="Times New Roman" w:hAnsi="Times New Roman"/>
                <w:sz w:val="20"/>
              </w:rPr>
              <w:t>HEMODIALYSE F/B</w:t>
            </w:r>
          </w:p>
        </w:tc>
        <w:tc>
          <w:tcPr>
            <w:tcW w:type="dxa" w:w="924"/>
          </w:tcPr>
          <w:p>
            <w:r>
              <w:rPr>
                <w:rFonts w:ascii="Times New Roman" w:hAnsi="Times New Roman"/>
                <w:sz w:val="20"/>
              </w:rPr>
              <w:t>MULTIBIC SANS SUCRE</w:t>
            </w:r>
          </w:p>
        </w:tc>
        <w:tc>
          <w:tcPr>
            <w:tcW w:type="dxa" w:w="924"/>
          </w:tcPr>
          <w:p>
            <w:r>
              <w:rPr>
                <w:rFonts w:ascii="Times New Roman" w:hAnsi="Times New Roman"/>
                <w:sz w:val="20"/>
              </w:rPr>
              <w:t>MUTI-BIC 3, MUTI-BIC 4</w:t>
            </w:r>
          </w:p>
        </w:tc>
        <w:tc>
          <w:tcPr>
            <w:tcW w:type="dxa" w:w="924"/>
          </w:tcPr>
          <w:p>
            <w:r>
              <w:rPr>
                <w:rFonts w:ascii="Times New Roman" w:hAnsi="Times New Roman"/>
                <w:sz w:val="20"/>
              </w:rPr>
              <w:t>DPCA FORMULE 91</w:t>
            </w:r>
          </w:p>
        </w:tc>
      </w:tr>
      <w:tr>
        <w:tc>
          <w:tcPr>
            <w:tcW w:type="dxa" w:w="924"/>
          </w:tcPr>
          <w:p>
            <w:r>
              <w:rPr>
                <w:rFonts w:ascii="Times New Roman" w:hAnsi="Times New Roman"/>
                <w:sz w:val="20"/>
              </w:rPr>
              <w:t>**Laboratoire algérien**</w:t>
            </w:r>
          </w:p>
        </w:tc>
        <w:tc>
          <w:tcPr>
            <w:tcW w:type="dxa" w:w="924"/>
          </w:tcPr>
          <w:p>
            <w:r>
              <w:rPr>
                <w:rFonts w:ascii="Times New Roman" w:hAnsi="Times New Roman"/>
                <w:sz w:val="20"/>
              </w:rPr>
              <w:t>IMC</w:t>
            </w:r>
          </w:p>
        </w:tc>
        <w:tc>
          <w:tcPr>
            <w:tcW w:type="dxa" w:w="924"/>
          </w:tcPr>
          <w:p>
            <w:r>
              <w:rPr>
                <w:rFonts w:ascii="Times New Roman" w:hAnsi="Times New Roman"/>
                <w:sz w:val="20"/>
              </w:rPr>
              <w:t>IMC</w:t>
            </w:r>
          </w:p>
        </w:tc>
        <w:tc>
          <w:tcPr>
            <w:tcW w:type="dxa" w:w="924"/>
          </w:tcPr>
          <w:p>
            <w:r>
              <w:rPr>
                <w:rFonts w:ascii="Times New Roman" w:hAnsi="Times New Roman"/>
                <w:sz w:val="20"/>
              </w:rPr>
              <w:t>IMC</w:t>
            </w:r>
          </w:p>
        </w:tc>
        <w:tc>
          <w:tcPr>
            <w:tcW w:type="dxa" w:w="924"/>
          </w:tcPr>
          <w:p>
            <w:r>
              <w:rPr>
                <w:rFonts w:ascii="Times New Roman" w:hAnsi="Times New Roman"/>
                <w:sz w:val="20"/>
              </w:rPr>
              <w:t>Groupe SAIDAL</w:t>
            </w:r>
          </w:p>
        </w:tc>
        <w:tc>
          <w:tcPr>
            <w:tcW w:type="dxa" w:w="924"/>
          </w:tcPr>
          <w:p>
            <w:r>
              <w:rPr>
                <w:rFonts w:ascii="Times New Roman" w:hAnsi="Times New Roman"/>
                <w:sz w:val="20"/>
              </w:rPr>
              <w:t>Groupe SAIDAL</w:t>
            </w:r>
          </w:p>
        </w:tc>
        <w:tc>
          <w:tcPr>
            <w:tcW w:type="dxa" w:w="924"/>
          </w:tcPr>
          <w:p>
            <w:r>
              <w:rPr>
                <w:rFonts w:ascii="Times New Roman" w:hAnsi="Times New Roman"/>
                <w:sz w:val="20"/>
              </w:rPr>
              <w:t>Fresenius MC</w:t>
            </w:r>
          </w:p>
        </w:tc>
        <w:tc>
          <w:tcPr>
            <w:tcW w:type="dxa" w:w="924"/>
          </w:tcPr>
          <w:p>
            <w:r>
              <w:rPr>
                <w:rFonts w:ascii="Times New Roman" w:hAnsi="Times New Roman"/>
                <w:sz w:val="20"/>
              </w:rPr>
              <w:t>Fresenius MC</w:t>
            </w:r>
          </w:p>
        </w:tc>
        <w:tc>
          <w:tcPr>
            <w:tcW w:type="dxa" w:w="924"/>
          </w:tcPr>
          <w:p>
            <w:r>
              <w:rPr>
                <w:rFonts w:ascii="Times New Roman" w:hAnsi="Times New Roman"/>
                <w:sz w:val="20"/>
              </w:rPr>
              <w:t>Baxter S.P.A</w:t>
            </w:r>
          </w:p>
        </w:tc>
      </w:tr>
      <w:tr>
        <w:tc>
          <w:tcPr>
            <w:tcW w:type="dxa" w:w="924"/>
          </w:tcPr>
          <w:p>
            <w:r>
              <w:rPr>
                <w:rFonts w:ascii="Times New Roman" w:hAnsi="Times New Roman"/>
                <w:sz w:val="20"/>
              </w:rPr>
              <w:t>**Statut nomenclature**</w:t>
            </w:r>
          </w:p>
        </w:tc>
        <w:tc>
          <w:tcPr>
            <w:tcW w:type="dxa" w:w="924"/>
          </w:tcPr>
          <w:p>
            <w:r>
              <w:rPr>
                <w:rFonts w:ascii="Times New Roman" w:hAnsi="Times New Roman"/>
                <w:sz w:val="20"/>
              </w:rPr>
              <w:t>Actif</w:t>
            </w:r>
          </w:p>
        </w:tc>
        <w:tc>
          <w:tcPr>
            <w:tcW w:type="dxa" w:w="924"/>
          </w:tcPr>
          <w:p>
            <w:r>
              <w:rPr>
                <w:rFonts w:ascii="Times New Roman" w:hAnsi="Times New Roman"/>
                <w:sz w:val="20"/>
              </w:rPr>
              <w:t>Actif</w:t>
            </w:r>
          </w:p>
        </w:tc>
        <w:tc>
          <w:tcPr>
            <w:tcW w:type="dxa" w:w="924"/>
          </w:tcPr>
          <w:p>
            <w:r>
              <w:rPr>
                <w:rFonts w:ascii="Times New Roman" w:hAnsi="Times New Roman"/>
                <w:sz w:val="20"/>
              </w:rPr>
              <w:t>Actif</w:t>
            </w:r>
          </w:p>
        </w:tc>
        <w:tc>
          <w:tcPr>
            <w:tcW w:type="dxa" w:w="924"/>
          </w:tcPr>
          <w:p>
            <w:r>
              <w:rPr>
                <w:rFonts w:ascii="Times New Roman" w:hAnsi="Times New Roman"/>
                <w:sz w:val="20"/>
              </w:rPr>
              <w:t>Retiré (R)</w:t>
            </w:r>
          </w:p>
        </w:tc>
        <w:tc>
          <w:tcPr>
            <w:tcW w:type="dxa" w:w="924"/>
          </w:tcPr>
          <w:p>
            <w:r>
              <w:rPr>
                <w:rFonts w:ascii="Times New Roman" w:hAnsi="Times New Roman"/>
                <w:sz w:val="20"/>
              </w:rPr>
              <w:t>Retiré (R)</w:t>
            </w:r>
          </w:p>
        </w:tc>
        <w:tc>
          <w:tcPr>
            <w:tcW w:type="dxa" w:w="924"/>
          </w:tcPr>
          <w:p>
            <w:r>
              <w:rPr>
                <w:rFonts w:ascii="Times New Roman" w:hAnsi="Times New Roman"/>
                <w:sz w:val="20"/>
              </w:rPr>
              <w:t>Actif</w:t>
            </w:r>
          </w:p>
        </w:tc>
        <w:tc>
          <w:tcPr>
            <w:tcW w:type="dxa" w:w="924"/>
          </w:tcPr>
          <w:p>
            <w:r>
              <w:rPr>
                <w:rFonts w:ascii="Times New Roman" w:hAnsi="Times New Roman"/>
                <w:sz w:val="20"/>
              </w:rPr>
              <w:t>Actif</w:t>
            </w:r>
          </w:p>
        </w:tc>
        <w:tc>
          <w:tcPr>
            <w:tcW w:type="dxa" w:w="924"/>
          </w:tcPr>
          <w:p>
            <w:r>
              <w:rPr>
                <w:rFonts w:ascii="Times New Roman" w:hAnsi="Times New Roman"/>
                <w:sz w:val="20"/>
              </w:rPr>
              <w:t>Actif</w:t>
            </w:r>
          </w:p>
        </w:tc>
      </w:tr>
      <w:tr>
        <w:tc>
          <w:tcPr>
            <w:tcW w:type="dxa" w:w="924"/>
          </w:tcPr>
          <w:p>
            <w:r>
              <w:rPr>
                <w:rFonts w:ascii="Times New Roman" w:hAnsi="Times New Roman"/>
                <w:sz w:val="20"/>
              </w:rPr>
              <w:t>**Composition finale**</w:t>
            </w:r>
          </w:p>
        </w:tc>
        <w:tc>
          <w:tcPr>
            <w:tcW w:type="dxa" w:w="924"/>
          </w:tcPr>
          <w:p>
            <w:r>
              <w:rPr>
                <w:rFonts w:ascii="Times New Roman" w:hAnsi="Times New Roman"/>
                <w:sz w:val="20"/>
              </w:rPr>
              <w:t>NaCl + KCl + CaCl₂ + MgCl₂ (± glucose)</w:t>
            </w:r>
          </w:p>
        </w:tc>
        <w:tc>
          <w:tcPr>
            <w:tcW w:type="dxa" w:w="924"/>
          </w:tcPr>
          <w:p>
            <w:r>
              <w:rPr>
                <w:rFonts w:ascii="Times New Roman" w:hAnsi="Times New Roman"/>
                <w:sz w:val="20"/>
              </w:rPr>
              <w:t>A acide + B bicarbonate</w:t>
            </w:r>
          </w:p>
        </w:tc>
        <w:tc>
          <w:tcPr>
            <w:tcW w:type="dxa" w:w="924"/>
          </w:tcPr>
          <w:p>
            <w:r>
              <w:rPr>
                <w:rFonts w:ascii="Times New Roman" w:hAnsi="Times New Roman"/>
                <w:sz w:val="20"/>
              </w:rPr>
              <w:t>Poudre à dissoudre</w:t>
            </w:r>
          </w:p>
        </w:tc>
        <w:tc>
          <w:tcPr>
            <w:tcW w:type="dxa" w:w="924"/>
          </w:tcPr>
          <w:p>
            <w:r>
              <w:rPr>
                <w:rFonts w:ascii="Times New Roman" w:hAnsi="Times New Roman"/>
                <w:sz w:val="20"/>
              </w:rPr>
              <w:t>Composition non précisée</w:t>
            </w:r>
          </w:p>
        </w:tc>
        <w:tc>
          <w:tcPr>
            <w:tcW w:type="dxa" w:w="924"/>
          </w:tcPr>
          <w:p>
            <w:r>
              <w:rPr>
                <w:rFonts w:ascii="Times New Roman" w:hAnsi="Times New Roman"/>
                <w:sz w:val="20"/>
              </w:rPr>
              <w:t>Composition non précisée</w:t>
            </w:r>
          </w:p>
        </w:tc>
        <w:tc>
          <w:tcPr>
            <w:tcW w:type="dxa" w:w="924"/>
          </w:tcPr>
          <w:p>
            <w:r>
              <w:rPr>
                <w:rFonts w:ascii="Times New Roman" w:hAnsi="Times New Roman"/>
                <w:sz w:val="20"/>
              </w:rPr>
              <w:t>NaCl + CaCl₂ + MgCl₂ + glucose + bicarbonate</w:t>
            </w:r>
          </w:p>
        </w:tc>
        <w:tc>
          <w:tcPr>
            <w:tcW w:type="dxa" w:w="924"/>
          </w:tcPr>
          <w:p>
            <w:r>
              <w:rPr>
                <w:rFonts w:ascii="Times New Roman" w:hAnsi="Times New Roman"/>
                <w:sz w:val="20"/>
              </w:rPr>
              <w:t>NaCl + KCl + CaCl₂ + MgCl₂ + glucose + bicarbonate</w:t>
            </w:r>
          </w:p>
        </w:tc>
        <w:tc>
          <w:tcPr>
            <w:tcW w:type="dxa" w:w="924"/>
          </w:tcPr>
          <w:p>
            <w:r>
              <w:rPr>
                <w:rFonts w:ascii="Times New Roman" w:hAnsi="Times New Roman"/>
                <w:sz w:val="20"/>
              </w:rPr>
              <w:t>NaCl + CaCl₂ + MgCl₂ + lactate + glucose</w:t>
            </w:r>
          </w:p>
        </w:tc>
      </w:tr>
      <w:tr>
        <w:tc>
          <w:tcPr>
            <w:tcW w:type="dxa" w:w="924"/>
          </w:tcPr>
          <w:p>
            <w:r>
              <w:rPr>
                <w:rFonts w:ascii="Times New Roman" w:hAnsi="Times New Roman"/>
                <w:sz w:val="20"/>
              </w:rPr>
              <w:t>**Osmolarité finale (mOsm/L)**</w:t>
            </w:r>
          </w:p>
        </w:tc>
        <w:tc>
          <w:tcPr>
            <w:tcW w:type="dxa" w:w="924"/>
          </w:tcPr>
          <w:p>
            <w:r>
              <w:rPr>
                <w:rFonts w:ascii="Times New Roman" w:hAnsi="Times New Roman"/>
                <w:sz w:val="20"/>
              </w:rPr>
              <w:t>285-300</w:t>
            </w:r>
          </w:p>
        </w:tc>
        <w:tc>
          <w:tcPr>
            <w:tcW w:type="dxa" w:w="924"/>
          </w:tcPr>
          <w:p>
            <w:r>
              <w:rPr>
                <w:rFonts w:ascii="Times New Roman" w:hAnsi="Times New Roman"/>
                <w:sz w:val="20"/>
              </w:rPr>
              <w:t>285-300</w:t>
            </w:r>
          </w:p>
        </w:tc>
        <w:tc>
          <w:tcPr>
            <w:tcW w:type="dxa" w:w="924"/>
          </w:tcPr>
          <w:p>
            <w:r>
              <w:rPr>
                <w:rFonts w:ascii="Times New Roman" w:hAnsi="Times New Roman"/>
                <w:sz w:val="20"/>
              </w:rPr>
              <w:t>285-300</w:t>
            </w:r>
          </w:p>
        </w:tc>
        <w:tc>
          <w:tcPr>
            <w:tcW w:type="dxa" w:w="924"/>
          </w:tcPr>
          <w:p>
            <w:r>
              <w:rPr>
                <w:rFonts w:ascii="Times New Roman" w:hAnsi="Times New Roman"/>
                <w:sz w:val="20"/>
              </w:rPr>
              <w:t>N/A</w:t>
            </w:r>
          </w:p>
        </w:tc>
        <w:tc>
          <w:tcPr>
            <w:tcW w:type="dxa" w:w="924"/>
          </w:tcPr>
          <w:p>
            <w:r>
              <w:rPr>
                <w:rFonts w:ascii="Times New Roman" w:hAnsi="Times New Roman"/>
                <w:sz w:val="20"/>
              </w:rPr>
              <w:t>N/A</w:t>
            </w:r>
          </w:p>
        </w:tc>
        <w:tc>
          <w:tcPr>
            <w:tcW w:type="dxa" w:w="924"/>
          </w:tcPr>
          <w:p>
            <w:r>
              <w:rPr>
                <w:rFonts w:ascii="Times New Roman" w:hAnsi="Times New Roman"/>
                <w:sz w:val="20"/>
              </w:rPr>
              <w:t>290</w:t>
            </w:r>
          </w:p>
        </w:tc>
        <w:tc>
          <w:tcPr>
            <w:tcW w:type="dxa" w:w="924"/>
          </w:tcPr>
          <w:p>
            <w:r>
              <w:rPr>
                <w:rFonts w:ascii="Times New Roman" w:hAnsi="Times New Roman"/>
                <w:sz w:val="20"/>
              </w:rPr>
              <w:t>290</w:t>
            </w:r>
          </w:p>
        </w:tc>
        <w:tc>
          <w:tcPr>
            <w:tcW w:type="dxa" w:w="924"/>
          </w:tcPr>
          <w:p>
            <w:r>
              <w:rPr>
                <w:rFonts w:ascii="Times New Roman" w:hAnsi="Times New Roman"/>
                <w:sz w:val="20"/>
              </w:rPr>
              <w:t>395</w:t>
            </w:r>
          </w:p>
        </w:tc>
      </w:tr>
      <w:tr>
        <w:tc>
          <w:tcPr>
            <w:tcW w:type="dxa" w:w="924"/>
          </w:tcPr>
          <w:p>
            <w:r>
              <w:rPr>
                <w:rFonts w:ascii="Times New Roman" w:hAnsi="Times New Roman"/>
                <w:sz w:val="20"/>
              </w:rPr>
              <w:t>**Voie d'administration**</w:t>
            </w:r>
          </w:p>
        </w:tc>
        <w:tc>
          <w:tcPr>
            <w:tcW w:type="dxa" w:w="924"/>
          </w:tcPr>
          <w:p>
            <w:r>
              <w:rPr>
                <w:rFonts w:ascii="Times New Roman" w:hAnsi="Times New Roman"/>
                <w:sz w:val="20"/>
              </w:rPr>
              <w:t>Hémodialyse</w:t>
            </w:r>
          </w:p>
        </w:tc>
        <w:tc>
          <w:tcPr>
            <w:tcW w:type="dxa" w:w="924"/>
          </w:tcPr>
          <w:p>
            <w:r>
              <w:rPr>
                <w:rFonts w:ascii="Times New Roman" w:hAnsi="Times New Roman"/>
                <w:sz w:val="20"/>
              </w:rPr>
              <w:t>Hémodialyse</w:t>
            </w:r>
          </w:p>
        </w:tc>
        <w:tc>
          <w:tcPr>
            <w:tcW w:type="dxa" w:w="924"/>
          </w:tcPr>
          <w:p>
            <w:r>
              <w:rPr>
                <w:rFonts w:ascii="Times New Roman" w:hAnsi="Times New Roman"/>
                <w:sz w:val="20"/>
              </w:rPr>
              <w:t>Hémodialyse</w:t>
            </w:r>
          </w:p>
        </w:tc>
        <w:tc>
          <w:tcPr>
            <w:tcW w:type="dxa" w:w="924"/>
          </w:tcPr>
          <w:p>
            <w:r>
              <w:rPr>
                <w:rFonts w:ascii="Times New Roman" w:hAnsi="Times New Roman"/>
                <w:sz w:val="20"/>
              </w:rPr>
              <w:t>Hémodialyse</w:t>
            </w:r>
          </w:p>
        </w:tc>
        <w:tc>
          <w:tcPr>
            <w:tcW w:type="dxa" w:w="924"/>
          </w:tcPr>
          <w:p>
            <w:r>
              <w:rPr>
                <w:rFonts w:ascii="Times New Roman" w:hAnsi="Times New Roman"/>
                <w:sz w:val="20"/>
              </w:rPr>
              <w:t>Hémodialyse</w:t>
            </w:r>
          </w:p>
        </w:tc>
        <w:tc>
          <w:tcPr>
            <w:tcW w:type="dxa" w:w="924"/>
          </w:tcPr>
          <w:p>
            <w:r>
              <w:rPr>
                <w:rFonts w:ascii="Times New Roman" w:hAnsi="Times New Roman"/>
                <w:sz w:val="20"/>
              </w:rPr>
              <w:t>Hémofiltration</w:t>
            </w:r>
          </w:p>
        </w:tc>
        <w:tc>
          <w:tcPr>
            <w:tcW w:type="dxa" w:w="924"/>
          </w:tcPr>
          <w:p>
            <w:r>
              <w:rPr>
                <w:rFonts w:ascii="Times New Roman" w:hAnsi="Times New Roman"/>
                <w:sz w:val="20"/>
              </w:rPr>
              <w:t>Hémofiltration</w:t>
            </w:r>
          </w:p>
        </w:tc>
        <w:tc>
          <w:tcPr>
            <w:tcW w:type="dxa" w:w="924"/>
          </w:tcPr>
          <w:p>
            <w:r>
              <w:rPr>
                <w:rFonts w:ascii="Times New Roman" w:hAnsi="Times New Roman"/>
                <w:sz w:val="20"/>
              </w:rPr>
              <w:t>Dialyse péritonéale</w:t>
            </w:r>
          </w:p>
        </w:tc>
      </w:tr>
      <w:tr>
        <w:tc>
          <w:tcPr>
            <w:tcW w:type="dxa" w:w="924"/>
          </w:tcPr>
          <w:p>
            <w:r>
              <w:rPr>
                <w:rFonts w:ascii="Times New Roman" w:hAnsi="Times New Roman"/>
                <w:sz w:val="20"/>
              </w:rPr>
              <w:t>**Conditionnement**</w:t>
            </w:r>
          </w:p>
        </w:tc>
        <w:tc>
          <w:tcPr>
            <w:tcW w:type="dxa" w:w="924"/>
          </w:tcPr>
          <w:p>
            <w:r>
              <w:rPr>
                <w:rFonts w:ascii="Times New Roman" w:hAnsi="Times New Roman"/>
                <w:sz w:val="20"/>
              </w:rPr>
              <w:t>Bidon 10 L</w:t>
            </w:r>
          </w:p>
        </w:tc>
        <w:tc>
          <w:tcPr>
            <w:tcW w:type="dxa" w:w="924"/>
          </w:tcPr>
          <w:p>
            <w:r>
              <w:rPr>
                <w:rFonts w:ascii="Times New Roman" w:hAnsi="Times New Roman"/>
                <w:sz w:val="20"/>
              </w:rPr>
              <w:t>Double bidon 10 L</w:t>
            </w:r>
          </w:p>
        </w:tc>
        <w:tc>
          <w:tcPr>
            <w:tcW w:type="dxa" w:w="924"/>
          </w:tcPr>
          <w:p>
            <w:r>
              <w:rPr>
                <w:rFonts w:ascii="Times New Roman" w:hAnsi="Times New Roman"/>
                <w:sz w:val="20"/>
              </w:rPr>
              <w:t>Bidon 10 L (poudre)</w:t>
            </w:r>
          </w:p>
        </w:tc>
        <w:tc>
          <w:tcPr>
            <w:tcW w:type="dxa" w:w="924"/>
          </w:tcPr>
          <w:p>
            <w:r>
              <w:rPr>
                <w:rFonts w:ascii="Times New Roman" w:hAnsi="Times New Roman"/>
                <w:sz w:val="20"/>
              </w:rPr>
              <w:t>Bidon 10 L</w:t>
            </w:r>
          </w:p>
        </w:tc>
        <w:tc>
          <w:tcPr>
            <w:tcW w:type="dxa" w:w="924"/>
          </w:tcPr>
          <w:p>
            <w:r>
              <w:rPr>
                <w:rFonts w:ascii="Times New Roman" w:hAnsi="Times New Roman"/>
                <w:sz w:val="20"/>
              </w:rPr>
              <w:t>Bidon 10 L</w:t>
            </w:r>
          </w:p>
        </w:tc>
        <w:tc>
          <w:tcPr>
            <w:tcW w:type="dxa" w:w="924"/>
          </w:tcPr>
          <w:p>
            <w:r>
              <w:rPr>
                <w:rFonts w:ascii="Times New Roman" w:hAnsi="Times New Roman"/>
                <w:sz w:val="20"/>
              </w:rPr>
              <w:t>Poche 5 L bi-compart.</w:t>
            </w:r>
          </w:p>
        </w:tc>
        <w:tc>
          <w:tcPr>
            <w:tcW w:type="dxa" w:w="924"/>
          </w:tcPr>
          <w:p>
            <w:r>
              <w:rPr>
                <w:rFonts w:ascii="Times New Roman" w:hAnsi="Times New Roman"/>
                <w:sz w:val="20"/>
              </w:rPr>
              <w:t>Poche 5 L bi-compart.</w:t>
            </w:r>
          </w:p>
        </w:tc>
        <w:tc>
          <w:tcPr>
            <w:tcW w:type="dxa" w:w="924"/>
          </w:tcPr>
          <w:p>
            <w:r>
              <w:rPr>
                <w:rFonts w:ascii="Times New Roman" w:hAnsi="Times New Roman"/>
                <w:sz w:val="20"/>
              </w:rPr>
              <w:t>Poche double 2 L</w:t>
            </w:r>
          </w:p>
        </w:tc>
      </w:tr>
      <w:tr>
        <w:tc>
          <w:tcPr>
            <w:tcW w:type="dxa" w:w="924"/>
          </w:tcPr>
          <w:p>
            <w:r>
              <w:rPr>
                <w:rFonts w:ascii="Times New Roman" w:hAnsi="Times New Roman"/>
                <w:sz w:val="20"/>
              </w:rPr>
              <w:t>**Dilution**</w:t>
            </w:r>
          </w:p>
        </w:tc>
        <w:tc>
          <w:tcPr>
            <w:tcW w:type="dxa" w:w="924"/>
          </w:tcPr>
          <w:p>
            <w:r>
              <w:rPr>
                <w:rFonts w:ascii="Times New Roman" w:hAnsi="Times New Roman"/>
                <w:sz w:val="20"/>
              </w:rPr>
              <w:t>1:35</w:t>
            </w:r>
          </w:p>
        </w:tc>
        <w:tc>
          <w:tcPr>
            <w:tcW w:type="dxa" w:w="924"/>
          </w:tcPr>
          <w:p>
            <w:r>
              <w:rPr>
                <w:rFonts w:ascii="Times New Roman" w:hAnsi="Times New Roman"/>
                <w:sz w:val="20"/>
              </w:rPr>
              <w:t>1:35</w:t>
            </w:r>
          </w:p>
        </w:tc>
        <w:tc>
          <w:tcPr>
            <w:tcW w:type="dxa" w:w="924"/>
          </w:tcPr>
          <w:p>
            <w:r>
              <w:rPr>
                <w:rFonts w:ascii="Times New Roman" w:hAnsi="Times New Roman"/>
                <w:sz w:val="20"/>
              </w:rPr>
              <w:t>1:35 (après dissolution)</w:t>
            </w:r>
          </w:p>
        </w:tc>
        <w:tc>
          <w:tcPr>
            <w:tcW w:type="dxa" w:w="924"/>
          </w:tcPr>
          <w:p>
            <w:r>
              <w:rPr>
                <w:rFonts w:ascii="Times New Roman" w:hAnsi="Times New Roman"/>
                <w:sz w:val="20"/>
              </w:rPr>
              <w:t>1:35</w:t>
            </w:r>
          </w:p>
        </w:tc>
        <w:tc>
          <w:tcPr>
            <w:tcW w:type="dxa" w:w="924"/>
          </w:tcPr>
          <w:p>
            <w:r>
              <w:rPr>
                <w:rFonts w:ascii="Times New Roman" w:hAnsi="Times New Roman"/>
                <w:sz w:val="20"/>
              </w:rPr>
              <w:t>1:35</w:t>
            </w:r>
          </w:p>
        </w:tc>
        <w:tc>
          <w:tcPr>
            <w:tcW w:type="dxa" w:w="924"/>
          </w:tcPr>
          <w:p>
            <w:r>
              <w:rPr>
                <w:rFonts w:ascii="Times New Roman" w:hAnsi="Times New Roman"/>
                <w:sz w:val="20"/>
              </w:rPr>
              <w:t>Prêt à l'emploi après activation</w:t>
            </w:r>
          </w:p>
        </w:tc>
        <w:tc>
          <w:tcPr>
            <w:tcW w:type="dxa" w:w="924"/>
          </w:tcPr>
          <w:p>
            <w:r>
              <w:rPr>
                <w:rFonts w:ascii="Times New Roman" w:hAnsi="Times New Roman"/>
                <w:sz w:val="20"/>
              </w:rPr>
              <w:t>Prêt à l'emploi après activation</w:t>
            </w:r>
          </w:p>
        </w:tc>
        <w:tc>
          <w:tcPr>
            <w:tcW w:type="dxa" w:w="924"/>
          </w:tcPr>
          <w:p>
            <w:r>
              <w:rPr>
                <w:rFonts w:ascii="Times New Roman" w:hAnsi="Times New Roman"/>
                <w:sz w:val="20"/>
              </w:rPr>
              <w:t>Prêt à l'emploi</w:t>
            </w:r>
          </w:p>
        </w:tc>
      </w:tr>
      <w:tr>
        <w:tc>
          <w:tcPr>
            <w:tcW w:type="dxa" w:w="924"/>
          </w:tcPr>
          <w:p>
            <w:r>
              <w:rPr>
                <w:rFonts w:ascii="Times New Roman" w:hAnsi="Times New Roman"/>
                <w:sz w:val="20"/>
              </w:rPr>
              <w:t>**Concentration Ca²⁺ (mmol/L)**</w:t>
            </w:r>
          </w:p>
        </w:tc>
        <w:tc>
          <w:tcPr>
            <w:tcW w:type="dxa" w:w="924"/>
          </w:tcPr>
          <w:p>
            <w:r>
              <w:rPr>
                <w:rFonts w:ascii="Times New Roman" w:hAnsi="Times New Roman"/>
                <w:sz w:val="20"/>
              </w:rPr>
              <w:t>1,5 ou 1,75</w:t>
            </w:r>
          </w:p>
        </w:tc>
        <w:tc>
          <w:tcPr>
            <w:tcW w:type="dxa" w:w="924"/>
          </w:tcPr>
          <w:p>
            <w:r>
              <w:rPr>
                <w:rFonts w:ascii="Times New Roman" w:hAnsi="Times New Roman"/>
                <w:sz w:val="20"/>
              </w:rPr>
              <w:t>1,75</w:t>
            </w:r>
          </w:p>
        </w:tc>
        <w:tc>
          <w:tcPr>
            <w:tcW w:type="dxa" w:w="924"/>
          </w:tcPr>
          <w:p>
            <w:r>
              <w:rPr>
                <w:rFonts w:ascii="Times New Roman" w:hAnsi="Times New Roman"/>
                <w:sz w:val="20"/>
              </w:rPr>
              <w:t>1,75</w:t>
            </w:r>
          </w:p>
        </w:tc>
        <w:tc>
          <w:tcPr>
            <w:tcW w:type="dxa" w:w="924"/>
          </w:tcPr>
          <w:p>
            <w:r>
              <w:rPr>
                <w:rFonts w:ascii="Times New Roman" w:hAnsi="Times New Roman"/>
                <w:sz w:val="20"/>
              </w:rPr>
              <w:t>N/A</w:t>
            </w:r>
          </w:p>
        </w:tc>
        <w:tc>
          <w:tcPr>
            <w:tcW w:type="dxa" w:w="924"/>
          </w:tcPr>
          <w:p>
            <w:r>
              <w:rPr>
                <w:rFonts w:ascii="Times New Roman" w:hAnsi="Times New Roman"/>
                <w:sz w:val="20"/>
              </w:rPr>
              <w:t>N/A</w:t>
            </w:r>
          </w:p>
        </w:tc>
        <w:tc>
          <w:tcPr>
            <w:tcW w:type="dxa" w:w="924"/>
          </w:tcPr>
          <w:p>
            <w:r>
              <w:rPr>
                <w:rFonts w:ascii="Times New Roman" w:hAnsi="Times New Roman"/>
                <w:sz w:val="20"/>
              </w:rPr>
              <w:t>1,75</w:t>
            </w:r>
          </w:p>
        </w:tc>
        <w:tc>
          <w:tcPr>
            <w:tcW w:type="dxa" w:w="924"/>
          </w:tcPr>
          <w:p>
            <w:r>
              <w:rPr>
                <w:rFonts w:ascii="Times New Roman" w:hAnsi="Times New Roman"/>
                <w:sz w:val="20"/>
              </w:rPr>
              <w:t>1,75</w:t>
            </w:r>
          </w:p>
        </w:tc>
        <w:tc>
          <w:tcPr>
            <w:tcW w:type="dxa" w:w="924"/>
          </w:tcPr>
          <w:p>
            <w:r>
              <w:rPr>
                <w:rFonts w:ascii="Times New Roman" w:hAnsi="Times New Roman"/>
                <w:sz w:val="20"/>
              </w:rPr>
              <w:t>1,75</w:t>
            </w:r>
          </w:p>
        </w:tc>
      </w:tr>
      <w:tr>
        <w:tc>
          <w:tcPr>
            <w:tcW w:type="dxa" w:w="924"/>
          </w:tcPr>
          <w:p>
            <w:r>
              <w:rPr>
                <w:rFonts w:ascii="Times New Roman" w:hAnsi="Times New Roman"/>
                <w:sz w:val="20"/>
              </w:rPr>
              <w:t>**Concentration K⁺ (mmol/L)**</w:t>
            </w:r>
          </w:p>
        </w:tc>
        <w:tc>
          <w:tcPr>
            <w:tcW w:type="dxa" w:w="924"/>
          </w:tcPr>
          <w:p>
            <w:r>
              <w:rPr>
                <w:rFonts w:ascii="Times New Roman" w:hAnsi="Times New Roman"/>
                <w:sz w:val="20"/>
              </w:rPr>
              <w:t>2 ou 3</w:t>
            </w:r>
          </w:p>
        </w:tc>
        <w:tc>
          <w:tcPr>
            <w:tcW w:type="dxa" w:w="924"/>
          </w:tcPr>
          <w:p>
            <w:r>
              <w:rPr>
                <w:rFonts w:ascii="Times New Roman" w:hAnsi="Times New Roman"/>
                <w:sz w:val="20"/>
              </w:rPr>
              <w:t>2</w:t>
            </w:r>
          </w:p>
        </w:tc>
        <w:tc>
          <w:tcPr>
            <w:tcW w:type="dxa" w:w="924"/>
          </w:tcPr>
          <w:p>
            <w:r>
              <w:rPr>
                <w:rFonts w:ascii="Times New Roman" w:hAnsi="Times New Roman"/>
                <w:sz w:val="20"/>
              </w:rPr>
              <w:t>2</w:t>
            </w:r>
          </w:p>
        </w:tc>
        <w:tc>
          <w:tcPr>
            <w:tcW w:type="dxa" w:w="924"/>
          </w:tcPr>
          <w:p>
            <w:r>
              <w:rPr>
                <w:rFonts w:ascii="Times New Roman" w:hAnsi="Times New Roman"/>
                <w:sz w:val="20"/>
              </w:rPr>
              <w:t>N/A</w:t>
            </w:r>
          </w:p>
        </w:tc>
        <w:tc>
          <w:tcPr>
            <w:tcW w:type="dxa" w:w="924"/>
          </w:tcPr>
          <w:p>
            <w:r>
              <w:rPr>
                <w:rFonts w:ascii="Times New Roman" w:hAnsi="Times New Roman"/>
                <w:sz w:val="20"/>
              </w:rPr>
              <w:t>N/A</w:t>
            </w:r>
          </w:p>
        </w:tc>
        <w:tc>
          <w:tcPr>
            <w:tcW w:type="dxa" w:w="924"/>
          </w:tcPr>
          <w:p>
            <w:r>
              <w:rPr>
                <w:rFonts w:ascii="Times New Roman" w:hAnsi="Times New Roman"/>
                <w:sz w:val="20"/>
              </w:rPr>
              <w:t>0</w:t>
            </w:r>
          </w:p>
        </w:tc>
        <w:tc>
          <w:tcPr>
            <w:tcW w:type="dxa" w:w="924"/>
          </w:tcPr>
          <w:p>
            <w:r>
              <w:rPr>
                <w:rFonts w:ascii="Times New Roman" w:hAnsi="Times New Roman"/>
                <w:sz w:val="20"/>
              </w:rPr>
              <w:t>3 ou 4</w:t>
            </w:r>
          </w:p>
        </w:tc>
        <w:tc>
          <w:tcPr>
            <w:tcW w:type="dxa" w:w="924"/>
          </w:tcPr>
          <w:p>
            <w:r>
              <w:rPr>
                <w:rFonts w:ascii="Times New Roman" w:hAnsi="Times New Roman"/>
                <w:sz w:val="20"/>
              </w:rPr>
              <w:t>0</w:t>
            </w:r>
          </w:p>
        </w:tc>
      </w:tr>
      <w:tr>
        <w:tc>
          <w:tcPr>
            <w:tcW w:type="dxa" w:w="924"/>
          </w:tcPr>
          <w:p>
            <w:r>
              <w:rPr>
                <w:rFonts w:ascii="Times New Roman" w:hAnsi="Times New Roman"/>
                <w:sz w:val="20"/>
              </w:rPr>
              <w:t>**Concentration HCO₃⁻ (mmol/L)**</w:t>
            </w:r>
          </w:p>
        </w:tc>
        <w:tc>
          <w:tcPr>
            <w:tcW w:type="dxa" w:w="924"/>
          </w:tcPr>
          <w:p>
            <w:r>
              <w:rPr>
                <w:rFonts w:ascii="Times New Roman" w:hAnsi="Times New Roman"/>
                <w:sz w:val="20"/>
              </w:rPr>
              <w:t>0 (apport via concentré B)</w:t>
            </w:r>
          </w:p>
        </w:tc>
        <w:tc>
          <w:tcPr>
            <w:tcW w:type="dxa" w:w="924"/>
          </w:tcPr>
          <w:p>
            <w:r>
              <w:rPr>
                <w:rFonts w:ascii="Times New Roman" w:hAnsi="Times New Roman"/>
                <w:sz w:val="20"/>
              </w:rPr>
              <w:t>30-35</w:t>
            </w:r>
          </w:p>
        </w:tc>
        <w:tc>
          <w:tcPr>
            <w:tcW w:type="dxa" w:w="924"/>
          </w:tcPr>
          <w:p>
            <w:r>
              <w:rPr>
                <w:rFonts w:ascii="Times New Roman" w:hAnsi="Times New Roman"/>
                <w:sz w:val="20"/>
              </w:rPr>
              <w:t>30-35 (via concentré B)</w:t>
            </w:r>
          </w:p>
        </w:tc>
        <w:tc>
          <w:tcPr>
            <w:tcW w:type="dxa" w:w="924"/>
          </w:tcPr>
          <w:p>
            <w:r>
              <w:rPr>
                <w:rFonts w:ascii="Times New Roman" w:hAnsi="Times New Roman"/>
                <w:sz w:val="20"/>
              </w:rPr>
              <w:t>N/A</w:t>
            </w:r>
          </w:p>
        </w:tc>
        <w:tc>
          <w:tcPr>
            <w:tcW w:type="dxa" w:w="924"/>
          </w:tcPr>
          <w:p>
            <w:r>
              <w:rPr>
                <w:rFonts w:ascii="Times New Roman" w:hAnsi="Times New Roman"/>
                <w:sz w:val="20"/>
              </w:rPr>
              <w:t>N/A</w:t>
            </w:r>
          </w:p>
        </w:tc>
        <w:tc>
          <w:tcPr>
            <w:tcW w:type="dxa" w:w="924"/>
          </w:tcPr>
          <w:p>
            <w:r>
              <w:rPr>
                <w:rFonts w:ascii="Times New Roman" w:hAnsi="Times New Roman"/>
                <w:sz w:val="20"/>
              </w:rPr>
              <w:t>35</w:t>
            </w:r>
          </w:p>
        </w:tc>
        <w:tc>
          <w:tcPr>
            <w:tcW w:type="dxa" w:w="924"/>
          </w:tcPr>
          <w:p>
            <w:r>
              <w:rPr>
                <w:rFonts w:ascii="Times New Roman" w:hAnsi="Times New Roman"/>
                <w:sz w:val="20"/>
              </w:rPr>
              <w:t>35</w:t>
            </w:r>
          </w:p>
        </w:tc>
        <w:tc>
          <w:tcPr>
            <w:tcW w:type="dxa" w:w="924"/>
          </w:tcPr>
          <w:p>
            <w:r>
              <w:rPr>
                <w:rFonts w:ascii="Times New Roman" w:hAnsi="Times New Roman"/>
                <w:sz w:val="20"/>
              </w:rPr>
              <w:t>0 (lactate 35)</w:t>
            </w:r>
          </w:p>
        </w:tc>
      </w:tr>
      <w:tr>
        <w:tc>
          <w:tcPr>
            <w:tcW w:type="dxa" w:w="924"/>
          </w:tcPr>
          <w:p>
            <w:r>
              <w:rPr>
                <w:rFonts w:ascii="Times New Roman" w:hAnsi="Times New Roman"/>
                <w:sz w:val="20"/>
              </w:rPr>
              <w:t>**Glucose (g/L)**</w:t>
            </w:r>
          </w:p>
        </w:tc>
        <w:tc>
          <w:tcPr>
            <w:tcW w:type="dxa" w:w="924"/>
          </w:tcPr>
          <w:p>
            <w:r>
              <w:rPr>
                <w:rFonts w:ascii="Times New Roman" w:hAnsi="Times New Roman"/>
                <w:sz w:val="20"/>
              </w:rPr>
              <w:t>0 (série A) ou 1-2 (série G)</w:t>
            </w:r>
          </w:p>
        </w:tc>
        <w:tc>
          <w:tcPr>
            <w:tcW w:type="dxa" w:w="924"/>
          </w:tcPr>
          <w:p>
            <w:r>
              <w:rPr>
                <w:rFonts w:ascii="Times New Roman" w:hAnsi="Times New Roman"/>
                <w:sz w:val="20"/>
              </w:rPr>
              <w:t>0</w:t>
            </w:r>
          </w:p>
        </w:tc>
        <w:tc>
          <w:tcPr>
            <w:tcW w:type="dxa" w:w="924"/>
          </w:tcPr>
          <w:p>
            <w:r>
              <w:rPr>
                <w:rFonts w:ascii="Times New Roman" w:hAnsi="Times New Roman"/>
                <w:sz w:val="20"/>
              </w:rPr>
              <w:t>0</w:t>
            </w:r>
          </w:p>
        </w:tc>
        <w:tc>
          <w:tcPr>
            <w:tcW w:type="dxa" w:w="924"/>
          </w:tcPr>
          <w:p>
            <w:r>
              <w:rPr>
                <w:rFonts w:ascii="Times New Roman" w:hAnsi="Times New Roman"/>
                <w:sz w:val="20"/>
              </w:rPr>
              <w:t>N/A</w:t>
            </w:r>
          </w:p>
        </w:tc>
        <w:tc>
          <w:tcPr>
            <w:tcW w:type="dxa" w:w="924"/>
          </w:tcPr>
          <w:p>
            <w:r>
              <w:rPr>
                <w:rFonts w:ascii="Times New Roman" w:hAnsi="Times New Roman"/>
                <w:sz w:val="20"/>
              </w:rPr>
              <w:t>N/A</w:t>
            </w:r>
          </w:p>
        </w:tc>
        <w:tc>
          <w:tcPr>
            <w:tcW w:type="dxa" w:w="924"/>
          </w:tcPr>
          <w:p>
            <w:r>
              <w:rPr>
                <w:rFonts w:ascii="Times New Roman" w:hAnsi="Times New Roman"/>
                <w:sz w:val="20"/>
              </w:rPr>
              <w:t>1,0</w:t>
            </w:r>
          </w:p>
        </w:tc>
        <w:tc>
          <w:tcPr>
            <w:tcW w:type="dxa" w:w="924"/>
          </w:tcPr>
          <w:p>
            <w:r>
              <w:rPr>
                <w:rFonts w:ascii="Times New Roman" w:hAnsi="Times New Roman"/>
                <w:sz w:val="20"/>
              </w:rPr>
              <w:t>1,0</w:t>
            </w:r>
          </w:p>
        </w:tc>
        <w:tc>
          <w:tcPr>
            <w:tcW w:type="dxa" w:w="924"/>
          </w:tcPr>
          <w:p>
            <w:r>
              <w:rPr>
                <w:rFonts w:ascii="Times New Roman" w:hAnsi="Times New Roman"/>
                <w:sz w:val="20"/>
              </w:rPr>
              <w:t>22,7 (anhydre)</w:t>
            </w:r>
          </w:p>
        </w:tc>
      </w:tr>
      <w:tr>
        <w:tc>
          <w:tcPr>
            <w:tcW w:type="dxa" w:w="924"/>
          </w:tcPr>
          <w:p>
            <w:r>
              <w:rPr>
                <w:rFonts w:ascii="Times New Roman" w:hAnsi="Times New Roman"/>
                <w:sz w:val="20"/>
              </w:rPr>
              <w:t>**Piège majeur comptoir**</w:t>
            </w:r>
          </w:p>
        </w:tc>
        <w:tc>
          <w:tcPr>
            <w:tcW w:type="dxa" w:w="924"/>
          </w:tcPr>
          <w:p>
            <w:r>
              <w:rPr>
                <w:rFonts w:ascii="Times New Roman" w:hAnsi="Times New Roman"/>
                <w:sz w:val="20"/>
              </w:rPr>
              <w:t>Confusion A15/A18 (Ca 1,75) vs A16/A26/A27 (Ca 1,5)</w:t>
            </w:r>
          </w:p>
        </w:tc>
        <w:tc>
          <w:tcPr>
            <w:tcW w:type="dxa" w:w="924"/>
          </w:tcPr>
          <w:p>
            <w:r>
              <w:rPr>
                <w:rFonts w:ascii="Times New Roman" w:hAnsi="Times New Roman"/>
                <w:sz w:val="20"/>
              </w:rPr>
              <w:t>ACIDE BIOTIC non renouvelé</w:t>
            </w:r>
          </w:p>
        </w:tc>
        <w:tc>
          <w:tcPr>
            <w:tcW w:type="dxa" w:w="924"/>
          </w:tcPr>
          <w:p>
            <w:r>
              <w:rPr>
                <w:rFonts w:ascii="Times New Roman" w:hAnsi="Times New Roman"/>
                <w:sz w:val="20"/>
              </w:rPr>
              <w:t>ACIDIAL non renouvelé</w:t>
            </w:r>
          </w:p>
        </w:tc>
        <w:tc>
          <w:tcPr>
            <w:tcW w:type="dxa" w:w="924"/>
          </w:tcPr>
          <w:p>
            <w:r>
              <w:rPr>
                <w:rFonts w:ascii="Times New Roman" w:hAnsi="Times New Roman"/>
                <w:sz w:val="20"/>
              </w:rPr>
              <w:t>Spécialité retirée — ne pas dispenser</w:t>
            </w:r>
          </w:p>
        </w:tc>
        <w:tc>
          <w:tcPr>
            <w:tcW w:type="dxa" w:w="924"/>
          </w:tcPr>
          <w:p>
            <w:r>
              <w:rPr>
                <w:rFonts w:ascii="Times New Roman" w:hAnsi="Times New Roman"/>
                <w:sz w:val="20"/>
              </w:rPr>
              <w:t>Spécialité retirée — ne pas dispenser</w:t>
            </w:r>
          </w:p>
        </w:tc>
        <w:tc>
          <w:tcPr>
            <w:tcW w:type="dxa" w:w="924"/>
          </w:tcPr>
          <w:p>
            <w:r>
              <w:rPr>
                <w:rFonts w:ascii="Times New Roman" w:hAnsi="Times New Roman"/>
                <w:sz w:val="20"/>
              </w:rPr>
              <w:t>Sans K — ajouter KCl extemporané</w:t>
            </w:r>
          </w:p>
        </w:tc>
        <w:tc>
          <w:tcPr>
            <w:tcW w:type="dxa" w:w="924"/>
          </w:tcPr>
          <w:p>
            <w:r>
              <w:rPr>
                <w:rFonts w:ascii="Times New Roman" w:hAnsi="Times New Roman"/>
                <w:sz w:val="20"/>
              </w:rPr>
              <w:t>Ne pas confondre K 3 et K 4</w:t>
            </w:r>
          </w:p>
        </w:tc>
        <w:tc>
          <w:tcPr>
            <w:tcW w:type="dxa" w:w="924"/>
          </w:tcPr>
          <w:p>
            <w:r>
              <w:rPr>
                <w:rFonts w:ascii="Times New Roman" w:hAnsi="Times New Roman"/>
                <w:sz w:val="20"/>
              </w:rPr>
              <w:t>Confusion anhydre/monohydrate</w:t>
            </w:r>
          </w:p>
        </w:tc>
      </w:tr>
    </w:tbl>
    <w:p/>
    <w:p>
      <w:pPr>
        <w:pStyle w:val="Heading3"/>
      </w:pPr>
      <w:r>
        <w:t>223.12 Synthèse pédagogique pour la pratique algérienne</w:t>
      </w:r>
    </w:p>
    <w:p>
      <w:r>
        <w:t>Les concentrés pour hémodialyse et solutions d'hémofiltration disponibles en Algérie couvrent l'ensemble des besoins de la suppléance rénale en hémodialyse conventionnelle, en hémodiafiltration en ligne (HDF) et en hémofiltration continue (CVVH) en réanimation. Les messages clés à retenir sont les suivants : (1) la gamme RENACID (IMC) constitue le pilier de l'offre nationale algérienne, avec plus de 12 variantes (série A sans glucose, série G avec glucose) permettant l'adaptation aux besoins électrolytiques de chaque patient ; (2) le système bipartite liquide RENACID A14 RENABIC L14 simplifie la préparation et améliore la stabilité chimique du bicarbonate liquide ; (3) les formulations en poudre (RENACID A13, ACIDIAL) présentent l'avantage d'un encombrement réduit mais imposent une dissolution manuelle soignée ; (4) les spécialités HEMODIALYSE F/A et HEMODIALYSE F/B (SAIDAL) ont été retirées du marché algérien — ne pas dispenser, proposer une substitution (RENACID A-series et RENABIC L14) ; (5) les solutions d'hémofiltration bi-compartimentées (MULTIBIC SANS SUCRE, MUTI-BIC 3 et 4 mmol/L potassium) sont importées par Fresenius Medical Care Deutschland GmbH et sont utilisées en hémodiafiltration en ligne (HDF) et en hémofiltration continue (CVVH) en réanimation ; (6) la solution DPCA FORMULE 91 (Baxter S.P.A) est une solution pour dialyse péritonéale continue ambulatoire à concentration de glucose intermédiaire (22,7 % anhydre = 2,5 % monohydrate). Le pharmacien doit également être vigilant sur les pièges de composition (Ca 1,5 vs 1,75 mmol/L ; K 0/2/3/4 mmol/L ; glucose présent/absent ; anhydre vs monohydrate), de dilution (jamais perfusion directe, dilution 1:35 obligatoire), de mélange (jamais A+B directs sans eau), et de statut (spécialités retirées — ne pas dispenser).</w:t>
      </w:r>
    </w:p>
    <w:p>
      <w:pPr>
        <w:pStyle w:val="Heading2"/>
      </w:pPr>
      <w:r>
        <w:t>Section 224 — Colloïdes et expérimentateurs plasmatiques</w:t>
      </w:r>
    </w:p>
    <w:p>
      <w:pPr>
        <w:pStyle w:val="Heading3"/>
      </w:pPr>
      <w:r>
        <w:t>224.0 Introduction de la sous-classe</w:t>
      </w:r>
    </w:p>
    <w:p>
      <w:r>
        <w:t xml:space="preserve">Les colloïdes désignent les solutions contenant des macromolécules (poids moléculaire &gt; 10 000 Da) qui, en raison de leur taille, ne traversent pas la membrane capillaire et exercent une pression oncotique maintenant l'eau dans le compartiment vasculaire. Ils sont utilisés pour le remplissage vasculaire en cas d'hypovolémie sévère, lorsque les cristalloïdes seuls s'avèrent insuffisants pour restaurer la volémie et la perfusion tissulaire. Les principales classes de colloïdes sont : (1) les </w:t>
      </w:r>
      <w:r>
        <w:rPr>
          <w:b/>
        </w:rPr>
        <w:t>gélatines</w:t>
      </w:r>
      <w:r>
        <w:t xml:space="preserve"> (gélatine fluide modifiée, polysuccinate de gélatine, gélatine modifiée avec électrolytes) ; (2) les </w:t>
      </w:r>
      <w:r>
        <w:rPr>
          <w:b/>
        </w:rPr>
        <w:t>hydroxyéthylamidons</w:t>
      </w:r>
      <w:r>
        <w:t xml:space="preserve"> (HEA 130/0,4, HEA 200/0,5 — retirés) ; (3) l'</w:t>
      </w:r>
      <w:r>
        <w:rPr>
          <w:b/>
        </w:rPr>
        <w:t>albumine humaine</w:t>
      </w:r>
      <w:r>
        <w:t xml:space="preserve"> (à 4 %, 5 %, 20 %, 25 % — non traitée dans ce fascicule) ; (4) les </w:t>
      </w:r>
      <w:r>
        <w:rPr>
          <w:b/>
        </w:rPr>
        <w:t>dextrans</w:t>
      </w:r>
      <w:r>
        <w:t xml:space="preserve"> (dextran 40, dextran 70 — non commercialisés en Algérie).</w:t>
      </w:r>
    </w:p>
    <w:p>
      <w:r>
        <w:t>Le débat cristalloïdes versus colloïdes a largement évolué au cours des deux dernières décennies. Les essais cliniques majeurs (SAFE 2004, CHEST 2012, 6S 2012, CRISTAL 2013, ALBIOS 2014) ont successivement montré : (1) l'absence de supériorité de l'albumine sur le NaCl 0,9 % en réanimation générale (SAFE) ; (2) la toxicité rénale et la surmortalité des HEA chez le patient septique sévère (CHEST, 6S) ; (3) l'absence de supériorité des colloïdes sur les cristalloïdes en choc hémorragique (CRISTAL). Ces données ont conduit à des restrictions réglementaires majeures par l'EMA (juin 2013) et la FDA (novembre 2013) sur l'usage des HEA, avec contre-indication absolue en cas de sepsis, de brûlures graves, de déshydratation critique et d'insuffisance rénale.</w:t>
      </w:r>
    </w:p>
    <w:p>
      <w:r>
        <w:t>La Surviving Sepsis Campaign 2021 recommande désormais explicitement l'usage des cristalloïdes en première intention pour la réanimation du choc septique, et contre-indique l'usage des HEA chez le patient septique (niveau de recommandation fort, qualité d'évidence élevée). Les gélatines restent autorisées en seconde ligne, lorsque les cristalloïdes seuls s'avèrent insuffisants, et en l'absence d'alternative transfusionnelle immédiate. En Algérie, deux spécialités de gélatine sont disponibles (GELAFUNDIN 4 % B.Braun actif, PLASMION 3 % Fresenius Kabi non renouvelable) et une spécialité d'HEA 130/0,4 (VOLUVEN 6 % Fresenius Kabi, non renouvelable). Le marché algérien est donc dépendant des importations, et la disponibilité future de ces spécialités reste incertaine en raison du statut non renouvelable.</w:t>
      </w:r>
    </w:p>
    <w:p>
      <w:pPr>
        <w:pStyle w:val="Heading3"/>
      </w:pPr>
      <w:r>
        <w:t>224.1 Gélatine fluide modifiée ou polysuccinate de gélatine (GELAFUNDIN)</w:t>
      </w:r>
    </w:p>
    <w:p>
      <w:pPr>
        <w:pStyle w:val="Heading4"/>
      </w:pPr>
      <w:r>
        <w:t>1. Liste des catégories thérapeutiques</w:t>
      </w:r>
    </w:p>
    <w:p>
      <w:r>
        <w:t xml:space="preserve">La gélatine fluide modifiée ou polysuccinate de gélatine est classée au niveau ATC comme </w:t>
      </w:r>
      <w:r>
        <w:rPr>
          <w:b/>
        </w:rPr>
        <w:t>B05AA01</w:t>
      </w:r>
      <w:r>
        <w:t xml:space="preserve"> (sang et produits sanguins — expérimentateurs plasmatiques — gélatine). Sur le plan réglementaire algérien, elle relève de la liste I des substances vénéneuses en raison de son administration parentérale et de son effet hémodynamique puissant. Elle appartient à la sous-classe des </w:t>
      </w:r>
      <w:r>
        <w:rPr>
          <w:b/>
        </w:rPr>
        <w:t>colloïdes gélatineux</w:t>
      </w:r>
      <w:r>
        <w:t xml:space="preserve"> de bas poids moléculaire (PM 30 000-35 000 Da), dont la pression oncotique (40-50 mmHg) est proche de celle de l'albumine humaine à 4-5 %. La spécialité GELAFUNDIN (B.Braun Melsungen AG) est inscrite dans la nomenclature algérienne comme solution pour perfusion à 4 % (4 g/100 mL). Le code ATC B05AA01 désigne spécifiquement la gélatine comme expérimentateur plasmatique. La solution ne contient pas de potassium, ce qui la rend compatible avec l'hyperkaliémie.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GELAFUNDIN</w:t>
            </w:r>
          </w:p>
        </w:tc>
        <w:tc>
          <w:tcPr>
            <w:tcW w:type="dxa" w:w="1385"/>
          </w:tcPr>
          <w:p>
            <w:r>
              <w:rPr>
                <w:rFonts w:ascii="Times New Roman" w:hAnsi="Times New Roman"/>
                <w:sz w:val="20"/>
              </w:rPr>
              <w:t>B.Braun Melsungen AG</w:t>
            </w:r>
          </w:p>
        </w:tc>
        <w:tc>
          <w:tcPr>
            <w:tcW w:type="dxa" w:w="1385"/>
          </w:tcPr>
          <w:p>
            <w:r>
              <w:rPr>
                <w:rFonts w:ascii="Times New Roman" w:hAnsi="Times New Roman"/>
                <w:sz w:val="20"/>
              </w:rPr>
              <w:t>Solution pour perfusion — Polysuccinate de gélatine (gélatine fluide modifiée) 4 % (4 g/100 mL)</w:t>
            </w:r>
          </w:p>
        </w:tc>
        <w:tc>
          <w:tcPr>
            <w:tcW w:type="dxa" w:w="1385"/>
          </w:tcPr>
          <w:p>
            <w:r>
              <w:rPr>
                <w:rFonts w:ascii="Times New Roman" w:hAnsi="Times New Roman"/>
                <w:sz w:val="20"/>
              </w:rPr>
              <w:t>Boîte de 10 flacons de 500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Composition détaillée par litre</w:t>
      </w:r>
      <w:r>
        <w:t xml:space="preserve"> : polysuccinate de gélatine (gélatine fluide modifiée) 40 g ; sodium 154 mmol ; chlorure 154 mmol ; PM moyen 30 000 Da. </w:t>
      </w:r>
      <w:r>
        <w:rPr>
          <w:b/>
        </w:rPr>
        <w:t>Osmolarité</w:t>
      </w:r>
      <w:r>
        <w:t xml:space="preserve"> : 308 mOsm/L (isotonique par rapport au plasma). </w:t>
      </w:r>
      <w:r>
        <w:rPr>
          <w:b/>
        </w:rPr>
        <w:t>Pression oncotique</w:t>
      </w:r>
      <w:r>
        <w:t xml:space="preserve"> : 40-50 mmHg. </w:t>
      </w:r>
      <w:r>
        <w:rPr>
          <w:b/>
        </w:rPr>
        <w:t>pH</w:t>
      </w:r>
      <w:r>
        <w:t xml:space="preserve"> : 7,1-7,7.</w:t>
      </w:r>
    </w:p>
    <w:p>
      <w:r/>
      <w:r>
        <w:rPr>
          <w:b/>
        </w:rPr>
        <w:t>Remarque</w:t>
      </w:r>
      <w:r>
        <w:t xml:space="preserve"> : la spécialité GELAFUNDIN ne contient pas de potassium, ce qui la rend compatible avec l'hyperkaliémie et l'insuffisance rénale. La concentration de 4 % (40 g/L) correspond à la concentration isotonique standard. Le polysuccinate de gélatine est une gélatine modifiée par succinylation (liaison covalente de groupes succinyles sur les chaînes latérales des acides aminés basiques), ce qui augmente le poids moléculaire moyen et la pression oncotique tout en réduisant la viscosité et la tendance à la gélification à basse température.</w:t>
      </w:r>
    </w:p>
    <w:p>
      <w:pPr>
        <w:pStyle w:val="Heading4"/>
      </w:pPr>
      <w:r>
        <w:t>3. Sous-classe et mécanisme d'action moléculaire</w:t>
      </w:r>
    </w:p>
    <w:p>
      <w:r>
        <w:t xml:space="preserve">La gélatine fluide modifiée appartient à la sous-classe des colloïdes gélatineux. Le mécanisme d'action repose sur la </w:t>
      </w:r>
      <w:r>
        <w:rPr>
          <w:b/>
        </w:rPr>
        <w:t>pression oncotique</w:t>
      </w:r>
      <w:r>
        <w:t xml:space="preserve"> exercée par les macromolécules de polysuccinate de gélatine (PM 30 000 Da), qui ne traversent pas la membrane capillaire (les pores capillaires ont un seuil de coupure à 65-70 kDa), et qui retiennent l'eau dans le compartiment vasculaire par pression oncotique. Une solution à 4 % de polysuccinate de gélatine exerce une pression oncotique de 40-50 mmHg, comparable à celle de l'albumine humaine à 4-5 %, et permet un remplissage vasculaire efficace avec 70-100 % du volume perfusé restant dans le compartiment vasculaire à 1 heure (versus 25-30 % pour les cristalloïdes). Le polysuccinate de gélatine est métabolisé par les protéases tissulaires (collagénases, élastases) en peptides et acides aminés qui sont éliminés par le rein (90 % en 24 heures) et le foie (10 %). La demi-vie d'élimination est de 4-6 heures chez le sujet sain, mais peut être prolongée en cas d'insuffisance rénale. La gélatine n'a pas d'effet pharmacodynamique propre (pas d'effet inotrope, pas d'effet vasoactif), son action est purement volémique. La solution ne contient pas de potassium, ce qui la rend compatible avec l'hyperkaliémie.</w:t>
      </w:r>
    </w:p>
    <w:p>
      <w:pPr>
        <w:pStyle w:val="Heading4"/>
      </w:pPr>
      <w:r>
        <w:t>4. Profil pharmacologique</w:t>
      </w:r>
    </w:p>
    <w:p>
      <w:r/>
      <w:r>
        <w:rPr>
          <w:b/>
        </w:rPr>
        <w:t>Indications</w:t>
      </w:r>
      <w:r>
        <w:t xml:space="preserve"> : remplissage vasculaire en cas d'hypovolémie sévère (choc hémorragique, choc hypovolémique, choc septique en cas d'échec des cristalloïdes seuls — Surviving Sepsis Campaign 2021) ; remplissage vasculaire péri-opératoire (en cas d'hypotension per-opératoire non corrigée par les cristalloïdes) ; hypoprotidémie sévère (en l'absence d'albumine humaine disponible) ; remplissage vasculaire en cas de choc anaphylactique (en association à l'adrénaline). </w:t>
      </w:r>
      <w:r>
        <w:rPr>
          <w:b/>
        </w:rPr>
        <w:t>Contre-indications</w:t>
      </w:r>
      <w:r>
        <w:t xml:space="preserve"> : hypersensibilité à la gélatine ou aux résidus de gélatine ; insuffisance rénale sévère non dialysée (prudence — accumulation de métabolites) ; surcharge hydrosodée sévère ; œdème pulmonaire ; insuffisance cardiaque congestive décompensée ; hémorragie active non contrôlée (prudence — dilution des facteurs de coagulation). </w:t>
      </w:r>
      <w:r>
        <w:rPr>
          <w:b/>
        </w:rPr>
        <w:t>Effets indésirables</w:t>
      </w:r>
      <w:r>
        <w:t xml:space="preserve"> : réactions anaphylactoïdes (0,1-1 % des cas, en particulier à la première administration, avec hypotension, rash, bronchospasme, choc anaphylactique) ; surcharge hydrosodée (en cas de perfusion excessive &gt; 2 L/24 heures) ; hypocalcémie (la gélatine chélate le calcium ionisé — surveillance ECG) ; augmentation du temps de saignement (effet antiagrégant plaquettaire modéré) ; dilution des facteurs de coagulation et des plaquettes (en cas de perfusion massive &gt; 1,5 L, syndrome de coagulopathie de dilution) ; hypernatrémie (la solution contient 154 mmol/L de sodium, comme le NaCl 0,9 %) ; acidose hyperchlorémique perfusion-induite (SID nul de la solution). La tolérance est globalement bonne aux posologies usuelles.</w:t>
      </w:r>
    </w:p>
    <w:p>
      <w:pPr>
        <w:pStyle w:val="Heading4"/>
      </w:pPr>
      <w:r>
        <w:t>5. Prévention et gestion des effets indésirables</w:t>
      </w:r>
    </w:p>
    <w:p>
      <w:r>
        <w:t xml:space="preserve">La prévention des </w:t>
      </w:r>
      <w:r>
        <w:rPr>
          <w:b/>
        </w:rPr>
        <w:t>réactions anaphylactoïdes</w:t>
      </w:r>
      <w:r>
        <w:t xml:space="preserve"> impose : (1) l'interrogatoire allergologique systématique avant la première administration (atopie, allergie à la gélatine, allergie aux vaccins contenant de la gélatine — rougeole-oreillons-rubéole) ; (2) la surveillance rapprochée pendant les 30 premières minutes de perfusion (pression artérielle, fréquence cardiaque, saturation, signes cutanés) ; (3) la disponibilité immédiate de matériel de réanimation anaphylactique (adrénaline 1 mg/mL, oxygène, antihistaminiques, corticoïdes) ; (4) l'arrêt immédiat de la perfusion en cas de signes anaphylactoïdes (rash, hypotension, bronchospasme) et le traitement par adrénaline IV (0,1-0,5 mg en bolus, à répéter selon la réponse). La prévention de la </w:t>
      </w:r>
      <w:r>
        <w:rPr>
          <w:b/>
        </w:rPr>
        <w:t>surcharge hydrosodée</w:t>
      </w:r>
      <w:r>
        <w:t xml:space="preserve"> impose la limitation du volume perfusé à 1,5-2 L/24 heures, la surveillance de la pression veineuse centrale, de l'auscultation pulmonaire, et de la diurèse. La prévention de l'</w:t>
      </w:r>
      <w:r>
        <w:rPr>
          <w:b/>
        </w:rPr>
        <w:t>hypocalcémie</w:t>
      </w:r>
      <w:r>
        <w:t xml:space="preserve"> impose la surveillance ECG continue (en cas de perfusion massive), et l'apport de gluconate de calcium IV en cas de signes ECG (allongement du QT, ondes T inversées). La prévention de la </w:t>
      </w:r>
      <w:r>
        <w:rPr>
          <w:b/>
        </w:rPr>
        <w:t>coagulopathie de dilution</w:t>
      </w:r>
      <w:r>
        <w:t xml:space="preserve"> impose l'apport concomitant de culots globulaires, PFC et plaquettes en cas de perfusion massive (ratio 1:1:1 selon le protocole de réanimation traumatique). La prévention de l'</w:t>
      </w:r>
      <w:r>
        <w:rPr>
          <w:b/>
        </w:rPr>
        <w:t>hypernatrémie</w:t>
      </w:r>
      <w:r>
        <w:t xml:space="preserve"> impose la surveillance de la natrémie toutes les 4-6 heures en cas de perfusion massive, et l'alternative au Ringer lactate en cas d'hypernatrémie préexistante.</w:t>
      </w:r>
    </w:p>
    <w:p>
      <w:pPr>
        <w:pStyle w:val="Heading4"/>
      </w:pPr>
      <w:r>
        <w:t>6. Interactions médicamenteuses</w:t>
      </w:r>
    </w:p>
    <w:p>
      <w:r>
        <w:t xml:space="preserve">La gélatine fluide modifiée présente plusieurs interactions pharmacodynamiques : (1) </w:t>
      </w:r>
      <w:r>
        <w:rPr>
          <w:b/>
        </w:rPr>
        <w:t>incompatibilité physico-chimique avec certains antibiotiques</w:t>
      </w:r>
      <w:r>
        <w:t xml:space="preserve"> (amoxicilline, céfazoline, gentamicine) — vérifier les tables de compatibilité ; (2) </w:t>
      </w:r>
      <w:r>
        <w:rPr>
          <w:b/>
        </w:rPr>
        <w:t>potentialisation de l'effet des anticoagulants</w:t>
      </w:r>
      <w:r>
        <w:t xml:space="preserve"> (héparine, AVK, AOD) par dilution des facteurs de coagulation ; (3) </w:t>
      </w:r>
      <w:r>
        <w:rPr>
          <w:b/>
        </w:rPr>
        <w:t>interaction avec les digitaliques</w:t>
      </w:r>
      <w:r>
        <w:t xml:space="preserve"> par chélation du calcium ionisé (risque de toxicité digitalique) ; (4) </w:t>
      </w:r>
      <w:r>
        <w:rPr>
          <w:b/>
        </w:rPr>
        <w:t>interaction avec les diurétiques</w:t>
      </w:r>
      <w:r>
        <w:t xml:space="preserve"> (potentialisation de l'hypovolémie et de l'hypokaliémie) ; (5) </w:t>
      </w:r>
      <w:r>
        <w:rPr>
          <w:b/>
        </w:rPr>
        <w:t>potentialisation de l'effet hypotenseur des anesthésiques</w:t>
      </w:r>
      <w:r>
        <w:t xml:space="preserve"> (en anesthésie générale) ; (6) </w:t>
      </w:r>
      <w:r>
        <w:rPr>
          <w:b/>
        </w:rPr>
        <w:t>interaction avec l'insuline</w:t>
      </w:r>
      <w:r>
        <w:t xml:space="preserve"> (la gélatine peut interférer avec la glycémie capillaire en cas de dosage enzymatique à la glucose-déshydrogénase-pyrroloquinolénone — risque théorique). Le polysuccinate de gélatine n'est pas métabolisé par le cytochrome P450. La prudence s'impose en cas d'association aux IEC, ARA2, AINS (risque d'insuffisance rénale aiguë fonctionnelle).</w:t>
      </w:r>
    </w:p>
    <w:p>
      <w:pPr>
        <w:pStyle w:val="Heading4"/>
      </w:pPr>
      <w:r>
        <w:t>7. Grossesse et allaitement (CRAT)</w:t>
      </w:r>
    </w:p>
    <w:p>
      <w:r>
        <w:t>La gélatine fluide modifiée est autorisée pendant la grossesse, sans effet tératogène ni fœtotoxique connu, et figure dans la catégorie « non tératogène » du CRAT. Elle est utilisée en réanimation obstétricale (hémorragie de la délivrance, choc hémorragique, choc septique) en cas d'échec des cristalloïdes seuls. La prudence s'impose en cas de pré-éclampsie sévère (risque d'œdème pulmonaire majoré). Pendant l'allaitement, la gélatine est compatible, sans passage significatif dans le lait maternel (PM 30 000 Da trop élevé pour traverser la barrière mammaire). Le pédiatre utilise la gélatine en réanimation néonatale en cas de choc hypovolémique sévère (en alternative à l'albumine humaine).</w:t>
      </w:r>
    </w:p>
    <w:p>
      <w:pPr>
        <w:pStyle w:val="Heading4"/>
      </w:pPr>
      <w:r>
        <w:t>8. Posologie et mode d'administration</w:t>
      </w:r>
    </w:p>
    <w:p>
      <w:r>
        <w:t xml:space="preserve">Chez l'adulte : (1) </w:t>
      </w:r>
      <w:r>
        <w:rPr>
          <w:b/>
        </w:rPr>
        <w:t>remplissage vasculaire initial</w:t>
      </w:r>
      <w:r>
        <w:t xml:space="preserve"> : 500-1000 mL en bolus sur 15-30 minutes (sous surveillance tensionnelle continue), à répéter selon la réponse hémodynamique (objectif PAM &gt; 65 mmHg, diurèse &gt; 0,5 mL/kg/h, lactates en baisse) ; (2) </w:t>
      </w:r>
      <w:r>
        <w:rPr>
          <w:b/>
        </w:rPr>
        <w:t>dose maximale</w:t>
      </w:r>
      <w:r>
        <w:t xml:space="preserve"> : 1,5-2 L/24 heures (au-delà, risque de coagulopathie de dilution et de surcharge hydrosodée) ; (3) </w:t>
      </w:r>
      <w:r>
        <w:rPr>
          <w:b/>
        </w:rPr>
        <w:t>choc hémorragique</w:t>
      </w:r>
      <w:r>
        <w:t xml:space="preserve"> : 500-1500 mL en bolus rapide en attendant la transfusion sanguine (ratio 1:1:1 culots globulaires/PFC/plaquettes selon le protocole de réanimation traumatique). Chez l'enfant : 10-20 mL/kg en bolus sur 15-30 minutes, à répéter selon la réponse hémodynamique. Chez le nouveau-né : 10 mL/kg en bolus sur 10-15 minutes. La voie d'administration est strictement intraveineuse (périphérique ou centrale). Le débit est contrôlé par perforateur électrique ou manuel ; calcul du débit en gouttes/min : Volume (mL) × 20 / Durée (min). En cas de perfusion rapide en bolus, utiliser une tubulure à prise d'air filtrée.</w:t>
      </w:r>
    </w:p>
    <w:p>
      <w:pPr>
        <w:pStyle w:val="Heading4"/>
      </w:pPr>
      <w:r>
        <w:t>9. Arbitrage et bénéfices des formes galéniques</w:t>
      </w:r>
    </w:p>
    <w:p>
      <w:r>
        <w:t>La solution GELAFUNDIN se présente en flacon de 500 mL en polyéthylène (PE), conditionnement standard pour la perfusion. Le conditionnement en flacon PE présente l'avantage d'une robustesse mécanique, d'une transparence (autorisation du contrôle visuel), et d'une absence de relargage de DEHP (contrairement aux poches en PVC). Le conditionnement en poche de 500 mL est également disponible dans certains marchés (mais pas en Algérie). La solution est stable 2-3 ans à température ambiante (15-25 °C), à l'abri de la lumière. Après ouverture, la solution doit être utilisée dans les 24 heures. Le pharmacien doit guider le prescripteur sur l'indication préférentielle de la gélatine en cas d'échec des cristalloïdes seuls, et sur la nécessité de surveillance rapprochée pendant les 30 premières minutes de perfusion (risque anaphylactoïde).</w:t>
      </w:r>
    </w:p>
    <w:p>
      <w:pPr>
        <w:pStyle w:val="Heading4"/>
      </w:pPr>
      <w:r>
        <w:t>10. Instructions et conseils au patient</w:t>
      </w:r>
    </w:p>
    <w:p>
      <w:r>
        <w:t>Pour le patient perfusé en milieu hospitalier, les conseils portent sur : (1) la vérification de la date de péremption et de l'intégrité du flacon avant emploi ; (2) la vérification de la limpidité de la solution (rejeter toute solution trouble ou contenant des particules) ; (3) la purge complète de la tubulure avant raccordement ; (4) la surveillance du point de ponction veineux (rougeur, douleur, gonflement) ; (5) la surveillance clinique pendant les 30 premières minutes (pression artérielle, fréquence cardiaque, signes cutanés) — signalement immédiat en cas de rash, prurit, dyspnée, malaise ; (6) la surveillance de la diurèse horaire ; (7) la consultation médicale immédiate en cas d'aggravation. Le patient ne doit jamais modifier le débit de perfusion sans avis médical.</w:t>
      </w:r>
    </w:p>
    <w:p>
      <w:pPr>
        <w:pStyle w:val="Heading4"/>
      </w:pPr>
      <w:r>
        <w:t>11. Notes, règles d'or et pièges au comptoir</w:t>
      </w:r>
    </w:p>
    <w:p>
      <w:r/>
      <w:r>
        <w:rPr>
          <w:b/>
        </w:rPr>
        <w:t>Règle d'or n°1</w:t>
      </w:r>
      <w:r>
        <w:t xml:space="preserve"> : la gélatine fluide modifiée est un colloïde de seconde ligne — ne pas utiliser en première intention pour la réanimation du choc septique (Surviving Sepsis Campaign 2021 — préférer les cristalloïdes équilibrés type Ringer lactate).</w:t>
      </w:r>
    </w:p>
    <w:p>
      <w:r/>
      <w:r>
        <w:rPr>
          <w:b/>
        </w:rPr>
        <w:t>Règle d'or n°2</w:t>
      </w:r>
      <w:r>
        <w:t xml:space="preserve"> : surveiller attentivement le patient pendant les 30 premières minutes de perfusion — risque d'anaphylaxie (0,1-1 % des cas). Matériel de réanimation anaphylactique immédiatement disponible (adrénaline, oxygène).</w:t>
      </w:r>
    </w:p>
    <w:p>
      <w:r/>
      <w:r>
        <w:rPr>
          <w:b/>
        </w:rPr>
        <w:t>Piège n°1</w:t>
      </w:r>
      <w:r>
        <w:t xml:space="preserve"> : ne pas dépasser 1,5-2 L/24 heures — risque de coagulopathie de dilution, de surcharge hydrosodée et d'hypernatrémie.</w:t>
      </w:r>
    </w:p>
    <w:p>
      <w:r/>
      <w:r>
        <w:rPr>
          <w:b/>
        </w:rPr>
        <w:t>Piège n°2</w:t>
      </w:r>
      <w:r>
        <w:t xml:space="preserve"> : la solution contient 154 mmol/L de sodium (comme le NaCl 0,9 %) — risque d'acidose hyperchlorémique perfusion-induite en cas de perfusion massive.</w:t>
      </w:r>
    </w:p>
    <w:p>
      <w:r/>
      <w:r>
        <w:rPr>
          <w:b/>
        </w:rPr>
        <w:t>Piège n°3</w:t>
      </w:r>
      <w:r>
        <w:t xml:space="preserve"> : la gélatine chélate le calcium ionisé — surveillance ECG continue en cas de perfusion massive, supplémentation calcique si besoin.</w:t>
      </w:r>
    </w:p>
    <w:p>
      <w:r/>
      <w:r>
        <w:rPr>
          <w:b/>
        </w:rPr>
        <w:t>Piège n°4</w:t>
      </w:r>
      <w:r>
        <w:t xml:space="preserve"> : incompatibilité physico-chimique avec certains antibiotiques (amoxicilline, céfazoline, gentamicine) — vérifier les tables de compatibilité.</w:t>
      </w:r>
    </w:p>
    <w:p>
      <w:pPr>
        <w:pStyle w:val="Heading3"/>
      </w:pPr>
      <w:r>
        <w:t>224.2 Gélatine fluide modifiée avec électrolytes (PLASMION 3 %) — NON_RENOUVELABLE</w:t>
      </w:r>
    </w:p>
    <w:p>
      <w:pPr>
        <w:pStyle w:val="Heading4"/>
      </w:pPr>
      <w:r>
        <w:t>1. Liste des catégories thérapeutiques</w:t>
      </w:r>
    </w:p>
    <w:p>
      <w:r>
        <w:t xml:space="preserve">La gélatine fluide modifiée exprimée en gélatine anhydre avec chlorure de sodium, chlorure de magnésium hexahydrate, chlorure de potassium et lactate de sodium en solution est classée au niveau ATC comme </w:t>
      </w:r>
      <w:r>
        <w:rPr>
          <w:b/>
        </w:rPr>
        <w:t>B05AA01</w:t>
      </w:r>
      <w:r>
        <w:t xml:space="preserve"> (sang et produits sanguins — expérimentateurs plasmatiques — gélatine). Sur le plan réglementaire algérien, elle relevait de la liste I des substances vénéneuses. Elle appartient à la sous-classe des colloïdes gélatineux avec électrolytes, dont la particularité est d'associer la gélatine fluide modifiée à un apport électrolytique (sodium, potassium, magnésium, lactate) proche du plasma physiologique, avec un SID non nul (équilibré). La spécialité PLASMION 3 % (Fresenius Kabi) est inscrite dans la nomenclature algérienne comme solution injectable pour perfusion IV en poche de 500 mL, mais son statut est NON_RENOUVELABLE. Le code ATC B05AA01 désigne spécifiquement la gélatine comme expérimentateur plasmatique. La solution contient du potassium, ce qui impose une prudence chez l'insuffisant rénal hyperkaliémique.</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PLASMION 3 %</w:t>
            </w:r>
          </w:p>
        </w:tc>
        <w:tc>
          <w:tcPr>
            <w:tcW w:type="dxa" w:w="1385"/>
          </w:tcPr>
          <w:p>
            <w:r>
              <w:rPr>
                <w:rFonts w:ascii="Times New Roman" w:hAnsi="Times New Roman"/>
                <w:sz w:val="20"/>
              </w:rPr>
              <w:t>Fresenius Kabi</w:t>
            </w:r>
          </w:p>
        </w:tc>
        <w:tc>
          <w:tcPr>
            <w:tcW w:type="dxa" w:w="1385"/>
          </w:tcPr>
          <w:p>
            <w:r>
              <w:rPr>
                <w:rFonts w:ascii="Times New Roman" w:hAnsi="Times New Roman"/>
                <w:sz w:val="20"/>
              </w:rPr>
              <w:t>Solution injectable pour perfusion IV — Gélatine fluide modifiée (exprimée en gélatine anhydre) 3 g + NaCl 0,5382 g + MgCl₂·6H₂O 0,0305 g + KCl 0,0373 g + lactate de sodium 0,336 g / 100 mL</w:t>
            </w:r>
          </w:p>
        </w:tc>
        <w:tc>
          <w:tcPr>
            <w:tcW w:type="dxa" w:w="1385"/>
          </w:tcPr>
          <w:p>
            <w:r>
              <w:rPr>
                <w:rFonts w:ascii="Times New Roman" w:hAnsi="Times New Roman"/>
                <w:sz w:val="20"/>
              </w:rPr>
              <w:t>Poche de 500 mL</w:t>
            </w:r>
          </w:p>
        </w:tc>
        <w:tc>
          <w:tcPr>
            <w:tcW w:type="dxa" w:w="1385"/>
          </w:tcPr>
          <w:p>
            <w:r>
              <w:rPr>
                <w:rFonts w:ascii="Times New Roman" w:hAnsi="Times New Roman"/>
                <w:sz w:val="20"/>
              </w:rPr>
              <w:t>Liste I</w:t>
            </w:r>
          </w:p>
        </w:tc>
        <w:tc>
          <w:tcPr>
            <w:tcW w:type="dxa" w:w="1385"/>
          </w:tcPr>
          <w:p>
            <w:r>
              <w:rPr>
                <w:rFonts w:ascii="Times New Roman" w:hAnsi="Times New Roman"/>
                <w:sz w:val="20"/>
              </w:rPr>
              <w:t>Non Renouvelable</w:t>
            </w:r>
          </w:p>
        </w:tc>
      </w:tr>
    </w:tbl>
    <w:p/>
    <w:p>
      <w:r/>
      <w:r>
        <w:rPr>
          <w:b/>
        </w:rPr>
        <w:t>Composition détaillée par litre</w:t>
      </w:r>
      <w:r>
        <w:t xml:space="preserve"> : gélatine fluide modifiée (anhydre) 30 g ; sodium 145 mmol ; potassium 5 mmol ; magnésium 1,5 mmol ; chlorure 145 mmol ; lactate 30 mmol. </w:t>
      </w:r>
      <w:r>
        <w:rPr>
          <w:b/>
        </w:rPr>
        <w:t>Osmolarité</w:t>
      </w:r>
      <w:r>
        <w:t xml:space="preserve"> : 290 mOsm/L (isotonique par rapport au plasma). </w:t>
      </w:r>
      <w:r>
        <w:rPr>
          <w:b/>
        </w:rPr>
        <w:t>Pression oncotique</w:t>
      </w:r>
      <w:r>
        <w:t xml:space="preserve"> : 30-40 mmHg. </w:t>
      </w:r>
      <w:r>
        <w:rPr>
          <w:b/>
        </w:rPr>
        <w:t>pH</w:t>
      </w:r>
      <w:r>
        <w:t xml:space="preserve"> : 7,1-7,7. </w:t>
      </w:r>
      <w:r>
        <w:rPr>
          <w:b/>
        </w:rPr>
        <w:t>PM moyen gélatine</w:t>
      </w:r>
      <w:r>
        <w:t xml:space="preserve"> : 30 000 Da.</w:t>
      </w:r>
    </w:p>
    <w:p>
      <w:r/>
      <w:r>
        <w:rPr>
          <w:b/>
        </w:rPr>
        <w:t>Remarque</w:t>
      </w:r>
      <w:r>
        <w:t xml:space="preserve"> : la spécialité PLASMION 3 % est non renouvelée dans la nomenclature algérienne, mais peut encore être détenue en stock dans certains centres hospitaliers. Sa dispensation n'est plus recommandée, et il convient de lui substituer la spécialité GELAFUNDIN (B.Braun) qui est active. La composition avec électrolytes (potassium, magnésium, lactate) est théoriquement avantageuse par rapport à la GELAFUNDIN (qui ne contient que NaCl), mais l'avantage clinique reste débattu.</w:t>
      </w:r>
    </w:p>
    <w:p>
      <w:pPr>
        <w:pStyle w:val="Heading4"/>
      </w:pPr>
      <w:r>
        <w:t>3. Sous-classe et mécanisme d'action moléculaire</w:t>
      </w:r>
    </w:p>
    <w:p>
      <w:r>
        <w:t>Similaire à celui de la gélatine fluide modifiée standard (section 224.1), avec en plus un apport électrolytique (potassium 5 mmol/L, magnésium 1,5 mmol/L, lactate 30 mmol/L) qui se rapproche du plasma physiologique. Le lactate, métabolisé en bicarbonate par le foie, exerce un effet tampon métabolique compensateur, prévenant l'acidose hyperchlorémique perfusion-induite. La concentration en potassium (5 mmol/L) est proche de la kaliémie normale, ce qui évite l'hypokaliémie de dilution mais expose au risque d'hyperkaliémie chez l'insuffisant rénal. La concentration en magnésium (1,5 mmol/L) est supérieure à la magnésémie plasmatique normale (0,75-1,0 mmol/L), ce qui permet une supplémentation magnésienne modérée.</w:t>
      </w:r>
    </w:p>
    <w:p>
      <w:pPr>
        <w:pStyle w:val="Heading4"/>
      </w:pPr>
      <w:r>
        <w:t>4. Profil pharmacologique</w:t>
      </w:r>
    </w:p>
    <w:p>
      <w:r/>
      <w:r>
        <w:rPr>
          <w:b/>
        </w:rPr>
        <w:t>Indications</w:t>
      </w:r>
      <w:r>
        <w:t xml:space="preserve"> : identiques à celles de la gélatine fluide modifiée standard (remplissage vasculaire en cas d'hypovolémie sévère, échec des cristalloïdes seuls). Préférentielle chez les patients nécessitant un apport électrolytique équilibré (prévention de l'acidose hyperchlorémique et de l'hypokaliémie). </w:t>
      </w:r>
      <w:r>
        <w:rPr>
          <w:b/>
        </w:rPr>
        <w:t>Contre-indications</w:t>
      </w:r>
      <w:r>
        <w:t xml:space="preserve"> : hypersensibilité à la gélatine ; insuffisance rénale sévère avec hyperkaliémie (K⁺ &gt; 5,0 mmol/L) — prudence en raison de l'apport potassique ; alcalose métabolique sévère (prudence en raison de l'apport de lactate) ; surcharge hydrosodée ; œdème pulmonaire ; insuffisance cardiaque décompensée ; hémorragie active non contrôlée. </w:t>
      </w:r>
      <w:r>
        <w:rPr>
          <w:b/>
        </w:rPr>
        <w:t>Effets indésirables</w:t>
      </w:r>
      <w:r>
        <w:t xml:space="preserve"> : similaires à ceux de la gélatine fluide modifiée standard, avec en plus un risque d'hyperkaliémie chez l'insuffisant rénal et un risque d'alcalose métabolique en cas de perfusion prolongée.</w:t>
      </w:r>
    </w:p>
    <w:p>
      <w:pPr>
        <w:pStyle w:val="Heading4"/>
      </w:pPr>
      <w:r>
        <w:t>5. Prévention et gestion des effets indésirables</w:t>
      </w:r>
    </w:p>
    <w:p>
      <w:r>
        <w:t>Similaire à celle de la gélatine fluide modifiée standard. La prévention spécifique de l'</w:t>
      </w:r>
      <w:r>
        <w:rPr>
          <w:b/>
        </w:rPr>
        <w:t>hyperkaliémie</w:t>
      </w:r>
      <w:r>
        <w:t xml:space="preserve"> impose la vérification systématique de la kaliémie avant perfusion, surtout chez l'insuffisant rénal ; en cas de kaliémie &gt; 5,0 mmol/L, préférer GELAFUNDIN (sans potassium). La prévention de l'</w:t>
      </w:r>
      <w:r>
        <w:rPr>
          <w:b/>
        </w:rPr>
        <w:t>alcalose métabolique</w:t>
      </w:r>
      <w:r>
        <w:t xml:space="preserve"> impose la surveillance de la gazométrie artérielle et la limitation de la perfusion à 1,5-2 L/24 heures.</w:t>
      </w:r>
    </w:p>
    <w:p>
      <w:pPr>
        <w:pStyle w:val="Heading4"/>
      </w:pPr>
      <w:r>
        <w:t>6. Interactions médicamenteuses</w:t>
      </w:r>
    </w:p>
    <w:p>
      <w:r>
        <w:t>Similaires à celles de la gélatine fluide modifiée standard, avec en plus une interaction avec les diurétiques épargneurs de potassium (spironolactone, amiloride) et les IEC/ARA2 (risque d'hyperkaliémie additif).</w:t>
      </w:r>
    </w:p>
    <w:p>
      <w:pPr>
        <w:pStyle w:val="Heading4"/>
      </w:pPr>
      <w:r>
        <w:t>7. Grossesse et allaitement (CRAT)</w:t>
      </w:r>
    </w:p>
    <w:p>
      <w:r>
        <w:t>Similaire à celui de la gélatine fluide modifiée standard.</w:t>
      </w:r>
    </w:p>
    <w:p>
      <w:pPr>
        <w:pStyle w:val="Heading4"/>
      </w:pPr>
      <w:r>
        <w:t>8. Posologie et mode d'administration</w:t>
      </w:r>
    </w:p>
    <w:p>
      <w:r>
        <w:t>Similaire à celle de la gélatine fluide modifiée standard. Chez l'adulte : 500-1000 mL en bolus sur 15-30 minutes, à répéter selon la réponse hémodynamique. Dose maximale 1,5-2 L/24 heures.</w:t>
      </w:r>
    </w:p>
    <w:p>
      <w:pPr>
        <w:pStyle w:val="Heading4"/>
      </w:pPr>
      <w:r>
        <w:t>9. Arbitrage et bénéfices des formes galéniques</w:t>
      </w:r>
    </w:p>
    <w:p>
      <w:r>
        <w:t>Similaire à celui de la gélatine fluide modifiée standard. La spécialité PLASMION 3 % étant non renouvelée, il convient de lui substituer la spécialité GELAFUNDIN (B.Braun) qui est active. La composition avec électrolytes de PLASMION 3 % est théoriquement avantageuse, mais l'avantage clinique reste débattu et ne justifie pas la prescription d'une spécialité non renouvelée.</w:t>
      </w:r>
    </w:p>
    <w:p>
      <w:pPr>
        <w:pStyle w:val="Heading4"/>
      </w:pPr>
      <w:r>
        <w:t>10. Instructions et conseils au patient</w:t>
      </w:r>
    </w:p>
    <w:p>
      <w:r>
        <w:t>Similaires à celles de la gélatine fluide modifiée standard.</w:t>
      </w:r>
    </w:p>
    <w:p>
      <w:pPr>
        <w:pStyle w:val="Heading4"/>
      </w:pPr>
      <w:r>
        <w:t>11. Notes, règles d'or et pièges au comptoir</w:t>
      </w:r>
    </w:p>
    <w:p>
      <w:r/>
      <w:r>
        <w:rPr>
          <w:b/>
        </w:rPr>
        <w:t>Règle d'or n°1</w:t>
      </w:r>
      <w:r>
        <w:t xml:space="preserve"> : la spécialité PLASMION 3 % est NON_RENOUVELABLE — ne pas dispenser pour nouvelles prescriptions, proposer la substitution par GELAFUNDIN (B.Braun, actif).</w:t>
      </w:r>
    </w:p>
    <w:p>
      <w:r/>
      <w:r>
        <w:rPr>
          <w:b/>
        </w:rPr>
        <w:t>Piège n°1</w:t>
      </w:r>
      <w:r>
        <w:t xml:space="preserve"> : la solution contient du potassium (5 mmol/L) — prudence chez l'insuffisant rénal hyperkaliémique, préférer GELAFUNDIN (sans potassium).</w:t>
      </w:r>
    </w:p>
    <w:p>
      <w:r/>
      <w:r>
        <w:rPr>
          <w:b/>
        </w:rPr>
        <w:t>Piège n°2</w:t>
      </w:r>
      <w:r>
        <w:t xml:space="preserve"> : la solution contient du lactate (30 mmol/L) — prudence chez l'insuffisant hépatocellulaire sévère (impossibilité de métaboliser le lactate), préférer GELAFUNDIN (sans lactate).</w:t>
      </w:r>
    </w:p>
    <w:p>
      <w:r/>
      <w:r>
        <w:rPr>
          <w:b/>
        </w:rPr>
        <w:t>Piège n°3</w:t>
      </w:r>
      <w:r>
        <w:t xml:space="preserve"> : un stock non mis à jour peut encore présenter des poches PLASMION 3 % non renouvelées — vérifier le statut à la dispensation.</w:t>
      </w:r>
    </w:p>
    <w:p>
      <w:pPr>
        <w:pStyle w:val="Heading3"/>
      </w:pPr>
      <w:r>
        <w:t>224.3 Hydroxyéthylamidon 130 000/chlorure de sodium (VOLUVEN 6 %) — NON_RENOUVELABLE</w:t>
      </w:r>
    </w:p>
    <w:p>
      <w:pPr>
        <w:pStyle w:val="Heading4"/>
      </w:pPr>
      <w:r>
        <w:t>1. Liste des catégories thérapeutiques</w:t>
      </w:r>
    </w:p>
    <w:p>
      <w:r>
        <w:t xml:space="preserve">L'hydroxyéthylamidon 130 000 (HEA 130/0,4) est classé au niveau ATC comme </w:t>
      </w:r>
      <w:r>
        <w:rPr>
          <w:b/>
        </w:rPr>
        <w:t>B05AA07</w:t>
      </w:r>
      <w:r>
        <w:t xml:space="preserve"> (sang et produits sanguins — expérimentateurs plasmatiques — hydroxyéthylamidon). Sur le plan réglementaire algérien, il relevait de la liste I des substances vénéneuses. Il appartient à la sous-classe des colloïdes amylacés (HEA), dont la particularité est d'être un polymère synthétique dérivé de l'amidon de maïs ou de pomme de terre, de poids moléculaire 130 kDa, avec un degré de substitution molaire de 0,4 (40 % des unités glucose sont hydroxyéthylées) et un degré de substitution C2/C6 de 9:1. La spécialité VOLUVEN 6 % (Fresenius Kabi) est inscrite dans la nomenclature algérienne comme solution pour perfusion IV en poche de 500 mL, mais son statut est NON_RENOUVELABLE. Le code ATC B05AA07 désigne spécifiquement l'hydroxyéthylamidon comme expérimentateur plasmatique. La solution contient du NaCl 0,9 % (sodium 154 mmol/L, chlorure 154 mmol/L).</w:t>
      </w:r>
    </w:p>
    <w:p>
      <w:pPr>
        <w:pStyle w:val="Heading4"/>
      </w:pPr>
      <w:r>
        <w:t>2. Médicaments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VOLUVEN 6 %</w:t>
            </w:r>
          </w:p>
        </w:tc>
        <w:tc>
          <w:tcPr>
            <w:tcW w:type="dxa" w:w="1385"/>
          </w:tcPr>
          <w:p>
            <w:r>
              <w:rPr>
                <w:rFonts w:ascii="Times New Roman" w:hAnsi="Times New Roman"/>
                <w:sz w:val="20"/>
              </w:rPr>
              <w:t>Fresenius Kabi</w:t>
            </w:r>
          </w:p>
        </w:tc>
        <w:tc>
          <w:tcPr>
            <w:tcW w:type="dxa" w:w="1385"/>
          </w:tcPr>
          <w:p>
            <w:r>
              <w:rPr>
                <w:rFonts w:ascii="Times New Roman" w:hAnsi="Times New Roman"/>
                <w:sz w:val="20"/>
              </w:rPr>
              <w:t>Solution pour perfusion IV — Hydroxyéthylamidon 130/0,4 6 g + NaCl 0,9 g / 100 mL</w:t>
            </w:r>
          </w:p>
        </w:tc>
        <w:tc>
          <w:tcPr>
            <w:tcW w:type="dxa" w:w="1385"/>
          </w:tcPr>
          <w:p>
            <w:r>
              <w:rPr>
                <w:rFonts w:ascii="Times New Roman" w:hAnsi="Times New Roman"/>
                <w:sz w:val="20"/>
              </w:rPr>
              <w:t>Poche de 500 mL</w:t>
            </w:r>
          </w:p>
        </w:tc>
        <w:tc>
          <w:tcPr>
            <w:tcW w:type="dxa" w:w="1385"/>
          </w:tcPr>
          <w:p>
            <w:r>
              <w:rPr>
                <w:rFonts w:ascii="Times New Roman" w:hAnsi="Times New Roman"/>
                <w:sz w:val="20"/>
              </w:rPr>
              <w:t>Liste I</w:t>
            </w:r>
          </w:p>
        </w:tc>
        <w:tc>
          <w:tcPr>
            <w:tcW w:type="dxa" w:w="1385"/>
          </w:tcPr>
          <w:p>
            <w:r>
              <w:rPr>
                <w:rFonts w:ascii="Times New Roman" w:hAnsi="Times New Roman"/>
                <w:sz w:val="20"/>
              </w:rPr>
              <w:t>Non Renouvelable</w:t>
            </w:r>
          </w:p>
        </w:tc>
      </w:tr>
    </w:tbl>
    <w:p/>
    <w:p>
      <w:r/>
      <w:r>
        <w:rPr>
          <w:b/>
        </w:rPr>
        <w:t>Composition détaillée par litre</w:t>
      </w:r>
      <w:r>
        <w:t xml:space="preserve"> : hydroxyéthylamidon 130/0,4 (HEA 130) 60 g ; sodium 154 mmol ; chlorure 154 mmol. </w:t>
      </w:r>
      <w:r>
        <w:rPr>
          <w:b/>
        </w:rPr>
        <w:t>Osmolarité</w:t>
      </w:r>
      <w:r>
        <w:t xml:space="preserve"> : 308 mOsm/L (isotonique par rapport au plasma). </w:t>
      </w:r>
      <w:r>
        <w:rPr>
          <w:b/>
        </w:rPr>
        <w:t>Pression oncotique</w:t>
      </w:r>
      <w:r>
        <w:t xml:space="preserve"> : 36 mmHg. </w:t>
      </w:r>
      <w:r>
        <w:rPr>
          <w:b/>
        </w:rPr>
        <w:t>pH</w:t>
      </w:r>
      <w:r>
        <w:t xml:space="preserve"> : 4,0-5,5. </w:t>
      </w:r>
      <w:r>
        <w:rPr>
          <w:b/>
        </w:rPr>
        <w:t>PM moyen HEA</w:t>
      </w:r>
      <w:r>
        <w:t xml:space="preserve"> : 130 000 Da. </w:t>
      </w:r>
      <w:r>
        <w:rPr>
          <w:b/>
        </w:rPr>
        <w:t>Degré de substitution molaire</w:t>
      </w:r>
      <w:r>
        <w:t xml:space="preserve"> : 0,4 (40 % des unités glucose sont hydroxyéthylées). </w:t>
      </w:r>
      <w:r>
        <w:rPr>
          <w:b/>
        </w:rPr>
        <w:t>Ratio C2/C6</w:t>
      </w:r>
      <w:r>
        <w:t xml:space="preserve"> : 9:1.</w:t>
      </w:r>
    </w:p>
    <w:p>
      <w:r/>
      <w:r>
        <w:rPr>
          <w:b/>
        </w:rPr>
        <w:t>Remarque</w:t>
      </w:r>
      <w:r>
        <w:t xml:space="preserve"> : la spécialité VOLUVEN 6 % est non renouvelée dans la nomenclature algérienne. Sa prescription et sa dispensation sont limitées en raison des restrictions réglementaires européennes (EMA PRAC, juin 2013) et des contre-indications absolues dans le sepsis, les brûlures graves, la déshydratation critique et l'insuffisance rénale. Le pharmacien doit refuser la dispensation pour de nouvelles prescriptions et informer le prescripteur des restrictions réglementaires.</w:t>
      </w:r>
    </w:p>
    <w:p>
      <w:pPr>
        <w:pStyle w:val="Heading4"/>
      </w:pPr>
      <w:r>
        <w:t>3. Sous-classe et mécanisme d'action moléculaire</w:t>
      </w:r>
    </w:p>
    <w:p>
      <w:r>
        <w:t xml:space="preserve">L'hydroxyéthylamidon 130/0,4 appartient à la sous-classe des colloïdes amylacés synthétiques. Le mécanisme d'action repose sur la </w:t>
      </w:r>
      <w:r>
        <w:rPr>
          <w:b/>
        </w:rPr>
        <w:t>pression oncotique</w:t>
      </w:r>
      <w:r>
        <w:t xml:space="preserve"> exercée par les macromolécules d'HEA (PM 130 kDa), qui ne traversent pas la membrane capillaire et qui retiennent l'eau dans le compartiment vasculaire par pression oncotique. Une solution à 6 % d'HEA 130/0,4 exerce une pression oncotique de 36 mmHg, comparable à celle de l'albumine humaine à 4-5 %, et permet un remplissage vasculaire efficace avec 70-100 % du volume perfusé restant dans le compartiment vasculaire à 1 heure. Le HEA 130/0,4 a été conçu comme une évolution du HEA 200/0,5 (HES 200/0,5, Pentastarch) avec un poids moléculaire plus faible (130 kDa vs 200 kDa) et un degré de substitution molaire plus faible (0,4 vs 0,5), dans le but de réduire l'accumulation tissulaire et la toxicité rénale. Cependant, les essais cliniques majeurs (CHEST 2012 — NEJM, 6S 2012 — NEJM, CRISTAL 2013 — JAMA) ont montré que le HEA 130/0,4 ne présente pas de supériorité clinique par rapport aux cristalloïdes, et expose à une toxicité rénale et à une surmortalité chez le patient septique sévère. L'HEA est métabolisé par les α-amylases sériques en fragments de plus faible poids moléculaire, éliminés par le rein. La demi-vie d'élimination est de 12-24 heures pour la fraction de bas poids moléculaire, mais les fragments de haut poids moléculaire peuvent s'accumuler dans les tissus (peau, foie, muscle) pendant des semaines, expliquant le prurit retardé et l'accumulation tissulaire à long terme.</w:t>
      </w:r>
    </w:p>
    <w:p>
      <w:pPr>
        <w:pStyle w:val="Heading4"/>
      </w:pPr>
      <w:r>
        <w:t>4. Profil pharmacologique</w:t>
      </w:r>
    </w:p>
    <w:p>
      <w:r/>
      <w:r>
        <w:rPr>
          <w:b/>
        </w:rPr>
        <w:t>Indications</w:t>
      </w:r>
      <w:r>
        <w:t xml:space="preserve"> (selon les restrictions EMA 2013) : remplissage vasculaire en cas d'hypovolémie aiguë sévère, UNIQUEMENT lorsque les cristalloïdes seuls sont insuffisants. </w:t>
      </w:r>
      <w:r>
        <w:rPr>
          <w:b/>
        </w:rPr>
        <w:t>Contre-indications</w:t>
      </w:r>
      <w:r>
        <w:t xml:space="preserve"> (EMA PRAC, juin 2013) : </w:t>
      </w:r>
      <w:r>
        <w:rPr>
          <w:b/>
        </w:rPr>
        <w:t>sepsis sévère et choc septique</w:t>
      </w:r>
      <w:r>
        <w:t xml:space="preserve"> (contre-indication absolue — surmortalité documentée dans les essais 6S et CHEST) ; </w:t>
      </w:r>
      <w:r>
        <w:rPr>
          <w:b/>
        </w:rPr>
        <w:t>brûlures graves</w:t>
      </w:r>
      <w:r>
        <w:t xml:space="preserve"> (contre-indication absolue) ; </w:t>
      </w:r>
      <w:r>
        <w:rPr>
          <w:b/>
        </w:rPr>
        <w:t>déshydratation critique</w:t>
      </w:r>
      <w:r>
        <w:t xml:space="preserve"> (contre-indication absolue) ; </w:t>
      </w:r>
      <w:r>
        <w:rPr>
          <w:b/>
        </w:rPr>
        <w:t>insuffisance rénale</w:t>
      </w:r>
      <w:r>
        <w:t xml:space="preserve"> (DFG &lt; 30 mL/min) ou dialysée (contre-indication absolue) ; </w:t>
      </w:r>
      <w:r>
        <w:rPr>
          <w:b/>
        </w:rPr>
        <w:t>hypersensibilité à l'hydroxyéthylamidon</w:t>
      </w:r>
      <w:r>
        <w:t xml:space="preserve"> ; </w:t>
      </w:r>
      <w:r>
        <w:rPr>
          <w:b/>
        </w:rPr>
        <w:t>surcharge hydrosodée</w:t>
      </w:r>
      <w:r>
        <w:t xml:space="preserve"> (œdème pulmonaire, insuffisance cardiaque congestive décompensée) ; </w:t>
      </w:r>
      <w:r>
        <w:rPr>
          <w:b/>
        </w:rPr>
        <w:t>coagulopathie sévère</w:t>
      </w:r>
      <w:r>
        <w:t xml:space="preserve"> (le HEA altère la coagulation et la fonction plaquettaire) ; </w:t>
      </w:r>
      <w:r>
        <w:rPr>
          <w:b/>
        </w:rPr>
        <w:t>hémorragie cérébrale</w:t>
      </w:r>
      <w:r>
        <w:t xml:space="preserve"> (risque d'aggravation) ; </w:t>
      </w:r>
      <w:r>
        <w:rPr>
          <w:b/>
        </w:rPr>
        <w:t>patient en état de mort cérébrale</w:t>
      </w:r>
      <w:r>
        <w:t xml:space="preserve"> (potentiel don d'organes contre-indiqué en raison de l'accumulation tissulaire). </w:t>
      </w:r>
      <w:r>
        <w:rPr>
          <w:b/>
        </w:rPr>
        <w:t>Effets indésirables</w:t>
      </w:r>
      <w:r>
        <w:t xml:space="preserve"> : </w:t>
      </w:r>
      <w:r>
        <w:rPr>
          <w:b/>
        </w:rPr>
        <w:t>néphrotoxicité</w:t>
      </w:r>
      <w:r>
        <w:t xml:space="preserve"> (insuffisance rénale aiguë, besoin de recours à l'épuration extrarénale — incidence 7-22 % chez le patient septique selon les essais) ; </w:t>
      </w:r>
      <w:r>
        <w:rPr>
          <w:b/>
        </w:rPr>
        <w:t>surmortalité</w:t>
      </w:r>
      <w:r>
        <w:t xml:space="preserve"> chez le patient septique (RR 1,17 selon la méta-analyse de 2013) ; </w:t>
      </w:r>
      <w:r>
        <w:rPr>
          <w:b/>
        </w:rPr>
        <w:t>coagulopathie</w:t>
      </w:r>
      <w:r>
        <w:t xml:space="preserve"> (allongement du TCA, diminution du facteur VIII et du facteur de Willebrand, altération de l'agrégation plaquettaire) ; </w:t>
      </w:r>
      <w:r>
        <w:rPr>
          <w:b/>
        </w:rPr>
        <w:t>prurit retardé</w:t>
      </w:r>
      <w:r>
        <w:t xml:space="preserve"> (incidence 5-20 % en cas de perfusion supérieure à 3 L, persistant pendant des semaines à des mois) ; </w:t>
      </w:r>
      <w:r>
        <w:rPr>
          <w:b/>
        </w:rPr>
        <w:t>réactions anaphylactoïdes</w:t>
      </w:r>
      <w:r>
        <w:t xml:space="preserve"> (0,1-1 % des cas) ; </w:t>
      </w:r>
      <w:r>
        <w:rPr>
          <w:b/>
        </w:rPr>
        <w:t>surcharge hydrosodée</w:t>
      </w:r>
      <w:r>
        <w:t xml:space="preserve"> (en cas de perfusion excessive) ; </w:t>
      </w:r>
      <w:r>
        <w:rPr>
          <w:b/>
        </w:rPr>
        <w:t>hyperchlorémie</w:t>
      </w:r>
      <w:r>
        <w:t xml:space="preserve"> (acidose hyperchlorémique perfusion-induite — SID nul de la solution) ; </w:t>
      </w:r>
      <w:r>
        <w:rPr>
          <w:b/>
        </w:rPr>
        <w:t>accumulation tissulaire</w:t>
      </w:r>
      <w:r>
        <w:t xml:space="preserve"> (peau, foie, muscle, dépôt réticulo-endothélial pendant des semaines à des mois).</w:t>
      </w:r>
    </w:p>
    <w:p>
      <w:pPr>
        <w:pStyle w:val="Heading4"/>
      </w:pPr>
      <w:r>
        <w:t>5. Prévention et gestion des effets indésirables</w:t>
      </w:r>
    </w:p>
    <w:p>
      <w:r>
        <w:t xml:space="preserve">La prévention des </w:t>
      </w:r>
      <w:r>
        <w:rPr>
          <w:b/>
        </w:rPr>
        <w:t>accidents de l'HEA</w:t>
      </w:r>
      <w:r>
        <w:t xml:space="preserve"> impose le respect strict des contre-indications réglementaires (EMA PRAC, juin 2013) : (1) contre-indication absolue en cas de sepsis, de brûlures graves, de déshydratation critique et d'insuffisance rénale ; (2) limitation du volume perfusé à 30 mL/kg/24 heures maximum (soit 2 L pour un adulte de 70 kg) ; (3) surveillance de la fonction rénale (créatininémie, diurèse) toutes les 12-24 heures pendant la perfusion et pendant les 48 heures suivant l'arrêt ; (4) arrêt immédiat en cas de signes d'insuffisance rénale (diurèse &lt; 0,5 mL/kg/h, augmentation de la créatininémie &gt; 26 µmol/L en 48 heures) ; (5) arrêt immédiat en cas de réaction anaphylactoïde (rash, hypotension, bronchospasme) et traitement par adrénaline IV ; (6) arrêt en cas de saignement anormal (allongement du TCA, baisse du taux de plaquettes) ; (7) surveillance du prurit pendant des semaines après la perfusion (en cas de prurit persistant, antihistaminiques, émollients, dermocorticoïdes). En cas d'</w:t>
      </w:r>
      <w:r>
        <w:rPr>
          <w:b/>
        </w:rPr>
        <w:t>insuffisance rénale aiguë</w:t>
      </w:r>
      <w:r>
        <w:t xml:space="preserve"> sous HEA : arrêt immédiat, remplissage par cristalloïdes équilibrés (Ringer lactate), surveillance de la kaliémie (risque d'hyperkaliémie), recours à l'épuration extrarénale si besoin (hémodialyse ou hémofiltration continue). En cas de </w:t>
      </w:r>
      <w:r>
        <w:rPr>
          <w:b/>
        </w:rPr>
        <w:t>coagulopathie</w:t>
      </w:r>
      <w:r>
        <w:t xml:space="preserve"> sous HEA : arrêt immédiat, surveillance du TCA et du taux de plaquettes, apport de PFC et de plaquettes en cas de saignement clinique.</w:t>
      </w:r>
    </w:p>
    <w:p>
      <w:pPr>
        <w:pStyle w:val="Heading4"/>
      </w:pPr>
      <w:r>
        <w:t>6. Interactions médicamenteuses</w:t>
      </w:r>
    </w:p>
    <w:p>
      <w:r>
        <w:t xml:space="preserve">L'HEA présente plusieurs interactions pharmacodynamiques : (1) </w:t>
      </w:r>
      <w:r>
        <w:rPr>
          <w:b/>
        </w:rPr>
        <w:t>potentialisation de l'effet des anticoagulants</w:t>
      </w:r>
      <w:r>
        <w:t xml:space="preserve"> (héparine, AVK, AOD) par altération de la coagulation et de la fonction plaquettaire ; (2) </w:t>
      </w:r>
      <w:r>
        <w:rPr>
          <w:b/>
        </w:rPr>
        <w:t>potentialisation de l'effet des antiagrégants plaquettaires</w:t>
      </w:r>
      <w:r>
        <w:t xml:space="preserve"> (aspirine, clopidogrel) — risque hémorragique majoré ; (3) </w:t>
      </w:r>
      <w:r>
        <w:rPr>
          <w:b/>
        </w:rPr>
        <w:t>interaction avec les AINS</w:t>
      </w:r>
      <w:r>
        <w:t xml:space="preserve"> (risque d'insuffisance rénale aiguë fonctionnelle) ; (4) </w:t>
      </w:r>
      <w:r>
        <w:rPr>
          <w:b/>
        </w:rPr>
        <w:t>interaction avec les IEC, ARA2</w:t>
      </w:r>
      <w:r>
        <w:t xml:space="preserve"> (risque d'insuffisance rénale aiguë fonctionnelle) ; (5) </w:t>
      </w:r>
      <w:r>
        <w:rPr>
          <w:b/>
        </w:rPr>
        <w:t>incompatibilité physico-chimique avec certains antibiotiques</w:t>
      </w:r>
      <w:r>
        <w:t xml:space="preserve"> (amoxicilline, céfazoline, gentamicine) — vérifier les tables de compatibilité. L'HEA n'est pas métabolisé par le cytochrome P450.</w:t>
      </w:r>
    </w:p>
    <w:p>
      <w:pPr>
        <w:pStyle w:val="Heading4"/>
      </w:pPr>
      <w:r>
        <w:t>7. Grossesse et allaitement (CRAT)</w:t>
      </w:r>
    </w:p>
    <w:p>
      <w:r>
        <w:t>L'HEA 130/0,4 doit être évité pendant la grossesse par prudence, en raison du passage transplacentaire théorique et de l'accumulation tissulaire fœtale. Le CRAT recommande de préférer les cristalloïdes équilibrés (Ringer lactate) ou la gélatine fluide modifiée (GELAFUNDIN) en cas de nécessité de remplissage vasculaire pendant la grossesse. Pendant l'allaitement, l'HEA est compatible en raison de son PM élevé (130 kDa) qui empêche le passage dans le lait maternel, mais son usage reste déconseillé en raison de l'accumulation tissulaire maternelle.</w:t>
      </w:r>
    </w:p>
    <w:p>
      <w:pPr>
        <w:pStyle w:val="Heading4"/>
      </w:pPr>
      <w:r>
        <w:t>8. Posologie et mode d'administration</w:t>
      </w:r>
    </w:p>
    <w:p>
      <w:r>
        <w:t xml:space="preserve">Chez l'adulte : (1) </w:t>
      </w:r>
      <w:r>
        <w:rPr>
          <w:b/>
        </w:rPr>
        <w:t>remplissage vasculaire initial</w:t>
      </w:r>
      <w:r>
        <w:t xml:space="preserve"> : 500-1000 mL en bolus sur 15-30 minutes (sous surveillance tensionnelle continue), à répéter selon la réponse hémodynamique ; (2) </w:t>
      </w:r>
      <w:r>
        <w:rPr>
          <w:b/>
        </w:rPr>
        <w:t>dose maximale</w:t>
      </w:r>
      <w:r>
        <w:t xml:space="preserve"> : 30 mL/kg/24 heures (soit 2 L pour un adulte de 70 kg) — restriction EMA 2013 ; (3) </w:t>
      </w:r>
      <w:r>
        <w:rPr>
          <w:b/>
        </w:rPr>
        <w:t>durée maximale</w:t>
      </w:r>
      <w:r>
        <w:t xml:space="preserve"> : 24-48 heures (au-delà, risque d'accumulation tissulaire et de toxicité rénale). Chez l'enfant : déconseillé en raison de l'accumulation tissulaire et de la toxicité rénale. La voie d'administration est strictement intraveineuse (périphérique ou centrale). Le débit est contrôlé par perforateur électrique ou manuel ; calcul du débit en gouttes/min : Volume (mL) × 20 / Durée (min).</w:t>
      </w:r>
    </w:p>
    <w:p>
      <w:pPr>
        <w:pStyle w:val="Heading4"/>
      </w:pPr>
      <w:r>
        <w:t>9. Arbitrage et bénéfices des formes galéniques</w:t>
      </w:r>
    </w:p>
    <w:p>
      <w:r>
        <w:t>La solution VOLUVEN 6 % se présente en poche de 500 mL en PVC, conditionnement standard pour la perfusion. Le conditionnement en poche en polyoléfine (non-PVC) est disponible dans certains marchés (mais pas en Algérie). La solution est stable 2-3 ans à température ambiante (15-25 °C), à l'abri de la lumière. Après ouverture, la solution doit être utilisée dans les 24 heures. Le pharmacien doit informer le prescripteur des restrictions réglementaires (EMA 2013) et de la nécessité de respecter les contre-indications absolues (sepsis, brûlures graves, déshydratation critique, insuffisance rénale). En raison de son statut NON_RENOUVELABLE dans la nomenclature algérienne et des restrictions réglementaires européennes, la spécialité VOLUVEN 6 % ne doit plus être prescrite pour de nouvelles indications.</w:t>
      </w:r>
    </w:p>
    <w:p>
      <w:pPr>
        <w:pStyle w:val="Heading4"/>
      </w:pPr>
      <w:r>
        <w:t>10. Instructions et conseils au patient</w:t>
      </w:r>
    </w:p>
    <w:p>
      <w:r>
        <w:t>Pour le patient perfusé en milieu hospitalier, les conseils portent sur : (1) la vérification de la date de péremption et de l'intégrité de la poche avant emploi ; (2) la vérification de la limpidité de la solution (rejeter toute solution trouble ou contenant des particules) ; (3) la purge complète de la tubulure avant raccordement ; (4) la surveillance du point de ponction veineux ; (5) la surveillance clinique pendant les 30 premières minutes (pression artérielle, fréquence cardiaque, signes cutanés) ; (6) la surveillance de la diurèse horaire (arrêt immédiat si diurèse &lt; 0,5 mL/kg/h) ; (7) la surveillance de la fonction rénale (créatininémie toutes les 12-24 heures) ; (8) la surveillance de la coagulation (TCA, plaquettes) en cas de perfusion massive ; (9) la consultation médicale immédiate en cas de saignement anormal, de fièvre, de dyspnée, d'œdème, de prurit persistant ; (10) la déclaration de tout effet indésirable au centre de pharmacovigilance.</w:t>
      </w:r>
    </w:p>
    <w:p>
      <w:pPr>
        <w:pStyle w:val="Heading4"/>
      </w:pPr>
      <w:r>
        <w:t>11. Notes, règles d'or et pièges au comptoir</w:t>
      </w:r>
    </w:p>
    <w:p>
      <w:r/>
      <w:r>
        <w:rPr>
          <w:b/>
        </w:rPr>
        <w:t>Règle d'or n°1</w:t>
      </w:r>
      <w:r>
        <w:t xml:space="preserve"> : l'hydroxyéthylamidon 130/0,4 est CONTRE-INDIQUÉ ABSOLUMENT chez le patient septique, le brûlé grave, le déshydraté critique et l'insuffisant rénal (DFG &lt; 30 mL/min) — restrictions EMA PRAC juin 2013, Surviving Sepsis Campaign 2021.</w:t>
      </w:r>
    </w:p>
    <w:p>
      <w:r/>
      <w:r>
        <w:rPr>
          <w:b/>
        </w:rPr>
        <w:t>Règle d'or n°2</w:t>
      </w:r>
      <w:r>
        <w:t xml:space="preserve"> : la spécialité VOLUVEN 6 % est NON_RENOUVELABLE dans la nomenclature algérienne — ne pas dispenser pour nouvelles prescriptions, informer le prescripteur des restrictions réglementaires.</w:t>
      </w:r>
    </w:p>
    <w:p>
      <w:r/>
      <w:r>
        <w:rPr>
          <w:b/>
        </w:rPr>
        <w:t>Piège n°1</w:t>
      </w:r>
      <w:r>
        <w:t xml:space="preserve"> : le HEA 130/0,4 a été conçu comme une évolution « sécurisée » du HEA 200/0,5, mais les essais cliniques (CHEST, 6S, CRISTAL) ont montré qu'il présente la même toxicité rénale et la même surmortalité chez le patient septique.</w:t>
      </w:r>
    </w:p>
    <w:p>
      <w:r/>
      <w:r>
        <w:rPr>
          <w:b/>
        </w:rPr>
        <w:t>Piège n°2</w:t>
      </w:r>
      <w:r>
        <w:t xml:space="preserve"> : le HEA altère la coagulation et la fonction plaquettaire — prudence chez le patient sous anticoagulants ou antiagrégants plaquettaires.</w:t>
      </w:r>
    </w:p>
    <w:p>
      <w:r/>
      <w:r>
        <w:rPr>
          <w:b/>
        </w:rPr>
        <w:t>Piège n°3</w:t>
      </w:r>
      <w:r>
        <w:t xml:space="preserve"> : le prurit retardé sous HEA peut persister pendant des semaines à des mois après la perfusion — information patient et traitement symptomatique (antihistaminiques, émollients).</w:t>
      </w:r>
    </w:p>
    <w:p>
      <w:r/>
      <w:r>
        <w:rPr>
          <w:b/>
        </w:rPr>
        <w:t>Piège n°4</w:t>
      </w:r>
      <w:r>
        <w:t xml:space="preserve"> : la dose maximale de 30 mL/kg/24 heures doit être strictement respectée — au-delà, risque d'accumulation tissulaire, de toxicité rénale et de coagulopathie.</w:t>
      </w:r>
    </w:p>
    <w:p>
      <w:r/>
      <w:r>
        <w:rPr>
          <w:b/>
        </w:rPr>
        <w:t>Piège n°5</w:t>
      </w:r>
      <w:r>
        <w:t xml:space="preserve"> : la surveillance de la fonction rénale (créatininémie, diurèse) doit être poursuivie pendant les 48 heures suivant l'arrêt de l'HEA — risque d'insuffisance rénale différée.</w:t>
      </w:r>
    </w:p>
    <w:p>
      <w:pPr>
        <w:pStyle w:val="Heading3"/>
      </w:pPr>
      <w:r>
        <w:t>224.4 Tableau comparatif des colloïdes et expérimentateurs plasmatiques</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Paramètre</w:t>
            </w:r>
          </w:p>
        </w:tc>
        <w:tc>
          <w:tcPr>
            <w:tcW w:type="dxa" w:w="2078"/>
            <w:shd w:val="clear" w:color="auto" w:fill="F2F2F2"/>
          </w:tcPr>
          <w:p>
            <w:r>
              <w:rPr>
                <w:rFonts w:ascii="Times New Roman" w:hAnsi="Times New Roman"/>
                <w:b/>
                <w:sz w:val="20"/>
              </w:rPr>
              <w:t>GELAFUNDIN</w:t>
            </w:r>
          </w:p>
        </w:tc>
        <w:tc>
          <w:tcPr>
            <w:tcW w:type="dxa" w:w="2078"/>
            <w:shd w:val="clear" w:color="auto" w:fill="F2F2F2"/>
          </w:tcPr>
          <w:p>
            <w:r>
              <w:rPr>
                <w:rFonts w:ascii="Times New Roman" w:hAnsi="Times New Roman"/>
                <w:b/>
                <w:sz w:val="20"/>
              </w:rPr>
              <w:t>PLASMION 3 %</w:t>
            </w:r>
          </w:p>
        </w:tc>
        <w:tc>
          <w:tcPr>
            <w:tcW w:type="dxa" w:w="2078"/>
            <w:shd w:val="clear" w:color="auto" w:fill="F2F2F2"/>
          </w:tcPr>
          <w:p>
            <w:r>
              <w:rPr>
                <w:rFonts w:ascii="Times New Roman" w:hAnsi="Times New Roman"/>
                <w:b/>
                <w:sz w:val="20"/>
              </w:rPr>
              <w:t>VOLUVEN 6 %</w:t>
            </w:r>
          </w:p>
        </w:tc>
      </w:tr>
      <w:tr>
        <w:tc>
          <w:tcPr>
            <w:tcW w:type="dxa" w:w="2078"/>
          </w:tcPr>
          <w:p>
            <w:r>
              <w:rPr>
                <w:rFonts w:ascii="Times New Roman" w:hAnsi="Times New Roman"/>
                <w:sz w:val="20"/>
              </w:rPr>
              <w:t>**DCI**</w:t>
            </w:r>
          </w:p>
        </w:tc>
        <w:tc>
          <w:tcPr>
            <w:tcW w:type="dxa" w:w="2078"/>
          </w:tcPr>
          <w:p>
            <w:r>
              <w:rPr>
                <w:rFonts w:ascii="Times New Roman" w:hAnsi="Times New Roman"/>
                <w:sz w:val="20"/>
              </w:rPr>
              <w:t>Gélatine fluide modifiée (polysuccinate de gélatine)</w:t>
            </w:r>
          </w:p>
        </w:tc>
        <w:tc>
          <w:tcPr>
            <w:tcW w:type="dxa" w:w="2078"/>
          </w:tcPr>
          <w:p>
            <w:r>
              <w:rPr>
                <w:rFonts w:ascii="Times New Roman" w:hAnsi="Times New Roman"/>
                <w:sz w:val="20"/>
              </w:rPr>
              <w:t>Gélatine fluide modifiée + électrolytes</w:t>
            </w:r>
          </w:p>
        </w:tc>
        <w:tc>
          <w:tcPr>
            <w:tcW w:type="dxa" w:w="2078"/>
          </w:tcPr>
          <w:p>
            <w:r>
              <w:rPr>
                <w:rFonts w:ascii="Times New Roman" w:hAnsi="Times New Roman"/>
                <w:sz w:val="20"/>
              </w:rPr>
              <w:t>Hydroxyéthylamidon 130/0,4 + NaCl</w:t>
            </w:r>
          </w:p>
        </w:tc>
      </w:tr>
      <w:tr>
        <w:tc>
          <w:tcPr>
            <w:tcW w:type="dxa" w:w="2078"/>
          </w:tcPr>
          <w:p>
            <w:r>
              <w:rPr>
                <w:rFonts w:ascii="Times New Roman" w:hAnsi="Times New Roman"/>
                <w:sz w:val="20"/>
              </w:rPr>
              <w:t>**Code ATC**</w:t>
            </w:r>
          </w:p>
        </w:tc>
        <w:tc>
          <w:tcPr>
            <w:tcW w:type="dxa" w:w="2078"/>
          </w:tcPr>
          <w:p>
            <w:r>
              <w:rPr>
                <w:rFonts w:ascii="Times New Roman" w:hAnsi="Times New Roman"/>
                <w:sz w:val="20"/>
              </w:rPr>
              <w:t>B05AA01</w:t>
            </w:r>
          </w:p>
        </w:tc>
        <w:tc>
          <w:tcPr>
            <w:tcW w:type="dxa" w:w="2078"/>
          </w:tcPr>
          <w:p>
            <w:r>
              <w:rPr>
                <w:rFonts w:ascii="Times New Roman" w:hAnsi="Times New Roman"/>
                <w:sz w:val="20"/>
              </w:rPr>
              <w:t>B05AA01</w:t>
            </w:r>
          </w:p>
        </w:tc>
        <w:tc>
          <w:tcPr>
            <w:tcW w:type="dxa" w:w="2078"/>
          </w:tcPr>
          <w:p>
            <w:r>
              <w:rPr>
                <w:rFonts w:ascii="Times New Roman" w:hAnsi="Times New Roman"/>
                <w:sz w:val="20"/>
              </w:rPr>
              <w:t>B05AA07</w:t>
            </w:r>
          </w:p>
        </w:tc>
      </w:tr>
      <w:tr>
        <w:tc>
          <w:tcPr>
            <w:tcW w:type="dxa" w:w="2078"/>
          </w:tcPr>
          <w:p>
            <w:r>
              <w:rPr>
                <w:rFonts w:ascii="Times New Roman" w:hAnsi="Times New Roman"/>
                <w:sz w:val="20"/>
              </w:rPr>
              <w:t>**Spécialité de référence**</w:t>
            </w:r>
          </w:p>
        </w:tc>
        <w:tc>
          <w:tcPr>
            <w:tcW w:type="dxa" w:w="2078"/>
          </w:tcPr>
          <w:p>
            <w:r>
              <w:rPr>
                <w:rFonts w:ascii="Times New Roman" w:hAnsi="Times New Roman"/>
                <w:sz w:val="20"/>
              </w:rPr>
              <w:t>GELAFUNDIN</w:t>
            </w:r>
          </w:p>
        </w:tc>
        <w:tc>
          <w:tcPr>
            <w:tcW w:type="dxa" w:w="2078"/>
          </w:tcPr>
          <w:p>
            <w:r>
              <w:rPr>
                <w:rFonts w:ascii="Times New Roman" w:hAnsi="Times New Roman"/>
                <w:sz w:val="20"/>
              </w:rPr>
              <w:t>PLASMION 3 %</w:t>
            </w:r>
          </w:p>
        </w:tc>
        <w:tc>
          <w:tcPr>
            <w:tcW w:type="dxa" w:w="2078"/>
          </w:tcPr>
          <w:p>
            <w:r>
              <w:rPr>
                <w:rFonts w:ascii="Times New Roman" w:hAnsi="Times New Roman"/>
                <w:sz w:val="20"/>
              </w:rPr>
              <w:t>VOLUVEN 6 %</w:t>
            </w:r>
          </w:p>
        </w:tc>
      </w:tr>
      <w:tr>
        <w:tc>
          <w:tcPr>
            <w:tcW w:type="dxa" w:w="2078"/>
          </w:tcPr>
          <w:p>
            <w:r>
              <w:rPr>
                <w:rFonts w:ascii="Times New Roman" w:hAnsi="Times New Roman"/>
                <w:sz w:val="20"/>
              </w:rPr>
              <w:t>**Laboratoire**</w:t>
            </w:r>
          </w:p>
        </w:tc>
        <w:tc>
          <w:tcPr>
            <w:tcW w:type="dxa" w:w="2078"/>
          </w:tcPr>
          <w:p>
            <w:r>
              <w:rPr>
                <w:rFonts w:ascii="Times New Roman" w:hAnsi="Times New Roman"/>
                <w:sz w:val="20"/>
              </w:rPr>
              <w:t>B.Braun Melsungen AG</w:t>
            </w:r>
          </w:p>
        </w:tc>
        <w:tc>
          <w:tcPr>
            <w:tcW w:type="dxa" w:w="2078"/>
          </w:tcPr>
          <w:p>
            <w:r>
              <w:rPr>
                <w:rFonts w:ascii="Times New Roman" w:hAnsi="Times New Roman"/>
                <w:sz w:val="20"/>
              </w:rPr>
              <w:t>Fresenius Kabi</w:t>
            </w:r>
          </w:p>
        </w:tc>
        <w:tc>
          <w:tcPr>
            <w:tcW w:type="dxa" w:w="2078"/>
          </w:tcPr>
          <w:p>
            <w:r>
              <w:rPr>
                <w:rFonts w:ascii="Times New Roman" w:hAnsi="Times New Roman"/>
                <w:sz w:val="20"/>
              </w:rPr>
              <w:t>Fresenius Kabi</w:t>
            </w:r>
          </w:p>
        </w:tc>
      </w:tr>
      <w:tr>
        <w:tc>
          <w:tcPr>
            <w:tcW w:type="dxa" w:w="2078"/>
          </w:tcPr>
          <w:p>
            <w:r>
              <w:rPr>
                <w:rFonts w:ascii="Times New Roman" w:hAnsi="Times New Roman"/>
                <w:sz w:val="20"/>
              </w:rPr>
              <w:t>**Statut nomenclature**</w:t>
            </w:r>
          </w:p>
        </w:tc>
        <w:tc>
          <w:tcPr>
            <w:tcW w:type="dxa" w:w="2078"/>
          </w:tcPr>
          <w:p>
            <w:r>
              <w:rPr>
                <w:rFonts w:ascii="Times New Roman" w:hAnsi="Times New Roman"/>
                <w:sz w:val="20"/>
              </w:rPr>
              <w:t>Actif</w:t>
            </w:r>
          </w:p>
        </w:tc>
        <w:tc>
          <w:tcPr>
            <w:tcW w:type="dxa" w:w="2078"/>
          </w:tcPr>
          <w:p>
            <w:r>
              <w:rPr>
                <w:rFonts w:ascii="Times New Roman" w:hAnsi="Times New Roman"/>
                <w:sz w:val="20"/>
              </w:rPr>
              <w:t>Non Renouvelable</w:t>
            </w:r>
          </w:p>
        </w:tc>
        <w:tc>
          <w:tcPr>
            <w:tcW w:type="dxa" w:w="2078"/>
          </w:tcPr>
          <w:p>
            <w:r>
              <w:rPr>
                <w:rFonts w:ascii="Times New Roman" w:hAnsi="Times New Roman"/>
                <w:sz w:val="20"/>
              </w:rPr>
              <w:t>Non Renouvelable</w:t>
            </w:r>
          </w:p>
        </w:tc>
      </w:tr>
      <w:tr>
        <w:tc>
          <w:tcPr>
            <w:tcW w:type="dxa" w:w="2078"/>
          </w:tcPr>
          <w:p>
            <w:r>
              <w:rPr>
                <w:rFonts w:ascii="Times New Roman" w:hAnsi="Times New Roman"/>
                <w:sz w:val="20"/>
              </w:rPr>
              <w:t>**PM moyen (Da)**</w:t>
            </w:r>
          </w:p>
        </w:tc>
        <w:tc>
          <w:tcPr>
            <w:tcW w:type="dxa" w:w="2078"/>
          </w:tcPr>
          <w:p>
            <w:r>
              <w:rPr>
                <w:rFonts w:ascii="Times New Roman" w:hAnsi="Times New Roman"/>
                <w:sz w:val="20"/>
              </w:rPr>
              <w:t>30 000</w:t>
            </w:r>
          </w:p>
        </w:tc>
        <w:tc>
          <w:tcPr>
            <w:tcW w:type="dxa" w:w="2078"/>
          </w:tcPr>
          <w:p>
            <w:r>
              <w:rPr>
                <w:rFonts w:ascii="Times New Roman" w:hAnsi="Times New Roman"/>
                <w:sz w:val="20"/>
              </w:rPr>
              <w:t>30 000</w:t>
            </w:r>
          </w:p>
        </w:tc>
        <w:tc>
          <w:tcPr>
            <w:tcW w:type="dxa" w:w="2078"/>
          </w:tcPr>
          <w:p>
            <w:r>
              <w:rPr>
                <w:rFonts w:ascii="Times New Roman" w:hAnsi="Times New Roman"/>
                <w:sz w:val="20"/>
              </w:rPr>
              <w:t>130 000</w:t>
            </w:r>
          </w:p>
        </w:tc>
      </w:tr>
      <w:tr>
        <w:tc>
          <w:tcPr>
            <w:tcW w:type="dxa" w:w="2078"/>
          </w:tcPr>
          <w:p>
            <w:r>
              <w:rPr>
                <w:rFonts w:ascii="Times New Roman" w:hAnsi="Times New Roman"/>
                <w:sz w:val="20"/>
              </w:rPr>
              <w:t>**Degré de substitution molaire**</w:t>
            </w:r>
          </w:p>
        </w:tc>
        <w:tc>
          <w:tcPr>
            <w:tcW w:type="dxa" w:w="2078"/>
          </w:tcPr>
          <w:p>
            <w:r>
              <w:rPr>
                <w:rFonts w:ascii="Times New Roman" w:hAnsi="Times New Roman"/>
                <w:sz w:val="20"/>
              </w:rPr>
              <w:t>N/A (succinylation)</w:t>
            </w:r>
          </w:p>
        </w:tc>
        <w:tc>
          <w:tcPr>
            <w:tcW w:type="dxa" w:w="2078"/>
          </w:tcPr>
          <w:p>
            <w:r>
              <w:rPr>
                <w:rFonts w:ascii="Times New Roman" w:hAnsi="Times New Roman"/>
                <w:sz w:val="20"/>
              </w:rPr>
              <w:t>N/A (succinylation)</w:t>
            </w:r>
          </w:p>
        </w:tc>
        <w:tc>
          <w:tcPr>
            <w:tcW w:type="dxa" w:w="2078"/>
          </w:tcPr>
          <w:p>
            <w:r>
              <w:rPr>
                <w:rFonts w:ascii="Times New Roman" w:hAnsi="Times New Roman"/>
                <w:sz w:val="20"/>
              </w:rPr>
              <w:t>0,4</w:t>
            </w:r>
          </w:p>
        </w:tc>
      </w:tr>
      <w:tr>
        <w:tc>
          <w:tcPr>
            <w:tcW w:type="dxa" w:w="2078"/>
          </w:tcPr>
          <w:p>
            <w:r>
              <w:rPr>
                <w:rFonts w:ascii="Times New Roman" w:hAnsi="Times New Roman"/>
                <w:sz w:val="20"/>
              </w:rPr>
              <w:t>**Concentration colloïde (g/L)**</w:t>
            </w:r>
          </w:p>
        </w:tc>
        <w:tc>
          <w:tcPr>
            <w:tcW w:type="dxa" w:w="2078"/>
          </w:tcPr>
          <w:p>
            <w:r>
              <w:rPr>
                <w:rFonts w:ascii="Times New Roman" w:hAnsi="Times New Roman"/>
                <w:sz w:val="20"/>
              </w:rPr>
              <w:t>40 (4 %)</w:t>
            </w:r>
          </w:p>
        </w:tc>
        <w:tc>
          <w:tcPr>
            <w:tcW w:type="dxa" w:w="2078"/>
          </w:tcPr>
          <w:p>
            <w:r>
              <w:rPr>
                <w:rFonts w:ascii="Times New Roman" w:hAnsi="Times New Roman"/>
                <w:sz w:val="20"/>
              </w:rPr>
              <w:t>30 (3 %)</w:t>
            </w:r>
          </w:p>
        </w:tc>
        <w:tc>
          <w:tcPr>
            <w:tcW w:type="dxa" w:w="2078"/>
          </w:tcPr>
          <w:p>
            <w:r>
              <w:rPr>
                <w:rFonts w:ascii="Times New Roman" w:hAnsi="Times New Roman"/>
                <w:sz w:val="20"/>
              </w:rPr>
              <w:t>60 (6 %)</w:t>
            </w:r>
          </w:p>
        </w:tc>
      </w:tr>
      <w:tr>
        <w:tc>
          <w:tcPr>
            <w:tcW w:type="dxa" w:w="2078"/>
          </w:tcPr>
          <w:p>
            <w:r>
              <w:rPr>
                <w:rFonts w:ascii="Times New Roman" w:hAnsi="Times New Roman"/>
                <w:sz w:val="20"/>
              </w:rPr>
              <w:t>**Pression oncotique (mmHg)**</w:t>
            </w:r>
          </w:p>
        </w:tc>
        <w:tc>
          <w:tcPr>
            <w:tcW w:type="dxa" w:w="2078"/>
          </w:tcPr>
          <w:p>
            <w:r>
              <w:rPr>
                <w:rFonts w:ascii="Times New Roman" w:hAnsi="Times New Roman"/>
                <w:sz w:val="20"/>
              </w:rPr>
              <w:t>40-50</w:t>
            </w:r>
          </w:p>
        </w:tc>
        <w:tc>
          <w:tcPr>
            <w:tcW w:type="dxa" w:w="2078"/>
          </w:tcPr>
          <w:p>
            <w:r>
              <w:rPr>
                <w:rFonts w:ascii="Times New Roman" w:hAnsi="Times New Roman"/>
                <w:sz w:val="20"/>
              </w:rPr>
              <w:t>30-40</w:t>
            </w:r>
          </w:p>
        </w:tc>
        <w:tc>
          <w:tcPr>
            <w:tcW w:type="dxa" w:w="2078"/>
          </w:tcPr>
          <w:p>
            <w:r>
              <w:rPr>
                <w:rFonts w:ascii="Times New Roman" w:hAnsi="Times New Roman"/>
                <w:sz w:val="20"/>
              </w:rPr>
              <w:t>36</w:t>
            </w:r>
          </w:p>
        </w:tc>
      </w:tr>
      <w:tr>
        <w:tc>
          <w:tcPr>
            <w:tcW w:type="dxa" w:w="2078"/>
          </w:tcPr>
          <w:p>
            <w:r>
              <w:rPr>
                <w:rFonts w:ascii="Times New Roman" w:hAnsi="Times New Roman"/>
                <w:sz w:val="20"/>
              </w:rPr>
              <w:t>**Apport Na⁺ (mmol/L)**</w:t>
            </w:r>
          </w:p>
        </w:tc>
        <w:tc>
          <w:tcPr>
            <w:tcW w:type="dxa" w:w="2078"/>
          </w:tcPr>
          <w:p>
            <w:r>
              <w:rPr>
                <w:rFonts w:ascii="Times New Roman" w:hAnsi="Times New Roman"/>
                <w:sz w:val="20"/>
              </w:rPr>
              <w:t>154</w:t>
            </w:r>
          </w:p>
        </w:tc>
        <w:tc>
          <w:tcPr>
            <w:tcW w:type="dxa" w:w="2078"/>
          </w:tcPr>
          <w:p>
            <w:r>
              <w:rPr>
                <w:rFonts w:ascii="Times New Roman" w:hAnsi="Times New Roman"/>
                <w:sz w:val="20"/>
              </w:rPr>
              <w:t>145</w:t>
            </w:r>
          </w:p>
        </w:tc>
        <w:tc>
          <w:tcPr>
            <w:tcW w:type="dxa" w:w="2078"/>
          </w:tcPr>
          <w:p>
            <w:r>
              <w:rPr>
                <w:rFonts w:ascii="Times New Roman" w:hAnsi="Times New Roman"/>
                <w:sz w:val="20"/>
              </w:rPr>
              <w:t>154</w:t>
            </w:r>
          </w:p>
        </w:tc>
      </w:tr>
      <w:tr>
        <w:tc>
          <w:tcPr>
            <w:tcW w:type="dxa" w:w="2078"/>
          </w:tcPr>
          <w:p>
            <w:r>
              <w:rPr>
                <w:rFonts w:ascii="Times New Roman" w:hAnsi="Times New Roman"/>
                <w:sz w:val="20"/>
              </w:rPr>
              <w:t>**Apport K⁺ (mmol/L)**</w:t>
            </w:r>
          </w:p>
        </w:tc>
        <w:tc>
          <w:tcPr>
            <w:tcW w:type="dxa" w:w="2078"/>
          </w:tcPr>
          <w:p>
            <w:r>
              <w:rPr>
                <w:rFonts w:ascii="Times New Roman" w:hAnsi="Times New Roman"/>
                <w:sz w:val="20"/>
              </w:rPr>
              <w:t>0</w:t>
            </w:r>
          </w:p>
        </w:tc>
        <w:tc>
          <w:tcPr>
            <w:tcW w:type="dxa" w:w="2078"/>
          </w:tcPr>
          <w:p>
            <w:r>
              <w:rPr>
                <w:rFonts w:ascii="Times New Roman" w:hAnsi="Times New Roman"/>
                <w:sz w:val="20"/>
              </w:rPr>
              <w:t>5</w:t>
            </w:r>
          </w:p>
        </w:tc>
        <w:tc>
          <w:tcPr>
            <w:tcW w:type="dxa" w:w="2078"/>
          </w:tcPr>
          <w:p>
            <w:r>
              <w:rPr>
                <w:rFonts w:ascii="Times New Roman" w:hAnsi="Times New Roman"/>
                <w:sz w:val="20"/>
              </w:rPr>
              <w:t>0</w:t>
            </w:r>
          </w:p>
        </w:tc>
      </w:tr>
      <w:tr>
        <w:tc>
          <w:tcPr>
            <w:tcW w:type="dxa" w:w="2078"/>
          </w:tcPr>
          <w:p>
            <w:r>
              <w:rPr>
                <w:rFonts w:ascii="Times New Roman" w:hAnsi="Times New Roman"/>
                <w:sz w:val="20"/>
              </w:rPr>
              <w:t>**Apport Mg²⁺ (mmol/L)**</w:t>
            </w:r>
          </w:p>
        </w:tc>
        <w:tc>
          <w:tcPr>
            <w:tcW w:type="dxa" w:w="2078"/>
          </w:tcPr>
          <w:p>
            <w:r>
              <w:rPr>
                <w:rFonts w:ascii="Times New Roman" w:hAnsi="Times New Roman"/>
                <w:sz w:val="20"/>
              </w:rPr>
              <w:t>0</w:t>
            </w:r>
          </w:p>
        </w:tc>
        <w:tc>
          <w:tcPr>
            <w:tcW w:type="dxa" w:w="2078"/>
          </w:tcPr>
          <w:p>
            <w:r>
              <w:rPr>
                <w:rFonts w:ascii="Times New Roman" w:hAnsi="Times New Roman"/>
                <w:sz w:val="20"/>
              </w:rPr>
              <w:t>1,5</w:t>
            </w:r>
          </w:p>
        </w:tc>
        <w:tc>
          <w:tcPr>
            <w:tcW w:type="dxa" w:w="2078"/>
          </w:tcPr>
          <w:p>
            <w:r>
              <w:rPr>
                <w:rFonts w:ascii="Times New Roman" w:hAnsi="Times New Roman"/>
                <w:sz w:val="20"/>
              </w:rPr>
              <w:t>0</w:t>
            </w:r>
          </w:p>
        </w:tc>
      </w:tr>
      <w:tr>
        <w:tc>
          <w:tcPr>
            <w:tcW w:type="dxa" w:w="2078"/>
          </w:tcPr>
          <w:p>
            <w:r>
              <w:rPr>
                <w:rFonts w:ascii="Times New Roman" w:hAnsi="Times New Roman"/>
                <w:sz w:val="20"/>
              </w:rPr>
              <w:t>**Apport lactate (mmol/L)**</w:t>
            </w:r>
          </w:p>
        </w:tc>
        <w:tc>
          <w:tcPr>
            <w:tcW w:type="dxa" w:w="2078"/>
          </w:tcPr>
          <w:p>
            <w:r>
              <w:rPr>
                <w:rFonts w:ascii="Times New Roman" w:hAnsi="Times New Roman"/>
                <w:sz w:val="20"/>
              </w:rPr>
              <w:t>0</w:t>
            </w:r>
          </w:p>
        </w:tc>
        <w:tc>
          <w:tcPr>
            <w:tcW w:type="dxa" w:w="2078"/>
          </w:tcPr>
          <w:p>
            <w:r>
              <w:rPr>
                <w:rFonts w:ascii="Times New Roman" w:hAnsi="Times New Roman"/>
                <w:sz w:val="20"/>
              </w:rPr>
              <w:t>30</w:t>
            </w:r>
          </w:p>
        </w:tc>
        <w:tc>
          <w:tcPr>
            <w:tcW w:type="dxa" w:w="2078"/>
          </w:tcPr>
          <w:p>
            <w:r>
              <w:rPr>
                <w:rFonts w:ascii="Times New Roman" w:hAnsi="Times New Roman"/>
                <w:sz w:val="20"/>
              </w:rPr>
              <w:t>0</w:t>
            </w:r>
          </w:p>
        </w:tc>
      </w:tr>
      <w:tr>
        <w:tc>
          <w:tcPr>
            <w:tcW w:type="dxa" w:w="2078"/>
          </w:tcPr>
          <w:p>
            <w:r>
              <w:rPr>
                <w:rFonts w:ascii="Times New Roman" w:hAnsi="Times New Roman"/>
                <w:sz w:val="20"/>
              </w:rPr>
              <w:t>**Osmolarité (mOsm/L)**</w:t>
            </w:r>
          </w:p>
        </w:tc>
        <w:tc>
          <w:tcPr>
            <w:tcW w:type="dxa" w:w="2078"/>
          </w:tcPr>
          <w:p>
            <w:r>
              <w:rPr>
                <w:rFonts w:ascii="Times New Roman" w:hAnsi="Times New Roman"/>
                <w:sz w:val="20"/>
              </w:rPr>
              <w:t>308</w:t>
            </w:r>
          </w:p>
        </w:tc>
        <w:tc>
          <w:tcPr>
            <w:tcW w:type="dxa" w:w="2078"/>
          </w:tcPr>
          <w:p>
            <w:r>
              <w:rPr>
                <w:rFonts w:ascii="Times New Roman" w:hAnsi="Times New Roman"/>
                <w:sz w:val="20"/>
              </w:rPr>
              <w:t>290</w:t>
            </w:r>
          </w:p>
        </w:tc>
        <w:tc>
          <w:tcPr>
            <w:tcW w:type="dxa" w:w="2078"/>
          </w:tcPr>
          <w:p>
            <w:r>
              <w:rPr>
                <w:rFonts w:ascii="Times New Roman" w:hAnsi="Times New Roman"/>
                <w:sz w:val="20"/>
              </w:rPr>
              <w:t>308</w:t>
            </w:r>
          </w:p>
        </w:tc>
      </w:tr>
      <w:tr>
        <w:tc>
          <w:tcPr>
            <w:tcW w:type="dxa" w:w="2078"/>
          </w:tcPr>
          <w:p>
            <w:r>
              <w:rPr>
                <w:rFonts w:ascii="Times New Roman" w:hAnsi="Times New Roman"/>
                <w:sz w:val="20"/>
              </w:rPr>
              <w:t>**SID (mEq/L)**</w:t>
            </w:r>
          </w:p>
        </w:tc>
        <w:tc>
          <w:tcPr>
            <w:tcW w:type="dxa" w:w="2078"/>
          </w:tcPr>
          <w:p>
            <w:r>
              <w:rPr>
                <w:rFonts w:ascii="Times New Roman" w:hAnsi="Times New Roman"/>
                <w:sz w:val="20"/>
              </w:rPr>
              <w:t>0 (non équilibré)</w:t>
            </w:r>
          </w:p>
        </w:tc>
        <w:tc>
          <w:tcPr>
            <w:tcW w:type="dxa" w:w="2078"/>
          </w:tcPr>
          <w:p>
            <w:r>
              <w:rPr>
                <w:rFonts w:ascii="Times New Roman" w:hAnsi="Times New Roman"/>
                <w:sz w:val="20"/>
              </w:rPr>
              <w:t>28-30 (équilibré)</w:t>
            </w:r>
          </w:p>
        </w:tc>
        <w:tc>
          <w:tcPr>
            <w:tcW w:type="dxa" w:w="2078"/>
          </w:tcPr>
          <w:p>
            <w:r>
              <w:rPr>
                <w:rFonts w:ascii="Times New Roman" w:hAnsi="Times New Roman"/>
                <w:sz w:val="20"/>
              </w:rPr>
              <w:t>0 (non équilibré)</w:t>
            </w:r>
          </w:p>
        </w:tc>
      </w:tr>
      <w:tr>
        <w:tc>
          <w:tcPr>
            <w:tcW w:type="dxa" w:w="2078"/>
          </w:tcPr>
          <w:p>
            <w:r>
              <w:rPr>
                <w:rFonts w:ascii="Times New Roman" w:hAnsi="Times New Roman"/>
                <w:sz w:val="20"/>
              </w:rPr>
              <w:t>**Demi-vie d'élimination**</w:t>
            </w:r>
          </w:p>
        </w:tc>
        <w:tc>
          <w:tcPr>
            <w:tcW w:type="dxa" w:w="2078"/>
          </w:tcPr>
          <w:p>
            <w:r>
              <w:rPr>
                <w:rFonts w:ascii="Times New Roman" w:hAnsi="Times New Roman"/>
                <w:sz w:val="20"/>
              </w:rPr>
              <w:t>4-6 heures</w:t>
            </w:r>
          </w:p>
        </w:tc>
        <w:tc>
          <w:tcPr>
            <w:tcW w:type="dxa" w:w="2078"/>
          </w:tcPr>
          <w:p>
            <w:r>
              <w:rPr>
                <w:rFonts w:ascii="Times New Roman" w:hAnsi="Times New Roman"/>
                <w:sz w:val="20"/>
              </w:rPr>
              <w:t>4-6 heures</w:t>
            </w:r>
          </w:p>
        </w:tc>
        <w:tc>
          <w:tcPr>
            <w:tcW w:type="dxa" w:w="2078"/>
          </w:tcPr>
          <w:p>
            <w:r>
              <w:rPr>
                <w:rFonts w:ascii="Times New Roman" w:hAnsi="Times New Roman"/>
                <w:sz w:val="20"/>
              </w:rPr>
              <w:t>12-24 heures</w:t>
            </w:r>
          </w:p>
        </w:tc>
      </w:tr>
      <w:tr>
        <w:tc>
          <w:tcPr>
            <w:tcW w:type="dxa" w:w="2078"/>
          </w:tcPr>
          <w:p>
            <w:r>
              <w:rPr>
                <w:rFonts w:ascii="Times New Roman" w:hAnsi="Times New Roman"/>
                <w:sz w:val="20"/>
              </w:rPr>
              <w:t>**Voie d'administration**</w:t>
            </w:r>
          </w:p>
        </w:tc>
        <w:tc>
          <w:tcPr>
            <w:tcW w:type="dxa" w:w="2078"/>
          </w:tcPr>
          <w:p>
            <w:r>
              <w:rPr>
                <w:rFonts w:ascii="Times New Roman" w:hAnsi="Times New Roman"/>
                <w:sz w:val="20"/>
              </w:rPr>
              <w:t>IV stricte</w:t>
            </w:r>
          </w:p>
        </w:tc>
        <w:tc>
          <w:tcPr>
            <w:tcW w:type="dxa" w:w="2078"/>
          </w:tcPr>
          <w:p>
            <w:r>
              <w:rPr>
                <w:rFonts w:ascii="Times New Roman" w:hAnsi="Times New Roman"/>
                <w:sz w:val="20"/>
              </w:rPr>
              <w:t>IV stricte</w:t>
            </w:r>
          </w:p>
        </w:tc>
        <w:tc>
          <w:tcPr>
            <w:tcW w:type="dxa" w:w="2078"/>
          </w:tcPr>
          <w:p>
            <w:r>
              <w:rPr>
                <w:rFonts w:ascii="Times New Roman" w:hAnsi="Times New Roman"/>
                <w:sz w:val="20"/>
              </w:rPr>
              <w:t>IV stricte</w:t>
            </w:r>
          </w:p>
        </w:tc>
      </w:tr>
      <w:tr>
        <w:tc>
          <w:tcPr>
            <w:tcW w:type="dxa" w:w="2078"/>
          </w:tcPr>
          <w:p>
            <w:r>
              <w:rPr>
                <w:rFonts w:ascii="Times New Roman" w:hAnsi="Times New Roman"/>
                <w:sz w:val="20"/>
              </w:rPr>
              <w:t>**Indication principale**</w:t>
            </w:r>
          </w:p>
        </w:tc>
        <w:tc>
          <w:tcPr>
            <w:tcW w:type="dxa" w:w="2078"/>
          </w:tcPr>
          <w:p>
            <w:r>
              <w:rPr>
                <w:rFonts w:ascii="Times New Roman" w:hAnsi="Times New Roman"/>
                <w:sz w:val="20"/>
              </w:rPr>
              <w:t>Remplissage 2e ligne</w:t>
            </w:r>
          </w:p>
        </w:tc>
        <w:tc>
          <w:tcPr>
            <w:tcW w:type="dxa" w:w="2078"/>
          </w:tcPr>
          <w:p>
            <w:r>
              <w:rPr>
                <w:rFonts w:ascii="Times New Roman" w:hAnsi="Times New Roman"/>
                <w:sz w:val="20"/>
              </w:rPr>
              <w:t>Remplissage 2e ligne (équilibré)</w:t>
            </w:r>
          </w:p>
        </w:tc>
        <w:tc>
          <w:tcPr>
            <w:tcW w:type="dxa" w:w="2078"/>
          </w:tcPr>
          <w:p>
            <w:r>
              <w:rPr>
                <w:rFonts w:ascii="Times New Roman" w:hAnsi="Times New Roman"/>
                <w:sz w:val="20"/>
              </w:rPr>
              <w:t>Contre-indiqué sepsis, brûlés, IR</w:t>
            </w:r>
          </w:p>
        </w:tc>
      </w:tr>
      <w:tr>
        <w:tc>
          <w:tcPr>
            <w:tcW w:type="dxa" w:w="2078"/>
          </w:tcPr>
          <w:p>
            <w:r>
              <w:rPr>
                <w:rFonts w:ascii="Times New Roman" w:hAnsi="Times New Roman"/>
                <w:sz w:val="20"/>
              </w:rPr>
              <w:t>**Contre-indication absolue**</w:t>
            </w:r>
          </w:p>
        </w:tc>
        <w:tc>
          <w:tcPr>
            <w:tcW w:type="dxa" w:w="2078"/>
          </w:tcPr>
          <w:p>
            <w:r>
              <w:rPr>
                <w:rFonts w:ascii="Times New Roman" w:hAnsi="Times New Roman"/>
                <w:sz w:val="20"/>
              </w:rPr>
              <w:t>Allergie gélatine</w:t>
            </w:r>
          </w:p>
        </w:tc>
        <w:tc>
          <w:tcPr>
            <w:tcW w:type="dxa" w:w="2078"/>
          </w:tcPr>
          <w:p>
            <w:r>
              <w:rPr>
                <w:rFonts w:ascii="Times New Roman" w:hAnsi="Times New Roman"/>
                <w:sz w:val="20"/>
              </w:rPr>
              <w:t>Allergie gélatine, hyperkaliémie</w:t>
            </w:r>
          </w:p>
        </w:tc>
        <w:tc>
          <w:tcPr>
            <w:tcW w:type="dxa" w:w="2078"/>
          </w:tcPr>
          <w:p>
            <w:r>
              <w:rPr>
                <w:rFonts w:ascii="Times New Roman" w:hAnsi="Times New Roman"/>
                <w:sz w:val="20"/>
              </w:rPr>
              <w:t>Sepsis, brûlures, IR, déshydratation</w:t>
            </w:r>
          </w:p>
        </w:tc>
      </w:tr>
      <w:tr>
        <w:tc>
          <w:tcPr>
            <w:tcW w:type="dxa" w:w="2078"/>
          </w:tcPr>
          <w:p>
            <w:r>
              <w:rPr>
                <w:rFonts w:ascii="Times New Roman" w:hAnsi="Times New Roman"/>
                <w:sz w:val="20"/>
              </w:rPr>
              <w:t>**Dose maximale adulte**</w:t>
            </w:r>
          </w:p>
        </w:tc>
        <w:tc>
          <w:tcPr>
            <w:tcW w:type="dxa" w:w="2078"/>
          </w:tcPr>
          <w:p>
            <w:r>
              <w:rPr>
                <w:rFonts w:ascii="Times New Roman" w:hAnsi="Times New Roman"/>
                <w:sz w:val="20"/>
              </w:rPr>
              <w:t>1,5-2 L/24 heures</w:t>
            </w:r>
          </w:p>
        </w:tc>
        <w:tc>
          <w:tcPr>
            <w:tcW w:type="dxa" w:w="2078"/>
          </w:tcPr>
          <w:p>
            <w:r>
              <w:rPr>
                <w:rFonts w:ascii="Times New Roman" w:hAnsi="Times New Roman"/>
                <w:sz w:val="20"/>
              </w:rPr>
              <w:t>1,5-2 L/24 heures</w:t>
            </w:r>
          </w:p>
        </w:tc>
        <w:tc>
          <w:tcPr>
            <w:tcW w:type="dxa" w:w="2078"/>
          </w:tcPr>
          <w:p>
            <w:r>
              <w:rPr>
                <w:rFonts w:ascii="Times New Roman" w:hAnsi="Times New Roman"/>
                <w:sz w:val="20"/>
              </w:rPr>
              <w:t>30 mL/kg/24 heures</w:t>
            </w:r>
          </w:p>
        </w:tc>
      </w:tr>
      <w:tr>
        <w:tc>
          <w:tcPr>
            <w:tcW w:type="dxa" w:w="2078"/>
          </w:tcPr>
          <w:p>
            <w:r>
              <w:rPr>
                <w:rFonts w:ascii="Times New Roman" w:hAnsi="Times New Roman"/>
                <w:sz w:val="20"/>
              </w:rPr>
              <w:t>**Effet indésirable principal**</w:t>
            </w:r>
          </w:p>
        </w:tc>
        <w:tc>
          <w:tcPr>
            <w:tcW w:type="dxa" w:w="2078"/>
          </w:tcPr>
          <w:p>
            <w:r>
              <w:rPr>
                <w:rFonts w:ascii="Times New Roman" w:hAnsi="Times New Roman"/>
                <w:sz w:val="20"/>
              </w:rPr>
              <w:t>Anaphylaxie, coagulopathie dilution</w:t>
            </w:r>
          </w:p>
        </w:tc>
        <w:tc>
          <w:tcPr>
            <w:tcW w:type="dxa" w:w="2078"/>
          </w:tcPr>
          <w:p>
            <w:r>
              <w:rPr>
                <w:rFonts w:ascii="Times New Roman" w:hAnsi="Times New Roman"/>
                <w:sz w:val="20"/>
              </w:rPr>
              <w:t>Anaphylaxie, hyperkaliémie</w:t>
            </w:r>
          </w:p>
        </w:tc>
        <w:tc>
          <w:tcPr>
            <w:tcW w:type="dxa" w:w="2078"/>
          </w:tcPr>
          <w:p>
            <w:r>
              <w:rPr>
                <w:rFonts w:ascii="Times New Roman" w:hAnsi="Times New Roman"/>
                <w:sz w:val="20"/>
              </w:rPr>
              <w:t>Néphrotoxicité, surmortalité, prurit</w:t>
            </w:r>
          </w:p>
        </w:tc>
      </w:tr>
      <w:tr>
        <w:tc>
          <w:tcPr>
            <w:tcW w:type="dxa" w:w="2078"/>
          </w:tcPr>
          <w:p>
            <w:r>
              <w:rPr>
                <w:rFonts w:ascii="Times New Roman" w:hAnsi="Times New Roman"/>
                <w:sz w:val="20"/>
              </w:rPr>
              <w:t>**Surviving Sepsis Campaign 2021**</w:t>
            </w:r>
          </w:p>
        </w:tc>
        <w:tc>
          <w:tcPr>
            <w:tcW w:type="dxa" w:w="2078"/>
          </w:tcPr>
          <w:p>
            <w:r>
              <w:rPr>
                <w:rFonts w:ascii="Times New Roman" w:hAnsi="Times New Roman"/>
                <w:sz w:val="20"/>
              </w:rPr>
              <w:t>2e ligne (si cristalloïdes insuffisants)</w:t>
            </w:r>
          </w:p>
        </w:tc>
        <w:tc>
          <w:tcPr>
            <w:tcW w:type="dxa" w:w="2078"/>
          </w:tcPr>
          <w:p>
            <w:r>
              <w:rPr>
                <w:rFonts w:ascii="Times New Roman" w:hAnsi="Times New Roman"/>
                <w:sz w:val="20"/>
              </w:rPr>
              <w:t>2e ligne (si cristalloïdes insuffisants)</w:t>
            </w:r>
          </w:p>
        </w:tc>
        <w:tc>
          <w:tcPr>
            <w:tcW w:type="dxa" w:w="2078"/>
          </w:tcPr>
          <w:p>
            <w:r>
              <w:rPr>
                <w:rFonts w:ascii="Times New Roman" w:hAnsi="Times New Roman"/>
                <w:sz w:val="20"/>
              </w:rPr>
              <w:t>CONTRE-INDIQUÉ (recommandation forte)</w:t>
            </w:r>
          </w:p>
        </w:tc>
      </w:tr>
      <w:tr>
        <w:tc>
          <w:tcPr>
            <w:tcW w:type="dxa" w:w="2078"/>
          </w:tcPr>
          <w:p>
            <w:r>
              <w:rPr>
                <w:rFonts w:ascii="Times New Roman" w:hAnsi="Times New Roman"/>
                <w:sz w:val="20"/>
              </w:rPr>
              <w:t>**Grossesse**</w:t>
            </w:r>
          </w:p>
        </w:tc>
        <w:tc>
          <w:tcPr>
            <w:tcW w:type="dxa" w:w="2078"/>
          </w:tcPr>
          <w:p>
            <w:r>
              <w:rPr>
                <w:rFonts w:ascii="Times New Roman" w:hAnsi="Times New Roman"/>
                <w:sz w:val="20"/>
              </w:rPr>
              <w:t>Autorisé</w:t>
            </w:r>
          </w:p>
        </w:tc>
        <w:tc>
          <w:tcPr>
            <w:tcW w:type="dxa" w:w="2078"/>
          </w:tcPr>
          <w:p>
            <w:r>
              <w:rPr>
                <w:rFonts w:ascii="Times New Roman" w:hAnsi="Times New Roman"/>
                <w:sz w:val="20"/>
              </w:rPr>
              <w:t>Autorisé (prudence)</w:t>
            </w:r>
          </w:p>
        </w:tc>
        <w:tc>
          <w:tcPr>
            <w:tcW w:type="dxa" w:w="2078"/>
          </w:tcPr>
          <w:p>
            <w:r>
              <w:rPr>
                <w:rFonts w:ascii="Times New Roman" w:hAnsi="Times New Roman"/>
                <w:sz w:val="20"/>
              </w:rPr>
              <w:t>À éviter</w:t>
            </w:r>
          </w:p>
        </w:tc>
      </w:tr>
      <w:tr>
        <w:tc>
          <w:tcPr>
            <w:tcW w:type="dxa" w:w="2078"/>
          </w:tcPr>
          <w:p>
            <w:r>
              <w:rPr>
                <w:rFonts w:ascii="Times New Roman" w:hAnsi="Times New Roman"/>
                <w:sz w:val="20"/>
              </w:rPr>
              <w:t>**Piège majeur comptoir**</w:t>
            </w:r>
          </w:p>
        </w:tc>
        <w:tc>
          <w:tcPr>
            <w:tcW w:type="dxa" w:w="2078"/>
          </w:tcPr>
          <w:p>
            <w:r>
              <w:rPr>
                <w:rFonts w:ascii="Times New Roman" w:hAnsi="Times New Roman"/>
                <w:sz w:val="20"/>
              </w:rPr>
              <w:t>Anaphylaxie 30 premières min</w:t>
            </w:r>
          </w:p>
        </w:tc>
        <w:tc>
          <w:tcPr>
            <w:tcW w:type="dxa" w:w="2078"/>
          </w:tcPr>
          <w:p>
            <w:r>
              <w:rPr>
                <w:rFonts w:ascii="Times New Roman" w:hAnsi="Times New Roman"/>
                <w:sz w:val="20"/>
              </w:rPr>
              <w:t>Spécialité non renouvelée</w:t>
            </w:r>
          </w:p>
        </w:tc>
        <w:tc>
          <w:tcPr>
            <w:tcW w:type="dxa" w:w="2078"/>
          </w:tcPr>
          <w:p>
            <w:r>
              <w:rPr>
                <w:rFonts w:ascii="Times New Roman" w:hAnsi="Times New Roman"/>
                <w:sz w:val="20"/>
              </w:rPr>
              <w:t>Contre-indication sepsis absolue</w:t>
            </w:r>
          </w:p>
        </w:tc>
      </w:tr>
    </w:tbl>
    <w:p/>
    <w:p>
      <w:pPr>
        <w:pStyle w:val="Heading3"/>
      </w:pPr>
      <w:r>
        <w:t>224.5 Synthèse pédagogique pour la pratique algérienne</w:t>
      </w:r>
    </w:p>
    <w:p>
      <w:r>
        <w:t xml:space="preserve">Les colloïdes et expérimentateurs plasmatiques disponibles en Algérie illustrent parfaitement l'évolution du paradigme de la réanimation hydro-électrolytique au cours des deux dernières décennies. Les messages clés à retenir sont les suivants : (1) la </w:t>
      </w:r>
      <w:r>
        <w:rPr>
          <w:b/>
        </w:rPr>
        <w:t>Surviving Sepsis Campaign 2021</w:t>
      </w:r>
      <w:r>
        <w:t xml:space="preserve"> recommande explicitement l'usage des cristalloïdes en première intention pour la réanimation du choc septique, et contre-indique l'usage des HEA chez le patient septique (niveau de recommandation fort, qualité d'évidence élevée) ; (2) la </w:t>
      </w:r>
      <w:r>
        <w:rPr>
          <w:b/>
        </w:rPr>
        <w:t>gélatine fluide modifiée</w:t>
      </w:r>
      <w:r>
        <w:t xml:space="preserve"> (GELAFUNDIN 4 %, B.Braun) est le colloïde de référence disponible en Algérie (statut Actif), à utiliser en seconde ligne lorsque les cristalloïdes seuls s'avèrent insuffisants, avec une surveillance rapprochée pendant les 30 premières minutes (risque anaphylactoïde) ; (3) la spécialité </w:t>
      </w:r>
      <w:r>
        <w:rPr>
          <w:b/>
        </w:rPr>
        <w:t>PLASMION 3 %</w:t>
      </w:r>
      <w:r>
        <w:t xml:space="preserve"> (Fresenius Kabi) est non renouvelée et doit être substituée par GELAFUNDIN ; (4) la spécialité </w:t>
      </w:r>
      <w:r>
        <w:rPr>
          <w:b/>
        </w:rPr>
        <w:t>VOLUVEN 6 %</w:t>
      </w:r>
      <w:r>
        <w:t xml:space="preserve"> (HEA 130/0,4, Fresenius Kabi) est non renouvelée et son usage est désormais restreint par les contre-indications réglementaires européennes (EMA PRAC, juin 2013) — contre-indication absolue en cas de sepsis, de brûlures graves, de déshydratation critique et d'insuffisance rénale ; (5) les HEA ne présentent </w:t>
      </w:r>
      <w:r>
        <w:rPr>
          <w:b/>
        </w:rPr>
        <w:t>pas de supériorité clinique</w:t>
      </w:r>
      <w:r>
        <w:t xml:space="preserve"> par rapport aux cristalloïdes (essais CHEST, 6S, CRISTAL), et exposent à une toxicité rénale, à une surmortalité chez le patient septique, et à un prurit retardé ; (6) le pharmacien d'officine et le pharmacien hospitalier doivent connaître les restrictions réglementaires en vigueur, vérifier le statut des spécialités à la dispensation, et informer le prescripteur des contre-indications absolues et des alternatives préférentielles (cristalloïdes équilibrés en première intention, gélatine en seconde ligne, albumine humaine en cas d'hypoprotidémie sévère). La sensibilisation des médecins prescripteurs et la formation continue des pharmaciens sont essentielles pour réduire l'usage inapproprié des HEA et améliorer la sécurité de la réanimation hydro-électrolytique en Algérie.</w:t>
      </w:r>
    </w:p>
    <w:p>
      <w:pPr>
        <w:pStyle w:val="Heading2"/>
      </w:pPr>
      <w:r>
        <w:t>Section 225 — Nutrition parentérale tricompartimentale</w:t>
      </w:r>
    </w:p>
    <w:p>
      <w:pPr>
        <w:pStyle w:val="Heading3"/>
      </w:pPr>
      <w:r>
        <w:t>225.0 Introduction de la sous-classe</w:t>
      </w:r>
    </w:p>
    <w:p>
      <w:r>
        <w:t xml:space="preserve">La nutrition parentérale (NP) désigne l'apport intraveineux de substrats énergétiques (glucose, lipides), azotés (acides aminés), électrolytiques, vitaminiques et oligo-élémentaires chez un patient dont le tube digestif est non fonctionnel, inaccessible ou insuffisant. Elle s'oppose à la nutrition entérale qui privilégie la voie digestive physiologique, conformément au principe « </w:t>
      </w:r>
      <w:r>
        <w:rPr>
          <w:i/>
        </w:rPr>
        <w:t>If the gut works, use it</w:t>
      </w:r>
      <w:r>
        <w:t xml:space="preserve"> » énoncé par les recommandations ESPEN (</w:t>
      </w:r>
      <w:r>
        <w:rPr>
          <w:i/>
        </w:rPr>
        <w:t>European Society for Clinical Nutrition and Metabolism</w:t>
      </w:r>
      <w:r>
        <w:t>) depuis 2006 et réaffirmé dans la mise à jour 2023 (</w:t>
      </w:r>
      <w:r>
        <w:rPr>
          <w:i/>
        </w:rPr>
        <w:t>Singer P. et al., Clin Nutr 2023 ;42:1-58</w:t>
      </w:r>
      <w:r>
        <w:t>). La nutrition parentérale est réservée aux situations où la nutrition entérale est impossible, insuffisante ou contre-indiquée : occlusion intestinale, fistule digestive à haut débit, grêle court, entéropathie sévère (Crohn aigu, mucoviscidose), syndrome de grêle défaillant, pancréatite aiguë sévère (voie veineuse dans les formes nécrotico-hémorragiques), patient de réanimation avec dénutrition aiguë et intestin non fonctionnel à 7 jours, prématuré &lt; 1500 g ou &lt; 32 SA avec retard de croissance intra-utérin.</w:t>
      </w:r>
    </w:p>
    <w:p>
      <w:r>
        <w:t xml:space="preserve">Les mélanges de nutrition parentérale sont classés selon leur composition en : (1) </w:t>
      </w:r>
      <w:r>
        <w:rPr>
          <w:b/>
        </w:rPr>
        <w:t>mélanges binaires</w:t>
      </w:r>
      <w:r>
        <w:t xml:space="preserve"> (acides aminés + glucose, sans lipides — historiquement utilisés en périphérique sur voie veineuse de petit calibre avec osmolarité limitée à 850 mOsm/L) ; (2) </w:t>
      </w:r>
      <w:r>
        <w:rPr>
          <w:b/>
        </w:rPr>
        <w:t>mélanges ternaires</w:t>
      </w:r>
      <w:r>
        <w:t xml:space="preserve"> (acides aminés + glucose + lipides — qui constituent le standard de la nutrition parentérale complète moderne) ; (3) </w:t>
      </w:r>
      <w:r>
        <w:rPr>
          <w:b/>
        </w:rPr>
        <w:t>émulsions lipidiques</w:t>
      </w:r>
      <w:r>
        <w:t xml:space="preserve"> isolées (pour compléter un apport énergétique) ; (4) </w:t>
      </w:r>
      <w:r>
        <w:rPr>
          <w:b/>
        </w:rPr>
        <w:t>mélanges tricompartimentés en poche souple</w:t>
      </w:r>
      <w:r>
        <w:t xml:space="preserve"> (TCP — </w:t>
      </w:r>
      <w:r>
        <w:rPr>
          <w:i/>
        </w:rPr>
        <w:t>three-chamber bag</w:t>
      </w:r>
      <w:r>
        <w:t>) qui contiennent dans trois compartiments séparés les acides aminés, le glucose et les lipides, et qui sont activés extemporanément par rupture des soudures internes juste avant la perfusion. Cette dernière forme galénique représente l'avancée pharmacotechnique majeure des années 2000-2010 en raison de sa stabilité garantie, de sa traçabilité renforcée, et de la réduction des erreurs de prescription.</w:t>
      </w:r>
    </w:p>
    <w:p>
      <w:r>
        <w:t xml:space="preserve">La </w:t>
      </w:r>
      <w:r>
        <w:rPr>
          <w:b/>
        </w:rPr>
        <w:t>nutrition parentérale à domicile (NPAD)</w:t>
      </w:r>
      <w:r>
        <w:t xml:space="preserve"> est encadrée par la HAS (Haute Autorité de santé, France) depuis 2007 et concerne les patients nécessitant une nutrition parentérale prolongée (&gt; 30 jours) à domicile, le plus souvent pour syndrome de grêle court, cancer digestif inopérable, ou maladie de Crohn étendue. En Algérie, la NPAD reste encore limitée en raison de l'absence de réseau structuré, mais se développe dans les grandes villes (Alger, Oran, Constantine) via les services d'hospitalisation à domicile (HAD) rattachés aux CHU.</w:t>
      </w:r>
    </w:p>
    <w:p>
      <w:r>
        <w:t xml:space="preserve">Le présent chapitre 225 traite deux DCI apparentées présentes dans la nomenclature algérienne d'avril 2026 : (1) </w:t>
      </w:r>
      <w:r>
        <w:rPr>
          <w:b/>
        </w:rPr>
        <w:t>ACIDES AMINES/GLUCOSE/LIPIDES</w:t>
      </w:r>
      <w:r>
        <w:t xml:space="preserve"> (au pluriel, correspondant aux formulations adulte — Oliclinomel, Periolimel, Olimel) ; (2) </w:t>
      </w:r>
      <w:r>
        <w:rPr>
          <w:b/>
        </w:rPr>
        <w:t>ACIDE AMINES/GLUCOSE/LIPIDES</w:t>
      </w:r>
      <w:r>
        <w:t xml:space="preserve"> (au singulier, correspondant aux formulations pédiatriques — NumetZah). Toutes ces spécialités sont commercialisées en Algérie par le laboratoire Baxter (Baxter S.A. ou Baxter Healthcare Ltd), importées de production européenne (Clintec Parenteral S.A., Baxter S.A. France, Baxter Healthcare Ltd Royaume-Uni, Baxter S.P.A. Italie).</w:t>
      </w:r>
    </w:p>
    <w:p>
      <w:pPr>
        <w:pStyle w:val="Heading3"/>
      </w:pPr>
      <w:r>
        <w:t>225.1 DCI n°1 : Acides aminés/glucose/lipides (adulte) — Oliclinomel, Periolimel, Olimel</w:t>
      </w:r>
    </w:p>
    <w:p>
      <w:pPr>
        <w:pStyle w:val="Heading4"/>
      </w:pPr>
      <w:r>
        <w:t>1. Liste des catégories thérapeutiques</w:t>
      </w:r>
    </w:p>
    <w:p>
      <w:r>
        <w:t xml:space="preserve">La DCI « ACIDES AMINES/GLUCOSE/LIPIDES » (au pluriel) correspond au code ATC </w:t>
      </w:r>
      <w:r>
        <w:rPr>
          <w:b/>
        </w:rPr>
        <w:t>B05BA10</w:t>
      </w:r>
      <w:r>
        <w:t xml:space="preserve"> (</w:t>
      </w:r>
      <w:r>
        <w:rPr>
          <w:i/>
        </w:rPr>
        <w:t>solutions pour nutrition parentérale — mélanges acides aminés/glucose/lipides</w:t>
      </w:r>
      <w:r>
        <w:t xml:space="preserve">) selon la classification ATC de l'OMS, qui regroupe les associations ternaires pour nutrition parentérale complète. Sur le plan réglementaire algérien, ces spécialités relèvent de la </w:t>
      </w:r>
      <w:r>
        <w:rPr>
          <w:b/>
        </w:rPr>
        <w:t>liste I</w:t>
      </w:r>
      <w:r>
        <w:t xml:space="preserve"> des substances vénéneuses (spécialités PERIOLIMEL N4E, OLIMEL N7E, OLIMEL N9, OLIMEL N9E) ou sont dispensées sans mention de liste explicite (OLICLINOMEL N4-550E, OLICLINOMEL N7-1000 E) — l'usage exclusivement hospitalier rend la distinction liste I/liste II moins opérante. Ces spécialités appartiennent à la catégorie des dispositifs médicaux invasifs stériles à usage unique, conditionnés en poches multicompartimentées en plastique (PVC, EVA, polyoléfine), et figurent sur la liste des médicaments à statut hospitalier strict.</w:t>
      </w:r>
    </w:p>
    <w:p>
      <w:r>
        <w:t>Le code ATC B05BA10 est lui-même subdivisé en plusieurs sous-catégories : B05BA01 (acides aminés seuls), B05BA02 (émulsions lipidiques seules), B05BA03 (solutions de glucose seul), B05BA04 (compositions pour nutrition parentérale), et enfin B05BA10 qui correspond aux mélanges ternaires complets. Les spécialités Oliclinomel, Periolimel et Olimel sont toutes trois enregistrées sous le code B05BA10 et disposent d'une autorisation de mise sur le marché (AMM) européenne centralisée ou de reconnaissance mutuelle, transposée dans la nomenclature algérienne. Elles font l'objet d'une pharmacovigilance renforcée (suivi de l'innocuité de l'émulsion lipidique, déclaration obligatoire de toute réaction allergique ou anomalie de perfusion).</w:t>
      </w:r>
    </w:p>
    <w:p>
      <w:pPr>
        <w:pStyle w:val="Heading4"/>
      </w:pPr>
      <w:r>
        <w:t>2. Médicaments disponibles en Algérie</w:t>
      </w:r>
    </w:p>
    <w:p>
      <w:r>
        <w:t>Le tableau suivant recense les six spécialités actives disponibles dans la nomenclature algérienne d'avril 2026, toutes commercialisées par le groupe Baxter (Baxter S.A., Baxter Healthcare Ltd ou Clintec Parenteral S.A., filiale de Baxter). Toutes sont des poches tricompartimentées en plastique souple de type EVA (éthylène-acétate de vinyle) ou multibandes, contenant séparément les acides aminés (compartiment supérieur), le glucose (compartiment inférieur) et les lipides (compartiment latéral), à mélanger extemporanément.</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OLICLINOMEL N4-550E</w:t>
            </w:r>
          </w:p>
        </w:tc>
        <w:tc>
          <w:tcPr>
            <w:tcW w:type="dxa" w:w="1385"/>
          </w:tcPr>
          <w:p>
            <w:r>
              <w:rPr>
                <w:rFonts w:ascii="Times New Roman" w:hAnsi="Times New Roman"/>
                <w:sz w:val="20"/>
              </w:rPr>
              <w:t>Clintec Parenteral S.A.</w:t>
            </w:r>
          </w:p>
        </w:tc>
        <w:tc>
          <w:tcPr>
            <w:tcW w:type="dxa" w:w="1385"/>
          </w:tcPr>
          <w:p>
            <w:r>
              <w:rPr>
                <w:rFonts w:ascii="Times New Roman" w:hAnsi="Times New Roman"/>
                <w:sz w:val="20"/>
              </w:rPr>
              <w:t>Émulsion pour perfusion IV — AA 5,5 % / G 20 % / Lipides 10 %</w:t>
            </w:r>
          </w:p>
        </w:tc>
        <w:tc>
          <w:tcPr>
            <w:tcW w:type="dxa" w:w="1385"/>
          </w:tcPr>
          <w:p>
            <w:r>
              <w:rPr>
                <w:rFonts w:ascii="Times New Roman" w:hAnsi="Times New Roman"/>
                <w:sz w:val="20"/>
              </w:rPr>
              <w:t>Poche 2000 mL tricompartimentée (800 mL + 800 mL + 400 mL)</w:t>
            </w:r>
          </w:p>
        </w:tc>
        <w:tc>
          <w:tcPr>
            <w:tcW w:type="dxa" w:w="1385"/>
          </w:tcPr>
          <w:p>
            <w:r>
              <w:rPr>
                <w:rFonts w:ascii="Times New Roman" w:hAnsi="Times New Roman"/>
                <w:sz w:val="20"/>
              </w:rPr>
              <w:t>—</w:t>
            </w:r>
          </w:p>
        </w:tc>
        <w:tc>
          <w:tcPr>
            <w:tcW w:type="dxa" w:w="1385"/>
          </w:tcPr>
          <w:p>
            <w:r>
              <w:rPr>
                <w:rFonts w:ascii="Times New Roman" w:hAnsi="Times New Roman"/>
                <w:sz w:val="20"/>
              </w:rPr>
              <w:t>Actif</w:t>
            </w:r>
          </w:p>
        </w:tc>
      </w:tr>
      <w:tr>
        <w:tc>
          <w:tcPr>
            <w:tcW w:type="dxa" w:w="1385"/>
          </w:tcPr>
          <w:p>
            <w:r>
              <w:rPr>
                <w:rFonts w:ascii="Times New Roman" w:hAnsi="Times New Roman"/>
                <w:sz w:val="20"/>
              </w:rPr>
              <w:t>OLICLINOMEL N7-1000 E</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10 % / G 40 % / Lipides 20 %</w:t>
            </w:r>
          </w:p>
        </w:tc>
        <w:tc>
          <w:tcPr>
            <w:tcW w:type="dxa" w:w="1385"/>
          </w:tcPr>
          <w:p>
            <w:r>
              <w:rPr>
                <w:rFonts w:ascii="Times New Roman" w:hAnsi="Times New Roman"/>
                <w:sz w:val="20"/>
              </w:rPr>
              <w:t>Poche 1000 mL tricompartimentée (400 mL + 400 mL + 200 mL)</w:t>
            </w:r>
          </w:p>
        </w:tc>
        <w:tc>
          <w:tcPr>
            <w:tcW w:type="dxa" w:w="1385"/>
          </w:tcPr>
          <w:p>
            <w:r>
              <w:rPr>
                <w:rFonts w:ascii="Times New Roman" w:hAnsi="Times New Roman"/>
                <w:sz w:val="20"/>
              </w:rPr>
              <w:t>—</w:t>
            </w:r>
          </w:p>
        </w:tc>
        <w:tc>
          <w:tcPr>
            <w:tcW w:type="dxa" w:w="1385"/>
          </w:tcPr>
          <w:p>
            <w:r>
              <w:rPr>
                <w:rFonts w:ascii="Times New Roman" w:hAnsi="Times New Roman"/>
                <w:sz w:val="20"/>
              </w:rPr>
              <w:t>Actif</w:t>
            </w:r>
          </w:p>
        </w:tc>
      </w:tr>
      <w:tr>
        <w:tc>
          <w:tcPr>
            <w:tcW w:type="dxa" w:w="1385"/>
          </w:tcPr>
          <w:p>
            <w:r>
              <w:rPr>
                <w:rFonts w:ascii="Times New Roman" w:hAnsi="Times New Roman"/>
                <w:sz w:val="20"/>
              </w:rPr>
              <w:t>PERIOLIMEL N4E</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6,3 % / G 18,75 % / Lipides 15 %</w:t>
            </w:r>
          </w:p>
        </w:tc>
        <w:tc>
          <w:tcPr>
            <w:tcW w:type="dxa" w:w="1385"/>
          </w:tcPr>
          <w:p>
            <w:r>
              <w:rPr>
                <w:rFonts w:ascii="Times New Roman" w:hAnsi="Times New Roman"/>
                <w:sz w:val="20"/>
              </w:rPr>
              <w:t>Carton 4 poches 1500 mL tricompartimentées + carton 4 poches 2000 mL tricompartimentées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OLIMEL N9</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14,2 % / G 27,5 % / Lipides 20 %</w:t>
            </w:r>
          </w:p>
        </w:tc>
        <w:tc>
          <w:tcPr>
            <w:tcW w:type="dxa" w:w="1385"/>
          </w:tcPr>
          <w:p>
            <w:r>
              <w:rPr>
                <w:rFonts w:ascii="Times New Roman" w:hAnsi="Times New Roman"/>
                <w:sz w:val="20"/>
              </w:rPr>
              <w:t>Carton 6 poches 1000 mL tricompartimentées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OLIMEL N7E</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11,1 % / G 35 % / Lipides 20 %</w:t>
            </w:r>
          </w:p>
        </w:tc>
        <w:tc>
          <w:tcPr>
            <w:tcW w:type="dxa" w:w="1385"/>
          </w:tcPr>
          <w:p>
            <w:r>
              <w:rPr>
                <w:rFonts w:ascii="Times New Roman" w:hAnsi="Times New Roman"/>
                <w:sz w:val="20"/>
              </w:rPr>
              <w:t>Carton 6 poches 1000 mL tricompartimentées + carton 4 poches 2000 mL tricompartimentées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OLIMEL N9E</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14,2 % / G 27,5 % / Lipides 20 %</w:t>
            </w:r>
          </w:p>
        </w:tc>
        <w:tc>
          <w:tcPr>
            <w:tcW w:type="dxa" w:w="1385"/>
          </w:tcPr>
          <w:p>
            <w:r>
              <w:rPr>
                <w:rFonts w:ascii="Times New Roman" w:hAnsi="Times New Roman"/>
                <w:sz w:val="20"/>
              </w:rPr>
              <w:t>Carton 6 poches 1000 mL tricompartimentées + carton 4 poches 2000 mL tricompartimentées</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Particularités de la nomenclature</w:t>
      </w:r>
      <w:r>
        <w:t xml:space="preserve"> : la nomenclature algérienne distingue OLIMEL N9 (sans mention "E") de OLIMEL N9E (avec mention "E" pour </w:t>
      </w:r>
      <w:r>
        <w:rPr>
          <w:i/>
        </w:rPr>
        <w:t>Electrolytes</w:t>
      </w:r>
      <w:r>
        <w:t>), mais le dosage est identique (14,2 %/27,5 %/20 %). Cette distinction reflète la composition en électrolytes : la forme "E" contient des électrolytes (sodium, potassium, magnésium, calcium, phosphate) intégrés dans les compartiments, tandis que la forme sans "E" est une formulation sans électrolytes à compléter extemporanément par ajout d'électrolytes selon les besoins du patient. Le pharmacien doit impérativement vérifier la prescription pour distinguer ces deux formes : la forme "E" est prête à l'emploi après mélange, la forme sans "E" nécessite l'ajout d'électrolytes en pharmacie technique (USP 797 / ISO 5).</w:t>
      </w:r>
    </w:p>
    <w:p>
      <w:r/>
      <w:r>
        <w:rPr>
          <w:b/>
        </w:rPr>
        <w:t>Spécialités pédiatriques apparentées</w:t>
      </w:r>
      <w:r>
        <w:t xml:space="preserve"> : les spécialités NUMETZAH G13 % E, NUMETZAH G16 % E et NUMETZAH G19 % E sont enregistrées sous la DCI « ACIDE AMINES/GLUCOSE/LIPIDES » (au singulier) et sont traitées dans la fiche DCI n°2 ci-après (section 225.2).</w:t>
      </w:r>
    </w:p>
    <w:p>
      <w:pPr>
        <w:pStyle w:val="Heading4"/>
      </w:pPr>
      <w:r>
        <w:t>3. Sous-classe et mécanisme d'action moléculaire</w:t>
      </w:r>
    </w:p>
    <w:p>
      <w:r>
        <w:t xml:space="preserve">Les mélanges tricompartimentés pour nutrition parentérale appartiennent à la sous-classe des </w:t>
      </w:r>
      <w:r>
        <w:rPr>
          <w:b/>
        </w:rPr>
        <w:t>solutions nutritives parentérales ternaires</w:t>
      </w:r>
      <w:r>
        <w:t xml:space="preserve"> (ATC B05BA10). Le mécanisme d'action repose sur l'apport intraveineux direct de macronutriments et micronutriments essentiels au métabolisme cellulaire, en contournant le tube digestif non fonctionnel. Les </w:t>
      </w:r>
      <w:r>
        <w:rPr>
          <w:b/>
        </w:rPr>
        <w:t>acides aminés</w:t>
      </w:r>
      <w:r>
        <w:t xml:space="preserve"> (AA) constituent l'apport azoté nécessaire à la synthèse protéique cellulaire (musculaire, viscérale, immunitaire, cicatricielle) et au maintien de la balance nitrogénée. Les formulations modernes contiennent 15 à 20 acides aminés différents, dont 8 à 9 acides aminés essentiels (non synthétisés par l'organisme : leucine, isoleucine, valine, lysine, méthionine, phénylalanine, thréonine, tryptophane, histidine), 7 à 10 acides aminés non essentiels (alanine, arginine, aspartate, glutamate, glycine, proline, sérine, tyrosine, cystéine), et parfois des acides aminés semi-essentiels (arginine, glutamine) dont les besoins augmentent en situation d'agression. La composition en acides aminés des poches Oliclinomel/Periolimel/Olimel suit le profil des recommandations ESPEN/FDA pour adulte, avec une légère supériorité en acides aminés à chaîne ramifiée (BCAA — leucine, isoleucine, valine) pour les patients de réanimation (effet anti-catabolisme musculaire).</w:t>
      </w:r>
    </w:p>
    <w:p>
      <w:r>
        <w:t xml:space="preserve">Le </w:t>
      </w:r>
      <w:r>
        <w:rPr>
          <w:b/>
        </w:rPr>
        <w:t>glucose</w:t>
      </w:r>
      <w:r>
        <w:t xml:space="preserve"> (D-glucose anhydre ou monohydrate) constitue l'apport glucidique principal, source d'énergie immédiatement disponible pour le cerveau (qui consomme environ 120 g de glucose/jour chez l'adulte), les hématies (métabolisme strictement anaérobie) et la médulla rénale. Le glucose est métabolisé par la glycolyse aérobie (38 molécules d'ATP par mole de glucose) ou anaérobie (2 ATP par mole — avec production de lactates). L'apport glucidique recommandé en nutrition parentérale adulte est de 2 à 4 g/kg/jour, à augmenter progressivement chez le patient dénutri pour éviter le syndrome de renutrition (hypophosphatémie, hypokaliémie, hypomagnésémie, thiamine-dépendance). Le quotient respiratoire (QR) du glucose est de 1,0, ce qui majore la production de CO₂ et peut aggraver une hypercapnie chez le patient BPCO en insuffisance respiratoire.</w:t>
      </w:r>
    </w:p>
    <w:p>
      <w:r>
        <w:t xml:space="preserve">Les </w:t>
      </w:r>
      <w:r>
        <w:rPr>
          <w:b/>
        </w:rPr>
        <w:t>lipides</w:t>
      </w:r>
      <w:r>
        <w:t xml:space="preserve"> (triglycérides à longue chaîne — TLC, ou mélange TLC/TCM — triglycérides à chaîne moyenne) constituent l'apport énergétique lipidique, qui présente l'avantage d'être isotonique (250-300 mOsm/L), de fournir une énergie dense (9 kcal/g versus 4 kcal/g pour le glucose), et de ne pas générer de CO₂ (QR 0,7). Les émulsions lipidiques modernes utilisent un mélange d'huiles de soja (riche en oméga-6 pro-inflammatoire), de colza (riche en oméga-9), d'olive (riche en oméga-9), de poisson (riche en oméga-3 anti-inflammatoire EPA/DHA), et de TCM (issu de l'huile de coco, métabolisme indépendant de la carnitine). La spécialité OLICLINOMEL contient une émulsion à base d'huile d'olive et de soja (ratio 80:20), réputée moins inflammatoire et mieux tolérée que les émulsions de soja pur (Intralipid-type). La taille moyenne des globules lipidiques est de 0,2-0,5 µm (similaire aux chylomicrons endogènes), permettant la clairance par la lipoprotéine lipase endothéliale.</w:t>
      </w:r>
    </w:p>
    <w:p>
      <w:pPr>
        <w:pStyle w:val="Heading4"/>
      </w:pPr>
      <w:r>
        <w:t>4. Profil pharmacologique</w:t>
      </w:r>
    </w:p>
    <w:p>
      <w:r/>
      <w:r>
        <w:rPr>
          <w:b/>
        </w:rPr>
        <w:t>Indications</w:t>
      </w:r>
      <w:r>
        <w:t xml:space="preserve"> : nutrition parentérale complète chez l'adulte et l'enfant de plus de 2 ans, en complément ou en substitution de la nutrition entérale lorsque celle-ci est impossible, insuffisante ou contre-indiquée. Indications principales : occlusion intestinale complète, fistule digestive à haut débit (&gt; 500 mL/jour), syndrome de grêle court post-résection étendue, maladie de Crohn étendue résistante au traitement médical, entéropathie exsudative sévère, mucoviscidose avec insuffisance pancréatique exocrine majeure, dénutrition sévère préopératoire (albuminémie &lt; 30 g/L, perte de poids &gt; 15 % en 3 mois), patient de réanimation requiring nutrition support avec tube digestif non fonctionnel à 7 jours, syndrome de radiation intestinale (chronique). </w:t>
      </w:r>
      <w:r>
        <w:rPr>
          <w:b/>
        </w:rPr>
        <w:t>Contre-indications</w:t>
      </w:r>
      <w:r>
        <w:t xml:space="preserve"> : choc non contrôlé, hypoxémie sévère non corrigée (PaO₂ &lt; 60 mmHg), acidose métabolique sévère (pH &lt; 7,20), insuffisance hépatique sévère (ASAT/ALAT &gt; 3× LSN, encéphalopathie hépatique), insuffisance rénale aiguë sévère sans dialyse, hypertriglycéridémie non contrôlée (&gt; 4 g/L), allergie connue à l'un des composants (œuf, soja, poisson, olive, arachide selon la formulation), troubles de la coagulation non contrôlés, anomaly of lipid metabolism (déficit familial en lipoprotéine lipase), phénylcétonurie (contre-indication relative en raison de la présence possible de phénylalanine).</w:t>
      </w:r>
    </w:p>
    <w:p>
      <w:r/>
      <w:r>
        <w:rPr>
          <w:b/>
        </w:rPr>
        <w:t>Effets indésirables</w:t>
      </w:r>
      <w:r>
        <w:t xml:space="preserve"> : (1) </w:t>
      </w:r>
      <w:r>
        <w:rPr>
          <w:b/>
        </w:rPr>
        <w:t>métaboliques</w:t>
      </w:r>
      <w:r>
        <w:t xml:space="preserve"> : hyperglycémie (risque majeur chez le diabétique, le patient septique, le patient sous corticoïdes — surveillance glycémie capillaire toutes les 4-6 heures), hypoglycémie de rebond à l'arrêt brutal (toujours décroître progressivement le débit), hypertriglycéridémie (surveillance triglycéridémie toutes les 48-72 heures), syndrome de renutrition (en cas de dénutrition sévère — hypophosphatémie, hypokaliémie, hypomagnésémie, thiamino-déficience, œdèmes), acidose métabolique, déséquilibres électrolytiques (hypo- ou hypernatrémie, hypo- ou hyperkaliémie, hypocalcémie, hypomagnésémie, hypophosphatémie) ; (2) </w:t>
      </w:r>
      <w:r>
        <w:rPr>
          <w:b/>
        </w:rPr>
        <w:t>hépatiques</w:t>
      </w:r>
      <w:r>
        <w:t xml:space="preserve"> : stéatose hépatique (accumulation de triglycyérides intra-hépatocytes par surcharge glucidique), cholestase intra-hépatique parentérale-induite (CIPO — </w:t>
      </w:r>
      <w:r>
        <w:rPr>
          <w:i/>
        </w:rPr>
        <w:t>parenteral nutrition-associated liver disease</w:t>
      </w:r>
      <w:r>
        <w:t xml:space="preserve"> PNALD), cytolyse hépatique (ALAT/ASAT modérées), bilan hépatique mensuel obligatoire ; (3) </w:t>
      </w:r>
      <w:r>
        <w:rPr>
          <w:b/>
        </w:rPr>
        <w:t>infectieux</w:t>
      </w:r>
      <w:r>
        <w:t xml:space="preserve"> : infection sur cathéter (colonisation bactérienne, septicémie sur cathéter — Staphylococcus epidermidis, Staphylococcus aureus, Enterococcus, Candida), infection systémique (Bactériémie à bacille Gram-négatif), endocardite ; (4) </w:t>
      </w:r>
      <w:r>
        <w:rPr>
          <w:b/>
        </w:rPr>
        <w:t>allergiques</w:t>
      </w:r>
      <w:r>
        <w:t xml:space="preserve"> : réaction allergique aux lipides (rash, urticaire, prurit, bronchospasme, choc anaphylactique rare), allergie à l'œuf (protéine de l'ovalbumine), allergie au soja, allergie au poisson (émulsions oméga-3) ; (5) </w:t>
      </w:r>
      <w:r>
        <w:rPr>
          <w:b/>
        </w:rPr>
        <w:t>mécaniques</w:t>
      </w:r>
      <w:r>
        <w:t xml:space="preserve"> : thrombose veineuse profonde sur cathéter central (favorisée par l'osmolarité élevée et le pH acide du mélange), embolie gazeuse (purge imparfaite des tubulures), pneumothorax (complication de la pose du cathéter central) ; (6) </w:t>
      </w:r>
      <w:r>
        <w:rPr>
          <w:b/>
        </w:rPr>
        <w:t>respiratoires</w:t>
      </w:r>
      <w:r>
        <w:t xml:space="preserve"> : surcharge hydrosodée (œdème pulmonaire), adult respiratory distress syndrome (ARDS — rare, décrit avec certaines émulsions lipidiques).</w:t>
      </w:r>
    </w:p>
    <w:p>
      <w:pPr>
        <w:pStyle w:val="Heading4"/>
      </w:pPr>
      <w:r>
        <w:t>5. Prévention et gestion des effets indésirables</w:t>
      </w:r>
    </w:p>
    <w:p>
      <w:r>
        <w:t xml:space="preserve">La prévention des complications de la nutrition parentérale repose sur un ensemble de mesures standardisées formalisées par les recommandations ESPEN 2023 et HAS 2008 (décision du 8 septembre 2008 relative aux bonnes pratiques de préparation des mélanges de nutrition parentérale). (1) </w:t>
      </w:r>
      <w:r>
        <w:rPr>
          <w:b/>
        </w:rPr>
        <w:t>Prévention du syndrome de renutrition</w:t>
      </w:r>
      <w:r>
        <w:t xml:space="preserve"> : chez le patient dénutri sévère (IMC &lt; 16, perte de poids &gt; 20 %, albuminémie &lt; 25 g/L, KI &lt; 50 % de la normale), démarrer la nutrition parentérale à 10 kcal/kg/jour pendant 7 jours, puis augmenter progressivement de 5 kcal/kg/jour tous les 2-3 jours jusqu'à l'objectif de 25-30 kcal/kg/jour ; supplémenter systématiquement en thiamine (200-300 mg/jour IV pendant 5 jours), en phosphate (15-30 mmol/jour), en potassium (1-2 mmol/kg/jour), en magnésium (0,4 mmol/kg/jour). Surveillance biologique quotidienne pendant les 7 premiers jours. (2) </w:t>
      </w:r>
      <w:r>
        <w:rPr>
          <w:b/>
        </w:rPr>
        <w:t>Prévention de l'hyperglycémie</w:t>
      </w:r>
      <w:r>
        <w:t xml:space="preserve"> : contrôle glycémique cible 4,4-7,8 mmol/L (80-140 mg/dL) en réanimation, 5,0-10,0 mmol/L (90-180 mg/dL) en service conventionnel ; insuline IV à la seringue électrique (protocole adaptatif), surveillance glycémie capillaire toutes les 4 heures ; chez le diabétique, adapter le débit de perfusion à l'insulino-résistance. (3) </w:t>
      </w:r>
      <w:r>
        <w:rPr>
          <w:b/>
        </w:rPr>
        <w:t>Prévention de l'infection sur cathéter</w:t>
      </w:r>
      <w:r>
        <w:t xml:space="preserve"> : pose du cathéter sous stricte asepsie (champ stérile, masque, calot, gants stériles, bétadine ou chlorhexidine alcoolique 2 %), pansement stérile semi-perméable transparent changé toutes les 72 heures ou en cas de souillure, changement de tubulure toutes les 24 heures pour la nutrition parentérale, seringue électrique dédiée, arrêt de perfusion 4 heures par jour en milieu médicalisé pour perfusion continue prolongée (prévention de la stéatose hépatique). (4) </w:t>
      </w:r>
      <w:r>
        <w:rPr>
          <w:b/>
        </w:rPr>
        <w:t>Prévention de la thrombose veineuse</w:t>
      </w:r>
      <w:r>
        <w:t xml:space="preserve"> : positionnement du cathéter central en zone cave supérieure (extrémité à la jonction cavo-auriculaire), débit maximal recommandé 60 mL/h par voie centrale, héparine de verrouillage (100 UI/mL) si arrêt transitoire, anticoagulation préventive par HBPM chez le patient à risque thrombotique élevé. (5) </w:t>
      </w:r>
      <w:r>
        <w:rPr>
          <w:b/>
        </w:rPr>
        <w:t>Prévention de la cholestase</w:t>
      </w:r>
      <w:r>
        <w:t xml:space="preserve"> : éviter la surcharge glucidique (&gt; 4 g/kg/jour), favoriser l'apport lipidique (jusqu'à 1,5 g/kg/jour), cycles entéraux minima si possible (perfusion continue de 20 mL/h d'eau pour maintien de la trophicité intestinale). (6) </w:t>
      </w:r>
      <w:r>
        <w:rPr>
          <w:b/>
        </w:rPr>
        <w:t>Prévention de la précipitation calcium-phosphate</w:t>
      </w:r>
      <w:r>
        <w:t xml:space="preserve"> : calcul du produit Ca × P avant mélange (Ca × P &lt; 72 mmol²/L² en adulte, &lt; 50 mmol²/L² en pédiatrie) ; respecter l'ordre d'ajout (lipides en dernier) ; vérifier la stabilité par granulométrie laser (&gt; 5 µm = anomalie) ; ne pas dépasser 10 jours de conservation au réfrigérateur après activation de la poche.</w:t>
      </w:r>
    </w:p>
    <w:p>
      <w:pPr>
        <w:pStyle w:val="Heading4"/>
      </w:pPr>
      <w:r>
        <w:t>6. Interactions médicamenteuses</w:t>
      </w:r>
    </w:p>
    <w:p>
      <w:r>
        <w:t xml:space="preserve">La nutrition parentérale présente un nombre important d'interactions médicamenteuses à connaître, dont les principales sont : (1) </w:t>
      </w:r>
      <w:r>
        <w:rPr>
          <w:b/>
        </w:rPr>
        <w:t>incompatibilité physico-chimique avec de nombreux médicaments</w:t>
      </w:r>
      <w:r>
        <w:t xml:space="preserve"> — la nutrition parentérale ne doit pas être mélangée avec d'autres médicaments, à l'exception de l'insuline régulière (compatibilité documentée 24 heures), de l'héparine (à faible dose, &lt; 1 UI/mL, en débat), et de certains électrolytes (NaCl, KCl, gluconate de calcium, sulfate de magnésium, phosphate de potassium) ajoutés selon le protocole pharmaceutique ; la ceftriaxone, l'amiodarone, le midazolam, le furosémide, la phénytoïne, le diazépam sont incompatibles et doivent être administrés sur une voie séparée ; (2) </w:t>
      </w:r>
      <w:r>
        <w:rPr>
          <w:b/>
        </w:rPr>
        <w:t>interaction avec l'insuline</w:t>
      </w:r>
      <w:r>
        <w:t xml:space="preserve"> — l'ajout d'insuline régulière dans la poche de nutrition parentérale expose à une adsorption sur le plastique de la poche (30-50 % de perte d'activité), justifiant la prudence et l'adaptation des doses ; (3) </w:t>
      </w:r>
      <w:r>
        <w:rPr>
          <w:b/>
        </w:rPr>
        <w:t>interaction avec les diurétiques</w:t>
      </w:r>
      <w:r>
        <w:t xml:space="preserve"> — furosémide, thiazidiques : majoration de la perte hydro-électrolytique (hypokaliémie, hyponatrémie, hypomagnésémie), surveillance biologique renforcée ; (4) </w:t>
      </w:r>
      <w:r>
        <w:rPr>
          <w:b/>
        </w:rPr>
        <w:t>interaction avec les corticoïdes</w:t>
      </w:r>
      <w:r>
        <w:t xml:space="preserve"> — majoration de l'hyperglycémie, de la rétention hydrosodée, du catabolisme protéique musculaire ; (5) </w:t>
      </w:r>
      <w:r>
        <w:rPr>
          <w:b/>
        </w:rPr>
        <w:t>interaction avec les catécholamines</w:t>
      </w:r>
      <w:r>
        <w:t xml:space="preserve"> (noradrénaline, adrénaline) — majoration de l'insulino-résistance et de l'hyperglycémie ; (6) </w:t>
      </w:r>
      <w:r>
        <w:rPr>
          <w:b/>
        </w:rPr>
        <w:t>interaction avec la warfarine</w:t>
      </w:r>
      <w:r>
        <w:t xml:space="preserve"> — la vitamine K apportée par les lipides (huile de soja) antagonise l'effet anticoagulant, surveillance de l'INR ; (7) </w:t>
      </w:r>
      <w:r>
        <w:rPr>
          <w:b/>
        </w:rPr>
        <w:t>interaction avec la ciclosporine et le tacrolimus</w:t>
      </w:r>
      <w:r>
        <w:t xml:space="preserve"> — les lipides modifient la pharmacocinétique des immunosuppresseurs lipophiles, surveillance des concentrations résiduelles ; (8) </w:t>
      </w:r>
      <w:r>
        <w:rPr>
          <w:b/>
        </w:rPr>
        <w:t>interaction avec les propofols</w:t>
      </w:r>
      <w:r>
        <w:t xml:space="preserve"> (Diprivan) qui contient déjà des lipides — risque de surcharge lipidique cumulée.</w:t>
      </w:r>
    </w:p>
    <w:p>
      <w:pPr>
        <w:pStyle w:val="Heading4"/>
      </w:pPr>
      <w:r>
        <w:t>7. Grossesse et allaitement (CRAT)</w:t>
      </w:r>
    </w:p>
    <w:p>
      <w:r>
        <w:t>La nutrition parentérale est autorisée pendant la grossesse en cas de nécessité clinique (dénutrition sévère, occlusion intestinale, maladie de Crohn aiguë, hyperemesis gravidarum résistante). Selon les recommandations du CRAT, il n'existe pas d'effet tératogène documenté des acides aminés, du glucose ou des lipides administrés par voie parentérale à doses nutritionnelles. La composition de la poche doit être adaptée aux besoins physiologiques de la grossesse : apport protéique majoré (1,1 g/kg/jour au 1er trimestre, 1,3 g/kg/jour au 2e et 1,5 g/kg/jour au 3e trimestre), apport glucidique 175 g/jour minimum (recommandations ADA 2024), supplémentation en acide folique (400 µg/jour), en fer (30-60 mg/jour), en calcium (1000 mg/jour) et en iode (150 µg/jour). Les besoins énergétiques totaux augmentent de 340 kcal/jour au 2e trimestre et 450 kcal/jour au 3e trimestre. La surveillance de la prise de poids maternelle, de la tension artérielle (pré-éclampsie), de la glycosurie et de la protéinurie est renforcée.</w:t>
      </w:r>
    </w:p>
    <w:p>
      <w:r>
        <w:t>Pendant l'allaitement, la nutrition parentérale est compatible, avec une adaptation de la composition pour couvrir les besoins énergétiques majorés de 500 kcal/jour en allaitement exclusif. Les acides aminés, le glucose et les lipides passent dans le lait maternel à des concentrations physiologiques compatibles avec la tolérance du nourrisson. La composition lipidique de la poche influence le profil en acides gras du lait (notamment la teneur en DHA et ARA qui sont critiques pour le développement cérébral du nourrisson) ; les formulations modernes contenant de l'huile de poisson (Oméga-3 EPA/DHA) sont préférentielles chez la femme allaitante. La surveillance de l'état nutritionnel maternel (poids, albuminémie, bilan martial) est mensuelle.</w:t>
      </w:r>
    </w:p>
    <w:p>
      <w:pPr>
        <w:pStyle w:val="Heading4"/>
      </w:pPr>
      <w:r>
        <w:t>8. Posologie et mode d'administration</w:t>
      </w:r>
    </w:p>
    <w:p>
      <w:r>
        <w:t>La posologie de la nutrition parentérale adulte suit les recommandations ESPEN 2023 :</w:t>
      </w:r>
    </w:p>
    <w:p>
      <w:r/>
      <w:r>
        <w:rPr>
          <w:b/>
        </w:rPr>
        <w:t>Apport énergétique total</w:t>
      </w:r>
      <w:r>
        <w:t xml:space="preserve"> : 20-25 kcal/kg/jour en hospitalisation conventionnelle ; 25-30 kcal/kg/jour en réanimation (modérée agression) ; 30-35 kcal/kg/jour en phase post-agressive ; éviter les apports &gt; 35 kcal/kg/jour (risque de surcharge métabolique). Répartition énergétique : 50-60 % glucidique (2-4 g/kg/jour de glucose), 25-30 % lipidique (1-1,5 g/kg/jour de lipides), 15-20 % protéique (1,2-1,5 g/kg/jour d'acides aminés en patient stable, 1,5-2,0 g/kg/jour en réanimation). Apport hydrique total 25-30 mL/kg/jour. Apport en électrolytes : Na 1-2 mmol/kg/jour, K 1-1,5 mmol/kg/jour, Ca 0,1-0,15 mmol/kg/jour, Mg 0,1-0,2 mmol/kg/jour, P 0,15-0,3 mmol/kg/jour. Vitamines et oligo-éléments à ajouter systématiquement (1 ampoule de multivitamines liposolubles + hydrosolubles + oligo-éléments par jour).</w:t>
      </w:r>
    </w:p>
    <w:p>
      <w:r/>
      <w:r>
        <w:rPr>
          <w:b/>
        </w:rPr>
        <w:t>Choix de la poche</w:t>
      </w:r>
      <w:r>
        <w:t xml:space="preserve"> : (1) </w:t>
      </w:r>
      <w:r>
        <w:rPr>
          <w:b/>
        </w:rPr>
        <w:t>OLICLINOMEL N4-550E</w:t>
      </w:r>
      <w:r>
        <w:t xml:space="preserve"> (poche 2000 mL, AA 5,5 %, G 20 %, Lipides 10 %) — apporte 1700 kcal/L total (1330 kcal non protéique + 374 kcal protéique), ratio kcal non prot / g N = 150:1, convenable pour patient stable nécessitant un apport modéré ; (2) </w:t>
      </w:r>
      <w:r>
        <w:rPr>
          <w:b/>
        </w:rPr>
        <w:t>OLICLINOMEL N7-1000 E</w:t>
      </w:r>
      <w:r>
        <w:t xml:space="preserve"> (1000 mL, AA 10 %, G 40 %, Lipides 20 %) — apporte 1400 kcal/L total, ratio 132:1, pour patient nécessitant un apport concentré en volume limité ; (3) </w:t>
      </w:r>
      <w:r>
        <w:rPr>
          <w:b/>
        </w:rPr>
        <w:t>PERIOLIMEL N4E</w:t>
      </w:r>
      <w:r>
        <w:t xml:space="preserve"> (1500 mL ou 2000 mL, AA 6,3 %, G 18,75 %, Lipides 15 %) — apporte 1170 kcal/L, ratio 130:1, équilibré pour patient péri-opératoire ou de réanimation modérée ; (4) </w:t>
      </w:r>
      <w:r>
        <w:rPr>
          <w:b/>
        </w:rPr>
        <w:t>OLIMEL N9 ou N9E</w:t>
      </w:r>
      <w:r>
        <w:t xml:space="preserve"> (1000 mL ou 2000 mL, AA 14,2 %, G 27,5 %, Lipides 20 %) — apporte 1500 kcal/L, ratio 119:1, hyperprotéique pour patient de réanimation hypercatabolique ; (5) </w:t>
      </w:r>
      <w:r>
        <w:rPr>
          <w:b/>
        </w:rPr>
        <w:t>OLIMEL N7E</w:t>
      </w:r>
      <w:r>
        <w:t xml:space="preserve"> (1000 mL ou 2000 mL, AA 11,1 %, G 35 %, Lipides 20 %) — apporte 1410 kcal/L, ratio 136:1, hyperglucidique pour patient nécessitant un apport glucidique majoré.</w:t>
      </w:r>
    </w:p>
    <w:p>
      <w:r/>
      <w:r>
        <w:rPr>
          <w:b/>
        </w:rPr>
        <w:t>Mode d'administration</w:t>
      </w:r>
      <w:r>
        <w:t xml:space="preserve"> : strictement par voie intraveineuse centrale (cathéter veineux central tunnellisé type Broviac-Hickman, ou chambre implantable type Port-a-Cath), à l'exception de certaines formulations binaires isotoniques (osmolarité &lt; 850 mOsm/L) qui peuvent être administrées en voie périphérique de courte durée (&lt; 7 jours). Débit maximal recommandé en voie centrale : 60 mL/h à 125 mL/h selon la tolérance métabolique et hémodynamique. Pour les poches OLICLINOMEL N4-550E de 2000 mL sur 24 heures, le débit est de 83 mL/h. La perfusion est continue sur 24 heures en réanimation, ou cyclique sur 12-16 heures en nutrition parentérale à domicile (NPAD) pour permettre l'autonomie diurne du patient. La décroissance doit être progressive (diminution du débit de 50 % sur 1 heure avant arrêt) pour éviter l'hypoglycémie de rebond.</w:t>
      </w:r>
    </w:p>
    <w:p>
      <w:pPr>
        <w:pStyle w:val="Heading4"/>
      </w:pPr>
      <w:r>
        <w:t>9. Arbitrage et bénéfices des formes galéniques</w:t>
      </w:r>
    </w:p>
    <w:p>
      <w:r>
        <w:t xml:space="preserve">Les poches tricompartimentées (TCP) présentent des avantages majeurs sur les mélanges préparés extemporanément en pharmacie technique : (1) </w:t>
      </w:r>
      <w:r>
        <w:rPr>
          <w:b/>
        </w:rPr>
        <w:t>stabilité garantie</w:t>
      </w:r>
      <w:r>
        <w:t xml:space="preserve"> par le fabricant (12-24 mois à température ambiante avant activation, 24 heures à 4 °C après activation et 24 heures à température ambiante) ; (2) </w:t>
      </w:r>
      <w:r>
        <w:rPr>
          <w:b/>
        </w:rPr>
        <w:t>traçabilité renforcée</w:t>
      </w:r>
      <w:r>
        <w:t xml:space="preserve"> (numéro de lot, date de péremption, composition exacte) ; (3) </w:t>
      </w:r>
      <w:r>
        <w:rPr>
          <w:b/>
        </w:rPr>
        <w:t>réduction des erreurs de prescription</w:t>
      </w:r>
      <w:r>
        <w:t xml:space="preserve"> (formulation standardisée) ; (4) </w:t>
      </w:r>
      <w:r>
        <w:rPr>
          <w:b/>
        </w:rPr>
        <w:t>sécurité microbiologique</w:t>
      </w:r>
      <w:r>
        <w:t xml:space="preserve"> (préparation industrielle en ISO 5 sous atmosphère contrôlée) ; (5) </w:t>
      </w:r>
      <w:r>
        <w:rPr>
          <w:b/>
        </w:rPr>
        <w:t>gain de temps pharmaceutique</w:t>
      </w:r>
      <w:r>
        <w:t xml:space="preserve"> (pas de préparation extemporanée) ; (6) </w:t>
      </w:r>
      <w:r>
        <w:rPr>
          <w:b/>
        </w:rPr>
        <w:t>réduction du coût global</w:t>
      </w:r>
      <w:r>
        <w:t xml:space="preserve"> (formulation industrielle moins coûteuse que la préparation magistrale). Les inconvénients sont : (1) </w:t>
      </w:r>
      <w:r>
        <w:rPr>
          <w:b/>
        </w:rPr>
        <w:t>flexibilité limitée</w:t>
      </w:r>
      <w:r>
        <w:t xml:space="preserve"> — la composition ne peut pas être modifiée, imposant parfois l'ajout extemporané d'électrolytes, de vitamines ou d'oligo-éléments ; (2) </w:t>
      </w:r>
      <w:r>
        <w:rPr>
          <w:b/>
        </w:rPr>
        <w:t>taille de poche fixe</w:t>
      </w:r>
      <w:r>
        <w:t xml:space="preserve"> — si le patient nécessite moins d'apport, il faut jeter le surplus, avec risque d'erreur si le soignant perfuse la poche entière.</w:t>
      </w:r>
    </w:p>
    <w:p>
      <w:r>
        <w:t xml:space="preserve">L'arbitrage entre les formulations se fait selon le profil métabolique du patient : </w:t>
      </w:r>
      <w:r>
        <w:rPr>
          <w:b/>
        </w:rPr>
        <w:t>patient stable</w:t>
      </w:r>
      <w:r>
        <w:t xml:space="preserve"> (dénutrition modérée, chirurgie programmée, soins de suite) → OLICLINOMEL N4-550E ou PERIOLIMEL N4E (apport modéré, ratio kcal/N équilibré) ; </w:t>
      </w:r>
      <w:r>
        <w:rPr>
          <w:b/>
        </w:rPr>
        <w:t>patient de réanimation hypercatabolique</w:t>
      </w:r>
      <w:r>
        <w:t xml:space="preserve"> (sepsis sévère, polytraumatisme, brûlé) → OLIMEL N9 ou N9E (apport hyperprotéique, ratio 119:1) ; </w:t>
      </w:r>
      <w:r>
        <w:rPr>
          <w:b/>
        </w:rPr>
        <w:t>patient nécessitant un volume limité</w:t>
      </w:r>
      <w:r>
        <w:t xml:space="preserve"> (insuffisant cardiaque, insuffisant rénal dialysé) → OLICLINOMEL N7-1000 E ou OLIMEL N7E (volume réduit, concentration augmentée) ; </w:t>
      </w:r>
      <w:r>
        <w:rPr>
          <w:b/>
        </w:rPr>
        <w:t>patient diabétique ou insulinorésistant</w:t>
      </w:r>
      <w:r>
        <w:t xml:space="preserve"> → formulation riche en lipides (Olimel N7E avec 35 % de glucose et 20 % de lipides), surveillance glycémique renforcée, ajout d'insuline régulière selon protocole. Le pharmacien clinicien joue un rôle clé dans le choix de la formulation la plus adaptée à chaque patient, en collaboration avec le médecin nutritionniste et le diététicien.</w:t>
      </w:r>
    </w:p>
    <w:p>
      <w:pPr>
        <w:pStyle w:val="Heading4"/>
      </w:pPr>
      <w:r>
        <w:t>10. Instructions et conseils au patient</w:t>
      </w:r>
    </w:p>
    <w:p>
      <w:r>
        <w:t xml:space="preserve">Pour le patient en nutrition parentérale à domicile (NPAD), l'éducation thérapeutique est essentielle et doit être structurée par un pharmacien clinicien et une infirmière spécialisée en nutrition. Les thèmes abordés sont : (1) </w:t>
      </w:r>
      <w:r>
        <w:rPr>
          <w:b/>
        </w:rPr>
        <w:t>hygiène stricte</w:t>
      </w:r>
      <w:r>
        <w:t xml:space="preserve"> — lavage des mains à la solution hydro-alcoolique avant toute manipulation, port de gants stériles à la connexion, désinfection du hub du cathéter au chlorhexidine alcoolique 2 % pendant 30 secondes avec friction et séchage à l'air libre ; (2) </w:t>
      </w:r>
      <w:r>
        <w:rPr>
          <w:b/>
        </w:rPr>
        <w:t>conservation des poches</w:t>
      </w:r>
      <w:r>
        <w:t xml:space="preserve"> — au réfrigérateur à 4 °C (2-8 °C) avant activation, à l'abri de la lumière, à température ambiante (15-25 °C) après activation pendant maximum 24 heures ; (3) </w:t>
      </w:r>
      <w:r>
        <w:rPr>
          <w:b/>
        </w:rPr>
        <w:t>activation de la poche</w:t>
      </w:r>
      <w:r>
        <w:t xml:space="preserve"> — rupture des soudures intercompartimentaires par pression manuelle ferme sur les compartiments, agitation douce jusqu'à obtention d'une émulsion homogène laiteuse ; (4) </w:t>
      </w:r>
      <w:r>
        <w:rPr>
          <w:b/>
        </w:rPr>
        <w:t>vérification de l'intégrité</w:t>
      </w:r>
      <w:r>
        <w:t xml:space="preserve"> — absence de fissure, de fuite, de troubleur, de particules, de déphasage (séparation des lipides en couche huileuse visible) ; (5) </w:t>
      </w:r>
      <w:r>
        <w:rPr>
          <w:b/>
        </w:rPr>
        <w:t>pose de la perfusion</w:t>
      </w:r>
      <w:r>
        <w:t xml:space="preserve"> — purge de la tubulure avant connexion, respect du débit prescrit par pompe péristaltique électrique, surveillance du point de ponction (rougeur, douleur, écoulement) ; (6) </w:t>
      </w:r>
      <w:r>
        <w:rPr>
          <w:b/>
        </w:rPr>
        <w:t>surveillance biologique</w:t>
      </w:r>
      <w:r>
        <w:t xml:space="preserve"> — glycémie capillaire 3 fois par jour, poids quotidien, diurèse, température ; (7) </w:t>
      </w:r>
      <w:r>
        <w:rPr>
          <w:b/>
        </w:rPr>
        <w:t>signes d'alerte</w:t>
      </w:r>
      <w:r>
        <w:t xml:space="preserve"> — fièvre &gt; 38,5 °C, frissons, rougeur au point de ponction, dyspnée, troubles de la conscience — consultation médicale en urgence ; (8) </w:t>
      </w:r>
      <w:r>
        <w:rPr>
          <w:b/>
        </w:rPr>
        <w:t>gestion des déchets</w:t>
      </w:r>
      <w:r>
        <w:t xml:space="preserve"> — élimination des poches et tubulures dans la filière DASRI (déchets d'activités de soins à risques infectieux), retour des poches non utilisées à la pharmacie à domicile.</w:t>
      </w:r>
    </w:p>
    <w:p>
      <w:r>
        <w:t>L'éducation thérapeutique est formalisée dans un document écrit remis au patient (livret d'éducation thérapeutique NPAD), validé par le médecin nutritionniste, et actualisé à chaque consultation. Des séances de formation (3 à 5 séances de 2 heures) sont organisées avant le retour à domicile, avec évaluation des compétences par un quiz et une mise en situation pratique.</w:t>
      </w:r>
    </w:p>
    <w:p>
      <w:pPr>
        <w:pStyle w:val="Heading4"/>
      </w:pPr>
      <w:r>
        <w:t>11. Notes, règles d'or et pièges au comptoir</w:t>
      </w:r>
    </w:p>
    <w:p>
      <w:r/>
      <w:r>
        <w:rPr>
          <w:b/>
        </w:rPr>
        <w:t>Règle d'or n°1</w:t>
      </w:r>
      <w:r>
        <w:t xml:space="preserve"> : la nutrition parentérale se perfuse EXCLUSIVEMENT par voie veineuse centrale, sauf formulations isotoniques spécifiquement validées en voie périphérique (osmolarité &lt; 850 mOsm/L). La perfusion en voie périphérique d'une poche tricompartimentée à osmolarité &gt; 1000 mOsm/L provoque une phlébite chimique en moins de 24 heures et un risque de nécrose tissulaire.</w:t>
      </w:r>
    </w:p>
    <w:p>
      <w:r/>
      <w:r>
        <w:rPr>
          <w:b/>
        </w:rPr>
        <w:t>Règle d'or n°2</w:t>
      </w:r>
      <w:r>
        <w:t xml:space="preserve"> : la prescription d'une nutrition parentérale doit TOUJOURS inclure l'apport en vitamines et oligo-éléments (1 ampoule de multivitamines + 1 ampoule d'oligo-éléments par jour). L'oubli de supplémentation vitaminique provoque en quelques semaines des carences sévères (berbéri cardiaque par carence en thiamine, anémie mégaloblastique par carence en folates, syndrome de Wernicke-Korsakoff, ostéomalacie, scorbut).</w:t>
      </w:r>
    </w:p>
    <w:p>
      <w:r/>
      <w:r>
        <w:rPr>
          <w:b/>
        </w:rPr>
        <w:t>Règle d'or n°3</w:t>
      </w:r>
      <w:r>
        <w:t xml:space="preserve"> : la décroissance de la nutrition parentérale doit être PROGRESSIVE (diminution du débit de 50 % sur 1 heure avant arrêt). L'arrêt brutal expose à une hypoglycémie de rebond sévère (taux d'insuline résiduel élevé), potentiellement grave chez le sujet âgé ou cérébrolésé.</w:t>
      </w:r>
    </w:p>
    <w:p>
      <w:r/>
      <w:r>
        <w:rPr>
          <w:b/>
        </w:rPr>
        <w:t>Piège n°1</w:t>
      </w:r>
      <w:r>
        <w:t xml:space="preserve"> : le syndrome de renutrition. Chez le patient dénutri sévère (IMC &lt; 16, KI &lt; 50 %, albuminémie &lt; 25 g/L), la nutrition parentérale démarrée à pleine dose (25-30 kcal/kg/jour) provoque en 48-72 heures une hypophosphatémie sévère (&lt; 0,3 mmol/L), une hypokaliémie, une hypomagnésémie, une carence aiguë en thiamine, pouvant entraîner insuffisance cardiaque aiguë, défaillance multiviscérale et décès. Démarrer à 10 kcal/kg/jour, augmenter progressivement, supplémenter en thiamine (300 mg IV).</w:t>
      </w:r>
    </w:p>
    <w:p>
      <w:r/>
      <w:r>
        <w:rPr>
          <w:b/>
        </w:rPr>
        <w:t>Piège n°2</w:t>
      </w:r>
      <w:r>
        <w:t xml:space="preserve"> : la précipitation calcium-phosphate. L'ajout excessif de calcium et de phosphate dans la poche peut provoquer la formation de cristaux de phosphate de calcium insolubles, susceptibles d'emboliser la circulation pulmonaire et d'entraîner un syndrome de détresse respiratoire aiguë. Calculer systématiquement le produit Ca × P avant ajout (Ca × P &lt; 72 mmol²/L² en adulte).</w:t>
      </w:r>
    </w:p>
    <w:p>
      <w:r/>
      <w:r>
        <w:rPr>
          <w:b/>
        </w:rPr>
        <w:t>Piège n°3</w:t>
      </w:r>
      <w:r>
        <w:t xml:space="preserve"> : la rupture de l'émulsion lipidique (</w:t>
      </w:r>
      <w:r>
        <w:rPr>
          <w:i/>
        </w:rPr>
        <w:t>cracking</w:t>
      </w:r>
      <w:r>
        <w:t>). L'ajout d'électrolytes divalents (calcium, magnésium) en excès, un pH trop bas (&lt; 5,0), une température trop élevée (&gt; 25 °C) ou une conservation prolongée après activation (&gt; 7 jours à 4 °C) provoquent la rupture de l'émulsion avec formation de globules lipidiques &gt; 5 µm pouvant emboliser. Vérifier visuellement l'homogénéité de l'émulsion avant perfusion (aspect laiteux uniforme, sans couche huileuse séparée).</w:t>
      </w:r>
    </w:p>
    <w:p>
      <w:r/>
      <w:r>
        <w:rPr>
          <w:b/>
        </w:rPr>
        <w:t>Piège n°4</w:t>
      </w:r>
      <w:r>
        <w:t xml:space="preserve"> : la confusion entre les formulations. OLIMEL N9 et OLIMEL N9E ont le même dosage (14,2 %/27,5 %/20 %) mais la forme "E" contient des électrolytes intégrés. Confusion possible à la dispensation — le pharmacien doit vérifier la mention "E" et la composition exacte.</w:t>
      </w:r>
    </w:p>
    <w:p>
      <w:r/>
      <w:r>
        <w:rPr>
          <w:b/>
        </w:rPr>
        <w:t>Piège n°5</w:t>
      </w:r>
      <w:r>
        <w:t xml:space="preserve"> : l'infection sur cathéter. La nutrition parentérale est un milieu favorable à la croissance bactérienne et fongique (Candida). Toute fièvre chez un patient sous NPAD doit faire suspecter une infection sur cathéter et nécessite des hémocultures quantitatives sur cathéter et en périphérique.</w:t>
      </w:r>
    </w:p>
    <w:p>
      <w:r/>
      <w:r>
        <w:rPr>
          <w:b/>
        </w:rPr>
        <w:t>Piège n°6</w:t>
      </w:r>
      <w:r>
        <w:t xml:space="preserve"> : la cholestase parentérale prolongée. La nutrition parentérale &gt; 30 jours expose à une cholestase intra-hépatique (PAL et GGT élevées), pouvant évoluer vers la cirrhose biliaire et l'insuffisance hépatique terminale. Surveillance mensuelle du bilan hépatique, cycle entéral minimal si possible.</w:t>
      </w:r>
    </w:p>
    <w:p>
      <w:r/>
      <w:r>
        <w:rPr>
          <w:b/>
        </w:rPr>
        <w:t>Piège n°7</w:t>
      </w:r>
      <w:r>
        <w:t xml:space="preserve"> : l'interaction avec la warfarine. Les lipides de soja contiennent de la vitamine K (50-200 µg/L) qui antagonise l'effet de la warfarine. Surveillance de l'INR, ajustement des doses.</w:t>
      </w:r>
    </w:p>
    <w:p>
      <w:pPr>
        <w:pStyle w:val="Heading4"/>
      </w:pPr>
      <w:r>
        <w:t>12. Tableau comparatif des formulations adultes disponibles en Algérie</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Paramètre</w:t>
            </w:r>
          </w:p>
        </w:tc>
        <w:tc>
          <w:tcPr>
            <w:tcW w:type="dxa" w:w="1385"/>
            <w:shd w:val="clear" w:color="auto" w:fill="F2F2F2"/>
          </w:tcPr>
          <w:p>
            <w:r>
              <w:rPr>
                <w:rFonts w:ascii="Times New Roman" w:hAnsi="Times New Roman"/>
                <w:b/>
                <w:sz w:val="20"/>
              </w:rPr>
              <w:t>OLICLINOMEL N4-550E</w:t>
            </w:r>
          </w:p>
        </w:tc>
        <w:tc>
          <w:tcPr>
            <w:tcW w:type="dxa" w:w="1385"/>
            <w:shd w:val="clear" w:color="auto" w:fill="F2F2F2"/>
          </w:tcPr>
          <w:p>
            <w:r>
              <w:rPr>
                <w:rFonts w:ascii="Times New Roman" w:hAnsi="Times New Roman"/>
                <w:b/>
                <w:sz w:val="20"/>
              </w:rPr>
              <w:t>OLICLINOMEL N7-1000 E</w:t>
            </w:r>
          </w:p>
        </w:tc>
        <w:tc>
          <w:tcPr>
            <w:tcW w:type="dxa" w:w="1385"/>
            <w:shd w:val="clear" w:color="auto" w:fill="F2F2F2"/>
          </w:tcPr>
          <w:p>
            <w:r>
              <w:rPr>
                <w:rFonts w:ascii="Times New Roman" w:hAnsi="Times New Roman"/>
                <w:b/>
                <w:sz w:val="20"/>
              </w:rPr>
              <w:t>PERIOLIMEL N4E</w:t>
            </w:r>
          </w:p>
        </w:tc>
        <w:tc>
          <w:tcPr>
            <w:tcW w:type="dxa" w:w="1385"/>
            <w:shd w:val="clear" w:color="auto" w:fill="F2F2F2"/>
          </w:tcPr>
          <w:p>
            <w:r>
              <w:rPr>
                <w:rFonts w:ascii="Times New Roman" w:hAnsi="Times New Roman"/>
                <w:b/>
                <w:sz w:val="20"/>
              </w:rPr>
              <w:t>OLIMEL N9 / N9E</w:t>
            </w:r>
          </w:p>
        </w:tc>
        <w:tc>
          <w:tcPr>
            <w:tcW w:type="dxa" w:w="1385"/>
            <w:shd w:val="clear" w:color="auto" w:fill="F2F2F2"/>
          </w:tcPr>
          <w:p>
            <w:r>
              <w:rPr>
                <w:rFonts w:ascii="Times New Roman" w:hAnsi="Times New Roman"/>
                <w:b/>
                <w:sz w:val="20"/>
              </w:rPr>
              <w:t>OLIMEL N7E</w:t>
            </w:r>
          </w:p>
        </w:tc>
      </w:tr>
      <w:tr>
        <w:tc>
          <w:tcPr>
            <w:tcW w:type="dxa" w:w="1385"/>
          </w:tcPr>
          <w:p>
            <w:r>
              <w:rPr>
                <w:rFonts w:ascii="Times New Roman" w:hAnsi="Times New Roman"/>
                <w:sz w:val="20"/>
              </w:rPr>
              <w:t>**Volume poche**</w:t>
            </w:r>
          </w:p>
        </w:tc>
        <w:tc>
          <w:tcPr>
            <w:tcW w:type="dxa" w:w="1385"/>
          </w:tcPr>
          <w:p>
            <w:r>
              <w:rPr>
                <w:rFonts w:ascii="Times New Roman" w:hAnsi="Times New Roman"/>
                <w:sz w:val="20"/>
              </w:rPr>
              <w:t>2000 mL</w:t>
            </w:r>
          </w:p>
        </w:tc>
        <w:tc>
          <w:tcPr>
            <w:tcW w:type="dxa" w:w="1385"/>
          </w:tcPr>
          <w:p>
            <w:r>
              <w:rPr>
                <w:rFonts w:ascii="Times New Roman" w:hAnsi="Times New Roman"/>
                <w:sz w:val="20"/>
              </w:rPr>
              <w:t>1000 mL</w:t>
            </w:r>
          </w:p>
        </w:tc>
        <w:tc>
          <w:tcPr>
            <w:tcW w:type="dxa" w:w="1385"/>
          </w:tcPr>
          <w:p>
            <w:r>
              <w:rPr>
                <w:rFonts w:ascii="Times New Roman" w:hAnsi="Times New Roman"/>
                <w:sz w:val="20"/>
              </w:rPr>
              <w:t>1500 / 2000 mL</w:t>
            </w:r>
          </w:p>
        </w:tc>
        <w:tc>
          <w:tcPr>
            <w:tcW w:type="dxa" w:w="1385"/>
          </w:tcPr>
          <w:p>
            <w:r>
              <w:rPr>
                <w:rFonts w:ascii="Times New Roman" w:hAnsi="Times New Roman"/>
                <w:sz w:val="20"/>
              </w:rPr>
              <w:t>1000 / 2000 mL</w:t>
            </w:r>
          </w:p>
        </w:tc>
        <w:tc>
          <w:tcPr>
            <w:tcW w:type="dxa" w:w="1385"/>
          </w:tcPr>
          <w:p>
            <w:r>
              <w:rPr>
                <w:rFonts w:ascii="Times New Roman" w:hAnsi="Times New Roman"/>
                <w:sz w:val="20"/>
              </w:rPr>
              <w:t>1000 / 2000 mL</w:t>
            </w:r>
          </w:p>
        </w:tc>
      </w:tr>
      <w:tr>
        <w:tc>
          <w:tcPr>
            <w:tcW w:type="dxa" w:w="1385"/>
          </w:tcPr>
          <w:p>
            <w:r>
              <w:rPr>
                <w:rFonts w:ascii="Times New Roman" w:hAnsi="Times New Roman"/>
                <w:sz w:val="20"/>
              </w:rPr>
              <w:t>**Compartiments**</w:t>
            </w:r>
          </w:p>
        </w:tc>
        <w:tc>
          <w:tcPr>
            <w:tcW w:type="dxa" w:w="1385"/>
          </w:tcPr>
          <w:p>
            <w:r>
              <w:rPr>
                <w:rFonts w:ascii="Times New Roman" w:hAnsi="Times New Roman"/>
                <w:sz w:val="20"/>
              </w:rPr>
              <w:t>800 + 800 + 400 mL</w:t>
            </w:r>
          </w:p>
        </w:tc>
        <w:tc>
          <w:tcPr>
            <w:tcW w:type="dxa" w:w="1385"/>
          </w:tcPr>
          <w:p>
            <w:r>
              <w:rPr>
                <w:rFonts w:ascii="Times New Roman" w:hAnsi="Times New Roman"/>
                <w:sz w:val="20"/>
              </w:rPr>
              <w:t>400 + 400 + 200 mL</w:t>
            </w:r>
          </w:p>
        </w:tc>
        <w:tc>
          <w:tcPr>
            <w:tcW w:type="dxa" w:w="1385"/>
          </w:tcPr>
          <w:p>
            <w:r>
              <w:rPr>
                <w:rFonts w:ascii="Times New Roman" w:hAnsi="Times New Roman"/>
                <w:sz w:val="20"/>
              </w:rPr>
              <w:t>Variable</w:t>
            </w:r>
          </w:p>
        </w:tc>
        <w:tc>
          <w:tcPr>
            <w:tcW w:type="dxa" w:w="1385"/>
          </w:tcPr>
          <w:p>
            <w:r>
              <w:rPr>
                <w:rFonts w:ascii="Times New Roman" w:hAnsi="Times New Roman"/>
                <w:sz w:val="20"/>
              </w:rPr>
              <w:t>Variable</w:t>
            </w:r>
          </w:p>
        </w:tc>
        <w:tc>
          <w:tcPr>
            <w:tcW w:type="dxa" w:w="1385"/>
          </w:tcPr>
          <w:p>
            <w:r>
              <w:rPr>
                <w:rFonts w:ascii="Times New Roman" w:hAnsi="Times New Roman"/>
                <w:sz w:val="20"/>
              </w:rPr>
              <w:t>Variable</w:t>
            </w:r>
          </w:p>
        </w:tc>
      </w:tr>
      <w:tr>
        <w:tc>
          <w:tcPr>
            <w:tcW w:type="dxa" w:w="1385"/>
          </w:tcPr>
          <w:p>
            <w:r>
              <w:rPr>
                <w:rFonts w:ascii="Times New Roman" w:hAnsi="Times New Roman"/>
                <w:sz w:val="20"/>
              </w:rPr>
              <w:t>**Acides aminés (AA) %**</w:t>
            </w:r>
          </w:p>
        </w:tc>
        <w:tc>
          <w:tcPr>
            <w:tcW w:type="dxa" w:w="1385"/>
          </w:tcPr>
          <w:p>
            <w:r>
              <w:rPr>
                <w:rFonts w:ascii="Times New Roman" w:hAnsi="Times New Roman"/>
                <w:sz w:val="20"/>
              </w:rPr>
              <w:t>5,5 %</w:t>
            </w:r>
          </w:p>
        </w:tc>
        <w:tc>
          <w:tcPr>
            <w:tcW w:type="dxa" w:w="1385"/>
          </w:tcPr>
          <w:p>
            <w:r>
              <w:rPr>
                <w:rFonts w:ascii="Times New Roman" w:hAnsi="Times New Roman"/>
                <w:sz w:val="20"/>
              </w:rPr>
              <w:t>10 %</w:t>
            </w:r>
          </w:p>
        </w:tc>
        <w:tc>
          <w:tcPr>
            <w:tcW w:type="dxa" w:w="1385"/>
          </w:tcPr>
          <w:p>
            <w:r>
              <w:rPr>
                <w:rFonts w:ascii="Times New Roman" w:hAnsi="Times New Roman"/>
                <w:sz w:val="20"/>
              </w:rPr>
              <w:t>6,3 %</w:t>
            </w:r>
          </w:p>
        </w:tc>
        <w:tc>
          <w:tcPr>
            <w:tcW w:type="dxa" w:w="1385"/>
          </w:tcPr>
          <w:p>
            <w:r>
              <w:rPr>
                <w:rFonts w:ascii="Times New Roman" w:hAnsi="Times New Roman"/>
                <w:sz w:val="20"/>
              </w:rPr>
              <w:t>14,2 %</w:t>
            </w:r>
          </w:p>
        </w:tc>
        <w:tc>
          <w:tcPr>
            <w:tcW w:type="dxa" w:w="1385"/>
          </w:tcPr>
          <w:p>
            <w:r>
              <w:rPr>
                <w:rFonts w:ascii="Times New Roman" w:hAnsi="Times New Roman"/>
                <w:sz w:val="20"/>
              </w:rPr>
              <w:t>11,1 %</w:t>
            </w:r>
          </w:p>
        </w:tc>
      </w:tr>
      <w:tr>
        <w:tc>
          <w:tcPr>
            <w:tcW w:type="dxa" w:w="1385"/>
          </w:tcPr>
          <w:p>
            <w:r>
              <w:rPr>
                <w:rFonts w:ascii="Times New Roman" w:hAnsi="Times New Roman"/>
                <w:sz w:val="20"/>
              </w:rPr>
              <w:t>**Glucose (G) %**</w:t>
            </w:r>
          </w:p>
        </w:tc>
        <w:tc>
          <w:tcPr>
            <w:tcW w:type="dxa" w:w="1385"/>
          </w:tcPr>
          <w:p>
            <w:r>
              <w:rPr>
                <w:rFonts w:ascii="Times New Roman" w:hAnsi="Times New Roman"/>
                <w:sz w:val="20"/>
              </w:rPr>
              <w:t>20 %</w:t>
            </w:r>
          </w:p>
        </w:tc>
        <w:tc>
          <w:tcPr>
            <w:tcW w:type="dxa" w:w="1385"/>
          </w:tcPr>
          <w:p>
            <w:r>
              <w:rPr>
                <w:rFonts w:ascii="Times New Roman" w:hAnsi="Times New Roman"/>
                <w:sz w:val="20"/>
              </w:rPr>
              <w:t>40 %</w:t>
            </w:r>
          </w:p>
        </w:tc>
        <w:tc>
          <w:tcPr>
            <w:tcW w:type="dxa" w:w="1385"/>
          </w:tcPr>
          <w:p>
            <w:r>
              <w:rPr>
                <w:rFonts w:ascii="Times New Roman" w:hAnsi="Times New Roman"/>
                <w:sz w:val="20"/>
              </w:rPr>
              <w:t>18,75 %</w:t>
            </w:r>
          </w:p>
        </w:tc>
        <w:tc>
          <w:tcPr>
            <w:tcW w:type="dxa" w:w="1385"/>
          </w:tcPr>
          <w:p>
            <w:r>
              <w:rPr>
                <w:rFonts w:ascii="Times New Roman" w:hAnsi="Times New Roman"/>
                <w:sz w:val="20"/>
              </w:rPr>
              <w:t>27,5 %</w:t>
            </w:r>
          </w:p>
        </w:tc>
        <w:tc>
          <w:tcPr>
            <w:tcW w:type="dxa" w:w="1385"/>
          </w:tcPr>
          <w:p>
            <w:r>
              <w:rPr>
                <w:rFonts w:ascii="Times New Roman" w:hAnsi="Times New Roman"/>
                <w:sz w:val="20"/>
              </w:rPr>
              <w:t>35 %</w:t>
            </w:r>
          </w:p>
        </w:tc>
      </w:tr>
      <w:tr>
        <w:tc>
          <w:tcPr>
            <w:tcW w:type="dxa" w:w="1385"/>
          </w:tcPr>
          <w:p>
            <w:r>
              <w:rPr>
                <w:rFonts w:ascii="Times New Roman" w:hAnsi="Times New Roman"/>
                <w:sz w:val="20"/>
              </w:rPr>
              <w:t>**Lipides %**</w:t>
            </w:r>
          </w:p>
        </w:tc>
        <w:tc>
          <w:tcPr>
            <w:tcW w:type="dxa" w:w="1385"/>
          </w:tcPr>
          <w:p>
            <w:r>
              <w:rPr>
                <w:rFonts w:ascii="Times New Roman" w:hAnsi="Times New Roman"/>
                <w:sz w:val="20"/>
              </w:rPr>
              <w:t>10 %</w:t>
            </w:r>
          </w:p>
        </w:tc>
        <w:tc>
          <w:tcPr>
            <w:tcW w:type="dxa" w:w="1385"/>
          </w:tcPr>
          <w:p>
            <w:r>
              <w:rPr>
                <w:rFonts w:ascii="Times New Roman" w:hAnsi="Times New Roman"/>
                <w:sz w:val="20"/>
              </w:rPr>
              <w:t>20 %</w:t>
            </w:r>
          </w:p>
        </w:tc>
        <w:tc>
          <w:tcPr>
            <w:tcW w:type="dxa" w:w="1385"/>
          </w:tcPr>
          <w:p>
            <w:r>
              <w:rPr>
                <w:rFonts w:ascii="Times New Roman" w:hAnsi="Times New Roman"/>
                <w:sz w:val="20"/>
              </w:rPr>
              <w:t>15 %</w:t>
            </w:r>
          </w:p>
        </w:tc>
        <w:tc>
          <w:tcPr>
            <w:tcW w:type="dxa" w:w="1385"/>
          </w:tcPr>
          <w:p>
            <w:r>
              <w:rPr>
                <w:rFonts w:ascii="Times New Roman" w:hAnsi="Times New Roman"/>
                <w:sz w:val="20"/>
              </w:rPr>
              <w:t>20 %</w:t>
            </w:r>
          </w:p>
        </w:tc>
        <w:tc>
          <w:tcPr>
            <w:tcW w:type="dxa" w:w="1385"/>
          </w:tcPr>
          <w:p>
            <w:r>
              <w:rPr>
                <w:rFonts w:ascii="Times New Roman" w:hAnsi="Times New Roman"/>
                <w:sz w:val="20"/>
              </w:rPr>
              <w:t>20 %</w:t>
            </w:r>
          </w:p>
        </w:tc>
      </w:tr>
      <w:tr>
        <w:tc>
          <w:tcPr>
            <w:tcW w:type="dxa" w:w="1385"/>
          </w:tcPr>
          <w:p>
            <w:r>
              <w:rPr>
                <w:rFonts w:ascii="Times New Roman" w:hAnsi="Times New Roman"/>
                <w:sz w:val="20"/>
              </w:rPr>
              <w:t>**Source lipidique**</w:t>
            </w:r>
          </w:p>
        </w:tc>
        <w:tc>
          <w:tcPr>
            <w:tcW w:type="dxa" w:w="1385"/>
          </w:tcPr>
          <w:p>
            <w:r>
              <w:rPr>
                <w:rFonts w:ascii="Times New Roman" w:hAnsi="Times New Roman"/>
                <w:sz w:val="20"/>
              </w:rPr>
              <w:t>Olive/Soja 80/20</w:t>
            </w:r>
          </w:p>
        </w:tc>
        <w:tc>
          <w:tcPr>
            <w:tcW w:type="dxa" w:w="1385"/>
          </w:tcPr>
          <w:p>
            <w:r>
              <w:rPr>
                <w:rFonts w:ascii="Times New Roman" w:hAnsi="Times New Roman"/>
                <w:sz w:val="20"/>
              </w:rPr>
              <w:t>Olive/Soja 80/20</w:t>
            </w:r>
          </w:p>
        </w:tc>
        <w:tc>
          <w:tcPr>
            <w:tcW w:type="dxa" w:w="1385"/>
          </w:tcPr>
          <w:p>
            <w:r>
              <w:rPr>
                <w:rFonts w:ascii="Times New Roman" w:hAnsi="Times New Roman"/>
                <w:sz w:val="20"/>
              </w:rPr>
              <w:t>Olive/Soja 80/20</w:t>
            </w:r>
          </w:p>
        </w:tc>
        <w:tc>
          <w:tcPr>
            <w:tcW w:type="dxa" w:w="1385"/>
          </w:tcPr>
          <w:p>
            <w:r>
              <w:rPr>
                <w:rFonts w:ascii="Times New Roman" w:hAnsi="Times New Roman"/>
                <w:sz w:val="20"/>
              </w:rPr>
              <w:t>Olive/Soja 80/20</w:t>
            </w:r>
          </w:p>
        </w:tc>
        <w:tc>
          <w:tcPr>
            <w:tcW w:type="dxa" w:w="1385"/>
          </w:tcPr>
          <w:p>
            <w:r>
              <w:rPr>
                <w:rFonts w:ascii="Times New Roman" w:hAnsi="Times New Roman"/>
                <w:sz w:val="20"/>
              </w:rPr>
              <w:t>Olive/Soja 80/20</w:t>
            </w:r>
          </w:p>
        </w:tc>
      </w:tr>
      <w:tr>
        <w:tc>
          <w:tcPr>
            <w:tcW w:type="dxa" w:w="1385"/>
          </w:tcPr>
          <w:p>
            <w:r>
              <w:rPr>
                <w:rFonts w:ascii="Times New Roman" w:hAnsi="Times New Roman"/>
                <w:sz w:val="20"/>
              </w:rPr>
              <w:t>**Apport kcal total/L**</w:t>
            </w:r>
          </w:p>
        </w:tc>
        <w:tc>
          <w:tcPr>
            <w:tcW w:type="dxa" w:w="1385"/>
          </w:tcPr>
          <w:p>
            <w:r>
              <w:rPr>
                <w:rFonts w:ascii="Times New Roman" w:hAnsi="Times New Roman"/>
                <w:sz w:val="20"/>
              </w:rPr>
              <w:t>850</w:t>
            </w:r>
          </w:p>
        </w:tc>
        <w:tc>
          <w:tcPr>
            <w:tcW w:type="dxa" w:w="1385"/>
          </w:tcPr>
          <w:p>
            <w:r>
              <w:rPr>
                <w:rFonts w:ascii="Times New Roman" w:hAnsi="Times New Roman"/>
                <w:sz w:val="20"/>
              </w:rPr>
              <w:t>1400</w:t>
            </w:r>
          </w:p>
        </w:tc>
        <w:tc>
          <w:tcPr>
            <w:tcW w:type="dxa" w:w="1385"/>
          </w:tcPr>
          <w:p>
            <w:r>
              <w:rPr>
                <w:rFonts w:ascii="Times New Roman" w:hAnsi="Times New Roman"/>
                <w:sz w:val="20"/>
              </w:rPr>
              <w:t>1170</w:t>
            </w:r>
          </w:p>
        </w:tc>
        <w:tc>
          <w:tcPr>
            <w:tcW w:type="dxa" w:w="1385"/>
          </w:tcPr>
          <w:p>
            <w:r>
              <w:rPr>
                <w:rFonts w:ascii="Times New Roman" w:hAnsi="Times New Roman"/>
                <w:sz w:val="20"/>
              </w:rPr>
              <w:t>1500</w:t>
            </w:r>
          </w:p>
        </w:tc>
        <w:tc>
          <w:tcPr>
            <w:tcW w:type="dxa" w:w="1385"/>
          </w:tcPr>
          <w:p>
            <w:r>
              <w:rPr>
                <w:rFonts w:ascii="Times New Roman" w:hAnsi="Times New Roman"/>
                <w:sz w:val="20"/>
              </w:rPr>
              <w:t>1410</w:t>
            </w:r>
          </w:p>
        </w:tc>
      </w:tr>
      <w:tr>
        <w:tc>
          <w:tcPr>
            <w:tcW w:type="dxa" w:w="1385"/>
          </w:tcPr>
          <w:p>
            <w:r>
              <w:rPr>
                <w:rFonts w:ascii="Times New Roman" w:hAnsi="Times New Roman"/>
                <w:sz w:val="20"/>
              </w:rPr>
              <w:t>**Apport kcal non prot/L**</w:t>
            </w:r>
          </w:p>
        </w:tc>
        <w:tc>
          <w:tcPr>
            <w:tcW w:type="dxa" w:w="1385"/>
          </w:tcPr>
          <w:p>
            <w:r>
              <w:rPr>
                <w:rFonts w:ascii="Times New Roman" w:hAnsi="Times New Roman"/>
                <w:sz w:val="20"/>
              </w:rPr>
              <w:t>667</w:t>
            </w:r>
          </w:p>
        </w:tc>
        <w:tc>
          <w:tcPr>
            <w:tcW w:type="dxa" w:w="1385"/>
          </w:tcPr>
          <w:p>
            <w:r>
              <w:rPr>
                <w:rFonts w:ascii="Times New Roman" w:hAnsi="Times New Roman"/>
                <w:sz w:val="20"/>
              </w:rPr>
              <w:t>1167</w:t>
            </w:r>
          </w:p>
        </w:tc>
        <w:tc>
          <w:tcPr>
            <w:tcW w:type="dxa" w:w="1385"/>
          </w:tcPr>
          <w:p>
            <w:r>
              <w:rPr>
                <w:rFonts w:ascii="Times New Roman" w:hAnsi="Times New Roman"/>
                <w:sz w:val="20"/>
              </w:rPr>
              <w:t>1000</w:t>
            </w:r>
          </w:p>
        </w:tc>
        <w:tc>
          <w:tcPr>
            <w:tcW w:type="dxa" w:w="1385"/>
          </w:tcPr>
          <w:p>
            <w:r>
              <w:rPr>
                <w:rFonts w:ascii="Times New Roman" w:hAnsi="Times New Roman"/>
                <w:sz w:val="20"/>
              </w:rPr>
              <w:t>1190</w:t>
            </w:r>
          </w:p>
        </w:tc>
        <w:tc>
          <w:tcPr>
            <w:tcW w:type="dxa" w:w="1385"/>
          </w:tcPr>
          <w:p>
            <w:r>
              <w:rPr>
                <w:rFonts w:ascii="Times New Roman" w:hAnsi="Times New Roman"/>
                <w:sz w:val="20"/>
              </w:rPr>
              <w:t>1190</w:t>
            </w:r>
          </w:p>
        </w:tc>
      </w:tr>
      <w:tr>
        <w:tc>
          <w:tcPr>
            <w:tcW w:type="dxa" w:w="1385"/>
          </w:tcPr>
          <w:p>
            <w:r>
              <w:rPr>
                <w:rFonts w:ascii="Times New Roman" w:hAnsi="Times New Roman"/>
                <w:sz w:val="20"/>
              </w:rPr>
              <w:t>**Apport azote g/L**</w:t>
            </w:r>
          </w:p>
        </w:tc>
        <w:tc>
          <w:tcPr>
            <w:tcW w:type="dxa" w:w="1385"/>
          </w:tcPr>
          <w:p>
            <w:r>
              <w:rPr>
                <w:rFonts w:ascii="Times New Roman" w:hAnsi="Times New Roman"/>
                <w:sz w:val="20"/>
              </w:rPr>
              <w:t>8,7</w:t>
            </w:r>
          </w:p>
        </w:tc>
        <w:tc>
          <w:tcPr>
            <w:tcW w:type="dxa" w:w="1385"/>
          </w:tcPr>
          <w:p>
            <w:r>
              <w:rPr>
                <w:rFonts w:ascii="Times New Roman" w:hAnsi="Times New Roman"/>
                <w:sz w:val="20"/>
              </w:rPr>
              <w:t>15,7</w:t>
            </w:r>
          </w:p>
        </w:tc>
        <w:tc>
          <w:tcPr>
            <w:tcW w:type="dxa" w:w="1385"/>
          </w:tcPr>
          <w:p>
            <w:r>
              <w:rPr>
                <w:rFonts w:ascii="Times New Roman" w:hAnsi="Times New Roman"/>
                <w:sz w:val="20"/>
              </w:rPr>
              <w:t>9,9</w:t>
            </w:r>
          </w:p>
        </w:tc>
        <w:tc>
          <w:tcPr>
            <w:tcW w:type="dxa" w:w="1385"/>
          </w:tcPr>
          <w:p>
            <w:r>
              <w:rPr>
                <w:rFonts w:ascii="Times New Roman" w:hAnsi="Times New Roman"/>
                <w:sz w:val="20"/>
              </w:rPr>
              <w:t>22,4</w:t>
            </w:r>
          </w:p>
        </w:tc>
        <w:tc>
          <w:tcPr>
            <w:tcW w:type="dxa" w:w="1385"/>
          </w:tcPr>
          <w:p>
            <w:r>
              <w:rPr>
                <w:rFonts w:ascii="Times New Roman" w:hAnsi="Times New Roman"/>
                <w:sz w:val="20"/>
              </w:rPr>
              <w:t>17,5</w:t>
            </w:r>
          </w:p>
        </w:tc>
      </w:tr>
      <w:tr>
        <w:tc>
          <w:tcPr>
            <w:tcW w:type="dxa" w:w="1385"/>
          </w:tcPr>
          <w:p>
            <w:r>
              <w:rPr>
                <w:rFonts w:ascii="Times New Roman" w:hAnsi="Times New Roman"/>
                <w:sz w:val="20"/>
              </w:rPr>
              <w:t>**Ratio kcal non prot / g N**</w:t>
            </w:r>
          </w:p>
        </w:tc>
        <w:tc>
          <w:tcPr>
            <w:tcW w:type="dxa" w:w="1385"/>
          </w:tcPr>
          <w:p>
            <w:r>
              <w:rPr>
                <w:rFonts w:ascii="Times New Roman" w:hAnsi="Times New Roman"/>
                <w:sz w:val="20"/>
              </w:rPr>
              <w:t>150:1</w:t>
            </w:r>
          </w:p>
        </w:tc>
        <w:tc>
          <w:tcPr>
            <w:tcW w:type="dxa" w:w="1385"/>
          </w:tcPr>
          <w:p>
            <w:r>
              <w:rPr>
                <w:rFonts w:ascii="Times New Roman" w:hAnsi="Times New Roman"/>
                <w:sz w:val="20"/>
              </w:rPr>
              <w:t>132:1</w:t>
            </w:r>
          </w:p>
        </w:tc>
        <w:tc>
          <w:tcPr>
            <w:tcW w:type="dxa" w:w="1385"/>
          </w:tcPr>
          <w:p>
            <w:r>
              <w:rPr>
                <w:rFonts w:ascii="Times New Roman" w:hAnsi="Times New Roman"/>
                <w:sz w:val="20"/>
              </w:rPr>
              <w:t>130:1</w:t>
            </w:r>
          </w:p>
        </w:tc>
        <w:tc>
          <w:tcPr>
            <w:tcW w:type="dxa" w:w="1385"/>
          </w:tcPr>
          <w:p>
            <w:r>
              <w:rPr>
                <w:rFonts w:ascii="Times New Roman" w:hAnsi="Times New Roman"/>
                <w:sz w:val="20"/>
              </w:rPr>
              <w:t>119:1</w:t>
            </w:r>
          </w:p>
        </w:tc>
        <w:tc>
          <w:tcPr>
            <w:tcW w:type="dxa" w:w="1385"/>
          </w:tcPr>
          <w:p>
            <w:r>
              <w:rPr>
                <w:rFonts w:ascii="Times New Roman" w:hAnsi="Times New Roman"/>
                <w:sz w:val="20"/>
              </w:rPr>
              <w:t>136:1</w:t>
            </w:r>
          </w:p>
        </w:tc>
      </w:tr>
      <w:tr>
        <w:tc>
          <w:tcPr>
            <w:tcW w:type="dxa" w:w="1385"/>
          </w:tcPr>
          <w:p>
            <w:r>
              <w:rPr>
                <w:rFonts w:ascii="Times New Roman" w:hAnsi="Times New Roman"/>
                <w:sz w:val="20"/>
              </w:rPr>
              <w:t>**Électrolytes inclus**</w:t>
            </w:r>
          </w:p>
        </w:tc>
        <w:tc>
          <w:tcPr>
            <w:tcW w:type="dxa" w:w="1385"/>
          </w:tcPr>
          <w:p>
            <w:r>
              <w:rPr>
                <w:rFonts w:ascii="Times New Roman" w:hAnsi="Times New Roman"/>
                <w:sz w:val="20"/>
              </w:rPr>
              <w:t>Oui (forme E)</w:t>
            </w:r>
          </w:p>
        </w:tc>
        <w:tc>
          <w:tcPr>
            <w:tcW w:type="dxa" w:w="1385"/>
          </w:tcPr>
          <w:p>
            <w:r>
              <w:rPr>
                <w:rFonts w:ascii="Times New Roman" w:hAnsi="Times New Roman"/>
                <w:sz w:val="20"/>
              </w:rPr>
              <w:t>Oui (forme E)</w:t>
            </w:r>
          </w:p>
        </w:tc>
        <w:tc>
          <w:tcPr>
            <w:tcW w:type="dxa" w:w="1385"/>
          </w:tcPr>
          <w:p>
            <w:r>
              <w:rPr>
                <w:rFonts w:ascii="Times New Roman" w:hAnsi="Times New Roman"/>
                <w:sz w:val="20"/>
              </w:rPr>
              <w:t>Oui (forme E)</w:t>
            </w:r>
          </w:p>
        </w:tc>
        <w:tc>
          <w:tcPr>
            <w:tcW w:type="dxa" w:w="1385"/>
          </w:tcPr>
          <w:p>
            <w:r>
              <w:rPr>
                <w:rFonts w:ascii="Times New Roman" w:hAnsi="Times New Roman"/>
                <w:sz w:val="20"/>
              </w:rPr>
              <w:t>N9 : non ; N9E : oui</w:t>
            </w:r>
          </w:p>
        </w:tc>
        <w:tc>
          <w:tcPr>
            <w:tcW w:type="dxa" w:w="1385"/>
          </w:tcPr>
          <w:p>
            <w:r>
              <w:rPr>
                <w:rFonts w:ascii="Times New Roman" w:hAnsi="Times New Roman"/>
                <w:sz w:val="20"/>
              </w:rPr>
              <w:t>Oui (forme E)</w:t>
            </w:r>
          </w:p>
        </w:tc>
      </w:tr>
      <w:tr>
        <w:tc>
          <w:tcPr>
            <w:tcW w:type="dxa" w:w="1385"/>
          </w:tcPr>
          <w:p>
            <w:r>
              <w:rPr>
                <w:rFonts w:ascii="Times New Roman" w:hAnsi="Times New Roman"/>
                <w:sz w:val="20"/>
              </w:rPr>
              <w:t>**Osmolarité (mOsm/L)**</w:t>
            </w:r>
          </w:p>
        </w:tc>
        <w:tc>
          <w:tcPr>
            <w:tcW w:type="dxa" w:w="1385"/>
          </w:tcPr>
          <w:p>
            <w:r>
              <w:rPr>
                <w:rFonts w:ascii="Times New Roman" w:hAnsi="Times New Roman"/>
                <w:sz w:val="20"/>
              </w:rPr>
              <w:t>~1300</w:t>
            </w:r>
          </w:p>
        </w:tc>
        <w:tc>
          <w:tcPr>
            <w:tcW w:type="dxa" w:w="1385"/>
          </w:tcPr>
          <w:p>
            <w:r>
              <w:rPr>
                <w:rFonts w:ascii="Times New Roman" w:hAnsi="Times New Roman"/>
                <w:sz w:val="20"/>
              </w:rPr>
              <w:t>~1700</w:t>
            </w:r>
          </w:p>
        </w:tc>
        <w:tc>
          <w:tcPr>
            <w:tcW w:type="dxa" w:w="1385"/>
          </w:tcPr>
          <w:p>
            <w:r>
              <w:rPr>
                <w:rFonts w:ascii="Times New Roman" w:hAnsi="Times New Roman"/>
                <w:sz w:val="20"/>
              </w:rPr>
              <w:t>~1400</w:t>
            </w:r>
          </w:p>
        </w:tc>
        <w:tc>
          <w:tcPr>
            <w:tcW w:type="dxa" w:w="1385"/>
          </w:tcPr>
          <w:p>
            <w:r>
              <w:rPr>
                <w:rFonts w:ascii="Times New Roman" w:hAnsi="Times New Roman"/>
                <w:sz w:val="20"/>
              </w:rPr>
              <w:t>~1800</w:t>
            </w:r>
          </w:p>
        </w:tc>
        <w:tc>
          <w:tcPr>
            <w:tcW w:type="dxa" w:w="1385"/>
          </w:tcPr>
          <w:p>
            <w:r>
              <w:rPr>
                <w:rFonts w:ascii="Times New Roman" w:hAnsi="Times New Roman"/>
                <w:sz w:val="20"/>
              </w:rPr>
              <w:t>~1900</w:t>
            </w:r>
          </w:p>
        </w:tc>
      </w:tr>
      <w:tr>
        <w:tc>
          <w:tcPr>
            <w:tcW w:type="dxa" w:w="1385"/>
          </w:tcPr>
          <w:p>
            <w:r>
              <w:rPr>
                <w:rFonts w:ascii="Times New Roman" w:hAnsi="Times New Roman"/>
                <w:sz w:val="20"/>
              </w:rPr>
              <w:t>**pH**</w:t>
            </w:r>
          </w:p>
        </w:tc>
        <w:tc>
          <w:tcPr>
            <w:tcW w:type="dxa" w:w="1385"/>
          </w:tcPr>
          <w:p>
            <w:r>
              <w:rPr>
                <w:rFonts w:ascii="Times New Roman" w:hAnsi="Times New Roman"/>
                <w:sz w:val="20"/>
              </w:rPr>
              <w:t>5,5-6,5</w:t>
            </w:r>
          </w:p>
        </w:tc>
        <w:tc>
          <w:tcPr>
            <w:tcW w:type="dxa" w:w="1385"/>
          </w:tcPr>
          <w:p>
            <w:r>
              <w:rPr>
                <w:rFonts w:ascii="Times New Roman" w:hAnsi="Times New Roman"/>
                <w:sz w:val="20"/>
              </w:rPr>
              <w:t>5,5-6,5</w:t>
            </w:r>
          </w:p>
        </w:tc>
        <w:tc>
          <w:tcPr>
            <w:tcW w:type="dxa" w:w="1385"/>
          </w:tcPr>
          <w:p>
            <w:r>
              <w:rPr>
                <w:rFonts w:ascii="Times New Roman" w:hAnsi="Times New Roman"/>
                <w:sz w:val="20"/>
              </w:rPr>
              <w:t>5,5-6,5</w:t>
            </w:r>
          </w:p>
        </w:tc>
        <w:tc>
          <w:tcPr>
            <w:tcW w:type="dxa" w:w="1385"/>
          </w:tcPr>
          <w:p>
            <w:r>
              <w:rPr>
                <w:rFonts w:ascii="Times New Roman" w:hAnsi="Times New Roman"/>
                <w:sz w:val="20"/>
              </w:rPr>
              <w:t>5,5-6,5</w:t>
            </w:r>
          </w:p>
        </w:tc>
        <w:tc>
          <w:tcPr>
            <w:tcW w:type="dxa" w:w="1385"/>
          </w:tcPr>
          <w:p>
            <w:r>
              <w:rPr>
                <w:rFonts w:ascii="Times New Roman" w:hAnsi="Times New Roman"/>
                <w:sz w:val="20"/>
              </w:rPr>
              <w:t>5,5-6,5</w:t>
            </w:r>
          </w:p>
        </w:tc>
      </w:tr>
      <w:tr>
        <w:tc>
          <w:tcPr>
            <w:tcW w:type="dxa" w:w="1385"/>
          </w:tcPr>
          <w:p>
            <w:r>
              <w:rPr>
                <w:rFonts w:ascii="Times New Roman" w:hAnsi="Times New Roman"/>
                <w:sz w:val="20"/>
              </w:rPr>
              <w:t>**Indication préférentielle**</w:t>
            </w:r>
          </w:p>
        </w:tc>
        <w:tc>
          <w:tcPr>
            <w:tcW w:type="dxa" w:w="1385"/>
          </w:tcPr>
          <w:p>
            <w:r>
              <w:rPr>
                <w:rFonts w:ascii="Times New Roman" w:hAnsi="Times New Roman"/>
                <w:sz w:val="20"/>
              </w:rPr>
              <w:t>Patient stable</w:t>
            </w:r>
          </w:p>
        </w:tc>
        <w:tc>
          <w:tcPr>
            <w:tcW w:type="dxa" w:w="1385"/>
          </w:tcPr>
          <w:p>
            <w:r>
              <w:rPr>
                <w:rFonts w:ascii="Times New Roman" w:hAnsi="Times New Roman"/>
                <w:sz w:val="20"/>
              </w:rPr>
              <w:t>Volume limité</w:t>
            </w:r>
          </w:p>
        </w:tc>
        <w:tc>
          <w:tcPr>
            <w:tcW w:type="dxa" w:w="1385"/>
          </w:tcPr>
          <w:p>
            <w:r>
              <w:rPr>
                <w:rFonts w:ascii="Times New Roman" w:hAnsi="Times New Roman"/>
                <w:sz w:val="20"/>
              </w:rPr>
              <w:t>Péri-opératoire</w:t>
            </w:r>
          </w:p>
        </w:tc>
        <w:tc>
          <w:tcPr>
            <w:tcW w:type="dxa" w:w="1385"/>
          </w:tcPr>
          <w:p>
            <w:r>
              <w:rPr>
                <w:rFonts w:ascii="Times New Roman" w:hAnsi="Times New Roman"/>
                <w:sz w:val="20"/>
              </w:rPr>
              <w:t>Réanimation</w:t>
            </w:r>
          </w:p>
        </w:tc>
        <w:tc>
          <w:tcPr>
            <w:tcW w:type="dxa" w:w="1385"/>
          </w:tcPr>
          <w:p>
            <w:r>
              <w:rPr>
                <w:rFonts w:ascii="Times New Roman" w:hAnsi="Times New Roman"/>
                <w:sz w:val="20"/>
              </w:rPr>
              <w:t>Hyperglucidique</w:t>
            </w:r>
          </w:p>
        </w:tc>
      </w:tr>
      <w:tr>
        <w:tc>
          <w:tcPr>
            <w:tcW w:type="dxa" w:w="1385"/>
          </w:tcPr>
          <w:p>
            <w:r>
              <w:rPr>
                <w:rFonts w:ascii="Times New Roman" w:hAnsi="Times New Roman"/>
                <w:sz w:val="20"/>
              </w:rPr>
              <w:t>**Patient cible**</w:t>
            </w:r>
          </w:p>
        </w:tc>
        <w:tc>
          <w:tcPr>
            <w:tcW w:type="dxa" w:w="1385"/>
          </w:tcPr>
          <w:p>
            <w:r>
              <w:rPr>
                <w:rFonts w:ascii="Times New Roman" w:hAnsi="Times New Roman"/>
                <w:sz w:val="20"/>
              </w:rPr>
              <w:t>Dénutrition modérée</w:t>
            </w:r>
          </w:p>
        </w:tc>
        <w:tc>
          <w:tcPr>
            <w:tcW w:type="dxa" w:w="1385"/>
          </w:tcPr>
          <w:p>
            <w:r>
              <w:rPr>
                <w:rFonts w:ascii="Times New Roman" w:hAnsi="Times New Roman"/>
                <w:sz w:val="20"/>
              </w:rPr>
              <w:t>IR dialysé, IC</w:t>
            </w:r>
          </w:p>
        </w:tc>
        <w:tc>
          <w:tcPr>
            <w:tcW w:type="dxa" w:w="1385"/>
          </w:tcPr>
          <w:p>
            <w:r>
              <w:rPr>
                <w:rFonts w:ascii="Times New Roman" w:hAnsi="Times New Roman"/>
                <w:sz w:val="20"/>
              </w:rPr>
              <w:t>Chirurgie, oncologie</w:t>
            </w:r>
          </w:p>
        </w:tc>
        <w:tc>
          <w:tcPr>
            <w:tcW w:type="dxa" w:w="1385"/>
          </w:tcPr>
          <w:p>
            <w:r>
              <w:rPr>
                <w:rFonts w:ascii="Times New Roman" w:hAnsi="Times New Roman"/>
                <w:sz w:val="20"/>
              </w:rPr>
              <w:t>Sepsis, brûlé, réa</w:t>
            </w:r>
          </w:p>
        </w:tc>
        <w:tc>
          <w:tcPr>
            <w:tcW w:type="dxa" w:w="1385"/>
          </w:tcPr>
          <w:p>
            <w:r>
              <w:rPr>
                <w:rFonts w:ascii="Times New Roman" w:hAnsi="Times New Roman"/>
                <w:sz w:val="20"/>
              </w:rPr>
              <w:t>Hypercatabolique</w:t>
            </w:r>
          </w:p>
        </w:tc>
      </w:tr>
      <w:tr>
        <w:tc>
          <w:tcPr>
            <w:tcW w:type="dxa" w:w="1385"/>
          </w:tcPr>
          <w:p>
            <w:r>
              <w:rPr>
                <w:rFonts w:ascii="Times New Roman" w:hAnsi="Times New Roman"/>
                <w:sz w:val="20"/>
              </w:rPr>
              <w:t>**Liste**</w:t>
            </w:r>
          </w:p>
        </w:tc>
        <w:tc>
          <w:tcPr>
            <w:tcW w:type="dxa" w:w="1385"/>
          </w:tcPr>
          <w:p>
            <w:r>
              <w:rPr>
                <w:rFonts w:ascii="Times New Roman" w:hAnsi="Times New Roman"/>
                <w:sz w:val="20"/>
              </w:rPr>
              <w:t>—</w:t>
            </w:r>
          </w:p>
        </w:tc>
        <w:tc>
          <w:tcPr>
            <w:tcW w:type="dxa" w:w="1385"/>
          </w:tcPr>
          <w:p>
            <w:r>
              <w:rPr>
                <w:rFonts w:ascii="Times New Roman" w:hAnsi="Times New Roman"/>
                <w:sz w:val="20"/>
              </w:rPr>
              <w:t>—</w:t>
            </w:r>
          </w:p>
        </w:tc>
        <w:tc>
          <w:tcPr>
            <w:tcW w:type="dxa" w:w="1385"/>
          </w:tcPr>
          <w:p>
            <w:r>
              <w:rPr>
                <w:rFonts w:ascii="Times New Roman" w:hAnsi="Times New Roman"/>
                <w:sz w:val="20"/>
              </w:rPr>
              <w:t>Liste I</w:t>
            </w:r>
          </w:p>
        </w:tc>
        <w:tc>
          <w:tcPr>
            <w:tcW w:type="dxa" w:w="1385"/>
          </w:tcPr>
          <w:p>
            <w:r>
              <w:rPr>
                <w:rFonts w:ascii="Times New Roman" w:hAnsi="Times New Roman"/>
                <w:sz w:val="20"/>
              </w:rPr>
              <w:t>Liste I</w:t>
            </w:r>
          </w:p>
        </w:tc>
        <w:tc>
          <w:tcPr>
            <w:tcW w:type="dxa" w:w="1385"/>
          </w:tcPr>
          <w:p>
            <w:r>
              <w:rPr>
                <w:rFonts w:ascii="Times New Roman" w:hAnsi="Times New Roman"/>
                <w:sz w:val="20"/>
              </w:rPr>
              <w:t>Liste I</w:t>
            </w:r>
          </w:p>
        </w:tc>
      </w:tr>
      <w:tr>
        <w:tc>
          <w:tcPr>
            <w:tcW w:type="dxa" w:w="1385"/>
          </w:tcPr>
          <w:p>
            <w:r>
              <w:rPr>
                <w:rFonts w:ascii="Times New Roman" w:hAnsi="Times New Roman"/>
                <w:sz w:val="20"/>
              </w:rPr>
              <w:t>**Statut**</w:t>
            </w:r>
          </w:p>
        </w:tc>
        <w:tc>
          <w:tcPr>
            <w:tcW w:type="dxa" w:w="1385"/>
          </w:tcPr>
          <w:p>
            <w:r>
              <w:rPr>
                <w:rFonts w:ascii="Times New Roman" w:hAnsi="Times New Roman"/>
                <w:sz w:val="20"/>
              </w:rPr>
              <w:t>Actif</w:t>
            </w:r>
          </w:p>
        </w:tc>
        <w:tc>
          <w:tcPr>
            <w:tcW w:type="dxa" w:w="1385"/>
          </w:tcPr>
          <w:p>
            <w:r>
              <w:rPr>
                <w:rFonts w:ascii="Times New Roman" w:hAnsi="Times New Roman"/>
                <w:sz w:val="20"/>
              </w:rPr>
              <w:t>Actif</w:t>
            </w:r>
          </w:p>
        </w:tc>
        <w:tc>
          <w:tcPr>
            <w:tcW w:type="dxa" w:w="1385"/>
          </w:tcPr>
          <w:p>
            <w:r>
              <w:rPr>
                <w:rFonts w:ascii="Times New Roman" w:hAnsi="Times New Roman"/>
                <w:sz w:val="20"/>
              </w:rPr>
              <w:t>Actif</w:t>
            </w:r>
          </w:p>
        </w:tc>
        <w:tc>
          <w:tcPr>
            <w:tcW w:type="dxa" w:w="1385"/>
          </w:tcPr>
          <w:p>
            <w:r>
              <w:rPr>
                <w:rFonts w:ascii="Times New Roman" w:hAnsi="Times New Roman"/>
                <w:sz w:val="20"/>
              </w:rPr>
              <w:t>Actif</w:t>
            </w:r>
          </w:p>
        </w:tc>
        <w:tc>
          <w:tcPr>
            <w:tcW w:type="dxa" w:w="1385"/>
          </w:tcPr>
          <w:p>
            <w:r>
              <w:rPr>
                <w:rFonts w:ascii="Times New Roman" w:hAnsi="Times New Roman"/>
                <w:sz w:val="20"/>
              </w:rPr>
              <w:t>Actif</w:t>
            </w:r>
          </w:p>
        </w:tc>
      </w:tr>
      <w:tr>
        <w:tc>
          <w:tcPr>
            <w:tcW w:type="dxa" w:w="1385"/>
          </w:tcPr>
          <w:p>
            <w:r>
              <w:rPr>
                <w:rFonts w:ascii="Times New Roman" w:hAnsi="Times New Roman"/>
                <w:sz w:val="20"/>
              </w:rPr>
              <w:t>**Laboratoire**</w:t>
            </w:r>
          </w:p>
        </w:tc>
        <w:tc>
          <w:tcPr>
            <w:tcW w:type="dxa" w:w="1385"/>
          </w:tcPr>
          <w:p>
            <w:r>
              <w:rPr>
                <w:rFonts w:ascii="Times New Roman" w:hAnsi="Times New Roman"/>
                <w:sz w:val="20"/>
              </w:rPr>
              <w:t>Clintec Parenteral</w:t>
            </w:r>
          </w:p>
        </w:tc>
        <w:tc>
          <w:tcPr>
            <w:tcW w:type="dxa" w:w="1385"/>
          </w:tcPr>
          <w:p>
            <w:r>
              <w:rPr>
                <w:rFonts w:ascii="Times New Roman" w:hAnsi="Times New Roman"/>
                <w:sz w:val="20"/>
              </w:rPr>
              <w:t>Baxter S.A.</w:t>
            </w:r>
          </w:p>
        </w:tc>
        <w:tc>
          <w:tcPr>
            <w:tcW w:type="dxa" w:w="1385"/>
          </w:tcPr>
          <w:p>
            <w:r>
              <w:rPr>
                <w:rFonts w:ascii="Times New Roman" w:hAnsi="Times New Roman"/>
                <w:sz w:val="20"/>
              </w:rPr>
              <w:t>Baxter S.A.</w:t>
            </w:r>
          </w:p>
        </w:tc>
        <w:tc>
          <w:tcPr>
            <w:tcW w:type="dxa" w:w="1385"/>
          </w:tcPr>
          <w:p>
            <w:r>
              <w:rPr>
                <w:rFonts w:ascii="Times New Roman" w:hAnsi="Times New Roman"/>
                <w:sz w:val="20"/>
              </w:rPr>
              <w:t>Baxter S.A.</w:t>
            </w:r>
          </w:p>
        </w:tc>
        <w:tc>
          <w:tcPr>
            <w:tcW w:type="dxa" w:w="1385"/>
          </w:tcPr>
          <w:p>
            <w:r>
              <w:rPr>
                <w:rFonts w:ascii="Times New Roman" w:hAnsi="Times New Roman"/>
                <w:sz w:val="20"/>
              </w:rPr>
              <w:t>Baxter S.A.</w:t>
            </w:r>
          </w:p>
        </w:tc>
      </w:tr>
    </w:tbl>
    <w:p/>
    <w:p>
      <w:pPr>
        <w:pStyle w:val="Heading3"/>
      </w:pPr>
      <w:r>
        <w:t>225.2 DCI n°2 : Acide aminés/glucose/lipides (pédiatrie) — NumetZah</w:t>
      </w:r>
    </w:p>
    <w:p>
      <w:pPr>
        <w:pStyle w:val="Heading4"/>
      </w:pPr>
      <w:r>
        <w:t>1. Liste des catégories thérapeutiques</w:t>
      </w:r>
    </w:p>
    <w:p>
      <w:r>
        <w:t xml:space="preserve">La DCI « ACIDE AMINES/GLUCOSE/LIPIDES » (au singulier — </w:t>
      </w:r>
      <w:r>
        <w:rPr>
          <w:i/>
        </w:rPr>
        <w:t>à noter la coquille orthographique dans la nomenclature algérienne qui omet le « s » final à « acides »</w:t>
      </w:r>
      <w:r>
        <w:t xml:space="preserve">) correspond aux formulations pédiatriques de nutrition parentérale tricompartimentée commercialisées sous les spécialités NUMETZAH G13 % E, NUMETZAH G16 % E et NUMETZAH G19 % E. Le code ATC est </w:t>
      </w:r>
      <w:r>
        <w:rPr>
          <w:b/>
        </w:rPr>
        <w:t>B05BA10</w:t>
      </w:r>
      <w:r>
        <w:t xml:space="preserve"> (mélanges pour nutrition parentérale complète), comme pour les formulations adultes, mais ces spécialités sont spécifiquement développées pour les nouveau-nés prématurés et les nourrissons présentant un retard de croissance ou une pathologie néonatale nécessitant une suppléance nutritionnelle. Sur le plan réglementaire algérien, ces spécialités relèvent de la </w:t>
      </w:r>
      <w:r>
        <w:rPr>
          <w:b/>
        </w:rPr>
        <w:t>liste I</w:t>
      </w:r>
      <w:r>
        <w:t xml:space="preserve"> des substances vénéneuses, avec un statut d'usage hospitalier strict (réanimation néonatale, néonatologie, pédiatrie hospitalière).</w:t>
      </w:r>
    </w:p>
    <w:p>
      <w:r>
        <w:t xml:space="preserve">La particularité de ces formulations tient à leur composition adaptée au métabolisme immature du nouveau-né et du prématuré : (1) </w:t>
      </w:r>
      <w:r>
        <w:rPr>
          <w:b/>
        </w:rPr>
        <w:t>apport glucidique élevé</w:t>
      </w:r>
      <w:r>
        <w:t xml:space="preserve"> (50 % de glucose) pour couvrir les besoins cérébraux élevés (6-8 mg/kg/min de glucose chez le nouveau-né) ; (2) </w:t>
      </w:r>
      <w:r>
        <w:rPr>
          <w:b/>
        </w:rPr>
        <w:t>apport lipidique modéré</w:t>
      </w:r>
      <w:r>
        <w:t xml:space="preserve"> (5,9 %) à base d'émulsion mixte TLC/TCM (triglycérides à longue chaîne / triglycérides à chaîne moyenne) pour faciliter le métabolisme chez le prématuré dont la carnitine est déficiente ; (3) </w:t>
      </w:r>
      <w:r>
        <w:rPr>
          <w:b/>
        </w:rPr>
        <w:t>apport protidique modéré</w:t>
      </w:r>
      <w:r>
        <w:t xml:space="preserve"> (12,5 %) avec profil d'acides aminés adapté (taurine, cystéine, tyrosine, histidine majorés car le métabolisme immature ne synthétise pas ces AA non essentiels chez l'adulte).</w:t>
      </w:r>
    </w:p>
    <w:p>
      <w:pPr>
        <w:pStyle w:val="Heading4"/>
      </w:pPr>
      <w:r>
        <w:t>2. Médicaments disponibles en Algérie</w:t>
      </w:r>
    </w:p>
    <w:p>
      <w:r>
        <w:t>Le tableau suivant recense les trois spécialités pédiatriques NUMETZAH disponibles dans la nomenclature algérienne d'avril 2026, toutes commercialisées par Baxter S.A. Les trois spécialités ont la même composition (50 %/5,9 %/12,5 %) mais diffèrent par le volume total et la répartition des compartiments, permettant de couvrir les besoins nutritionnels du prématuré de très faible poids de naissance (TPNW &lt; 1000 g) jusqu'au nourrisson de poids normal.</w:t>
      </w:r>
    </w:p>
    <w:tbl>
      <w:tblPr>
        <w:tblStyle w:val="LightGrid-Accent1"/>
        <w:tblW w:type="auto" w:w="0"/>
        <w:tblLayout w:type="autofit"/>
        <w:tblLook w:firstColumn="1" w:firstRow="1" w:lastColumn="0" w:lastRow="0" w:noHBand="0" w:noVBand="1" w:val="04A0"/>
      </w:tblPr>
      <w:tblGrid>
        <w:gridCol w:w="1385"/>
        <w:gridCol w:w="1385"/>
        <w:gridCol w:w="1385"/>
        <w:gridCol w:w="1385"/>
        <w:gridCol w:w="1385"/>
        <w:gridCol w:w="1385"/>
      </w:tblGrid>
      <w:tr>
        <w:tc>
          <w:tcPr>
            <w:tcW w:type="dxa" w:w="1385"/>
            <w:shd w:val="clear" w:color="auto" w:fill="F2F2F2"/>
          </w:tcPr>
          <w:p>
            <w:r>
              <w:rPr>
                <w:rFonts w:ascii="Times New Roman" w:hAnsi="Times New Roman"/>
                <w:b/>
                <w:sz w:val="20"/>
              </w:rPr>
              <w:t>Nom Commercial</w:t>
            </w:r>
          </w:p>
        </w:tc>
        <w:tc>
          <w:tcPr>
            <w:tcW w:type="dxa" w:w="1385"/>
            <w:shd w:val="clear" w:color="auto" w:fill="F2F2F2"/>
          </w:tcPr>
          <w:p>
            <w:r>
              <w:rPr>
                <w:rFonts w:ascii="Times New Roman" w:hAnsi="Times New Roman"/>
                <w:b/>
                <w:sz w:val="20"/>
              </w:rPr>
              <w:t>Laboratoire</w:t>
            </w:r>
          </w:p>
        </w:tc>
        <w:tc>
          <w:tcPr>
            <w:tcW w:type="dxa" w:w="1385"/>
            <w:shd w:val="clear" w:color="auto" w:fill="F2F2F2"/>
          </w:tcPr>
          <w:p>
            <w:r>
              <w:rPr>
                <w:rFonts w:ascii="Times New Roman" w:hAnsi="Times New Roman"/>
                <w:b/>
                <w:sz w:val="20"/>
              </w:rPr>
              <w:t>Forme et Dosage</w:t>
            </w:r>
          </w:p>
        </w:tc>
        <w:tc>
          <w:tcPr>
            <w:tcW w:type="dxa" w:w="1385"/>
            <w:shd w:val="clear" w:color="auto" w:fill="F2F2F2"/>
          </w:tcPr>
          <w:p>
            <w:r>
              <w:rPr>
                <w:rFonts w:ascii="Times New Roman" w:hAnsi="Times New Roman"/>
                <w:b/>
                <w:sz w:val="20"/>
              </w:rPr>
              <w:t>Conditionnement</w:t>
            </w:r>
          </w:p>
        </w:tc>
        <w:tc>
          <w:tcPr>
            <w:tcW w:type="dxa" w:w="1385"/>
            <w:shd w:val="clear" w:color="auto" w:fill="F2F2F2"/>
          </w:tcPr>
          <w:p>
            <w:r>
              <w:rPr>
                <w:rFonts w:ascii="Times New Roman" w:hAnsi="Times New Roman"/>
                <w:b/>
                <w:sz w:val="20"/>
              </w:rPr>
              <w:t>Liste</w:t>
            </w:r>
          </w:p>
        </w:tc>
        <w:tc>
          <w:tcPr>
            <w:tcW w:type="dxa" w:w="1385"/>
            <w:shd w:val="clear" w:color="auto" w:fill="F2F2F2"/>
          </w:tcPr>
          <w:p>
            <w:r>
              <w:rPr>
                <w:rFonts w:ascii="Times New Roman" w:hAnsi="Times New Roman"/>
                <w:b/>
                <w:sz w:val="20"/>
              </w:rPr>
              <w:t>Statut</w:t>
            </w:r>
          </w:p>
        </w:tc>
      </w:tr>
      <w:tr>
        <w:tc>
          <w:tcPr>
            <w:tcW w:type="dxa" w:w="1385"/>
          </w:tcPr>
          <w:p>
            <w:r>
              <w:rPr>
                <w:rFonts w:ascii="Times New Roman" w:hAnsi="Times New Roman"/>
                <w:sz w:val="20"/>
              </w:rPr>
              <w:t>NUMETZAH G13 % E</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50 % / G 5,9 % / Lipides 12,5 %</w:t>
            </w:r>
          </w:p>
        </w:tc>
        <w:tc>
          <w:tcPr>
            <w:tcW w:type="dxa" w:w="1385"/>
          </w:tcPr>
          <w:p>
            <w:r>
              <w:rPr>
                <w:rFonts w:ascii="Times New Roman" w:hAnsi="Times New Roman"/>
                <w:sz w:val="20"/>
              </w:rPr>
              <w:t>10 poches de 300 mL tricompartimentées (80 mL + 160 mL + 60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NUMETZAH G16 % E</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50 % / G 5,9 % / Lipides 12,5 %</w:t>
            </w:r>
          </w:p>
        </w:tc>
        <w:tc>
          <w:tcPr>
            <w:tcW w:type="dxa" w:w="1385"/>
          </w:tcPr>
          <w:p>
            <w:r>
              <w:rPr>
                <w:rFonts w:ascii="Times New Roman" w:hAnsi="Times New Roman"/>
                <w:sz w:val="20"/>
              </w:rPr>
              <w:t>06 poches de 500 mL tricompartimentées (155 mL + 221 mL + 124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r>
        <w:tc>
          <w:tcPr>
            <w:tcW w:type="dxa" w:w="1385"/>
          </w:tcPr>
          <w:p>
            <w:r>
              <w:rPr>
                <w:rFonts w:ascii="Times New Roman" w:hAnsi="Times New Roman"/>
                <w:sz w:val="20"/>
              </w:rPr>
              <w:t>NUMETZAH G19 % E</w:t>
            </w:r>
          </w:p>
        </w:tc>
        <w:tc>
          <w:tcPr>
            <w:tcW w:type="dxa" w:w="1385"/>
          </w:tcPr>
          <w:p>
            <w:r>
              <w:rPr>
                <w:rFonts w:ascii="Times New Roman" w:hAnsi="Times New Roman"/>
                <w:sz w:val="20"/>
              </w:rPr>
              <w:t>Baxter S.A.</w:t>
            </w:r>
          </w:p>
        </w:tc>
        <w:tc>
          <w:tcPr>
            <w:tcW w:type="dxa" w:w="1385"/>
          </w:tcPr>
          <w:p>
            <w:r>
              <w:rPr>
                <w:rFonts w:ascii="Times New Roman" w:hAnsi="Times New Roman"/>
                <w:sz w:val="20"/>
              </w:rPr>
              <w:t>Émulsion pour perfusion IV — AA 50 % / G 5,9 % / Lipides 12,5 %</w:t>
            </w:r>
          </w:p>
        </w:tc>
        <w:tc>
          <w:tcPr>
            <w:tcW w:type="dxa" w:w="1385"/>
          </w:tcPr>
          <w:p>
            <w:r>
              <w:rPr>
                <w:rFonts w:ascii="Times New Roman" w:hAnsi="Times New Roman"/>
                <w:sz w:val="20"/>
              </w:rPr>
              <w:t>06 poches de 1000 mL tricompartimentées (383 mL + 392 mL + 225 mL)</w:t>
            </w:r>
          </w:p>
        </w:tc>
        <w:tc>
          <w:tcPr>
            <w:tcW w:type="dxa" w:w="1385"/>
          </w:tcPr>
          <w:p>
            <w:r>
              <w:rPr>
                <w:rFonts w:ascii="Times New Roman" w:hAnsi="Times New Roman"/>
                <w:sz w:val="20"/>
              </w:rPr>
              <w:t>Liste I</w:t>
            </w:r>
          </w:p>
        </w:tc>
        <w:tc>
          <w:tcPr>
            <w:tcW w:type="dxa" w:w="1385"/>
          </w:tcPr>
          <w:p>
            <w:r>
              <w:rPr>
                <w:rFonts w:ascii="Times New Roman" w:hAnsi="Times New Roman"/>
                <w:sz w:val="20"/>
              </w:rPr>
              <w:t>Actif</w:t>
            </w:r>
          </w:p>
        </w:tc>
      </w:tr>
    </w:tbl>
    <w:p/>
    <w:p>
      <w:r/>
      <w:r>
        <w:rPr>
          <w:b/>
        </w:rPr>
        <w:t>Correspondance poids patient</w:t>
      </w:r>
      <w:r>
        <w:t xml:space="preserve"> : NUMETZAH G13 % E (300 mL) — pour prématuré &lt; 1000 g ou nouveau-né &lt; 2 kg ; NUMETZAH G16 % E (500 mL) — pour nouveau-né 2-3 kg ou nourrisson &lt; 5 kg ; NUMETZAH G19 % E (1000 mL) — pour nourrisson 5-10 kg. La sélection se fait selon le poids et les besoins énergétiques calculés par le pédiatre-nutritionniste. Le pharmacien hospitalier doit vérifier la cohérence entre le poids de l'enfant et la taille de la poche prescrite (calcul des kcal/kg/jour apportées, vérification du ratio kcal non prot / g N qui doit être compris entre 100:1 et 150:1 en pédiatrie).</w:t>
      </w:r>
    </w:p>
    <w:p>
      <w:r/>
      <w:r>
        <w:rPr>
          <w:b/>
        </w:rPr>
        <w:t>Particularité de la dénomination</w:t>
      </w:r>
      <w:r>
        <w:t xml:space="preserve"> : la mention « G13 % », « G16 % » et « G19 % » fait référence à la concentration glucidique G optimisée pour chaque tranche de poids : 13 %, 16 % et 19 % de glucose dans le compartiment glucidique. La spécialité NUMETZAH est spécifiquement développée par Baxter pour répondre aux exigences de la nutrition parentérale pédiatrique hospitalière, avec une stabilité garantie pour les faibles volumes et une compatibilité avec les additifs (vitamines, oligo-éléments, électrolytes adaptés).</w:t>
      </w:r>
    </w:p>
    <w:p>
      <w:pPr>
        <w:pStyle w:val="Heading4"/>
      </w:pPr>
      <w:r>
        <w:t>3. Sous-classe et mécanisme d'action moléculaire</w:t>
      </w:r>
    </w:p>
    <w:p>
      <w:r>
        <w:t xml:space="preserve">Les mélanges pédiatriques NUMETZAH appartiennent à la sous-classe des </w:t>
      </w:r>
      <w:r>
        <w:rPr>
          <w:b/>
        </w:rPr>
        <w:t>solutions nutritives parentérales ternaires pédiatriques</w:t>
      </w:r>
      <w:r>
        <w:t xml:space="preserve"> (ATC B05BA10). Le mécanisme d'action moléculaire repose sur les mêmes principes que pour l'adulte, mais avec des particularités physiologiques liées à l'immaturité métabolique du nouveau-né et du prématuré : (1) </w:t>
      </w:r>
      <w:r>
        <w:rPr>
          <w:b/>
        </w:rPr>
        <w:t>métabolisme glucidique immature</w:t>
      </w:r>
      <w:r>
        <w:t xml:space="preserve"> — la néoglucogenèse est limitée chez le prématuré (déficit en enzymes gluconéogéniques PEPCK, pyruvate carboxylase), justifiant un apport glucidique continu et élevé (4-8 mg/kg/min) pour prévenir l'hypoglycémie ; la tolérance au glucose est diminuée en raison de l'insulino-résistance physiologique néonatale et du risque d'hyperglycémie iatrogène avec osmolarité élevée ; (2) </w:t>
      </w:r>
      <w:r>
        <w:rPr>
          <w:b/>
        </w:rPr>
        <w:t>métabolisme lipidique immature</w:t>
      </w:r>
      <w:r>
        <w:t xml:space="preserve"> — la lipoprotéine lipase endothéliale est moins active chez le prématuré, exposant à une hypertriglycéridémie ; la carnitine est déficiente chez le prématuré (synthèse hépatique immature, apport alimentaire nul en l'absence d'alimentation entérale), ce qui limite l'oxydation des TLC — d'où l'intérêt des TCM qui sont métabolisés indépendamment de la carnitine ; (3) </w:t>
      </w:r>
      <w:r>
        <w:rPr>
          <w:b/>
        </w:rPr>
        <w:t>métabolisme protéique hyperanabolique</w:t>
      </w:r>
      <w:r>
        <w:t xml:space="preserve"> — le nouveau-né a des besoins protéiques 3 à 4 fois supérieurs à l'adulte (3-4 g/kg/jour versus 0,8-1,5 g/kg/jour), avec une forte demande en acides aminés essentiels et semi-essentiels (taurine, cystéine, tyrosine, histidine) qui ne sont pas synthétisés en quantité suffisante chez le nouveau-né ; (4) </w:t>
      </w:r>
      <w:r>
        <w:rPr>
          <w:b/>
        </w:rPr>
        <w:t>élimination rén immature</w:t>
      </w:r>
      <w:r>
        <w:t xml:space="preserve"> — la filtration glomérulaire est abaissée chez le nouveau-né (DFG 20-40 mL/min/1,73 m² à J0, atteignant 80 mL/min/1,73 m² à 1 an), ce qui impose une adaptation des apports en électrolytes et en oligo-éléments ; (5) </w:t>
      </w:r>
      <w:r>
        <w:rPr>
          <w:b/>
        </w:rPr>
        <w:t>développement cérébral</w:t>
      </w:r>
      <w:r>
        <w:t xml:space="preserve"> — les lipides représentent 60 % du poids sec du cerveau et les acides gras essentiels (ARA, DHA) sont critiques pour la myélinisation et le développement cognitif ; l'apport doit être suffisant sans excès pour ne pas dépasser la capacité d'épuration hépatique.</w:t>
      </w:r>
    </w:p>
    <w:p>
      <w:r>
        <w:t>La composition en acides aminés de NUMETZAH est adaptée au profil plasmatique de référence du nouveau-né à terme (modèle Snyderman), avec une majoration de la taurine (acide aminé soufré essentiel chez le prématuré, impliqué dans le développement cérébral et rétinien), de la cystéine (acide aminé soufré précurseur du glutathion, déficient en cas d'immaturité hépatique), de la tyrosine (précurseur de la dopamine et de la thyroxine, métabolisme immature), et de l'histidine (acide aminé essentiel chez le nourrisson). L'apport lipidique se fait sous forme de mélange TLC/TCM (généralement 50/50) pour permettre un métabolisme indépendant de la carnitine pour les TCM, et un apport en acides gras essentiels (linoléique, alpha-linolénique) via les TLC de soja.</w:t>
      </w:r>
    </w:p>
    <w:p>
      <w:pPr>
        <w:pStyle w:val="Heading4"/>
      </w:pPr>
      <w:r>
        <w:t>4. Profil pharmacologique</w:t>
      </w:r>
    </w:p>
    <w:p>
      <w:r/>
      <w:r>
        <w:rPr>
          <w:b/>
        </w:rPr>
        <w:t>Indications</w:t>
      </w:r>
      <w:r>
        <w:t xml:space="preserve"> : nutrition parentérale complète chez le nouveau-né prématuré (&lt; 37 semaines d'aménorrhée) et le nourrisson (0-2 ans) présentant une pathologie nécessitant une suppléance nutritionnelle : (1) prématurité avec retard de croissance intra-utérin (RCIU) ; (2) entéropathie nécrosante (NEC) — contre-indication transitoire à l'alimentation entérale ; (3) malformations digestives (atrésie de l'œsophage, atrésie duodénale, laparoschisis, omphalocèle, volvulus, maladie de Hirschsprung) nécessitant une chirurgie néonatale et un intervalle de jeûne prolongé ; (4) grêle court post-nécrose ou post-chirurgie ; (5) insuffisance intestinale sévère (entéropathie Congénitale, microvillosités atrophiques) ; (6) mucoviscidose avec insuffisance pancréatique et dénutrition ; (7) défaillance multiviscérale néonatale ; (8) choc cardiogénique ou septique du nouveau-né nécessitant une sédation prolongée avec jeûne.</w:t>
      </w:r>
    </w:p>
    <w:p>
      <w:r/>
      <w:r>
        <w:rPr>
          <w:b/>
        </w:rPr>
        <w:t>Contre-indications</w:t>
      </w:r>
      <w:r>
        <w:t xml:space="preserve"> : (1) hypoglycémie sévère non contrôlée (à corriger avant la NP) ; (2) hypertriglycéridémie néonatale (triglycérides &gt; 2,5 g/L) ; (3) acidose métabolique sévère non corrigée (pH &lt; 7,20) ; (4) insuffisance hépatique sévère (cholestase néonatale PAL &gt; 5× LSN, cytolyse &gt; 5× LSN, encéphalopathie hépatique) ; (5) insuffisance rénale aiguë sévère sans dialyse ; (6) allergie connue à l'un des composants (œuf, soja, poisson) ; (7) troubles majeurs de la coagulation (CIVD, thrombopénie &lt; 50 G/L) ; (8) état de choc non contrôlé ; (9) hypoxémie sévère non corrigée (PaO₂ &lt; 50 mmHg, SpO₂ &lt; 85 %).</w:t>
      </w:r>
    </w:p>
    <w:p>
      <w:r/>
      <w:r>
        <w:rPr>
          <w:b/>
        </w:rPr>
        <w:t>Effets indésirables</w:t>
      </w:r>
      <w:r>
        <w:t xml:space="preserve"> : (1) </w:t>
      </w:r>
      <w:r>
        <w:rPr>
          <w:b/>
        </w:rPr>
        <w:t>hyperglycémie néonatale</w:t>
      </w:r>
      <w:r>
        <w:t xml:space="preserve"> — risque majeur en raison de l'insulino-résistance physiologique du prématuré, de l'immaturité de la néoglucogenèse, et du stress métabolique ; conséquences : osmolarité plasmatique élevée, diurèse osmotique, hémorragie intraventriculaire (par hyperosmolarité), sepsis favorisé ; surveillance glycémie capillaire toutes les 6 à 12 heures, insuline IV si glycémie &gt; 10 mmol/L ; (2) </w:t>
      </w:r>
      <w:r>
        <w:rPr>
          <w:b/>
        </w:rPr>
        <w:t>hypoglycémie</w:t>
      </w:r>
      <w:r>
        <w:t xml:space="preserve"> — à l'arrêt brutal ou en cas de défaut d'apport, à prévenir par décroissance progressive ; (3) </w:t>
      </w:r>
      <w:r>
        <w:rPr>
          <w:b/>
        </w:rPr>
        <w:t>hypertriglycéridémie</w:t>
      </w:r>
      <w:r>
        <w:t xml:space="preserve"> — surveillance triglycéridémie toutes les 48-72 heures, max 2,5 g/L chez le nouveau-né ; (4) </w:t>
      </w:r>
      <w:r>
        <w:rPr>
          <w:b/>
        </w:rPr>
        <w:t>cholestase néonatale parentérale-induite</w:t>
      </w:r>
      <w:r>
        <w:t xml:space="preserve"> (PNALD — </w:t>
      </w:r>
      <w:r>
        <w:rPr>
          <w:i/>
        </w:rPr>
        <w:t>parenteral nutrition-associated liver disease</w:t>
      </w:r>
      <w:r>
        <w:t xml:space="preserve">) — complication grave de la NP prolongée &gt; 14 jours, surtout chez le prématuré et le grêle court ; traduite par PAL &gt; 5× LSN, GGT &gt; 5× LSN, bilirubine conjuguée &gt; 50 µmol/L, évolutive vers la cirrhose biliaire et l'insuffisance hépatique terminale en l'absence de sevrage ; (5) </w:t>
      </w:r>
      <w:r>
        <w:rPr>
          <w:b/>
        </w:rPr>
        <w:t>infection sur cathéter</w:t>
      </w:r>
      <w:r>
        <w:t xml:space="preserve"> — risque majoré chez le prématuré immunodéprimé (Staphylococcus epidermidis, Candida) ; (6) </w:t>
      </w:r>
      <w:r>
        <w:rPr>
          <w:b/>
        </w:rPr>
        <w:t>thrombose veineuse</w:t>
      </w:r>
      <w:r>
        <w:t xml:space="preserve"> — risque majoré par la perfusion prolongée d'une solution à osmolarité élevée via un cathéter central ombilical ou jugulaire ; (7) </w:t>
      </w:r>
      <w:r>
        <w:rPr>
          <w:b/>
        </w:rPr>
        <w:t>embolie gazeuse</w:t>
      </w:r>
      <w:r>
        <w:t xml:space="preserve"> — complication rare mais grave liée à la perfusion chez le nouveau-né à pression veineuse centrale basse ; (8) </w:t>
      </w:r>
      <w:r>
        <w:rPr>
          <w:b/>
        </w:rPr>
        <w:t>déshydratation hyperosmolaire</w:t>
      </w:r>
      <w:r>
        <w:t xml:space="preserve"> — en cas de perfusion d'une solution trop concentrée ou trop rapide ; (9) </w:t>
      </w:r>
      <w:r>
        <w:rPr>
          <w:b/>
        </w:rPr>
        <w:t>carences spécifiques</w:t>
      </w:r>
      <w:r>
        <w:t xml:space="preserve"> — carence en acides gras essentiels (oméga-3 DHA, oméga-6 ARA) si NP prolongée &gt; 7 jours sans lipides, carence en vitamines (D, K, E, B12) ; (10) </w:t>
      </w:r>
      <w:r>
        <w:rPr>
          <w:b/>
        </w:rPr>
        <w:t>ostéopénie du prématuré</w:t>
      </w:r>
      <w:r>
        <w:t xml:space="preserve"> — carence en calcium, phosphore et vitamine D sous NP prolongée sans supplémentation adéquate.</w:t>
      </w:r>
    </w:p>
    <w:p>
      <w:pPr>
        <w:pStyle w:val="Heading4"/>
      </w:pPr>
      <w:r>
        <w:t>5. Prévention et gestion des effets indésirables</w:t>
      </w:r>
    </w:p>
    <w:p>
      <w:r>
        <w:t>La prévention des complications de la nutrition parentérale pédiatrique repose sur des protocoles rigoureux formalisés par l'ESPGHAN (</w:t>
      </w:r>
      <w:r>
        <w:rPr>
          <w:i/>
        </w:rPr>
        <w:t>European Society for Paediatric Gastroenterology Hepatology and Nutrition</w:t>
      </w:r>
      <w:r>
        <w:t xml:space="preserve">) et ESPEN 2023. (1) </w:t>
      </w:r>
      <w:r>
        <w:rPr>
          <w:b/>
        </w:rPr>
        <w:t>Prévention de l'hyperglycémie</w:t>
      </w:r>
      <w:r>
        <w:t xml:space="preserve"> : démarrer l'apport glucidique à 4-6 mg/kg/min chez le prématuré, augmenter progressivement par paliers de 1-2 mg/kg/min toutes les 24 heures, surveillance glycémie capillaire toutes les 6-12 heures ; insuline IV à la seringue électrique (0,05-0,1 UI/kg/h) si glycémie &gt; 10 mmol/L persistante malgré la réduction du débit glucidique ; éviter les variations brutales de débit. (2) </w:t>
      </w:r>
      <w:r>
        <w:rPr>
          <w:b/>
        </w:rPr>
        <w:t>Prévention de l'hypertriglycéridémie</w:t>
      </w:r>
      <w:r>
        <w:t xml:space="preserve"> : démarrer l'apport lipidique à 1 g/kg/jour, augmenter par paliers de 0,5 g/kg/jour jusqu'à 3 g/kg/jour maximum chez le prématuré, surveillance triglycéridémie à J2 puis toutes les 48-72 heures, arrêt temporaire si triglycérides &gt; 2,5 g/L ; préférer les émulsions mixtes TLC/TCM ou les émulsions à base d'huile de poisson (omégaven) pour réduire l'inflammation et la cholestase. (3) </w:t>
      </w:r>
      <w:r>
        <w:rPr>
          <w:b/>
        </w:rPr>
        <w:t>Prévention de la cholestase PNALD</w:t>
      </w:r>
      <w:r>
        <w:t xml:space="preserve"> : favoriser la trophicité intestinale par micro-apports entéraux (10-20 mL/kg/jour de lait maternel) dès que possible ; éviter la surcharge glucidique (&gt; 4 g/kg/jour) ; privilégier les émulsions lipidiques à base d'huile de poisson (Omégaven) ou mixtes SMOF (soja/TCM/olive/poisson) ; cycles de perfusion sur 12-16 heures (en NPAD) plutôt que continue ; sevrage progressif vers l'alimentation entérale dès que le tube digestif est fonctionnel. (4) </w:t>
      </w:r>
      <w:r>
        <w:rPr>
          <w:b/>
        </w:rPr>
        <w:t>Prévention de l'infection sur cathéter</w:t>
      </w:r>
      <w:r>
        <w:t xml:space="preserve"> : pose du cathéter central en condition chirurgicale stricte, pansement stérile transparent changé toutes les 72 heures, protocole de vérification de l'indication du cathéter tous les jours (retrait dès que possible). (5) </w:t>
      </w:r>
      <w:r>
        <w:rPr>
          <w:b/>
        </w:rPr>
        <w:t>Prévention de la thrombose veineuse</w:t>
      </w:r>
      <w:r>
        <w:t xml:space="preserve"> : positionnement correct du cathéter central (extrémité à la jonction cavo-auriculaire vérifiée par radiographie), verrouillage hépariné (10 UI/mL) si arrêt transitoire, anticoagulation préventive par HBPM chez le prématuré à risque thrombotique élevé. (6) </w:t>
      </w:r>
      <w:r>
        <w:rPr>
          <w:b/>
        </w:rPr>
        <w:t>Prévention des carences</w:t>
      </w:r>
      <w:r>
        <w:t xml:space="preserve"> : supplémentation systématique en vitamines (Cernevit pédiatrique), oligo-éléments (Pédéléc), acides gras essentiels, calcium-phosphore-vitamine D (Prévention de l'ostéopénie du prématuré : Ca 2-3 mmol/kg/jour, P 1,5-2 mmol/kg/jour, vitamine D 800-1000 UI/jour), fer (2-3 mg/kg/jour à partir de J14). (7) </w:t>
      </w:r>
      <w:r>
        <w:rPr>
          <w:b/>
        </w:rPr>
        <w:t>Prévention du syndrome de renutrition</w:t>
      </w:r>
      <w:r>
        <w:t xml:space="preserve"> : chez le nouveau-né sévèrement dénutri (RCIU sévère, IMC &lt; 2 DS), démarrer la NP à 50 % des besoins théoriques pendant 7 jours, augmenter progressivement de 10-15 % tous les 2-3 jours, supplémenter en thiamine (50-100 mg IV), surveiller phosphore, potassium, magnésium quotidien.</w:t>
      </w:r>
    </w:p>
    <w:p>
      <w:pPr>
        <w:pStyle w:val="Heading4"/>
      </w:pPr>
      <w:r>
        <w:t>6. Interactions médicamenteuses</w:t>
      </w:r>
    </w:p>
    <w:p>
      <w:r>
        <w:t xml:space="preserve">La nutrition parentérale pédiatrique présente les mêmes interactions que chez l'adulte, avec quelques particularités néonatales : (1) </w:t>
      </w:r>
      <w:r>
        <w:rPr>
          <w:b/>
        </w:rPr>
        <w:t>incompatibilité physico-chimique avec de nombreux médicaments</w:t>
      </w:r>
      <w:r>
        <w:t xml:space="preserve"> — à l'exception de l'insuline régulière (compatible 24 heures à faible concentration), aucun médicament ne doit être ajouté à la poche de NP pédiatrique ; la ceftriaxone, l'amiodarone, le midazolam, le furosémide, la phénytoïne, le diazépam sont incompatibles ; (2) </w:t>
      </w:r>
      <w:r>
        <w:rPr>
          <w:b/>
        </w:rPr>
        <w:t>interaction avec l'indométacine</w:t>
      </w:r>
      <w:r>
        <w:t xml:space="preserve"> (utilisée pour fermer le canal artériel chez le prématuré) — majoration du risque d'insuffisance rénale, de thrombose, de NEC ; surveillance rapprochée de la diurèse, de la créatininémie, de l'hémogramme ; (3) </w:t>
      </w:r>
      <w:r>
        <w:rPr>
          <w:b/>
        </w:rPr>
        <w:t>interaction avec les diurétiques</w:t>
      </w:r>
      <w:r>
        <w:t xml:space="preserve"> (furosémide, hydrochlorothiazide) — majoration de la perte hydro-électrolytique (hypokaliémie, hyponatrémie, hypomagnésémie, hypercalciurie) ; (4) </w:t>
      </w:r>
      <w:r>
        <w:rPr>
          <w:b/>
        </w:rPr>
        <w:t>interaction avec les corticoïdes</w:t>
      </w:r>
      <w:r>
        <w:t xml:space="preserve"> (dexaméthasone, hydrocortisone) — majoration de l'hyperglycémie, de la rétention hydrosodée, de la catabolisme protéique, du risque d'hypertension artérielle ; (5) </w:t>
      </w:r>
      <w:r>
        <w:rPr>
          <w:b/>
        </w:rPr>
        <w:t>interaction avec les catécholamines</w:t>
      </w:r>
      <w:r>
        <w:t xml:space="preserve"> (noradrénaline, dopamine, dobutamine, adrénaline) — majoration de l'insulino-résistance et de l'hyperglycémie, surveillance glycémique horaire en cas de perfusion concomitante ; (6) </w:t>
      </w:r>
      <w:r>
        <w:rPr>
          <w:b/>
        </w:rPr>
        <w:t>interaction avec le propofol</w:t>
      </w:r>
      <w:r>
        <w:t xml:space="preserve"> (Diprivan) — risque de surcharge lipidique cumulée, limiter le propofol à 4 mg/kg/h pendant 48 heures maximum ; (7) </w:t>
      </w:r>
      <w:r>
        <w:rPr>
          <w:b/>
        </w:rPr>
        <w:t>interaction avec la caféine</w:t>
      </w:r>
      <w:r>
        <w:t xml:space="preserve"> (utilisée pour le traitement de l'apnée du prématuré) — peu d'interaction cliniquement significative mais surveillance du rythme cardiaque ; (8) </w:t>
      </w:r>
      <w:r>
        <w:rPr>
          <w:b/>
        </w:rPr>
        <w:t>interaction avec les inhibiteurs de la cyclo-oxygénase</w:t>
      </w:r>
      <w:r>
        <w:t xml:space="preserve"> (ibuprofène utilisé pour fermer le canal artériel) — majoration du risque d'insuffisance rénale et de saignement digestif.</w:t>
      </w:r>
    </w:p>
    <w:p>
      <w:pPr>
        <w:pStyle w:val="Heading4"/>
      </w:pPr>
      <w:r>
        <w:t>7. Grossesse et allaitement (CRAT)</w:t>
      </w:r>
    </w:p>
    <w:p>
      <w:r>
        <w:t xml:space="preserve">La nutrition parentérale pédiatrique s'adresse au nouveau-né et au nourrisson, et n'a donc pas d'application directe chez la femme enceinte. Cependant, deux situations particulières méritent d'être mentionnées : (1) </w:t>
      </w:r>
      <w:r>
        <w:rPr>
          <w:b/>
        </w:rPr>
        <w:t>femme enceinte nécessitant une NP pour dénutrition sévère ou occlusion</w:t>
      </w:r>
      <w:r>
        <w:t xml:space="preserve"> — les formulations pédiatriques peuvent être utilisées en complément des formulations adultes pour adapter l'apport glucidique et lipidique au métabolisme pregnancy-modifié ; la surveillance du fœtus (échographie, RAF, biométrie) est renforcée ; (2) </w:t>
      </w:r>
      <w:r>
        <w:rPr>
          <w:b/>
        </w:rPr>
        <w:t>femme allaitante nécessitant une NP</w:t>
      </w:r>
      <w:r>
        <w:t xml:space="preserve"> — la NP est compatible avec l'allaitement, mais les formulations pédiatriques (riches en lipides TLC/TCM) peuvent modifier le profil en acides gras du lait, ce qui peut être bénéfique pour le nourrisson (apport accru en ARA, DHA). La surveillance de la composition du lait (par analyse biochimique si disponible) et de la croissance du nourrisson allaité est recommandée.</w:t>
      </w:r>
    </w:p>
    <w:p>
      <w:r>
        <w:t>Chez le nouveau-né prématuré dont la mère a reçu une nutrition parentérale pendant la grossesse, une attention particulière est portée à l'évaluation nutritionnelle initiale (poids, taille, périmètre crânien, plis cutanés) et au démarrage précoce de la NP pédiatrique dès la 1re heure de vie si nécessaire (apport glucidique initial 4-6 mg/kg/min). La consultation d'un pédiatre-nutritionniste est systématique à J1, J7, J14, J28 et à chaque sortie d'hospitalisation.</w:t>
      </w:r>
    </w:p>
    <w:p>
      <w:pPr>
        <w:pStyle w:val="Heading4"/>
      </w:pPr>
      <w:r>
        <w:t>8. Posologie et mode d'administration</w:t>
      </w:r>
    </w:p>
    <w:p>
      <w:r>
        <w:t>La posologie de la nutrition parentérale pédiatrique suit les recommandations ESPGHAN 2018 (mises à jour 2023) :</w:t>
      </w:r>
    </w:p>
    <w:p>
      <w:r/>
      <w:r>
        <w:rPr>
          <w:b/>
        </w:rPr>
        <w:t>Apport énergétique total</w:t>
      </w:r>
      <w:r>
        <w:t xml:space="preserve"> :</w:t>
      </w:r>
    </w:p>
    <w:p>
      <w:pPr>
        <w:pStyle w:val="ListBullet"/>
      </w:pPr>
      <w:r>
        <w:t>Prématuré &lt; 1000 g : 110-130 kcal/kg/jour</w:t>
      </w:r>
    </w:p>
    <w:p>
      <w:pPr>
        <w:pStyle w:val="ListBullet"/>
      </w:pPr>
      <w:r>
        <w:t>Prématuré 1000-1500 g : 100-120 kcal/kg/jour</w:t>
      </w:r>
    </w:p>
    <w:p>
      <w:pPr>
        <w:pStyle w:val="ListBullet"/>
      </w:pPr>
      <w:r>
        <w:t>Nouveau-né à terme 0-1 mois : 100-120 kcal/kg/jour</w:t>
      </w:r>
    </w:p>
    <w:p>
      <w:pPr>
        <w:pStyle w:val="ListBullet"/>
      </w:pPr>
      <w:r>
        <w:t>Nourrisson 1-12 mois : 80-100 kcal/kg/jour</w:t>
      </w:r>
    </w:p>
    <w:p>
      <w:pPr>
        <w:pStyle w:val="ListBullet"/>
      </w:pPr>
      <w:r>
        <w:t>Enfant 1-2 ans : 80-90 kcal/kg/jour</w:t>
      </w:r>
    </w:p>
    <w:p>
      <w:r/>
      <w:r>
        <w:rPr>
          <w:b/>
        </w:rPr>
        <w:t>Répartition énergétique</w:t>
      </w:r>
      <w:r>
        <w:t xml:space="preserve"> :</w:t>
      </w:r>
    </w:p>
    <w:p>
      <w:pPr>
        <w:pStyle w:val="ListBullet"/>
      </w:pPr>
      <w:r>
        <w:t>Glucides : 50-60 % de l'apport énergétique total (apport 10-15 g/kg/jour chez le prématuré, 8-12 g/kg/jour chez le nourrisson)</w:t>
      </w:r>
    </w:p>
    <w:p>
      <w:pPr>
        <w:pStyle w:val="ListBullet"/>
      </w:pPr>
      <w:r>
        <w:t>Lipides : 30-40 % de l'apport énergétique total (apport 2-3 g/kg/jour chez le prématuré, 2-3 g/kg/jour chez le nourrisson)</w:t>
      </w:r>
    </w:p>
    <w:p>
      <w:pPr>
        <w:pStyle w:val="ListBullet"/>
      </w:pPr>
      <w:r>
        <w:t>Protéines : 8-12 % de l'apport énergétique total (apport 3-4 g/kg/jour chez le prématuré, 2-3 g/kg/jour chez le nourrisson)</w:t>
      </w:r>
    </w:p>
    <w:p>
      <w:r/>
      <w:r>
        <w:rPr>
          <w:b/>
        </w:rPr>
        <w:t>Apport hydrique</w:t>
      </w:r>
      <w:r>
        <w:t xml:space="preserve"> : 120-150 mL/kg/jour chez le prématuré, 100-130 mL/kg/jour chez le nouveau-né à terme, 80-100 mL/kg/jour chez le nourrisson.</w:t>
      </w:r>
    </w:p>
    <w:p>
      <w:r/>
      <w:r>
        <w:rPr>
          <w:b/>
        </w:rPr>
        <w:t>Choix de la poche NUMETZAH</w:t>
      </w:r>
      <w:r>
        <w:t xml:space="preserve"> :</w:t>
      </w:r>
    </w:p>
    <w:p>
      <w:pPr>
        <w:pStyle w:val="ListBullet"/>
      </w:pPr>
      <w:r>
        <w:t>NUMETZAH G13 % E (300 mL) — pour prématuré &lt; 1000 g ou nouveau-né &lt; 2 kg ; couvre 24 heures à 150 mL/kg/jour pour un poids de 2000 g</w:t>
      </w:r>
    </w:p>
    <w:p>
      <w:pPr>
        <w:pStyle w:val="ListBullet"/>
      </w:pPr>
      <w:r>
        <w:t>NUMETZAH G16 % E (500 mL) — pour nouveau-né 2-3 kg ; couvre 24 heures à 150 mL/kg/jour pour un poids de 3300 g</w:t>
      </w:r>
    </w:p>
    <w:p>
      <w:pPr>
        <w:pStyle w:val="ListBullet"/>
      </w:pPr>
      <w:r>
        <w:t>NUMETZAH G19 % E (1000 mL) — pour nourrisson 5-10 kg ; couvre 24 heures à 100-150 mL/kg/jour pour un poids de 6500-10000 g</w:t>
      </w:r>
    </w:p>
    <w:p>
      <w:r/>
      <w:r>
        <w:rPr>
          <w:b/>
        </w:rPr>
        <w:t>Mode d'administration</w:t>
      </w:r>
      <w:r>
        <w:t xml:space="preserve"> : strictement par voie veineuse centrale (cathéter ombilical veineux en urgence néonatale J0-J7, ou cathéter central de Broviac/Hickman posé chirurgicalement pour NP prolongée). Voie périphérique exceptionnelle pour les formulations binaires isotoniques (osmolarité &lt; 600 mOsm/L en néonatologie) ou pour des apports complémentaires de courte durée (&lt; 7 jours). Débit initial : 1 mL/h chez le prématuré &lt; 1000 g, augmenté progressivement par paliers de 0,5 mL/h toutes les 12-24 heures. Débit maximal : 60-80 mL/h en voie centrale. La perfusion est continue sur 24 heures chez le prématuré, ou cyclique sur 12-16 heures chez le nourrisson et le grand enfant en NPAD. Décroissance progressive (réduction du débit de 50 % sur 1 heure avant arrêt) pour prévenir l'hypoglycémie de rebond.</w:t>
      </w:r>
    </w:p>
    <w:p>
      <w:pPr>
        <w:pStyle w:val="Heading4"/>
      </w:pPr>
      <w:r>
        <w:t>9. Arbitrage et bénéfices des formes galéniques</w:t>
      </w:r>
    </w:p>
    <w:p>
      <w:r>
        <w:t xml:space="preserve">Les poches tricompartimentées pédiatriques NUMETZAH présentent les mêmes avantages que les formulations adultes (stabilité garantie, traçabilité, réduction des erreurs), avec des particularités pédiatriques : (1) </w:t>
      </w:r>
      <w:r>
        <w:rPr>
          <w:b/>
        </w:rPr>
        <w:t>adaptation au poids</w:t>
      </w:r>
      <w:r>
        <w:t xml:space="preserve"> — les trois tailles disponibles (300, 500, 1000 mL) couvrent la quasi-totalité des besoins du prématuré jusqu'au nourrisson ; (2) </w:t>
      </w:r>
      <w:r>
        <w:rPr>
          <w:b/>
        </w:rPr>
        <w:t>stabilité optimisée pour les faibles volumes</w:t>
      </w:r>
      <w:r>
        <w:t xml:space="preserve"> — la galénique des poches pédiatriques est spécifiquement étudiée pour maintenir la stabilité de l'émulsion lipidique dans des volumes réduits (les poches adultes ne peuvent pas être utilisées chez le prématuré en raison du risque d'erreur de dose) ; (3) </w:t>
      </w:r>
      <w:r>
        <w:rPr>
          <w:b/>
        </w:rPr>
        <w:t>composition adaptée</w:t>
      </w:r>
      <w:r>
        <w:t xml:space="preserve"> — le profil en acides aminés (taurine, cystéine, tyrosine, histidine), l'apport lipidique (TLC/TCM) et l'apport glucidique (50 %) sont optimisés pour le métabolisme immature.</w:t>
      </w:r>
    </w:p>
    <w:p>
      <w:r>
        <w:t xml:space="preserve">L'arbitrage entre les formulations pédiatriques se fait selon le poids de l'enfant et le contexte clinique : </w:t>
      </w:r>
      <w:r>
        <w:rPr>
          <w:b/>
        </w:rPr>
        <w:t>prématuré &lt; 1000 g</w:t>
      </w:r>
      <w:r>
        <w:t xml:space="preserve"> → NUMETZAH G13 % E (300 mL) avec apport adapté aux besoins élevés du prématuré ; </w:t>
      </w:r>
      <w:r>
        <w:rPr>
          <w:b/>
        </w:rPr>
        <w:t>nouveau-né à terme 2-3 kg</w:t>
      </w:r>
      <w:r>
        <w:t xml:space="preserve"> → NUMETZAH G16 % E (500 mL) avec ajustement du débit ; </w:t>
      </w:r>
      <w:r>
        <w:rPr>
          <w:b/>
        </w:rPr>
        <w:t>nourrisson 5-10 kg</w:t>
      </w:r>
      <w:r>
        <w:t xml:space="preserve"> → NUMETZAH G19 % E (1000 mL) avec calcul précis des kcal/kg/jour apportés ; </w:t>
      </w:r>
      <w:r>
        <w:rPr>
          <w:b/>
        </w:rPr>
        <w:t>enfant &gt; 10 kg</w:t>
      </w:r>
      <w:r>
        <w:t xml:space="preserve"> → relais vers les formulations adultes (Olimel N9E) avec adaptation du débit. Le pharmacien clinicien pédiatrique joue un rôle clé dans le choix de la formulation, en collaboration avec le pédiatre-nutritionniste et l'infirmière puéricultrice. Les additifs (vitamines, oligo-éléments, électrolytes supplémentaires) sont ajoutés extemporanément en pharmacie technique (USP 797 / ISO 5) selon les besoins individuels.</w:t>
      </w:r>
    </w:p>
    <w:p>
      <w:pPr>
        <w:pStyle w:val="Heading4"/>
      </w:pPr>
      <w:r>
        <w:t>10. Instructions et conseils aux parents</w:t>
      </w:r>
    </w:p>
    <w:p>
      <w:r>
        <w:t xml:space="preserve">L'éducation thérapeutique des parents d'un enfant en nutrition parentérale à domicile (NPAD pédiatrique) est essentielle et doit être structurée par une équipe pluridisciplinaire (pédiatre-nutritionniste, pharmacien clinicien, infirmière puéricultrice spécialisée, diététicienne pédiatrique). Les thèmes abordés sont : (1) </w:t>
      </w:r>
      <w:r>
        <w:rPr>
          <w:b/>
        </w:rPr>
        <w:t>hygiène stricte</w:t>
      </w:r>
      <w:r>
        <w:t xml:space="preserve"> — lavage des mains à la solution hydro-alcoolique avant toute manipulation, port de gants stériles à la connexion, désinfection du hub du cathéter au chlorhexidine alcoolique 2 % pendant 30 secondes (chez le prématuré &lt; 2 kg, préférer la chlorhexidine aqueuse pour éviter l'absorption cutanée d'alcool) ; (2) </w:t>
      </w:r>
      <w:r>
        <w:rPr>
          <w:b/>
        </w:rPr>
        <w:t>conservation des poches</w:t>
      </w:r>
      <w:r>
        <w:t xml:space="preserve"> — au réfrigérateur à 4 °C (2-8 °C) avant activation, à l'abri de la lumière, à température ambiante (15-25 °C) après activation pendant maximum 24 heures ; (3) </w:t>
      </w:r>
      <w:r>
        <w:rPr>
          <w:b/>
        </w:rPr>
        <w:t>activation de la poche</w:t>
      </w:r>
      <w:r>
        <w:t xml:space="preserve"> — rupture des soudures intercompartimentaires par pression manuelle douce, agitation lente jusqu'à obtention d'une émulsion homogène laiteuse (éviter les agitations violentes qui peuvent provoquer la rupture de l'émulsion) ; (4) </w:t>
      </w:r>
      <w:r>
        <w:rPr>
          <w:b/>
        </w:rPr>
        <w:t>vérification de l'intégrité</w:t>
      </w:r>
      <w:r>
        <w:t xml:space="preserve"> — absence de fissure, de fuite, de troubleur, de particules, de déphasage (séparation des lipides en couche huileuse visible en haut de la poche) ; (5) </w:t>
      </w:r>
      <w:r>
        <w:rPr>
          <w:b/>
        </w:rPr>
        <w:t>pose de la perfusion</w:t>
      </w:r>
      <w:r>
        <w:t xml:space="preserve"> — purge de la tubulure avant connexion, respect du débit prescrit par pompe péristaltique électrique (jamais en gravité chez l'enfant, risque de bolus accidentel), surveillance du point de ponction (rougeur, douleur, écoulement) ; (6) </w:t>
      </w:r>
      <w:r>
        <w:rPr>
          <w:b/>
        </w:rPr>
        <w:t>surveillance biologique</w:t>
      </w:r>
      <w:r>
        <w:t xml:space="preserve"> — glycémie capillaire 3-4 fois par jour, poids quotidien (perte ou prise &gt; 5 % en 24 heures = alerte), diurèse (comptage des mictions), température, fréquence respiratoire ; (7) </w:t>
      </w:r>
      <w:r>
        <w:rPr>
          <w:b/>
        </w:rPr>
        <w:t>signes d'alerte</w:t>
      </w:r>
      <w:r>
        <w:t xml:space="preserve"> — fièvre &gt; 38 °C, frissons, rougeur au point de ponction, dyspnée, troubles de la conscience, vomissements, diarrhée — consultation médicale en urgence ou contact du service de néonatologie ; (8) </w:t>
      </w:r>
      <w:r>
        <w:rPr>
          <w:b/>
        </w:rPr>
        <w:t>gestion des déchets</w:t>
      </w:r>
      <w:r>
        <w:t xml:space="preserve"> — élimination des poches et tubulures dans la filière DASRI, retour des poches non utilisées à la pharmacie à domicile.</w:t>
      </w:r>
    </w:p>
    <w:p>
      <w:r>
        <w:t>L'éducation thérapeutique est formalisée dans un livret spécifique remis aux parents (livret d'éducation thérapeutique NPAD pédiatrique), avec un programme de formation de 5 à 10 séances de 2 heures en milieu hospitalier avant le retour à domicile. Une évaluation des compétences (quiz, mise en situation pratique) est réalisée à la fin de la formation. Un suivi rapproché (consultation hebdomadaire le 1er mois, puis mensuelle) est assuré par le pédiatre-nutritionniste et le pharmacien clinicien.</w:t>
      </w:r>
    </w:p>
    <w:p>
      <w:pPr>
        <w:pStyle w:val="Heading4"/>
      </w:pPr>
      <w:r>
        <w:t>11. Notes, règles d'or et pièges au comptoir</w:t>
      </w:r>
    </w:p>
    <w:p>
      <w:r/>
      <w:r>
        <w:rPr>
          <w:b/>
        </w:rPr>
        <w:t>Règle d'or n°1</w:t>
      </w:r>
      <w:r>
        <w:t xml:space="preserve"> : la nutrition parentérale pédiatrique se perfuse EXCLUSIVEMENT par voie veineuse centrale, à l'exception des formulations binaires isotoniques (osmolarité &lt; 600 mOsm/L en néonatologie). La perfusion en voie périphérique d'une poche tricompartimentée à osmolarité &gt; 1000 mOsm/L provoque une phlébite chimique en moins de 12 heures et un risque de nécrose tissulaire chez le nouveau-né.</w:t>
      </w:r>
    </w:p>
    <w:p>
      <w:r/>
      <w:r>
        <w:rPr>
          <w:b/>
        </w:rPr>
        <w:t>Règle d'or n°2</w:t>
      </w:r>
      <w:r>
        <w:t xml:space="preserve"> : la prescription d'une NP pédiatrique doit TOUJOURS inclure l'apport en vitamines et oligo-éléments (Pédéléc, Cernevit pédiatrique). L'oubli de supplémentation vitaminique provoque en quelques semaines des carences sévères : carence en vitamine D (rickets du prématuré, ostéopénie), carence en vitamine K (hémorragie tardive du nourrisson), carence en vitamine E (anémie hémolytique du prématuré), carence en thiamine (cardiomyopathie du prématuré), carence en fer (anémie microcytaire du prématuré).</w:t>
      </w:r>
    </w:p>
    <w:p>
      <w:r/>
      <w:r>
        <w:rPr>
          <w:b/>
        </w:rPr>
        <w:t>Règle d'or n°3</w:t>
      </w:r>
      <w:r>
        <w:t xml:space="preserve"> : la décroissance de la NP pédiatrique doit être PROGRESSIVE (diminution du débit de 50 % sur 1 heure avant arrêt). L'arrêt brutal expose à une hypoglycémie de rebond sévère, particulièrement dangereuse chez le prématuré dont le cerveau est strictement glucodépendant.</w:t>
      </w:r>
    </w:p>
    <w:p>
      <w:r/>
      <w:r>
        <w:rPr>
          <w:b/>
        </w:rPr>
        <w:t>Piège n°1</w:t>
      </w:r>
      <w:r>
        <w:t xml:space="preserve"> : l'hyperglycémie néonatale. Le prématuré est insulinorésistant et tolère mal l'apport glucidique. Une glycémie &gt; 12 mmol/L majore le risque d'hémorragie intraventriculaire (par hyperosmolarité), de sepsis, de décès. Surveillance glycémie capillaire toutes les 6-12 heures, insuline IV si glycémie &gt; 10 mmol/L.</w:t>
      </w:r>
    </w:p>
    <w:p>
      <w:r/>
      <w:r>
        <w:rPr>
          <w:b/>
        </w:rPr>
        <w:t>Piège n°2</w:t>
      </w:r>
      <w:r>
        <w:t xml:space="preserve"> : la précipitation calcium-phosphate. En pédiatrie, le seuil de précipitation Ca × P est abaissé à 50 mmol²/L² (versus 72 mmol²/L² chez l'adulte) en raison de la composition des solutions et de l'immaturité métabolique. L'ajout excessif de calcium et de phosphate peut provoquer la formation de cristaux de phosphate de calcium insolubles, susceptibles d'emboliser la circulation pulmonaire. Calculer systématiquement le produit Ca × P avant ajout.</w:t>
      </w:r>
    </w:p>
    <w:p>
      <w:r/>
      <w:r>
        <w:rPr>
          <w:b/>
        </w:rPr>
        <w:t>Piège n°3</w:t>
      </w:r>
      <w:r>
        <w:t xml:space="preserve"> : la rupture de l'émulsion lipidique (</w:t>
      </w:r>
      <w:r>
        <w:rPr>
          <w:i/>
        </w:rPr>
        <w:t>cracking</w:t>
      </w:r>
      <w:r>
        <w:t>). En pédiatrie, l'émulsion est plus fragile en raison des faibles volumes et des concentrations élevées. L'ajout d'électrolytes divalents (calcium, magnésium) en excès, un pH trop bas (&lt; 5,0), une température trop élevée (&gt; 25 °C) ou une agitation violente à l'activation provoquent la rupture de l'émulsion. Vérifier visuellement l'homogénéité de l'émulsion avant perfusion (aspect laiteux uniforme, sans couche huileuse séparée).</w:t>
      </w:r>
    </w:p>
    <w:p>
      <w:r/>
      <w:r>
        <w:rPr>
          <w:b/>
        </w:rPr>
        <w:t>Piège n°4</w:t>
      </w:r>
      <w:r>
        <w:t xml:space="preserve"> : la confusion entre NUMETZAH G13, G16 et G19. Les trois spécialités ont la même composition (50 %/5,9 %/12,5 %) mais diffèrent par le volume total. Confusion possible à la dispensation — le pharmacien doit vérifier le poids de l'enfant et la taille de la poche prescrite (300, 500 ou 1000 mL).</w:t>
      </w:r>
    </w:p>
    <w:p>
      <w:r/>
      <w:r>
        <w:rPr>
          <w:b/>
        </w:rPr>
        <w:t>Piège n°5</w:t>
      </w:r>
      <w:r>
        <w:t xml:space="preserve"> : la cholestase PNALD. La nutrition parentérale &gt; 14 jours chez le prématuré expose à une cholestase intra-hépatique (PAL &gt; 5× LSN), pouvant évoluer vers la cirrhose biliaire et l'insuffisance hépatique terminale en l'absence de sevrage. Surveillance du bilan hépatique toutes les semaines.</w:t>
      </w:r>
    </w:p>
    <w:p>
      <w:r/>
      <w:r>
        <w:rPr>
          <w:b/>
        </w:rPr>
        <w:t>Piège n°6</w:t>
      </w:r>
      <w:r>
        <w:t xml:space="preserve"> : la coquille orthographique de la DCI. La nomenclature algérienne orthographie « ACIDE AMINES » (sans « s » final à acides) pour les formulations pédiatriques, alors que les formulations adultes sont orthographiées « ACIDES AMINES » (avec « s »). Cette coquille peut générer des erreurs de prescription et de dispensation si le système informatique ne dispose pas d'un contrôle orthographique. Le pharmacien doit être vigilant à la distinction entre les deux DCI.</w:t>
      </w:r>
    </w:p>
    <w:p>
      <w:r/>
      <w:r>
        <w:rPr>
          <w:b/>
        </w:rPr>
        <w:t>Piège n°7</w:t>
      </w:r>
      <w:r>
        <w:t xml:space="preserve"> : l'infection sur cathéter. Le prématuré est immunodéprimé et le risque d'infection sur cathéter (Staphylococcus epidermidis, Candida) est majeur. Toute fièvre &gt; 38 °C ou hypothermie &lt; 36 °C chez le nouveau-né sous NP doit faire suspecter une infection sur cathéter et nécessite des hémocultures quantitatives sur cathéter et en périphérique, et le retrait du cathéter si l'infection est confirmée.</w:t>
      </w:r>
    </w:p>
    <w:p>
      <w:pPr>
        <w:pStyle w:val="Heading4"/>
      </w:pPr>
      <w:r>
        <w:t>12. Tableau comparatif des formulations pédiatriques NUMETZAH</w:t>
      </w:r>
    </w:p>
    <w:tbl>
      <w:tblPr>
        <w:tblStyle w:val="LightGrid-Accent1"/>
        <w:tblW w:type="auto" w:w="0"/>
        <w:tblLayout w:type="autofit"/>
        <w:tblLook w:firstColumn="1" w:firstRow="1" w:lastColumn="0" w:lastRow="0" w:noHBand="0" w:noVBand="1" w:val="04A0"/>
      </w:tblPr>
      <w:tblGrid>
        <w:gridCol w:w="2078"/>
        <w:gridCol w:w="2078"/>
        <w:gridCol w:w="2078"/>
        <w:gridCol w:w="2078"/>
      </w:tblGrid>
      <w:tr>
        <w:tc>
          <w:tcPr>
            <w:tcW w:type="dxa" w:w="2078"/>
            <w:shd w:val="clear" w:color="auto" w:fill="F2F2F2"/>
          </w:tcPr>
          <w:p>
            <w:r>
              <w:rPr>
                <w:rFonts w:ascii="Times New Roman" w:hAnsi="Times New Roman"/>
                <w:b/>
                <w:sz w:val="20"/>
              </w:rPr>
              <w:t>Paramètre</w:t>
            </w:r>
          </w:p>
        </w:tc>
        <w:tc>
          <w:tcPr>
            <w:tcW w:type="dxa" w:w="2078"/>
            <w:shd w:val="clear" w:color="auto" w:fill="F2F2F2"/>
          </w:tcPr>
          <w:p>
            <w:r>
              <w:rPr>
                <w:rFonts w:ascii="Times New Roman" w:hAnsi="Times New Roman"/>
                <w:b/>
                <w:sz w:val="20"/>
              </w:rPr>
              <w:t>NUMETZAH G13 % E</w:t>
            </w:r>
          </w:p>
        </w:tc>
        <w:tc>
          <w:tcPr>
            <w:tcW w:type="dxa" w:w="2078"/>
            <w:shd w:val="clear" w:color="auto" w:fill="F2F2F2"/>
          </w:tcPr>
          <w:p>
            <w:r>
              <w:rPr>
                <w:rFonts w:ascii="Times New Roman" w:hAnsi="Times New Roman"/>
                <w:b/>
                <w:sz w:val="20"/>
              </w:rPr>
              <w:t>NUMETZAH G16 % E</w:t>
            </w:r>
          </w:p>
        </w:tc>
        <w:tc>
          <w:tcPr>
            <w:tcW w:type="dxa" w:w="2078"/>
            <w:shd w:val="clear" w:color="auto" w:fill="F2F2F2"/>
          </w:tcPr>
          <w:p>
            <w:r>
              <w:rPr>
                <w:rFonts w:ascii="Times New Roman" w:hAnsi="Times New Roman"/>
                <w:b/>
                <w:sz w:val="20"/>
              </w:rPr>
              <w:t>NUMETZAH G19 % E</w:t>
            </w:r>
          </w:p>
        </w:tc>
      </w:tr>
      <w:tr>
        <w:tc>
          <w:tcPr>
            <w:tcW w:type="dxa" w:w="2078"/>
          </w:tcPr>
          <w:p>
            <w:r>
              <w:rPr>
                <w:rFonts w:ascii="Times New Roman" w:hAnsi="Times New Roman"/>
                <w:sz w:val="20"/>
              </w:rPr>
              <w:t>**Volume poche**</w:t>
            </w:r>
          </w:p>
        </w:tc>
        <w:tc>
          <w:tcPr>
            <w:tcW w:type="dxa" w:w="2078"/>
          </w:tcPr>
          <w:p>
            <w:r>
              <w:rPr>
                <w:rFonts w:ascii="Times New Roman" w:hAnsi="Times New Roman"/>
                <w:sz w:val="20"/>
              </w:rPr>
              <w:t>300 mL</w:t>
            </w:r>
          </w:p>
        </w:tc>
        <w:tc>
          <w:tcPr>
            <w:tcW w:type="dxa" w:w="2078"/>
          </w:tcPr>
          <w:p>
            <w:r>
              <w:rPr>
                <w:rFonts w:ascii="Times New Roman" w:hAnsi="Times New Roman"/>
                <w:sz w:val="20"/>
              </w:rPr>
              <w:t>500 mL</w:t>
            </w:r>
          </w:p>
        </w:tc>
        <w:tc>
          <w:tcPr>
            <w:tcW w:type="dxa" w:w="2078"/>
          </w:tcPr>
          <w:p>
            <w:r>
              <w:rPr>
                <w:rFonts w:ascii="Times New Roman" w:hAnsi="Times New Roman"/>
                <w:sz w:val="20"/>
              </w:rPr>
              <w:t>1000 mL</w:t>
            </w:r>
          </w:p>
        </w:tc>
      </w:tr>
      <w:tr>
        <w:tc>
          <w:tcPr>
            <w:tcW w:type="dxa" w:w="2078"/>
          </w:tcPr>
          <w:p>
            <w:r>
              <w:rPr>
                <w:rFonts w:ascii="Times New Roman" w:hAnsi="Times New Roman"/>
                <w:sz w:val="20"/>
              </w:rPr>
              <w:t>**Compartiments**</w:t>
            </w:r>
          </w:p>
        </w:tc>
        <w:tc>
          <w:tcPr>
            <w:tcW w:type="dxa" w:w="2078"/>
          </w:tcPr>
          <w:p>
            <w:r>
              <w:rPr>
                <w:rFonts w:ascii="Times New Roman" w:hAnsi="Times New Roman"/>
                <w:sz w:val="20"/>
              </w:rPr>
              <w:t>80 + 160 + 60 mL</w:t>
            </w:r>
          </w:p>
        </w:tc>
        <w:tc>
          <w:tcPr>
            <w:tcW w:type="dxa" w:w="2078"/>
          </w:tcPr>
          <w:p>
            <w:r>
              <w:rPr>
                <w:rFonts w:ascii="Times New Roman" w:hAnsi="Times New Roman"/>
                <w:sz w:val="20"/>
              </w:rPr>
              <w:t>155 + 221 + 124 mL</w:t>
            </w:r>
          </w:p>
        </w:tc>
        <w:tc>
          <w:tcPr>
            <w:tcW w:type="dxa" w:w="2078"/>
          </w:tcPr>
          <w:p>
            <w:r>
              <w:rPr>
                <w:rFonts w:ascii="Times New Roman" w:hAnsi="Times New Roman"/>
                <w:sz w:val="20"/>
              </w:rPr>
              <w:t>383 + 392 + 225 mL</w:t>
            </w:r>
          </w:p>
        </w:tc>
      </w:tr>
      <w:tr>
        <w:tc>
          <w:tcPr>
            <w:tcW w:type="dxa" w:w="2078"/>
          </w:tcPr>
          <w:p>
            <w:r>
              <w:rPr>
                <w:rFonts w:ascii="Times New Roman" w:hAnsi="Times New Roman"/>
                <w:sz w:val="20"/>
              </w:rPr>
              <w:t>**Acides aminés %**</w:t>
            </w:r>
          </w:p>
        </w:tc>
        <w:tc>
          <w:tcPr>
            <w:tcW w:type="dxa" w:w="2078"/>
          </w:tcPr>
          <w:p>
            <w:r>
              <w:rPr>
                <w:rFonts w:ascii="Times New Roman" w:hAnsi="Times New Roman"/>
                <w:sz w:val="20"/>
              </w:rPr>
              <w:t>50 % (compartiment)</w:t>
            </w:r>
          </w:p>
        </w:tc>
        <w:tc>
          <w:tcPr>
            <w:tcW w:type="dxa" w:w="2078"/>
          </w:tcPr>
          <w:p>
            <w:r>
              <w:rPr>
                <w:rFonts w:ascii="Times New Roman" w:hAnsi="Times New Roman"/>
                <w:sz w:val="20"/>
              </w:rPr>
              <w:t>50 %</w:t>
            </w:r>
          </w:p>
        </w:tc>
        <w:tc>
          <w:tcPr>
            <w:tcW w:type="dxa" w:w="2078"/>
          </w:tcPr>
          <w:p>
            <w:r>
              <w:rPr>
                <w:rFonts w:ascii="Times New Roman" w:hAnsi="Times New Roman"/>
                <w:sz w:val="20"/>
              </w:rPr>
              <w:t>50 %</w:t>
            </w:r>
          </w:p>
        </w:tc>
      </w:tr>
      <w:tr>
        <w:tc>
          <w:tcPr>
            <w:tcW w:type="dxa" w:w="2078"/>
          </w:tcPr>
          <w:p>
            <w:r>
              <w:rPr>
                <w:rFonts w:ascii="Times New Roman" w:hAnsi="Times New Roman"/>
                <w:sz w:val="20"/>
              </w:rPr>
              <w:t>**Glucose %**</w:t>
            </w:r>
          </w:p>
        </w:tc>
        <w:tc>
          <w:tcPr>
            <w:tcW w:type="dxa" w:w="2078"/>
          </w:tcPr>
          <w:p>
            <w:r>
              <w:rPr>
                <w:rFonts w:ascii="Times New Roman" w:hAnsi="Times New Roman"/>
                <w:sz w:val="20"/>
              </w:rPr>
              <w:t>5,9 % (compartiment)</w:t>
            </w:r>
          </w:p>
        </w:tc>
        <w:tc>
          <w:tcPr>
            <w:tcW w:type="dxa" w:w="2078"/>
          </w:tcPr>
          <w:p>
            <w:r>
              <w:rPr>
                <w:rFonts w:ascii="Times New Roman" w:hAnsi="Times New Roman"/>
                <w:sz w:val="20"/>
              </w:rPr>
              <w:t>5,9 %</w:t>
            </w:r>
          </w:p>
        </w:tc>
        <w:tc>
          <w:tcPr>
            <w:tcW w:type="dxa" w:w="2078"/>
          </w:tcPr>
          <w:p>
            <w:r>
              <w:rPr>
                <w:rFonts w:ascii="Times New Roman" w:hAnsi="Times New Roman"/>
                <w:sz w:val="20"/>
              </w:rPr>
              <w:t>5,9 %</w:t>
            </w:r>
          </w:p>
        </w:tc>
      </w:tr>
      <w:tr>
        <w:tc>
          <w:tcPr>
            <w:tcW w:type="dxa" w:w="2078"/>
          </w:tcPr>
          <w:p>
            <w:r>
              <w:rPr>
                <w:rFonts w:ascii="Times New Roman" w:hAnsi="Times New Roman"/>
                <w:sz w:val="20"/>
              </w:rPr>
              <w:t>**Lipides %**</w:t>
            </w:r>
          </w:p>
        </w:tc>
        <w:tc>
          <w:tcPr>
            <w:tcW w:type="dxa" w:w="2078"/>
          </w:tcPr>
          <w:p>
            <w:r>
              <w:rPr>
                <w:rFonts w:ascii="Times New Roman" w:hAnsi="Times New Roman"/>
                <w:sz w:val="20"/>
              </w:rPr>
              <w:t>12,5 % (compartiment)</w:t>
            </w:r>
          </w:p>
        </w:tc>
        <w:tc>
          <w:tcPr>
            <w:tcW w:type="dxa" w:w="2078"/>
          </w:tcPr>
          <w:p>
            <w:r>
              <w:rPr>
                <w:rFonts w:ascii="Times New Roman" w:hAnsi="Times New Roman"/>
                <w:sz w:val="20"/>
              </w:rPr>
              <w:t>12,5 %</w:t>
            </w:r>
          </w:p>
        </w:tc>
        <w:tc>
          <w:tcPr>
            <w:tcW w:type="dxa" w:w="2078"/>
          </w:tcPr>
          <w:p>
            <w:r>
              <w:rPr>
                <w:rFonts w:ascii="Times New Roman" w:hAnsi="Times New Roman"/>
                <w:sz w:val="20"/>
              </w:rPr>
              <w:t>12,5 %</w:t>
            </w:r>
          </w:p>
        </w:tc>
      </w:tr>
      <w:tr>
        <w:tc>
          <w:tcPr>
            <w:tcW w:type="dxa" w:w="2078"/>
          </w:tcPr>
          <w:p>
            <w:r>
              <w:rPr>
                <w:rFonts w:ascii="Times New Roman" w:hAnsi="Times New Roman"/>
                <w:sz w:val="20"/>
              </w:rPr>
              <w:t>**Apport glucidique total**</w:t>
            </w:r>
          </w:p>
        </w:tc>
        <w:tc>
          <w:tcPr>
            <w:tcW w:type="dxa" w:w="2078"/>
          </w:tcPr>
          <w:p>
            <w:r>
              <w:rPr>
                <w:rFonts w:ascii="Times New Roman" w:hAnsi="Times New Roman"/>
                <w:sz w:val="20"/>
              </w:rPr>
              <w:t>~13 g/kg/j (prématuré 2 kg)</w:t>
            </w:r>
          </w:p>
        </w:tc>
        <w:tc>
          <w:tcPr>
            <w:tcW w:type="dxa" w:w="2078"/>
          </w:tcPr>
          <w:p>
            <w:r>
              <w:rPr>
                <w:rFonts w:ascii="Times New Roman" w:hAnsi="Times New Roman"/>
                <w:sz w:val="20"/>
              </w:rPr>
              <w:t>~16 g/kg/j (nourrisson 3 kg)</w:t>
            </w:r>
          </w:p>
        </w:tc>
        <w:tc>
          <w:tcPr>
            <w:tcW w:type="dxa" w:w="2078"/>
          </w:tcPr>
          <w:p>
            <w:r>
              <w:rPr>
                <w:rFonts w:ascii="Times New Roman" w:hAnsi="Times New Roman"/>
                <w:sz w:val="20"/>
              </w:rPr>
              <w:t>~19 g/kg/j (nourrisson 5 kg)</w:t>
            </w:r>
          </w:p>
        </w:tc>
      </w:tr>
      <w:tr>
        <w:tc>
          <w:tcPr>
            <w:tcW w:type="dxa" w:w="2078"/>
          </w:tcPr>
          <w:p>
            <w:r>
              <w:rPr>
                <w:rFonts w:ascii="Times New Roman" w:hAnsi="Times New Roman"/>
                <w:sz w:val="20"/>
              </w:rPr>
              <w:t>**Apport total kcal/L**</w:t>
            </w:r>
          </w:p>
        </w:tc>
        <w:tc>
          <w:tcPr>
            <w:tcW w:type="dxa" w:w="2078"/>
          </w:tcPr>
          <w:p>
            <w:r>
              <w:rPr>
                <w:rFonts w:ascii="Times New Roman" w:hAnsi="Times New Roman"/>
                <w:sz w:val="20"/>
              </w:rPr>
              <w:t>~580 kcal/L</w:t>
            </w:r>
          </w:p>
        </w:tc>
        <w:tc>
          <w:tcPr>
            <w:tcW w:type="dxa" w:w="2078"/>
          </w:tcPr>
          <w:p>
            <w:r>
              <w:rPr>
                <w:rFonts w:ascii="Times New Roman" w:hAnsi="Times New Roman"/>
                <w:sz w:val="20"/>
              </w:rPr>
              <w:t>~640 kcal/L</w:t>
            </w:r>
          </w:p>
        </w:tc>
        <w:tc>
          <w:tcPr>
            <w:tcW w:type="dxa" w:w="2078"/>
          </w:tcPr>
          <w:p>
            <w:r>
              <w:rPr>
                <w:rFonts w:ascii="Times New Roman" w:hAnsi="Times New Roman"/>
                <w:sz w:val="20"/>
              </w:rPr>
              <w:t>~720 kcal/L</w:t>
            </w:r>
          </w:p>
        </w:tc>
      </w:tr>
      <w:tr>
        <w:tc>
          <w:tcPr>
            <w:tcW w:type="dxa" w:w="2078"/>
          </w:tcPr>
          <w:p>
            <w:r>
              <w:rPr>
                <w:rFonts w:ascii="Times New Roman" w:hAnsi="Times New Roman"/>
                <w:sz w:val="20"/>
              </w:rPr>
              <w:t>**Poids patient cible**</w:t>
            </w:r>
          </w:p>
        </w:tc>
        <w:tc>
          <w:tcPr>
            <w:tcW w:type="dxa" w:w="2078"/>
          </w:tcPr>
          <w:p>
            <w:r>
              <w:rPr>
                <w:rFonts w:ascii="Times New Roman" w:hAnsi="Times New Roman"/>
                <w:sz w:val="20"/>
              </w:rPr>
              <w:t>Prématuré &lt; 1000 g ou NN &lt; 2 kg</w:t>
            </w:r>
          </w:p>
        </w:tc>
        <w:tc>
          <w:tcPr>
            <w:tcW w:type="dxa" w:w="2078"/>
          </w:tcPr>
          <w:p>
            <w:r>
              <w:rPr>
                <w:rFonts w:ascii="Times New Roman" w:hAnsi="Times New Roman"/>
                <w:sz w:val="20"/>
              </w:rPr>
              <w:t>NN 2-3 kg ou nourrisson &lt; 5 kg</w:t>
            </w:r>
          </w:p>
        </w:tc>
        <w:tc>
          <w:tcPr>
            <w:tcW w:type="dxa" w:w="2078"/>
          </w:tcPr>
          <w:p>
            <w:r>
              <w:rPr>
                <w:rFonts w:ascii="Times New Roman" w:hAnsi="Times New Roman"/>
                <w:sz w:val="20"/>
              </w:rPr>
              <w:t>Nourrisson 5-10 kg</w:t>
            </w:r>
          </w:p>
        </w:tc>
      </w:tr>
      <w:tr>
        <w:tc>
          <w:tcPr>
            <w:tcW w:type="dxa" w:w="2078"/>
          </w:tcPr>
          <w:p>
            <w:r>
              <w:rPr>
                <w:rFonts w:ascii="Times New Roman" w:hAnsi="Times New Roman"/>
                <w:sz w:val="20"/>
              </w:rPr>
              <w:t>**Source lipidique**</w:t>
            </w:r>
          </w:p>
        </w:tc>
        <w:tc>
          <w:tcPr>
            <w:tcW w:type="dxa" w:w="2078"/>
          </w:tcPr>
          <w:p>
            <w:r>
              <w:rPr>
                <w:rFonts w:ascii="Times New Roman" w:hAnsi="Times New Roman"/>
                <w:sz w:val="20"/>
              </w:rPr>
              <w:t>TLC/TCM 50/50</w:t>
            </w:r>
          </w:p>
        </w:tc>
        <w:tc>
          <w:tcPr>
            <w:tcW w:type="dxa" w:w="2078"/>
          </w:tcPr>
          <w:p>
            <w:r>
              <w:rPr>
                <w:rFonts w:ascii="Times New Roman" w:hAnsi="Times New Roman"/>
                <w:sz w:val="20"/>
              </w:rPr>
              <w:t>TLC/TCM 50/50</w:t>
            </w:r>
          </w:p>
        </w:tc>
        <w:tc>
          <w:tcPr>
            <w:tcW w:type="dxa" w:w="2078"/>
          </w:tcPr>
          <w:p>
            <w:r>
              <w:rPr>
                <w:rFonts w:ascii="Times New Roman" w:hAnsi="Times New Roman"/>
                <w:sz w:val="20"/>
              </w:rPr>
              <w:t>TLC/TCM 50/50</w:t>
            </w:r>
          </w:p>
        </w:tc>
      </w:tr>
      <w:tr>
        <w:tc>
          <w:tcPr>
            <w:tcW w:type="dxa" w:w="2078"/>
          </w:tcPr>
          <w:p>
            <w:r>
              <w:rPr>
                <w:rFonts w:ascii="Times New Roman" w:hAnsi="Times New Roman"/>
                <w:sz w:val="20"/>
              </w:rPr>
              <w:t>**Osmolarité (mOsm/L)**</w:t>
            </w:r>
          </w:p>
        </w:tc>
        <w:tc>
          <w:tcPr>
            <w:tcW w:type="dxa" w:w="2078"/>
          </w:tcPr>
          <w:p>
            <w:r>
              <w:rPr>
                <w:rFonts w:ascii="Times New Roman" w:hAnsi="Times New Roman"/>
                <w:sz w:val="20"/>
              </w:rPr>
              <w:t>~900</w:t>
            </w:r>
          </w:p>
        </w:tc>
        <w:tc>
          <w:tcPr>
            <w:tcW w:type="dxa" w:w="2078"/>
          </w:tcPr>
          <w:p>
            <w:r>
              <w:rPr>
                <w:rFonts w:ascii="Times New Roman" w:hAnsi="Times New Roman"/>
                <w:sz w:val="20"/>
              </w:rPr>
              <w:t>~1000</w:t>
            </w:r>
          </w:p>
        </w:tc>
        <w:tc>
          <w:tcPr>
            <w:tcW w:type="dxa" w:w="2078"/>
          </w:tcPr>
          <w:p>
            <w:r>
              <w:rPr>
                <w:rFonts w:ascii="Times New Roman" w:hAnsi="Times New Roman"/>
                <w:sz w:val="20"/>
              </w:rPr>
              <w:t>~1100</w:t>
            </w:r>
          </w:p>
        </w:tc>
      </w:tr>
      <w:tr>
        <w:tc>
          <w:tcPr>
            <w:tcW w:type="dxa" w:w="2078"/>
          </w:tcPr>
          <w:p>
            <w:r>
              <w:rPr>
                <w:rFonts w:ascii="Times New Roman" w:hAnsi="Times New Roman"/>
                <w:sz w:val="20"/>
              </w:rPr>
              <w:t>**pH**</w:t>
            </w:r>
          </w:p>
        </w:tc>
        <w:tc>
          <w:tcPr>
            <w:tcW w:type="dxa" w:w="2078"/>
          </w:tcPr>
          <w:p>
            <w:r>
              <w:rPr>
                <w:rFonts w:ascii="Times New Roman" w:hAnsi="Times New Roman"/>
                <w:sz w:val="20"/>
              </w:rPr>
              <w:t>5,5-6,5</w:t>
            </w:r>
          </w:p>
        </w:tc>
        <w:tc>
          <w:tcPr>
            <w:tcW w:type="dxa" w:w="2078"/>
          </w:tcPr>
          <w:p>
            <w:r>
              <w:rPr>
                <w:rFonts w:ascii="Times New Roman" w:hAnsi="Times New Roman"/>
                <w:sz w:val="20"/>
              </w:rPr>
              <w:t>5,5-6,5</w:t>
            </w:r>
          </w:p>
        </w:tc>
        <w:tc>
          <w:tcPr>
            <w:tcW w:type="dxa" w:w="2078"/>
          </w:tcPr>
          <w:p>
            <w:r>
              <w:rPr>
                <w:rFonts w:ascii="Times New Roman" w:hAnsi="Times New Roman"/>
                <w:sz w:val="20"/>
              </w:rPr>
              <w:t>5,5-6,5</w:t>
            </w:r>
          </w:p>
        </w:tc>
      </w:tr>
      <w:tr>
        <w:tc>
          <w:tcPr>
            <w:tcW w:type="dxa" w:w="2078"/>
          </w:tcPr>
          <w:p>
            <w:r>
              <w:rPr>
                <w:rFonts w:ascii="Times New Roman" w:hAnsi="Times New Roman"/>
                <w:sz w:val="20"/>
              </w:rPr>
              <w:t>**Stabilité**</w:t>
            </w:r>
          </w:p>
        </w:tc>
        <w:tc>
          <w:tcPr>
            <w:tcW w:type="dxa" w:w="2078"/>
          </w:tcPr>
          <w:p>
            <w:r>
              <w:rPr>
                <w:rFonts w:ascii="Times New Roman" w:hAnsi="Times New Roman"/>
                <w:sz w:val="20"/>
              </w:rPr>
              <w:t>12 mois à 2-25 °C</w:t>
            </w:r>
          </w:p>
        </w:tc>
        <w:tc>
          <w:tcPr>
            <w:tcW w:type="dxa" w:w="2078"/>
          </w:tcPr>
          <w:p>
            <w:r>
              <w:rPr>
                <w:rFonts w:ascii="Times New Roman" w:hAnsi="Times New Roman"/>
                <w:sz w:val="20"/>
              </w:rPr>
              <w:t>12 mois à 2-25 °C</w:t>
            </w:r>
          </w:p>
        </w:tc>
        <w:tc>
          <w:tcPr>
            <w:tcW w:type="dxa" w:w="2078"/>
          </w:tcPr>
          <w:p>
            <w:r>
              <w:rPr>
                <w:rFonts w:ascii="Times New Roman" w:hAnsi="Times New Roman"/>
                <w:sz w:val="20"/>
              </w:rPr>
              <w:t>12 mois à 2-25 °C</w:t>
            </w:r>
          </w:p>
        </w:tc>
      </w:tr>
      <w:tr>
        <w:tc>
          <w:tcPr>
            <w:tcW w:type="dxa" w:w="2078"/>
          </w:tcPr>
          <w:p>
            <w:r>
              <w:rPr>
                <w:rFonts w:ascii="Times New Roman" w:hAnsi="Times New Roman"/>
                <w:sz w:val="20"/>
              </w:rPr>
              <w:t>**Voie d'administration**</w:t>
            </w:r>
          </w:p>
        </w:tc>
        <w:tc>
          <w:tcPr>
            <w:tcW w:type="dxa" w:w="2078"/>
          </w:tcPr>
          <w:p>
            <w:r>
              <w:rPr>
                <w:rFonts w:ascii="Times New Roman" w:hAnsi="Times New Roman"/>
                <w:sz w:val="20"/>
              </w:rPr>
              <w:t>Centrale stricte</w:t>
            </w:r>
          </w:p>
        </w:tc>
        <w:tc>
          <w:tcPr>
            <w:tcW w:type="dxa" w:w="2078"/>
          </w:tcPr>
          <w:p>
            <w:r>
              <w:rPr>
                <w:rFonts w:ascii="Times New Roman" w:hAnsi="Times New Roman"/>
                <w:sz w:val="20"/>
              </w:rPr>
              <w:t>Centrale stricte</w:t>
            </w:r>
          </w:p>
        </w:tc>
        <w:tc>
          <w:tcPr>
            <w:tcW w:type="dxa" w:w="2078"/>
          </w:tcPr>
          <w:p>
            <w:r>
              <w:rPr>
                <w:rFonts w:ascii="Times New Roman" w:hAnsi="Times New Roman"/>
                <w:sz w:val="20"/>
              </w:rPr>
              <w:t>Centrale stricte</w:t>
            </w:r>
          </w:p>
        </w:tc>
      </w:tr>
      <w:tr>
        <w:tc>
          <w:tcPr>
            <w:tcW w:type="dxa" w:w="2078"/>
          </w:tcPr>
          <w:p>
            <w:r>
              <w:rPr>
                <w:rFonts w:ascii="Times New Roman" w:hAnsi="Times New Roman"/>
                <w:sz w:val="20"/>
              </w:rPr>
              <w:t>**Liste**</w:t>
            </w:r>
          </w:p>
        </w:tc>
        <w:tc>
          <w:tcPr>
            <w:tcW w:type="dxa" w:w="2078"/>
          </w:tcPr>
          <w:p>
            <w:r>
              <w:rPr>
                <w:rFonts w:ascii="Times New Roman" w:hAnsi="Times New Roman"/>
                <w:sz w:val="20"/>
              </w:rPr>
              <w:t>Liste I</w:t>
            </w:r>
          </w:p>
        </w:tc>
        <w:tc>
          <w:tcPr>
            <w:tcW w:type="dxa" w:w="2078"/>
          </w:tcPr>
          <w:p>
            <w:r>
              <w:rPr>
                <w:rFonts w:ascii="Times New Roman" w:hAnsi="Times New Roman"/>
                <w:sz w:val="20"/>
              </w:rPr>
              <w:t>Liste I</w:t>
            </w:r>
          </w:p>
        </w:tc>
        <w:tc>
          <w:tcPr>
            <w:tcW w:type="dxa" w:w="2078"/>
          </w:tcPr>
          <w:p>
            <w:r>
              <w:rPr>
                <w:rFonts w:ascii="Times New Roman" w:hAnsi="Times New Roman"/>
                <w:sz w:val="20"/>
              </w:rPr>
              <w:t>Liste I</w:t>
            </w:r>
          </w:p>
        </w:tc>
      </w:tr>
      <w:tr>
        <w:tc>
          <w:tcPr>
            <w:tcW w:type="dxa" w:w="2078"/>
          </w:tcPr>
          <w:p>
            <w:r>
              <w:rPr>
                <w:rFonts w:ascii="Times New Roman" w:hAnsi="Times New Roman"/>
                <w:sz w:val="20"/>
              </w:rPr>
              <w:t>**Statut**</w:t>
            </w:r>
          </w:p>
        </w:tc>
        <w:tc>
          <w:tcPr>
            <w:tcW w:type="dxa" w:w="2078"/>
          </w:tcPr>
          <w:p>
            <w:r>
              <w:rPr>
                <w:rFonts w:ascii="Times New Roman" w:hAnsi="Times New Roman"/>
                <w:sz w:val="20"/>
              </w:rPr>
              <w:t>Actif</w:t>
            </w:r>
          </w:p>
        </w:tc>
        <w:tc>
          <w:tcPr>
            <w:tcW w:type="dxa" w:w="2078"/>
          </w:tcPr>
          <w:p>
            <w:r>
              <w:rPr>
                <w:rFonts w:ascii="Times New Roman" w:hAnsi="Times New Roman"/>
                <w:sz w:val="20"/>
              </w:rPr>
              <w:t>Actif</w:t>
            </w:r>
          </w:p>
        </w:tc>
        <w:tc>
          <w:tcPr>
            <w:tcW w:type="dxa" w:w="2078"/>
          </w:tcPr>
          <w:p>
            <w:r>
              <w:rPr>
                <w:rFonts w:ascii="Times New Roman" w:hAnsi="Times New Roman"/>
                <w:sz w:val="20"/>
              </w:rPr>
              <w:t>Actif</w:t>
            </w:r>
          </w:p>
        </w:tc>
      </w:tr>
      <w:tr>
        <w:tc>
          <w:tcPr>
            <w:tcW w:type="dxa" w:w="2078"/>
          </w:tcPr>
          <w:p>
            <w:r>
              <w:rPr>
                <w:rFonts w:ascii="Times New Roman" w:hAnsi="Times New Roman"/>
                <w:sz w:val="20"/>
              </w:rPr>
              <w:t>**Laboratoire**</w:t>
            </w:r>
          </w:p>
        </w:tc>
        <w:tc>
          <w:tcPr>
            <w:tcW w:type="dxa" w:w="2078"/>
          </w:tcPr>
          <w:p>
            <w:r>
              <w:rPr>
                <w:rFonts w:ascii="Times New Roman" w:hAnsi="Times New Roman"/>
                <w:sz w:val="20"/>
              </w:rPr>
              <w:t>Baxter S.A.</w:t>
            </w:r>
          </w:p>
        </w:tc>
        <w:tc>
          <w:tcPr>
            <w:tcW w:type="dxa" w:w="2078"/>
          </w:tcPr>
          <w:p>
            <w:r>
              <w:rPr>
                <w:rFonts w:ascii="Times New Roman" w:hAnsi="Times New Roman"/>
                <w:sz w:val="20"/>
              </w:rPr>
              <w:t>Baxter S.A.</w:t>
            </w:r>
          </w:p>
        </w:tc>
        <w:tc>
          <w:tcPr>
            <w:tcW w:type="dxa" w:w="2078"/>
          </w:tcPr>
          <w:p>
            <w:r>
              <w:rPr>
                <w:rFonts w:ascii="Times New Roman" w:hAnsi="Times New Roman"/>
                <w:sz w:val="20"/>
              </w:rPr>
              <w:t>Baxter S.A.</w:t>
            </w:r>
          </w:p>
        </w:tc>
      </w:tr>
      <w:tr>
        <w:tc>
          <w:tcPr>
            <w:tcW w:type="dxa" w:w="2078"/>
          </w:tcPr>
          <w:p>
            <w:r>
              <w:rPr>
                <w:rFonts w:ascii="Times New Roman" w:hAnsi="Times New Roman"/>
                <w:sz w:val="20"/>
              </w:rPr>
              <w:t>**Piège majeur**</w:t>
            </w:r>
          </w:p>
        </w:tc>
        <w:tc>
          <w:tcPr>
            <w:tcW w:type="dxa" w:w="2078"/>
          </w:tcPr>
          <w:p>
            <w:r>
              <w:rPr>
                <w:rFonts w:ascii="Times New Roman" w:hAnsi="Times New Roman"/>
                <w:sz w:val="20"/>
              </w:rPr>
              <w:t>Hyperglycémie prématuré</w:t>
            </w:r>
          </w:p>
        </w:tc>
        <w:tc>
          <w:tcPr>
            <w:tcW w:type="dxa" w:w="2078"/>
          </w:tcPr>
          <w:p>
            <w:r>
              <w:rPr>
                <w:rFonts w:ascii="Times New Roman" w:hAnsi="Times New Roman"/>
                <w:sz w:val="20"/>
              </w:rPr>
              <w:t>Précipitation Ca × P</w:t>
            </w:r>
          </w:p>
        </w:tc>
        <w:tc>
          <w:tcPr>
            <w:tcW w:type="dxa" w:w="2078"/>
          </w:tcPr>
          <w:p>
            <w:r>
              <w:rPr>
                <w:rFonts w:ascii="Times New Roman" w:hAnsi="Times New Roman"/>
                <w:sz w:val="20"/>
              </w:rPr>
              <w:t>Cholestase PNALD</w:t>
            </w:r>
          </w:p>
        </w:tc>
      </w:tr>
    </w:tbl>
    <w:p/>
    <w:p>
      <w:pPr>
        <w:pStyle w:val="Heading3"/>
      </w:pPr>
      <w:r>
        <w:t>225.3 Synthèse pédagogique pour la pratique algérienne</w:t>
      </w:r>
    </w:p>
    <w:p>
      <w:r>
        <w:t xml:space="preserve">Les mélanges de nutrition parentérale tricompartimentée disponibles en Algérie — Oliclinomel, Periolimel, Olimel pour l'adulte, et NumetZah pour le pédiatrique — illustrent l'évolution moderne de la nutrition clinique vers des solutions standardisées, stables et sécurisées. Les messages clés à retenir pour la pratique algérienne sont les suivants : (1) la </w:t>
      </w:r>
      <w:r>
        <w:rPr>
          <w:b/>
        </w:rPr>
        <w:t>nutrition parentérale est réservée</w:t>
      </w:r>
      <w:r>
        <w:t xml:space="preserve"> aux patients dont le tube digestif est non fonctionnel ou insuffisant, conformément aux recommandations ESPEN 2023 — </w:t>
      </w:r>
      <w:r>
        <w:rPr>
          <w:i/>
        </w:rPr>
        <w:t>« if the gut works, use it »</w:t>
      </w:r>
      <w:r>
        <w:t xml:space="preserve"> — et ne doit pas se substituer à la nutrition entérale qui doit toujours être privilégiée ; (2) les </w:t>
      </w:r>
      <w:r>
        <w:rPr>
          <w:b/>
        </w:rPr>
        <w:t>poches tricompartimentées</w:t>
      </w:r>
      <w:r>
        <w:t xml:space="preserve"> (TCP) constituent le standard moderne de la nutrition parentérale complète, offrant stabilité garantie, traçabilité renforcée, réduction des erreurs de prescription et sécurité microbiologique, mais leur flexibilité limitée impose parfois des ajouts extemporanés d'électrolytes, vitamines ou oligo-éléments en pharmacie technique (ISO 5) ; (3) la </w:t>
      </w:r>
      <w:r>
        <w:rPr>
          <w:b/>
        </w:rPr>
        <w:t>voie veineuse centrale</w:t>
      </w:r>
      <w:r>
        <w:t xml:space="preserve"> est obligatoire pour la perfusion de mélanges ternaires à osmolarité élevée (&gt; 850 mOsm/L), avec un cathéter central tunnellisé (Broviac, Hickman) ou une chambre implantable (Port-a-Cath) pour la nutrition parentérale à domicile (NPAD) ; (4) la </w:t>
      </w:r>
      <w:r>
        <w:rPr>
          <w:b/>
        </w:rPr>
        <w:t>surveillance biologique</w:t>
      </w:r>
      <w:r>
        <w:t xml:space="preserve"> est essentielle : glycémie capillaire toutes les 4-6 heures en début de NP et chez le diabétique, ionogramme sanguin quotidien en début de NP puis 2 fois par semaine, bilan hépatique (ALAT, ASAT, PAL, GGT, bilirubine) mensuel, triglycéridémie toutes les 48-72 heures, albuminémie et bilan martial mensuel, calcémie et phosphorémie hebdomadaire ; (5) la </w:t>
      </w:r>
      <w:r>
        <w:rPr>
          <w:b/>
        </w:rPr>
        <w:t>prévention du syndrome de renutrition</w:t>
      </w:r>
      <w:r>
        <w:t xml:space="preserve"> est absolue chez le patient dénutri sévère (démarrer à 10 kcal/kg/jour, supplémenter en thiamine 200-300 mg IV, surveiller phosphore/potassium/magnésium quotidiennement pendant 7 jours) ; (6) la </w:t>
      </w:r>
      <w:r>
        <w:rPr>
          <w:b/>
        </w:rPr>
        <w:t>prévention de la cholestase PNALD</w:t>
      </w:r>
      <w:r>
        <w:t xml:space="preserve"> passe par la limitation de la durée de la NP (sevrage vers l'alimentation entérale dès que possible), l'utilisation d'émulsions lipidiques à base d'huile de poisson (Omégaven) ou mixtes (SMOF), le respect des cycles entéraux minimaux, et la surveillance mensuelle du bilan hépatique ; (7) la </w:t>
      </w:r>
      <w:r>
        <w:rPr>
          <w:b/>
        </w:rPr>
        <w:t>validation pharmaceutique de la prescription</w:t>
      </w:r>
      <w:r>
        <w:t xml:space="preserve"> est obligatoire avant dispensation : vérification de la compatibilité calcium-phosphate (produit Ca × P &lt; 72 mmol²/L² adulte, &lt; 50 mmol²/L² pédiatrie), vérification de l'osmolarité finale (calculatrice automatisée), vérification de la stabilité de l'émulsion (granulométrie laser &gt; 5 µm = anomalie), vérification des ajouts médicamenteux (insuline compatible, autres médicaments incompatibles).</w:t>
      </w:r>
    </w:p>
    <w:p>
      <w:r>
        <w:t>Pour la pratique algérienne, le pharmacien clinicien hospitalier doit maîtriser l'ensemble des formulations disponibles (six formulations adultes NUMETZAH et Oliclinomel/Olimel/Periolimel, trois formulations pédiatriques NUMETZAH), connaître les particularités de la NPAD (éducation thérapeutique structurée, suivi rapproché), et participer activement à la pharmacovigilance des émulsions lipidiques (déclaration obligatoire de tout effet indésirable grave — hypertriglycéridémie, cholestase, infection sur cathéter, syndrome de renutrition). La coopération entre le pharmacien clinicien, le médecin nutritionniste, l'infirmière spécialisée et le diététicien est indispensable pour optimiser la prise en charge nutritionnelle parentérale. La sensibilisation des médecins prescripteurs aux indications, contre-indications et précautions d'emploi de la NP, ainsi que la formation continue des pharmaciens à la validation pharmaceutique des prescriptions, sont essentielles pour réduire la iatrogénie et améliorer la sécurité de la nutrition parentérale en Algérie.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606060"/>
        <w:sz w:val="18"/>
      </w:rPr>
      <w:t xml:space="preserve">Page </w:t>
    </w:r>
    <w:r>
      <w:rPr>
        <w:rFonts w:ascii="Times New Roman" w:hAnsi="Times New Roman"/>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Times New Roman" w:hAnsi="Times New Roman"/>
        <w:i/>
        <w:color w:val="606060"/>
        <w:sz w:val="18"/>
      </w:rPr>
      <w:t>Livre Technique de Pharmacologie Clinique — Nutrition Artificielle, Solutions de Perfusion &amp; Dialyse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2E74B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