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i w:val="0"/>
          <w:color w:val="000000"/>
          <w:sz w:val="24"/>
        </w:rPr>
      </w:r>
    </w:p>
    <w:p>
      <w:pPr>
        <w:spacing w:after="240"/>
        <w:jc w:val="center"/>
      </w:pPr>
      <w:r>
        <w:rPr>
          <w:rFonts w:ascii="Calibri" w:hAnsi="Calibri"/>
          <w:b/>
          <w:i w:val="0"/>
          <w:color w:val="0B3D91"/>
          <w:sz w:val="72"/>
        </w:rPr>
        <w:t>LIVRE TECHNIQUE</w:t>
        <w:br/>
        <w:t>DE PHARMACOLOGIE CLINIQUE</w:t>
      </w:r>
    </w:p>
    <w:p>
      <w:pPr>
        <w:spacing w:before="240" w:after="120"/>
        <w:jc w:val="center"/>
      </w:pPr>
      <w:r>
        <w:rPr>
          <w:rFonts w:ascii="Calibri" w:hAnsi="Calibri"/>
          <w:b/>
          <w:i w:val="0"/>
          <w:color w:val="1F4E79"/>
          <w:sz w:val="56"/>
        </w:rPr>
        <w:t>ORL</w:t>
      </w:r>
    </w:p>
    <w:p>
      <w:pPr>
        <w:jc w:val="center"/>
      </w:pPr>
      <w:r>
        <w:rPr>
          <w:rFonts w:ascii="Calibri" w:hAnsi="Calibri"/>
          <w:b w:val="0"/>
          <w:i/>
          <w:color w:val="606060"/>
          <w:sz w:val="36"/>
        </w:rPr>
        <w:t>(Oto-Rhino-Laryngologie)</w:t>
      </w:r>
    </w:p>
    <w:p>
      <w:pPr>
        <w:jc w:val="center"/>
      </w:pPr>
      <w:r>
        <w:rPr>
          <w:rFonts w:ascii="Calibri" w:hAnsi="Calibri"/>
          <w:b w:val="0"/>
          <w:i/>
          <w:color w:val="606060"/>
          <w:sz w:val="40"/>
        </w:rPr>
        <w:t>en Algérie</w:t>
      </w:r>
    </w:p>
    <w:p>
      <w:pPr>
        <w:spacing w:before="400" w:after="400"/>
        <w:jc w:val="center"/>
      </w:pPr>
      <w:r>
        <w:rPr>
          <w:rFonts w:ascii="Calibri" w:hAnsi="Calibri"/>
          <w:b/>
          <w:i w:val="0"/>
          <w:color w:val="0B3D91"/>
          <w:sz w:val="28"/>
        </w:rPr>
        <w:t>━━━━━━━━━━━━━━━━━━━━━━━━━━━━━━</w:t>
      </w:r>
    </w:p>
    <w:p>
      <w:pPr>
        <w:jc w:val="center"/>
      </w:pPr>
      <w:r>
        <w:rPr>
          <w:rFonts w:ascii="Calibri" w:hAnsi="Calibri"/>
          <w:b/>
          <w:i w:val="0"/>
          <w:color w:val="1F4E79"/>
          <w:sz w:val="36"/>
        </w:rPr>
        <w:t>Fascicule XIV</w:t>
      </w:r>
    </w:p>
    <w:p>
      <w:pPr>
        <w:jc w:val="center"/>
      </w:pPr>
      <w:r>
        <w:rPr>
          <w:rFonts w:ascii="Calibri" w:hAnsi="Calibri"/>
          <w:b w:val="0"/>
          <w:i/>
          <w:color w:val="606060"/>
          <w:sz w:val="28"/>
        </w:rPr>
        <w:t>ORL (Oto-Rhino-Laryngologie)</w:t>
      </w:r>
    </w:p>
    <w:p>
      <w:pPr>
        <w:spacing w:before="1600"/>
        <w:jc w:val="center"/>
      </w:pPr>
      <w:r>
        <w:rPr>
          <w:rFonts w:ascii="Calibri" w:hAnsi="Calibri"/>
          <w:b/>
          <w:i w:val="0"/>
          <w:color w:val="000000"/>
          <w:sz w:val="24"/>
        </w:rPr>
      </w:r>
    </w:p>
    <w:p>
      <w:pPr>
        <w:jc w:val="center"/>
      </w:pPr>
      <w:r>
        <w:rPr>
          <w:rFonts w:ascii="Calibri" w:hAnsi="Calibri"/>
          <w:b w:val="0"/>
          <w:i w:val="0"/>
          <w:color w:val="404040"/>
          <w:sz w:val="24"/>
        </w:rPr>
        <w:t>Manuel académique et pratique pour étudiants en pharmacie d'officine</w:t>
      </w:r>
    </w:p>
    <w:p>
      <w:pPr>
        <w:jc w:val="center"/>
      </w:pPr>
      <w:r>
        <w:rPr>
          <w:rFonts w:ascii="Calibri" w:hAnsi="Calibri"/>
          <w:b w:val="0"/>
          <w:i/>
          <w:color w:val="606060"/>
          <w:sz w:val="22"/>
        </w:rPr>
        <w:t>Basé sur la nomenclature officielle des médicaments enregistrés en Algérie (Avril 2026)</w:t>
      </w:r>
    </w:p>
    <w:p>
      <w:pPr>
        <w:spacing w:before="1200"/>
        <w:jc w:val="center"/>
      </w:pPr>
      <w:r>
        <w:rPr>
          <w:rFonts w:ascii="Calibri" w:hAnsi="Calibri"/>
          <w:b/>
          <w:i w:val="0"/>
          <w:color w:val="000000"/>
          <w:sz w:val="24"/>
        </w:rPr>
      </w:r>
    </w:p>
    <w:p>
      <w:pPr>
        <w:jc w:val="center"/>
      </w:pPr>
      <w:r>
        <w:rPr>
          <w:rFonts w:ascii="Calibri" w:hAnsi="Calibri"/>
          <w:b/>
          <w:i w:val="0"/>
          <w:color w:val="0B3D91"/>
          <w:sz w:val="22"/>
        </w:rPr>
        <w:t>29 DCI traitées  •  300+ spécialités commerciales  •  5 chapitres thématiques</w:t>
      </w:r>
    </w:p>
    <w:p>
      <w:pPr>
        <w:spacing w:before="1600"/>
        <w:jc w:val="center"/>
      </w:pPr>
      <w:r>
        <w:rPr>
          <w:rFonts w:ascii="Calibri" w:hAnsi="Calibri"/>
          <w:b/>
          <w:i w:val="0"/>
          <w:color w:val="000000"/>
          <w:sz w:val="24"/>
        </w:rPr>
      </w:r>
    </w:p>
    <w:p>
      <w:pPr>
        <w:jc w:val="center"/>
      </w:pPr>
      <w:r>
        <w:rPr>
          <w:rFonts w:ascii="Calibri" w:hAnsi="Calibri"/>
          <w:b/>
          <w:i w:val="0"/>
          <w:color w:val="404040"/>
          <w:sz w:val="28"/>
        </w:rPr>
        <w:t>Édition Août 2026</w:t>
      </w:r>
    </w:p>
    <w:p>
      <w:pPr>
        <w:jc w:val="center"/>
      </w:pPr>
      <w:r>
        <w:rPr>
          <w:rFonts w:ascii="Calibri" w:hAnsi="Calibri"/>
          <w:b w:val="0"/>
          <w:i/>
          <w:color w:val="808080"/>
          <w:sz w:val="18"/>
        </w:rPr>
        <w:t>Sources : VIDAL • ANSM • Thériaque • CRAT • SFORL • ARIA • UpToDate • Micromedex</w:t>
      </w:r>
    </w:p>
    <w:p>
      <w:r>
        <w:br w:type="page"/>
      </w:r>
    </w:p>
    <w:p>
      <w:pPr>
        <w:pStyle w:val="Heading1"/>
      </w:pPr>
      <w:r>
        <w:rPr>
          <w:color w:val="0B3D91"/>
        </w:rPr>
        <w:t>Table des matières</w:t>
      </w:r>
    </w:p>
    <w:p>
      <w:r>
        <w:fldChar w:fldCharType="begin"/>
        <w:instrText xml:space="preserve">TOC \o "1-3" \h \z \u</w:instrText>
        <w:fldChar w:fldCharType="separate"/>
        <w:t>Mettre à jour le TOC (F9)</w:t>
        <w:fldChar w:fldCharType="end"/>
      </w:r>
    </w:p>
    <w:p>
      <w:r>
        <w:br w:type="page"/>
      </w:r>
    </w:p>
    <w:p>
      <w:pPr>
        <w:pStyle w:val="Heading2"/>
      </w:pPr>
      <w:r>
        <w:t>Fascicule XIV : ORL (Oto-Rhino-Laryngologie)</w:t>
      </w:r>
    </w:p>
    <w:p>
      <w:pPr>
        <w:pStyle w:val="Heading2"/>
      </w:pPr>
      <w:r>
        <w:t>Avant-propos et méthodologie du Fascicule XIV</w:t>
      </w:r>
    </w:p>
    <w:p>
      <w:pPr>
        <w:pStyle w:val="Heading3"/>
      </w:pPr>
      <w:r>
        <w:t>1. Objet du fascicule</w:t>
      </w:r>
    </w:p>
    <w:p>
      <w:r>
        <w:t>Le présent fascicule constitue le quatorzième volet du traité technique de pharmacologie clinique destiné aux étudiants en pharmacie d'officine et aux praticiens exerçant sur le territoire algérien. Il poursuit la démarche engagée dans les Fascicules I-XIII en traitant de manière exhaustive les classes thérapeutiques ORL (oto-rhino-laryngologie) enregistrées auprès du Ministère de la Santé algérien.</w:t>
      </w:r>
    </w:p>
    <w:p>
      <w:r>
        <w:t xml:space="preserve">La base réglementaire de référence utilisée est le fichier officiel </w:t>
      </w:r>
      <w:r>
        <w:rPr>
          <w:b/>
        </w:rPr>
        <w:t>« COMPLETE LISTE.xlsx »</w:t>
      </w:r>
      <w:r>
        <w:t xml:space="preserve"> (nomenclature algérienne Avril 2026).</w:t>
      </w:r>
    </w:p>
    <w:p>
      <w:pPr>
        <w:pStyle w:val="Heading3"/>
      </w:pPr>
      <w:r>
        <w:t>2. Contexte épidémiologique algérien</w:t>
      </w:r>
    </w:p>
    <w:p>
      <w:r>
        <w:t>Les pathologies ORL représentent un motif très fréquent de consultation en pharmacie d'officine et en médecine générale en Algérie :</w:t>
      </w:r>
    </w:p>
    <w:p>
      <w:pPr>
        <w:pStyle w:val="ListBullet"/>
      </w:pPr>
      <w:r/>
      <w:r>
        <w:rPr>
          <w:b/>
        </w:rPr>
        <w:t>Rhinites allergiques</w:t>
      </w:r>
      <w:r>
        <w:t xml:space="preserve"> : 15-25 % de la population, particulièrement au printemps (pollens)</w:t>
      </w:r>
    </w:p>
    <w:p>
      <w:pPr>
        <w:pStyle w:val="ListBullet"/>
      </w:pPr>
      <w:r/>
      <w:r>
        <w:rPr>
          <w:b/>
        </w:rPr>
        <w:t>Otitis media</w:t>
      </w:r>
      <w:r>
        <w:t xml:space="preserve"> : particulièrement fréquente chez l'enfant (75 % des enfants &lt; 3 ans)</w:t>
      </w:r>
    </w:p>
    <w:p>
      <w:pPr>
        <w:pStyle w:val="ListBullet"/>
      </w:pPr>
      <w:r/>
      <w:r>
        <w:rPr>
          <w:b/>
        </w:rPr>
        <w:t>Rhinites virales / coryza</w:t>
      </w:r>
      <w:r>
        <w:t xml:space="preserve"> : extrêmement fréquentes en automne-hiver</w:t>
      </w:r>
    </w:p>
    <w:p>
      <w:pPr>
        <w:pStyle w:val="ListBullet"/>
      </w:pPr>
      <w:r/>
      <w:r>
        <w:rPr>
          <w:b/>
        </w:rPr>
        <w:t>Angines/amygdalites</w:t>
      </w:r>
      <w:r>
        <w:t xml:space="preserve"> : motif fréquent de consultation</w:t>
      </w:r>
    </w:p>
    <w:p>
      <w:pPr>
        <w:pStyle w:val="ListBullet"/>
      </w:pPr>
      <w:r/>
      <w:r>
        <w:rPr>
          <w:b/>
        </w:rPr>
        <w:t>Sinusites</w:t>
      </w:r>
      <w:r>
        <w:t xml:space="preserve"> : 5-10 % des infections respiratoires hautes</w:t>
      </w:r>
    </w:p>
    <w:p>
      <w:pPr>
        <w:pStyle w:val="ListBullet"/>
      </w:pPr>
      <w:r/>
      <w:r>
        <w:rPr>
          <w:b/>
        </w:rPr>
        <w:t>Tabagisme</w:t>
      </w:r>
      <w:r>
        <w:t xml:space="preserve"> : 30 % des hommes algériens → sevrage tabagique</w:t>
      </w:r>
    </w:p>
    <w:p>
      <w:pPr>
        <w:pStyle w:val="Heading3"/>
      </w:pPr>
      <w:r>
        <w:t>3. Périmètre de ce fascicule</w:t>
      </w:r>
    </w:p>
    <w:p>
      <w:r>
        <w:t xml:space="preserve">Ce fascicule couvre </w:t>
      </w:r>
      <w:r>
        <w:rPr>
          <w:b/>
        </w:rPr>
        <w:t>29 DCI</w:t>
      </w:r>
      <w:r>
        <w:t xml:space="preserve"> réparties sur </w:t>
      </w:r>
      <w:r>
        <w:rPr>
          <w:b/>
        </w:rPr>
        <w:t>21 sous-classes</w:t>
      </w:r>
      <w:r>
        <w:t xml:space="preserve"> pharmacologiques :</w:t>
      </w:r>
    </w:p>
    <w:p>
      <w:pPr>
        <w:pStyle w:val="ListNumber"/>
      </w:pPr>
      <w:r>
        <w:t>Otologie - Antiseptiques, antibiotiques et anesthésiques otiques (8 DCI)</w:t>
      </w:r>
    </w:p>
    <w:p>
      <w:pPr>
        <w:pStyle w:val="ListNumber"/>
      </w:pPr>
      <w:r>
        <w:t>Rhinologie - Vasoconstricteurs et anticholinergiques nasaux (6 DCI)</w:t>
      </w:r>
    </w:p>
    <w:p>
      <w:pPr>
        <w:pStyle w:val="ListNumber"/>
      </w:pPr>
      <w:r>
        <w:t>Rhinologie - Corticoïdes et antihistaminiques nasaux (6 DCI)</w:t>
      </w:r>
    </w:p>
    <w:p>
      <w:pPr>
        <w:pStyle w:val="ListNumber"/>
      </w:pPr>
      <w:r>
        <w:t>Laryngologie - Antiseptiques, anesthésiques et anti-inflammatoires buccaux (6 DCI)</w:t>
      </w:r>
    </w:p>
    <w:p>
      <w:pPr>
        <w:pStyle w:val="ListNumber"/>
      </w:pPr>
      <w:r>
        <w:t>ORL divers - Lavage nasal, sevrage tabagique, sialagogues (3 DCI)</w:t>
      </w:r>
    </w:p>
    <w:p>
      <w:pPr>
        <w:pStyle w:val="Heading2"/>
      </w:pPr>
      <w:r>
        <w:t>Sommaire général du Fascicule XIV</w:t>
      </w:r>
    </w:p>
    <w:tbl>
      <w:tblPr>
        <w:tblStyle w:val="LightGrid-Accent1"/>
        <w:tblW w:type="auto" w:w="0"/>
        <w:tblLook w:firstColumn="1" w:firstRow="1" w:lastColumn="0" w:lastRow="0" w:noHBand="0" w:noVBand="1" w:val="04A0"/>
      </w:tblPr>
      <w:tblGrid>
        <w:gridCol w:w="3118"/>
        <w:gridCol w:w="3118"/>
        <w:gridCol w:w="3118"/>
      </w:tblGrid>
      <w:tr>
        <w:tc>
          <w:tcPr>
            <w:tcW w:type="dxa" w:w="3118"/>
          </w:tcPr>
          <w:p>
            <w:r>
              <w:rPr>
                <w:b/>
                <w:sz w:val="20"/>
              </w:rPr>
              <w:t>Chapitre</w:t>
            </w:r>
          </w:p>
        </w:tc>
        <w:tc>
          <w:tcPr>
            <w:tcW w:type="dxa" w:w="3118"/>
          </w:tcPr>
          <w:p>
            <w:r>
              <w:rPr>
                <w:b/>
                <w:sz w:val="20"/>
              </w:rPr>
              <w:t>Sous-classes traitées</w:t>
            </w:r>
          </w:p>
        </w:tc>
        <w:tc>
          <w:tcPr>
            <w:tcW w:type="dxa" w:w="3118"/>
          </w:tcPr>
          <w:p>
            <w:r>
              <w:rPr>
                <w:b/>
                <w:sz w:val="20"/>
              </w:rPr>
              <w:t>Nombre de DCI</w:t>
            </w:r>
          </w:p>
        </w:tc>
      </w:tr>
      <w:tr>
        <w:tc>
          <w:tcPr>
            <w:tcW w:type="dxa" w:w="3118"/>
          </w:tcPr>
          <w:p>
            <w:r>
              <w:rPr>
                <w:sz w:val="20"/>
              </w:rPr>
              <w:t>131</w:t>
            </w:r>
          </w:p>
        </w:tc>
        <w:tc>
          <w:tcPr>
            <w:tcW w:type="dxa" w:w="3118"/>
          </w:tcPr>
          <w:p>
            <w:r>
              <w:rPr>
                <w:sz w:val="20"/>
              </w:rPr>
              <w:t>Otologie - Antiseptiques, antibiotiques et anesthésiques otiques</w:t>
            </w:r>
          </w:p>
        </w:tc>
        <w:tc>
          <w:tcPr>
            <w:tcW w:type="dxa" w:w="3118"/>
          </w:tcPr>
          <w:p>
            <w:r>
              <w:rPr>
                <w:sz w:val="20"/>
              </w:rPr>
              <w:t>8</w:t>
            </w:r>
          </w:p>
        </w:tc>
      </w:tr>
      <w:tr>
        <w:tc>
          <w:tcPr>
            <w:tcW w:type="dxa" w:w="3118"/>
          </w:tcPr>
          <w:p>
            <w:r>
              <w:rPr>
                <w:sz w:val="20"/>
              </w:rPr>
              <w:t>132</w:t>
            </w:r>
          </w:p>
        </w:tc>
        <w:tc>
          <w:tcPr>
            <w:tcW w:type="dxa" w:w="3118"/>
          </w:tcPr>
          <w:p>
            <w:r>
              <w:rPr>
                <w:sz w:val="20"/>
              </w:rPr>
              <w:t>Rhinologie - Vasoconstricteurs et anticholinergiques nasaux</w:t>
            </w:r>
          </w:p>
        </w:tc>
        <w:tc>
          <w:tcPr>
            <w:tcW w:type="dxa" w:w="3118"/>
          </w:tcPr>
          <w:p>
            <w:r>
              <w:rPr>
                <w:sz w:val="20"/>
              </w:rPr>
              <w:t>6</w:t>
            </w:r>
          </w:p>
        </w:tc>
      </w:tr>
      <w:tr>
        <w:tc>
          <w:tcPr>
            <w:tcW w:type="dxa" w:w="3118"/>
          </w:tcPr>
          <w:p>
            <w:r>
              <w:rPr>
                <w:sz w:val="20"/>
              </w:rPr>
              <w:t>133</w:t>
            </w:r>
          </w:p>
        </w:tc>
        <w:tc>
          <w:tcPr>
            <w:tcW w:type="dxa" w:w="3118"/>
          </w:tcPr>
          <w:p>
            <w:r>
              <w:rPr>
                <w:sz w:val="20"/>
              </w:rPr>
              <w:t>Rhinologie - Corticoïdes et antihistaminiques nasaux</w:t>
            </w:r>
          </w:p>
        </w:tc>
        <w:tc>
          <w:tcPr>
            <w:tcW w:type="dxa" w:w="3118"/>
          </w:tcPr>
          <w:p>
            <w:r>
              <w:rPr>
                <w:sz w:val="20"/>
              </w:rPr>
              <w:t>6</w:t>
            </w:r>
          </w:p>
        </w:tc>
      </w:tr>
      <w:tr>
        <w:tc>
          <w:tcPr>
            <w:tcW w:type="dxa" w:w="3118"/>
          </w:tcPr>
          <w:p>
            <w:r>
              <w:rPr>
                <w:sz w:val="20"/>
              </w:rPr>
              <w:t>134</w:t>
            </w:r>
          </w:p>
        </w:tc>
        <w:tc>
          <w:tcPr>
            <w:tcW w:type="dxa" w:w="3118"/>
          </w:tcPr>
          <w:p>
            <w:r>
              <w:rPr>
                <w:sz w:val="20"/>
              </w:rPr>
              <w:t>Laryngologie - Antiseptiques, anesthésiques et anti-inflammatoires buccaux</w:t>
            </w:r>
          </w:p>
        </w:tc>
        <w:tc>
          <w:tcPr>
            <w:tcW w:type="dxa" w:w="3118"/>
          </w:tcPr>
          <w:p>
            <w:r>
              <w:rPr>
                <w:sz w:val="20"/>
              </w:rPr>
              <w:t>6</w:t>
            </w:r>
          </w:p>
        </w:tc>
      </w:tr>
      <w:tr>
        <w:tc>
          <w:tcPr>
            <w:tcW w:type="dxa" w:w="3118"/>
          </w:tcPr>
          <w:p>
            <w:r>
              <w:rPr>
                <w:sz w:val="20"/>
              </w:rPr>
              <w:t>135</w:t>
            </w:r>
          </w:p>
        </w:tc>
        <w:tc>
          <w:tcPr>
            <w:tcW w:type="dxa" w:w="3118"/>
          </w:tcPr>
          <w:p>
            <w:r>
              <w:rPr>
                <w:sz w:val="20"/>
              </w:rPr>
              <w:t>ORL divers - Lavage nasal, sevrage tabagique, sialagogues</w:t>
            </w:r>
          </w:p>
        </w:tc>
        <w:tc>
          <w:tcPr>
            <w:tcW w:type="dxa" w:w="3118"/>
          </w:tcPr>
          <w:p>
            <w:r>
              <w:rPr>
                <w:sz w:val="20"/>
              </w:rPr>
              <w:t>3</w:t>
            </w:r>
          </w:p>
        </w:tc>
      </w:tr>
      <w:tr>
        <w:tc>
          <w:tcPr>
            <w:tcW w:type="dxa" w:w="3118"/>
          </w:tcPr>
          <w:p>
            <w:r>
              <w:rPr>
                <w:sz w:val="20"/>
              </w:rPr>
              <w:t>**Total**</w:t>
            </w:r>
          </w:p>
        </w:tc>
        <w:tc>
          <w:tcPr>
            <w:tcW w:type="dxa" w:w="3118"/>
          </w:tcPr>
          <w:p>
            <w:r>
              <w:rPr>
                <w:sz w:val="20"/>
              </w:rPr>
            </w:r>
          </w:p>
        </w:tc>
        <w:tc>
          <w:tcPr>
            <w:tcW w:type="dxa" w:w="3118"/>
          </w:tcPr>
          <w:p>
            <w:r>
              <w:rPr>
                <w:sz w:val="20"/>
              </w:rPr>
              <w:t>**29**</w:t>
            </w:r>
          </w:p>
        </w:tc>
      </w:tr>
    </w:tbl>
    <w:p/>
    <w:p>
      <w:pPr>
        <w:pStyle w:val="Heading1"/>
      </w:pPr>
      <w:r>
        <w:t>Fascicule XIV — ORL</w:t>
      </w:r>
    </w:p>
    <w:p>
      <w:pPr>
        <w:pStyle w:val="Heading2"/>
      </w:pPr>
      <w:r>
        <w:t>Chapitre 131 — Otologie : Antiseptiques, antibiotiques et anesthésiques otiques</w:t>
      </w:r>
    </w:p>
    <w:p>
      <w:pPr>
        <w:pStyle w:val="Heading2"/>
      </w:pPr>
      <w:r>
        <w:t>Sommaire du chapitre</w:t>
      </w:r>
    </w:p>
    <w:p>
      <w:pPr>
        <w:pStyle w:val="ListBullet"/>
      </w:pPr>
      <w:r>
        <w:t>131.1. Introduction générale à la pharmacologie otique</w:t>
      </w:r>
    </w:p>
    <w:p>
      <w:pPr>
        <w:pStyle w:val="ListBullet"/>
      </w:pPr>
      <w:r>
        <w:t>131.2. Sous-classe : Antiseptiques otiques (boriques)</w:t>
      </w:r>
    </w:p>
    <w:p>
      <w:pPr>
        <w:pStyle w:val="ListBullet"/>
      </w:pPr>
      <w:r>
        <w:t>131.3. Sous-classe : Antiseptiques otiques (associations)</w:t>
      </w:r>
    </w:p>
    <w:p>
      <w:pPr>
        <w:pStyle w:val="ListBullet"/>
      </w:pPr>
      <w:r>
        <w:t>131.4. Sous-classe : Antibiotiques otiques (amphénicolés)</w:t>
      </w:r>
    </w:p>
    <w:p>
      <w:pPr>
        <w:pStyle w:val="ListBullet"/>
      </w:pPr>
      <w:r>
        <w:t>131.5. Sous-classe : Antibiotiques otiques (ansamycines)</w:t>
      </w:r>
    </w:p>
    <w:p>
      <w:pPr>
        <w:pStyle w:val="ListBullet"/>
      </w:pPr>
      <w:r>
        <w:t>131.6. Sous-classe : Antibiotiques otiques (fluoroquinolones)</w:t>
      </w:r>
    </w:p>
    <w:p>
      <w:pPr>
        <w:pStyle w:val="ListBullet"/>
      </w:pPr>
      <w:r>
        <w:t>131.7. Sous-classe : Anesthésiques otiques</w:t>
      </w:r>
    </w:p>
    <w:p>
      <w:pPr>
        <w:pStyle w:val="ListBullet"/>
      </w:pPr>
      <w:r>
        <w:t>131.8. Fiches DCI (8)</w:t>
      </w:r>
    </w:p>
    <w:p>
      <w:pPr>
        <w:pStyle w:val="ListBullet"/>
      </w:pPr>
      <w:r>
        <w:t>131.8.1. Acide borique / Borate de sodium (usage otique)</w:t>
      </w:r>
    </w:p>
    <w:p>
      <w:pPr>
        <w:pStyle w:val="ListBullet"/>
      </w:pPr>
      <w:r>
        <w:t>131.8.2. Biclotymol + Lysozyme + Énoxolone</w:t>
      </w:r>
    </w:p>
    <w:p>
      <w:pPr>
        <w:pStyle w:val="ListBullet"/>
      </w:pPr>
      <w:r>
        <w:t>131.8.3. Chloramphénicol (usage otique)</w:t>
      </w:r>
    </w:p>
    <w:p>
      <w:pPr>
        <w:pStyle w:val="ListBullet"/>
      </w:pPr>
      <w:r>
        <w:t>131.8.4. Rifamycine SV (usage ORL)</w:t>
      </w:r>
    </w:p>
    <w:p>
      <w:pPr>
        <w:pStyle w:val="ListBullet"/>
      </w:pPr>
      <w:r>
        <w:t>131.8.5. Ciprofloxacine (usage ORL)</w:t>
      </w:r>
    </w:p>
    <w:p>
      <w:pPr>
        <w:pStyle w:val="ListBullet"/>
      </w:pPr>
      <w:r>
        <w:t>131.8.6. Ofloxacine (usage otique)</w:t>
      </w:r>
    </w:p>
    <w:p>
      <w:pPr>
        <w:pStyle w:val="ListBullet"/>
      </w:pPr>
      <w:r>
        <w:t>131.8.7. Lévofloxacine (usage ORL)</w:t>
      </w:r>
    </w:p>
    <w:p>
      <w:pPr>
        <w:pStyle w:val="ListBullet"/>
      </w:pPr>
      <w:r>
        <w:t>131.8.8. Phénazone + Lidocaïne (usage ORL)</w:t>
      </w:r>
    </w:p>
    <w:p>
      <w:pPr>
        <w:pStyle w:val="ListBullet"/>
      </w:pPr>
      <w:r>
        <w:t>131.9. Tableau comparatif des thérapeutiques otiques</w:t>
      </w:r>
    </w:p>
    <w:p>
      <w:pPr>
        <w:pStyle w:val="ListBullet"/>
      </w:pPr>
      <w:r>
        <w:t>131.10. Synthèse pédagogique pour la pratique officinale algérienne</w:t>
      </w:r>
    </w:p>
    <w:p>
      <w:pPr>
        <w:pStyle w:val="Heading2"/>
      </w:pPr>
      <w:r>
        <w:t>131.1. Introduction générale à la pharmacologie otique</w:t>
      </w:r>
    </w:p>
    <w:p>
      <w:pPr>
        <w:pStyle w:val="Heading3"/>
      </w:pPr>
      <w:r>
        <w:t>Définition et place de la thérapeutique otique</w:t>
      </w:r>
    </w:p>
    <w:p>
      <w:r>
        <w:t>La pharmacologie otique regroupe l'ensemble des spécialités médicamenteuses destinées à l'instillation ou à l'application locale dans le conduit auditif externe (CAE) et, par voie de conséquence, au contact de la membrane tympanique (MT). Elle occupe une place singulière dans l'arsenal thérapeutique ORL : bien que l'administration soit topique, ses implications pharmacocinétiques, toxico-pharmacologiques et cliniques débordent largement du simple cadre local. Une instillation otique peut en effet avoir des effets systémiques — notamment chez l'enfant, en cas de perforation tympanique ou de tube de ventilation trans-tympanique en place — et expose à des risques spécifiques parmi lesquels l'ototoxicité cochléo-vestibulaire et la toxicité cumulative de certains composés (acide borique, aminosides, chloramphénicol).</w:t>
      </w:r>
    </w:p>
    <w:p>
      <w:r>
        <w:t>La thérapeutique otique se divise historiquement en quatre grandes familles :</w:t>
      </w:r>
    </w:p>
    <w:p>
      <w:pPr>
        <w:pStyle w:val="ListNumber"/>
      </w:pPr>
      <w:r/>
      <w:r>
        <w:rPr>
          <w:b/>
        </w:rPr>
        <w:t>Les antiseptiques otiques</w:t>
      </w:r>
      <w:r>
        <w:t xml:space="preserve"> (acide borique, biclotymol et associations antiseptiques) : molécules à large spectre bactériostatique/fongistatique, employées en pratique courante pour l'hygiène du conduit, les otites externes (OE) localisées et la préparation préopératoire du champ chirurgical. Leur rôle a toutefois été largement remis en cause par la diffusion des antibiotiques locaux à large diffusion, en raison de leur effet irritant local et de leur toxicité systémique potentielle.</w:t>
      </w:r>
    </w:p>
    <w:p>
      <w:pPr>
        <w:pStyle w:val="ListNumber"/>
      </w:pPr>
      <w:r/>
      <w:r>
        <w:rPr>
          <w:b/>
        </w:rPr>
        <w:t>Les antibiotiques otiques</w:t>
      </w:r>
      <w:r>
        <w:t xml:space="preserve"> (chloramphénicol, rifamycine SV, fluoroquinolones) : principe actif antibactérien formulé pour atteindre des concentrations locales très supérieures aux CMI des germes otitiques les plus fréquents (*Pseudomonas aeruginosa*, *Staphylococcus aureus*, *Streptococcus pneumoniae*, *Haemophilus influenzae*, *Moraxella catarrhalis*), tout en limitant la diffusion systémique. La supériorité des fluoroquinolones locales (ciprofloxacine, ofloxacine, lévofloxacine) sur les anciennes molécules (chloramphénicol, néomycine, polymyxine B) tient à leur spectre adapté à l'écologie bactérienne otique, à leur faible ototoxicité intrinsèque et à leur excellente tolérance locale.</w:t>
      </w:r>
    </w:p>
    <w:p>
      <w:pPr>
        <w:pStyle w:val="ListNumber"/>
      </w:pPr>
      <w:r/>
      <w:r>
        <w:rPr>
          <w:b/>
        </w:rPr>
        <w:t>Les anesthésiques otiques</w:t>
      </w:r>
      <w:r>
        <w:t xml:space="preserve"> (phénazone + lidocaïne) : associations fixes combinant un antalgique anti-inflammatoire (phénazone/antipyrine) et un anesthésique local de la famille amide (lidocaïne), utilisées dans le traitement symptomatique des otalgies aiguës — principalement otite moyenne aiguë (OMA) non perforée du nourrisson et de l'enfant. Leur emploi suppose obligatoirement un tympan intact, sous peine de pénétration systémique et d'effets indésirables centraux.</w:t>
      </w:r>
    </w:p>
    <w:p>
      <w:pPr>
        <w:pStyle w:val="ListNumber"/>
      </w:pPr>
      <w:r/>
      <w:r>
        <w:rPr>
          <w:b/>
        </w:rPr>
        <w:t>Les associations corticoïdes + antibiotiques</w:t>
      </w:r>
      <w:r>
        <w:t xml:space="preserve"> (traitées au chapitre dédié aux associations locales ORL/ophtalmologiques) : combinaisons fixes prescrites dans les otites externes inflammatoires et les otites eczématisées du conduit.</w:t>
      </w:r>
    </w:p>
    <w:p>
      <w:pPr>
        <w:pStyle w:val="Heading3"/>
      </w:pPr>
      <w:r>
        <w:t>Rappel anatomique et physiologique</w:t>
      </w:r>
    </w:p>
    <w:p>
      <w:r>
        <w:t>La compréhension de la pharmacologie otique suppose un rappel anatomique préalable. L'oreille se divise en trois compartiments :</w:t>
      </w:r>
    </w:p>
    <w:p>
      <w:pPr>
        <w:pStyle w:val="ListBullet"/>
      </w:pPr>
      <w:r/>
      <w:r>
        <w:rPr>
          <w:b/>
        </w:rPr>
        <w:t>L'oreille externe</w:t>
      </w:r>
      <w:r>
        <w:t xml:space="preserve"> (conduit auditif externe et tympan) : tapissé d'une peau fine prolongeant le pavillon, riche en glandes sébacées et en glandes cérumineuses modifiées (glandes apocrines) qui produisent le cérumen. Le pH physiologique du CAE est acide (5,0–6,5), ce qui constitue une barrière antimicrobienne naturelle. La dynamique d'épithélium migrateur (de la face interne du tympan vers la périphérie du conduit) assure l'évacuation naturelle des squames et du cérumen.</w:t>
      </w:r>
    </w:p>
    <w:p>
      <w:pPr>
        <w:pStyle w:val="ListBullet"/>
      </w:pPr>
      <w:r/>
      <w:r>
        <w:rPr>
          <w:b/>
        </w:rPr>
        <w:t>L'oreille moyenne</w:t>
      </w:r>
      <w:r>
        <w:t xml:space="preserve"> (caisse du tympan, cavités mastoïdiennes) : contient la chaîne ossiculaire (marteau, enclume, étrier) et communique avec la trompe d'Eustache (permettant l'équilibrage des pressions). La muqueuse de l'oreille moyenne est sensible aux infections bactériennes ascendantes (via la trompe d'Eustache), à l'origine des otites moyennes aiguës (OMA).</w:t>
      </w:r>
    </w:p>
    <w:p>
      <w:pPr>
        <w:pStyle w:val="ListBullet"/>
      </w:pPr>
      <w:r/>
      <w:r>
        <w:rPr>
          <w:b/>
        </w:rPr>
        <w:t>L'oreille interne</w:t>
      </w:r>
      <w:r>
        <w:t xml:space="preserve"> (limaçon cochléaire, vestibule, canaux semi-circulaires) : contient les récepteurs sensoriels de l'audition (cellules ciliées internes et externes de l'organe de Corti) et de l'équilibre. C'est la cible des médicaments ototoxiques (aminosides, diurétiques de l'anse, sels de platine, salicylés à forte dose, chloramphénicol à forte dose cumulative). Une fois lésées, les cellules ciliées ne se régénèrent pas chez l'adulte — d'où le caractère irréversible de l'ototoxicité médicamenteuse.</w:t>
      </w:r>
    </w:p>
    <w:p>
      <w:pPr>
        <w:pStyle w:val="Heading3"/>
      </w:pPr>
      <w:r>
        <w:t>Le concept d'ototoxicité</w:t>
      </w:r>
    </w:p>
    <w:p>
      <w:r>
        <w:t>L'ototoxicité désigne l'effet toxique d'une substance sur l'oreille interne, avec deux expressions cliniques :</w:t>
      </w:r>
    </w:p>
    <w:p>
      <w:pPr>
        <w:pStyle w:val="ListBullet"/>
      </w:pPr>
      <w:r/>
      <w:r>
        <w:rPr>
          <w:b/>
        </w:rPr>
        <w:t>Cochléaire</w:t>
      </w:r>
      <w:r>
        <w:t xml:space="preserve"> : acouphènes, hypoacousie (souvent prédomante sur les fréquences aiguës), évoluant vers une surdité de perception. Mécanisme : lésion des cellules ciliées externes (premier effecteur), puis internes, par stress oxydatif, dépolarisation prolongée ou apoptose.</w:t>
      </w:r>
    </w:p>
    <w:p>
      <w:pPr>
        <w:pStyle w:val="ListBullet"/>
      </w:pPr>
      <w:r/>
      <w:r>
        <w:rPr>
          <w:b/>
        </w:rPr>
        <w:t>Vestibulaire</w:t>
      </w:r>
      <w:r>
        <w:t xml:space="preserve"> : vertiges rotatoires, instabilité, nystagmus. Mécanisme : lésion des cellules ciliées vestibulaires.</w:t>
      </w:r>
    </w:p>
    <w:p>
      <w:r>
        <w:t xml:space="preserve">Le passage transtympanique des substances ototoxiques (essentiellement les aminosides — néomycine, gentamicine, framycétine — et dans une moindre mesure le chloramphénicol et certains antiseptiques en cas de tympan perforé) expose l'oreille interne à des concentrations toxiques. La règle absolue est donc : </w:t>
      </w:r>
      <w:r>
        <w:rPr>
          <w:b/>
        </w:rPr>
        <w:t>un médicament ototoxique par voie générale doit être évité ; un médicament ototoxique local ne doit jamais être instillé en présence d'une perforation tympanique ou d'un aérateur trans-tympanique en place</w:t>
      </w:r>
      <w:r>
        <w:t>.</w:t>
      </w:r>
    </w:p>
    <w:p>
      <w:pPr>
        <w:pStyle w:val="Heading3"/>
      </w:pPr>
      <w:r>
        <w:t>Cadre nosologique des pathologies otiques concernées</w:t>
      </w:r>
    </w:p>
    <w:p>
      <w:pPr>
        <w:pStyle w:val="ListNumber"/>
      </w:pPr>
      <w:r/>
      <w:r>
        <w:rPr>
          <w:b/>
        </w:rPr>
        <w:t>Otite externe (OE)</w:t>
      </w:r>
      <w:r>
        <w:t xml:space="preserve"> : inflammation du CAE, le plus souvent d'origine bactérienne (*P. aeruginosa* ~40–60 %, *S. aureus* ~20 %, *S. pyogenes*, entérobactéries, *Candida* spp. dans les formes mycosiques). Traitement : toilette soigneuse du conduit, antibiothérapie locale (fluoroquinolone ± corticoïde), analgésie. Pas d'antibiothérapie systémique dans les formes non compliquées.</w:t>
      </w:r>
    </w:p>
    <w:p>
      <w:pPr>
        <w:pStyle w:val="ListNumber"/>
      </w:pPr>
      <w:r/>
      <w:r>
        <w:rPr>
          <w:b/>
        </w:rPr>
        <w:t>Otite moyenne aiguë (OMA)</w:t>
      </w:r>
      <w:r>
        <w:t xml:space="preserve"> : inflammation de l'oreille moyenne, principalement virale (70 %), bactérienne (*S. pneumoniae*, *H. influenzae*, *M. catarrhalis*) dans 30 % des cas. Traitement : analgésie-antipyrèse (paracétamol ± AINS), antibiothérapie systémique (amoxicilline) selon l'âge, la sévérité et l'évolution. </w:t>
      </w:r>
      <w:r>
        <w:rPr>
          <w:b/>
        </w:rPr>
        <w:t>Les gouttes otiques anesthésiques (phénazone+lidocaïne) sont indiquées en complément antalgique en cas de tympan intact</w:t>
      </w:r>
      <w:r>
        <w:t xml:space="preserve"> (AFSSAPS 2011, HAS 2019).</w:t>
      </w:r>
    </w:p>
    <w:p>
      <w:pPr>
        <w:pStyle w:val="ListNumber"/>
      </w:pPr>
      <w:r/>
      <w:r>
        <w:rPr>
          <w:b/>
        </w:rPr>
        <w:t>Otorrhée sur aérateur trans-tympanique (ATT)</w:t>
      </w:r>
      <w:r>
        <w:t xml:space="preserve"> : écoulement par le tube de ventilation, fréquent chez l'enfant porteur d'ATT. Traitement local par fluoroquinolone otique (ciprofloxacine principalement), en raison du caractère perforé du tympan et de la CI des aminosides et antiseptiques toxiques dans ce contexte.</w:t>
      </w:r>
    </w:p>
    <w:p>
      <w:pPr>
        <w:pStyle w:val="ListNumber"/>
      </w:pPr>
      <w:r/>
      <w:r>
        <w:rPr>
          <w:b/>
        </w:rPr>
        <w:t>Otite externe nécrosante (maligne)</w:t>
      </w:r>
      <w:r>
        <w:t xml:space="preserve"> : forme grave à *P. aeruginosa* chez le diabétique ou l'immunodéprimé, nécessitant une antibiothérapie systémique (souvent biantibiothérapie IV : ceftazidime + ciprofloxacine). Le traitement local est adjuvant.</w:t>
      </w:r>
    </w:p>
    <w:p>
      <w:pPr>
        <w:pStyle w:val="ListNumber"/>
      </w:pPr>
      <w:r/>
      <w:r>
        <w:rPr>
          <w:b/>
        </w:rPr>
        <w:t>Otomycose</w:t>
      </w:r>
      <w:r>
        <w:t xml:space="preserve"> : otite externe fongique (*Aspergillus* spp., *Candida* spp.) : toilette soigneuse, antifongiques locaux (clotrimazole) ou acide borique (action fongistatique).</w:t>
      </w:r>
    </w:p>
    <w:p>
      <w:pPr>
        <w:pStyle w:val="Heading3"/>
      </w:pPr>
      <w:r>
        <w:t>Particularités de la prescription otique en Algérie</w:t>
      </w:r>
    </w:p>
    <w:p>
      <w:r>
        <w:t>En Algérie, l'accès aux gouttes otiques est libre (sans ordonnance obligatoire pour la plupart des spécialités non inscrites sur la Liste I), ce qui expose à un mésusage fréquent :</w:t>
      </w:r>
    </w:p>
    <w:p>
      <w:pPr>
        <w:pStyle w:val="ListBullet"/>
      </w:pPr>
      <w:r/>
      <w:r>
        <w:rPr>
          <w:b/>
        </w:rPr>
        <w:t>Auto-médication d'otalgies pouvant révéler une OMA perforée</w:t>
      </w:r>
      <w:r>
        <w:t xml:space="preserve"> : instillation de spécialités contenant un aminoside (polymyxine B + néomycine + dexaméthasone) chez un enfant avec tympan perforé, expose à un risque d'ototoxicité cochléo-vestibulaire.</w:t>
      </w:r>
    </w:p>
    <w:p>
      <w:pPr>
        <w:pStyle w:val="ListBullet"/>
      </w:pPr>
      <w:r/>
      <w:r>
        <w:rPr>
          <w:b/>
        </w:rPr>
        <w:t>Confusion entre collyres et gouttes otiques</w:t>
      </w:r>
      <w:r>
        <w:t xml:space="preserve"> : plusieurs spécialités ophtalmiques (ciprofloxacine, ofloxacine, lévofloxacine, rifamycine) peuvent être employées par voie otique en l'absence de spécialité otique disponible, mais cette pratique, bien que répandue, n'est pas strictement conforme au RCP et doit être réservée à l'usage médicale.</w:t>
      </w:r>
    </w:p>
    <w:p>
      <w:pPr>
        <w:pStyle w:val="ListBullet"/>
      </w:pPr>
      <w:r/>
      <w:r>
        <w:rPr>
          <w:b/>
        </w:rPr>
        <w:t>Emploi prolongé d'acide borique</w:t>
      </w:r>
      <w:r>
        <w:t xml:space="preserve"> : traditionnellement prescrit en Algérie dans les otomycoses récidivantes, il expose à un risque de toxicité cumulative borique (tremblements, diarrhées, éruptions cutanées) en cas de perforation tympanique méconnue.</w:t>
      </w:r>
    </w:p>
    <w:p>
      <w:pPr>
        <w:pStyle w:val="ListBullet"/>
      </w:pPr>
      <w:r/>
      <w:r>
        <w:rPr>
          <w:b/>
        </w:rPr>
        <w:t>Sur-utilisation des associations phénazone + lidocaïne</w:t>
      </w:r>
      <w:r>
        <w:t xml:space="preserve"> : ces gouttes antalgiques sont souvent prescrites au-delà de 7–10 jours, ce qui peut masquer une OMA évolutive et retarder la mise en route d'une antibiothérapie systémique nécessaire.</w:t>
      </w:r>
    </w:p>
    <w:p>
      <w:r>
        <w:t>Le pharmacien d'officine algérien joue donc un rôle crucial :</w:t>
      </w:r>
    </w:p>
    <w:p>
      <w:pPr>
        <w:pStyle w:val="ListBullet"/>
      </w:pPr>
      <w:r/>
      <w:r>
        <w:rPr>
          <w:b/>
        </w:rPr>
        <w:t>Tri au comptoir</w:t>
      </w:r>
      <w:r>
        <w:t xml:space="preserve"> des otalgies (systématiquement demander si écoulement = perforation tympanique probable) ;</w:t>
      </w:r>
    </w:p>
    <w:p>
      <w:pPr>
        <w:pStyle w:val="ListBullet"/>
      </w:pPr>
      <w:r/>
      <w:r>
        <w:rPr>
          <w:b/>
        </w:rPr>
        <w:t>Contre-indication systématique</w:t>
      </w:r>
      <w:r>
        <w:t xml:space="preserve"> des spécialités ototoxiques locales si tympan perforé ou suspicion de perforation ;</w:t>
      </w:r>
    </w:p>
    <w:p>
      <w:pPr>
        <w:pStyle w:val="ListBullet"/>
      </w:pPr>
      <w:r/>
      <w:r>
        <w:rPr>
          <w:b/>
        </w:rPr>
        <w:t>Éducation à l'observance</w:t>
      </w:r>
      <w:r>
        <w:t xml:space="preserve"> (durée limitée à 7–10 jours pour phénazone+lidocaïne) ;</w:t>
      </w:r>
    </w:p>
    <w:p>
      <w:pPr>
        <w:pStyle w:val="ListBullet"/>
      </w:pPr>
      <w:r/>
      <w:r>
        <w:rPr>
          <w:b/>
        </w:rPr>
        <w:t>Orientation vers le médecin</w:t>
      </w:r>
      <w:r>
        <w:t xml:space="preserve"> en cas d'otalgie persistante &gt; 48 h, de fièvre associée, d'écoulement purulent ou de signes généraux.</w:t>
      </w:r>
    </w:p>
    <w:p>
      <w:pPr>
        <w:pStyle w:val="Heading3"/>
      </w:pPr>
      <w:r>
        <w:t>Sources et références mobilisées</w:t>
      </w:r>
    </w:p>
    <w:p>
      <w:r>
        <w:t>Ce chapitre mobilise les sources suivantes : VIDAL (spécialités françaises et algériennes), ANSM (Résumés des Caractéristiques du Produit), Thériaque (interactions médicamenteuses), CRAT (Centre Renseignements Agents Tératogènes — grossesse/allaitement), UpToDate (recommandations internationales), SFORL (Société Française d'Oto-Rhino-Laryngologie — recommandations otites externes et moyennes), HAS (Haute Autorité de Santé — recommandations OMA enfant 2019), AFSSAPS (recommandations OMA 2011), nomenclature algérienne des médicaments (Avril 2026).</w:t>
      </w:r>
    </w:p>
    <w:p>
      <w:pPr>
        <w:pStyle w:val="Heading2"/>
      </w:pPr>
      <w:r>
        <w:t>131.2. Sous-classe : Antiseptiques otiques (boriques)</w:t>
      </w:r>
    </w:p>
    <w:p>
      <w:pPr>
        <w:pStyle w:val="Heading3"/>
      </w:pPr>
      <w:r>
        <w:t>Définition et historique</w:t>
      </w:r>
    </w:p>
    <w:p>
      <w:r>
        <w:t>Les antiseptiques otiques boriques regroupent les spécialités à base d'acide borique (H₃BO₃) et/ou de borate de sodium (borax, Na₂B₄O₇·10H₂O), employés en application locale dans le conduit auditif externe. Leur usage remonte à la fin du XIXᵉ siècle, période à laquelle l'acide borique — isolé en 1702 par Homberg à partir du borax — connaît un essor considérable comme antiseptique ubiquitaire : cutané, conjonctival, vaginal, et bien sûr otique. La faible toxicité apparente à doses locales et l'action antiseptique (bactériostatique, fongistatique, faiblement virucide) en faisaient une molécule de choix à l'ère pré-antibiotique.</w:t>
      </w:r>
    </w:p>
    <w:p>
      <w:r>
        <w:t>Le déclin de l'acide borique a commencé dans les années 1960–1980, à la suite de la description d'une trentaine de cas d'intoxications aiguës (vomissements, diarrhées, éruptions cutanées, atteintes neurologiques centrales, décès) chez le nourrisson ayant reçu des compresses imprégnées de solutions boriques sur plaies étendues ou lésions cutanées. L'interprétation de ces cas a toutefois été controversée (dose cumulative reçue mal documentée, contexte d'atteinte cutanée étendue). Néanmoins, plusieurs pays ont restreint son emploi : interdiction des solutions &gt; 0,5 % en application cutanée étendue chez le nourrisson en France (199 1987), restriction aux concentrations otiques de 2–5 %.</w:t>
      </w:r>
    </w:p>
    <w:p>
      <w:pPr>
        <w:pStyle w:val="Heading3"/>
      </w:pPr>
      <w:r>
        <w:t>Mécanisme d'action antiseptique</w:t>
      </w:r>
    </w:p>
    <w:p>
      <w:r>
        <w:t>L'acide borique est un acide faible (pKa ~9,2) traversant difficilement les membranes biologiques à pH physiologique. Son action antiseptique est多重 :</w:t>
      </w:r>
    </w:p>
    <w:p>
      <w:pPr>
        <w:pStyle w:val="ListBullet"/>
      </w:pPr>
      <w:r/>
      <w:r>
        <w:rPr>
          <w:b/>
        </w:rPr>
        <w:t>Acidification du milieu</w:t>
      </w:r>
      <w:r>
        <w:t xml:space="preserve"> : la solution d'acide borique à 2–5 % a un pH ~3,5–4,5, ce qui inhibe la croissance de la plupart des bactéries pathogènes otiques (préfèrent un pH neutre) tout en épargnant la flore commensale cutanée. L'acidification est aussi défavorable aux levures du genre *Candida* et aux dermatophytes.</w:t>
      </w:r>
    </w:p>
    <w:p>
      <w:pPr>
        <w:pStyle w:val="ListBullet"/>
      </w:pPr>
      <w:r/>
      <w:r>
        <w:rPr>
          <w:b/>
        </w:rPr>
        <w:t>Modification de la perméabilité membranaire</w:t>
      </w:r>
      <w:r>
        <w:t xml:space="preserve"> : l'acide borique interagit avec les phospholipides membranaires et altère la perméabilité cellulaire bactérienne et fongique.</w:t>
      </w:r>
    </w:p>
    <w:p>
      <w:pPr>
        <w:pStyle w:val="ListBullet"/>
      </w:pPr>
      <w:r/>
      <w:r>
        <w:rPr>
          <w:b/>
        </w:rPr>
        <w:t>Inhibition de la synthèse de la paroi fongique</w:t>
      </w:r>
      <w:r>
        <w:t xml:space="preserve"> : à plus forte concentration, l'acide borique inhibe la β-1,3-glucane synthase fongique (cible des échinocandines systémiques), ce qui explique son action fongistatique.</w:t>
      </w:r>
    </w:p>
    <w:p>
      <w:pPr>
        <w:pStyle w:val="ListBullet"/>
      </w:pPr>
      <w:r/>
      <w:r>
        <w:rPr>
          <w:b/>
        </w:rPr>
        <w:t>Effet osmotique</w:t>
      </w:r>
      <w:r>
        <w:t xml:space="preserve"> : les solutions boriques concentrées exercent un effet osmotique déshydratant sur les micro-organismes.</w:t>
      </w:r>
    </w:p>
    <w:p>
      <w:r>
        <w:t>Le spectre antiseptique de l'acide borique couvre : bactéries Gram+ (</w:t>
      </w:r>
      <w:r>
        <w:rPr>
          <w:i/>
        </w:rPr>
        <w:t>S. aureus</w:t>
      </w:r>
      <w:r>
        <w:t xml:space="preserve">, </w:t>
      </w:r>
      <w:r>
        <w:rPr>
          <w:i/>
        </w:rPr>
        <w:t>S. pyogenes</w:t>
      </w:r>
      <w:r>
        <w:t xml:space="preserve">, </w:t>
      </w:r>
      <w:r>
        <w:rPr>
          <w:i/>
        </w:rPr>
        <w:t>S. pneumoniae</w:t>
      </w:r>
      <w:r>
        <w:t>), Gram− (</w:t>
      </w:r>
      <w:r>
        <w:rPr>
          <w:i/>
        </w:rPr>
        <w:t>P. aeruginosa</w:t>
      </w:r>
      <w:r>
        <w:t xml:space="preserve"> modérément sensible, </w:t>
      </w:r>
      <w:r>
        <w:rPr>
          <w:i/>
        </w:rPr>
        <w:t>Proteus</w:t>
      </w:r>
      <w:r>
        <w:t xml:space="preserve"> spp., </w:t>
      </w:r>
      <w:r>
        <w:rPr>
          <w:i/>
        </w:rPr>
        <w:t>E. coli</w:t>
      </w:r>
      <w:r>
        <w:t>), champignons (</w:t>
      </w:r>
      <w:r>
        <w:rPr>
          <w:i/>
        </w:rPr>
        <w:t>Candida</w:t>
      </w:r>
      <w:r>
        <w:t xml:space="preserve"> spp., </w:t>
      </w:r>
      <w:r>
        <w:rPr>
          <w:i/>
        </w:rPr>
        <w:t>Aspergillus</w:t>
      </w:r>
      <w:r>
        <w:t xml:space="preserve"> spp., dermatophytes). Il est bactériostatique (et non bactéricide) aux concentrations usuelles de 2–5 %.</w:t>
      </w:r>
    </w:p>
    <w:p>
      <w:pPr>
        <w:pStyle w:val="Heading3"/>
      </w:pPr>
      <w:r>
        <w:t>Particularités pharmacocinétiques locales</w:t>
      </w:r>
    </w:p>
    <w:p>
      <w:r>
        <w:t xml:space="preserve">L'acide borique administré par voie otique sur un tympan intact est très peu absorbé : la peau du CAE est relativement imperméable aux acides faibles à pH très acide (forme protonée liposoluble, mais diffusion limitée par l'épaisseur cutanée). Cependant, en cas de </w:t>
      </w:r>
      <w:r>
        <w:rPr>
          <w:b/>
        </w:rPr>
        <w:t>perforation tympanique</w:t>
      </w:r>
      <w:r>
        <w:t xml:space="preserve"> ou de </w:t>
      </w:r>
      <w:r>
        <w:rPr>
          <w:b/>
        </w:rPr>
        <w:t>tube de ventilation trans-tympanique</w:t>
      </w:r>
      <w:r>
        <w:t>, la solution atteint la muqueuse de l'oreille moyenne, hautement vascularisée, et l'absorption systémique devient significative. L'acide borique absorbé se distribute dans tous les compartiments liquidiens (volume de distribution ~0,2 L/kg), traverse le placenta et la barrière hémato-encéphalique, et s'accumule lentement en cas d'administration répétée (demi-vie d'élimination ~13 h chez l'adulte, prolongée chez le nourrisson jusqu'à 24–48 h). L'élimination est exclusivement rénale, sous forme inchangée, par filtration glomérulaire.</w:t>
      </w:r>
    </w:p>
    <w:p>
      <w:pPr>
        <w:pStyle w:val="Heading3"/>
      </w:pPr>
      <w:r>
        <w:t>Place actuelle dans l'arsenal thérapeutique otique</w:t>
      </w:r>
    </w:p>
    <w:p>
      <w:r>
        <w:t>La place de l'acide borique otique s'est réduite à quelques indications résiduelles :</w:t>
      </w:r>
    </w:p>
    <w:p>
      <w:pPr>
        <w:pStyle w:val="ListBullet"/>
      </w:pPr>
      <w:r/>
      <w:r>
        <w:rPr>
          <w:b/>
        </w:rPr>
        <w:t>Otomycoses récidivantes</w:t>
      </w:r>
      <w:r>
        <w:t xml:space="preserve"> à *Candida* spp. ou *Aspergillus* spp. en alternative aux antifongiques locaux imidazolés (clotrimazole, éconazole) ;</w:t>
      </w:r>
    </w:p>
    <w:p>
      <w:pPr>
        <w:pStyle w:val="ListBullet"/>
      </w:pPr>
      <w:r/>
      <w:r>
        <w:rPr>
          <w:b/>
        </w:rPr>
        <w:t>Toilette du conduit auditif</w:t>
      </w:r>
      <w:r>
        <w:t xml:space="preserve"> dans les otites externes chroniques suppurées, en complément de l'aspiration médicale ;</w:t>
      </w:r>
    </w:p>
    <w:p>
      <w:pPr>
        <w:pStyle w:val="ListBullet"/>
      </w:pPr>
      <w:r/>
      <w:r>
        <w:rPr>
          <w:b/>
        </w:rPr>
        <w:t>Préparation du champ chirurgical</w:t>
      </w:r>
      <w:r>
        <w:t xml:space="preserve"> otologique (en pratique, remplacée par la povidone iodée ou la chlorhexidine) ;</w:t>
      </w:r>
    </w:p>
    <w:p>
      <w:pPr>
        <w:pStyle w:val="ListBullet"/>
      </w:pPr>
      <w:r/>
      <w:r>
        <w:rPr>
          <w:b/>
        </w:rPr>
        <w:t>Acidification du conduit auditif</w:t>
      </w:r>
      <w:r>
        <w:t xml:space="preserve"> chez les nageurs (prévention de l'otite du nageur) en association à l'isopropanol.</w:t>
      </w:r>
    </w:p>
    <w:p>
      <w:r>
        <w:t>En pratique clinique courante, l'acide borique otique est aujourd'hui très peu prescrit en première intention, supplanté par les fluoroquinolones locales (ciprofloxacine, ofloxacine). Il subsiste toutefois dans la nomenclature algérienne (spécialités DACRYOSERUM, LACRYMASEPTINE) principalement pour des usages ophtalmiques (solutions de lavage oculaire), avec débordement otique possible en prescription hors AMM.</w:t>
      </w:r>
    </w:p>
    <w:p>
      <w:pPr>
        <w:pStyle w:val="Heading3"/>
      </w:pPr>
      <w:r>
        <w:t>Précautions d'emploi</w:t>
      </w:r>
    </w:p>
    <w:p>
      <w:pPr>
        <w:pStyle w:val="ListBullet"/>
      </w:pPr>
      <w:r/>
      <w:r>
        <w:rPr>
          <w:b/>
        </w:rPr>
        <w:t>CI absolue</w:t>
      </w:r>
      <w:r>
        <w:t xml:space="preserve"> : tympan perforé ou aérateur trans-tympanique en place (risque d'ototoxicité et de toxicité systémique cumulative).</w:t>
      </w:r>
    </w:p>
    <w:p>
      <w:pPr>
        <w:pStyle w:val="ListBullet"/>
      </w:pPr>
      <w:r/>
      <w:r>
        <w:rPr>
          <w:b/>
        </w:rPr>
        <w:t>CI relative</w:t>
      </w:r>
      <w:r>
        <w:t xml:space="preserve"> : nourrisson &lt; 2 ans (peau fine, surface corporelle élevée, accumulation systémique possible).</w:t>
      </w:r>
    </w:p>
    <w:p>
      <w:pPr>
        <w:pStyle w:val="ListBullet"/>
      </w:pPr>
      <w:r/>
      <w:r>
        <w:rPr>
          <w:b/>
        </w:rPr>
        <w:t>Durée limitée</w:t>
      </w:r>
      <w:r>
        <w:t xml:space="preserve"> : ne pas dépasser 7 jours sans réévaluation médicale.</w:t>
      </w:r>
    </w:p>
    <w:p>
      <w:pPr>
        <w:pStyle w:val="ListBullet"/>
      </w:pPr>
      <w:r/>
      <w:r>
        <w:rPr>
          <w:b/>
        </w:rPr>
        <w:t>Surveillance</w:t>
      </w:r>
      <w:r>
        <w:t xml:space="preserve"> : apparence locale (irritation, prurit), tolérance générale (digestive, neurologique) en cas d'usage prolongé.</w:t>
      </w:r>
    </w:p>
    <w:p>
      <w:pPr>
        <w:pStyle w:val="Heading2"/>
      </w:pPr>
      <w:r>
        <w:t>131.3. Sous-classe : Antiseptiques otiques (associations)</w:t>
      </w:r>
    </w:p>
    <w:p>
      <w:pPr>
        <w:pStyle w:val="Heading3"/>
      </w:pPr>
      <w:r>
        <w:t>Définition</w:t>
      </w:r>
    </w:p>
    <w:p>
      <w:r>
        <w:t xml:space="preserve">Cette sous-classe regroupe les associations fixes d'antiseptiques locaux ou de molécules à visée antiseptique-anti-inflammatoire, destinées à la muqueuse ORL (pharynx, cavité buccale) ou au conduit auditif externe. La principale association figurant dans la nomenclature algérienne dans cette catégorie est l'association </w:t>
      </w:r>
      <w:r>
        <w:rPr>
          <w:b/>
        </w:rPr>
        <w:t>Biclotymol + Lysozyme + Énoxolone</w:t>
      </w:r>
      <w:r>
        <w:t>, commercialisée sous les marques HEXALYSE (comprimés à sucer) et HEXASPRAY (collutoire, formulé à base de biclotymol seul).</w:t>
      </w:r>
    </w:p>
    <w:p>
      <w:pPr>
        <w:pStyle w:val="Heading3"/>
      </w:pPr>
      <w:r>
        <w:t>Principes actifs constitutifs</w:t>
      </w:r>
    </w:p>
    <w:p>
      <w:pPr>
        <w:pStyle w:val="ListNumber"/>
      </w:pPr>
      <w:r/>
      <w:r>
        <w:rPr>
          <w:b/>
        </w:rPr>
        <w:t>Biclotymol</w:t>
      </w:r>
      <w:r>
        <w:t xml:space="preserve"> : dérivé phénolique (2,2'-thiobis(4,6-dichlorophénol)) à action antiseptique locale bactériostatique (spectre : Gram+, certains Gram−, *Candida*). Mécanisme : altération des membranes bactériennes et dénaturation des protéines. Absorption systémique quasi-nulle par voie sublinguale ou pharyngée.</w:t>
      </w:r>
    </w:p>
    <w:p>
      <w:pPr>
        <w:pStyle w:val="ListNumber"/>
      </w:pPr>
      <w:r/>
      <w:r>
        <w:rPr>
          <w:b/>
        </w:rPr>
        <w:t>Lysozyme</w:t>
      </w:r>
      <w:r>
        <w:t xml:space="preserve"> : enzyme (muramidase) naturelle présente dans les sécrétions (salive, larmes, mucus nasal), qui hydrolyse la liaison β(1→4) entre l'acide N-acétylmuramique et la N-acétylglucosamine du peptidoglycane bactérien. Active principalement sur les bactéries Gram+ (paroi riche en peptidoglycane), moins sur les Gram− (paroi externe riche en LPS). Action bactériolytique directe.</w:t>
      </w:r>
    </w:p>
    <w:p>
      <w:pPr>
        <w:pStyle w:val="ListNumber"/>
      </w:pPr>
      <w:r/>
      <w:r>
        <w:rPr>
          <w:b/>
        </w:rPr>
        <w:t>Énoxolone</w:t>
      </w:r>
      <w:r>
        <w:t xml:space="preserve"> (acide glycyrrhétique) : aglycone de la glycyrrhizine (principe actif de la réglisse), acide triterpénique pentacyclique à propriétés anti-inflammatoires (inhibition de la 15-hydroxyprostaglandine déshydrogénase → accumulation de PGE2 locale) et anti-ulcéreuses (action cytoprotectrice sur la muqueuse). Action corticomimétique locale (sans effets systémiques glucocorticoïdes aux doses usuelles).</w:t>
      </w:r>
    </w:p>
    <w:p>
      <w:pPr>
        <w:pStyle w:val="Heading3"/>
      </w:pPr>
      <w:r>
        <w:t>Place dans la stratégie thérapeutique ORL</w:t>
      </w:r>
    </w:p>
    <w:p>
      <w:r>
        <w:t>L'association Biclotymol + Lysozyme + Énoxolone est indiquée dans le traitement symptomatique de courte durée (≤ 5 jours) des :</w:t>
      </w:r>
    </w:p>
    <w:p>
      <w:pPr>
        <w:pStyle w:val="ListBullet"/>
      </w:pPr>
      <w:r/>
      <w:r>
        <w:rPr>
          <w:b/>
        </w:rPr>
        <w:t>Angines érythémateuses ou érythémato-pultacées aiguës</w:t>
      </w:r>
      <w:r>
        <w:t xml:space="preserve"> en complément du traitement antalgique-antipyrétique général ;</w:t>
      </w:r>
    </w:p>
    <w:p>
      <w:pPr>
        <w:pStyle w:val="ListBullet"/>
      </w:pPr>
      <w:r/>
      <w:r>
        <w:rPr>
          <w:b/>
        </w:rPr>
        <w:t>Pharyngites aiguës</w:t>
      </w:r>
      <w:r>
        <w:t xml:space="preserve"> non streptococciques ;</w:t>
      </w:r>
    </w:p>
    <w:p>
      <w:pPr>
        <w:pStyle w:val="ListBullet"/>
      </w:pPr>
      <w:r/>
      <w:r>
        <w:rPr>
          <w:b/>
        </w:rPr>
        <w:t>Stomatites aphteuses</w:t>
      </w:r>
      <w:r>
        <w:t xml:space="preserve"> ;</w:t>
      </w:r>
    </w:p>
    <w:p>
      <w:pPr>
        <w:pStyle w:val="ListBullet"/>
      </w:pPr>
      <w:r/>
      <w:r>
        <w:rPr>
          <w:b/>
        </w:rPr>
        <w:t>Post-amygdalectomie</w:t>
      </w:r>
      <w:r>
        <w:t xml:space="preserve"> (anesthésie locale antiseptique).</w:t>
      </w:r>
    </w:p>
    <w:p>
      <w:r/>
      <w:r>
        <w:rPr>
          <w:b/>
        </w:rPr>
        <w:t>Important</w:t>
      </w:r>
      <w:r>
        <w:t xml:space="preserve"> : cette association ne doit pas masquer une angine streptococcique (test de diagnostic rapide TDR recommandé chez l'enfant &gt; 3 ans selon les recommandations AFSSAPS 2011), qui nécessite une antibiothérapie systémique (amoxicilline 6 j en 1re intention).</w:t>
      </w:r>
    </w:p>
    <w:p>
      <w:pPr>
        <w:pStyle w:val="Heading3"/>
      </w:pPr>
      <w:r>
        <w:t>Particularité des voies d'administration</w:t>
      </w:r>
    </w:p>
    <w:p>
      <w:pPr>
        <w:pStyle w:val="ListBullet"/>
      </w:pPr>
      <w:r/>
      <w:r>
        <w:rPr>
          <w:b/>
        </w:rPr>
        <w:t>Comprimé à sucer</w:t>
      </w:r>
      <w:r>
        <w:t xml:space="preserve"> : libération lente, contact prolongé avec la muqueuse pharyngée. Contre-indiqué chez le nourrisson &lt; 6 ans (faux-risque de fausse route).</w:t>
      </w:r>
    </w:p>
    <w:p>
      <w:pPr>
        <w:pStyle w:val="ListBullet"/>
      </w:pPr>
      <w:r/>
      <w:r>
        <w:rPr>
          <w:b/>
        </w:rPr>
        <w:t>Collutoire</w:t>
      </w:r>
      <w:r>
        <w:t xml:space="preserve"> : pulvérisation directe sur la muqueuse pharyngée. Contre-indiqué chez l'enfant &lt; 30 mois (risque laryngospasme au contact du jet).</w:t>
      </w:r>
    </w:p>
    <w:p>
      <w:pPr>
        <w:pStyle w:val="Heading3"/>
      </w:pPr>
      <w:r>
        <w:t>Limites et mésusage</w:t>
      </w:r>
    </w:p>
    <w:p>
      <w:pPr>
        <w:pStyle w:val="ListBullet"/>
      </w:pPr>
      <w:r/>
      <w:r>
        <w:rPr>
          <w:b/>
        </w:rPr>
        <w:t>Effet antiseptique local d'efficacité modérée</w:t>
      </w:r>
      <w:r>
        <w:t xml:space="preserve"> vs antibiotiques locaux ;</w:t>
      </w:r>
    </w:p>
    <w:p>
      <w:pPr>
        <w:pStyle w:val="ListBullet"/>
      </w:pPr>
      <w:r/>
      <w:r>
        <w:rPr>
          <w:b/>
        </w:rPr>
        <w:t>Risque d'allergie</w:t>
      </w:r>
      <w:r>
        <w:t xml:space="preserve"> (lysozyme d'origine protéique dérivée du blanc d'œuf : CI en cas d'allergie sévère à l'ovalbumine) ;</w:t>
      </w:r>
    </w:p>
    <w:p>
      <w:pPr>
        <w:pStyle w:val="ListBullet"/>
      </w:pPr>
      <w:r/>
      <w:r>
        <w:rPr>
          <w:b/>
        </w:rPr>
        <w:t>Usage prolongé</w:t>
      </w:r>
      <w:r>
        <w:t xml:space="preserve"> déconseillé (sélection de germes résistants, modifications de la flore commensale pharyngée) ;</w:t>
      </w:r>
    </w:p>
    <w:p>
      <w:pPr>
        <w:pStyle w:val="ListBullet"/>
      </w:pPr>
      <w:r/>
      <w:r>
        <w:rPr>
          <w:b/>
        </w:rPr>
        <w:t>Interférence avec le TDR streptococcique</w:t>
      </w:r>
      <w:r>
        <w:t xml:space="preserve"> : une toilette pharyngée antiseptique préalable peut interférer avec le test de diagnostic rapide en réduisant la charge bactérienne pharyngée — d'où la règle de réaliser le TDR avant tout collutoire antiseptique.</w:t>
      </w:r>
    </w:p>
    <w:p>
      <w:pPr>
        <w:pStyle w:val="Heading2"/>
      </w:pPr>
      <w:r>
        <w:t>131.4. Sous-classe : Antibiotiques otiques (amphénicolés)</w:t>
      </w:r>
    </w:p>
    <w:p>
      <w:pPr>
        <w:pStyle w:val="Heading3"/>
      </w:pPr>
      <w:r>
        <w:t>Définition</w:t>
      </w:r>
    </w:p>
    <w:p>
      <w:r>
        <w:t xml:space="preserve">Les amphénicolés sont une famille d'antibiotiques inhibiteurs de la synthèse protéique bactérienne, dont le chef de file est le chloramphénicol (isolé en 1947 à partir de </w:t>
      </w:r>
      <w:r>
        <w:rPr>
          <w:i/>
        </w:rPr>
        <w:t>Streptomyces venezuelae</w:t>
      </w:r>
      <w:r>
        <w:t>). Cette famille inclut également le thiamphénicol et le florfénicol (usage vétérinaire principalement). Le chloramphénicol a été historiquement un antibiotique majeur (large spectre, excellentse diffusion tissulaire y compris méningée) avant d'être drastiquement restreint dans les années 1960–1970 après la description d'aplasies médullaires (parfois mortelles) attribuées à une toxicité mitochondriale idiosyncrasique.</w:t>
      </w:r>
    </w:p>
    <w:p>
      <w:pPr>
        <w:pStyle w:val="Heading3"/>
      </w:pPr>
      <w:r>
        <w:t>Mécanisme d'action</w:t>
      </w:r>
    </w:p>
    <w:p>
      <w:r>
        <w:t xml:space="preserve">Le chloramphénicol se fixe sur la sous-unité 50S du ribosome bactérien, au niveau du site P (peptidyl), en interagissant avec l'ARN ribosomal 23S. Il inhibe ainsi l'activité </w:t>
      </w:r>
      <w:r>
        <w:rPr>
          <w:b/>
        </w:rPr>
        <w:t>peptidyl transférase</w:t>
      </w:r>
      <w:r>
        <w:t xml:space="preserve">, enzyme ribosomique responsable de la formation de la liaison peptidique entre l'acide aminé entrant (porté par l'ARNt du site A) et la chaîne peptidique naissante (portée par l'ARNt du site P). Le résultat est un arrêt de l'élongation protéique → effet </w:t>
      </w:r>
      <w:r>
        <w:rPr>
          <w:b/>
        </w:rPr>
        <w:t>bactériostatique</w:t>
      </w:r>
      <w:r>
        <w:t xml:space="preserve"> (bactéricide à fortes concentrations sur </w:t>
      </w:r>
      <w:r>
        <w:rPr>
          <w:i/>
        </w:rPr>
        <w:t>H. influenzae</w:t>
      </w:r>
      <w:r>
        <w:t xml:space="preserve">, </w:t>
      </w:r>
      <w:r>
        <w:rPr>
          <w:i/>
        </w:rPr>
        <w:t>N. meningitidis</w:t>
      </w:r>
      <w:r>
        <w:t xml:space="preserve">, </w:t>
      </w:r>
      <w:r>
        <w:rPr>
          <w:i/>
        </w:rPr>
        <w:t>S. pneumoniae</w:t>
      </w:r>
      <w:r>
        <w:t>).</w:t>
      </w:r>
    </w:p>
    <w:p>
      <w:r>
        <w:t>Spectre : très large — bactéries Gram+ (</w:t>
      </w:r>
      <w:r>
        <w:rPr>
          <w:i/>
        </w:rPr>
        <w:t>S. aureus</w:t>
      </w:r>
      <w:r>
        <w:t xml:space="preserve">, </w:t>
      </w:r>
      <w:r>
        <w:rPr>
          <w:i/>
        </w:rPr>
        <w:t>S. pyogenes</w:t>
      </w:r>
      <w:r>
        <w:t xml:space="preserve">, </w:t>
      </w:r>
      <w:r>
        <w:rPr>
          <w:i/>
        </w:rPr>
        <w:t>S. pneumoniae</w:t>
      </w:r>
      <w:r>
        <w:t xml:space="preserve">, </w:t>
      </w:r>
      <w:r>
        <w:rPr>
          <w:i/>
        </w:rPr>
        <w:t>Enterococcus</w:t>
      </w:r>
      <w:r>
        <w:t xml:space="preserve"> spp.), Gram− (</w:t>
      </w:r>
      <w:r>
        <w:rPr>
          <w:i/>
        </w:rPr>
        <w:t>H. influenzae</w:t>
      </w:r>
      <w:r>
        <w:t xml:space="preserve">, </w:t>
      </w:r>
      <w:r>
        <w:rPr>
          <w:i/>
        </w:rPr>
        <w:t>N. gonorrhoeae</w:t>
      </w:r>
      <w:r>
        <w:t xml:space="preserve">, </w:t>
      </w:r>
      <w:r>
        <w:rPr>
          <w:i/>
        </w:rPr>
        <w:t>N. meningitidis</w:t>
      </w:r>
      <w:r>
        <w:t xml:space="preserve">, </w:t>
      </w:r>
      <w:r>
        <w:rPr>
          <w:i/>
        </w:rPr>
        <w:t>B. pertussis</w:t>
      </w:r>
      <w:r>
        <w:t xml:space="preserve">, entérobactéries, </w:t>
      </w:r>
      <w:r>
        <w:rPr>
          <w:i/>
        </w:rPr>
        <w:t>Salmonella</w:t>
      </w:r>
      <w:r>
        <w:t xml:space="preserve"> spp., </w:t>
      </w:r>
      <w:r>
        <w:rPr>
          <w:i/>
        </w:rPr>
        <w:t>Shigella</w:t>
      </w:r>
      <w:r>
        <w:t xml:space="preserve"> spp., </w:t>
      </w:r>
      <w:r>
        <w:rPr>
          <w:i/>
        </w:rPr>
        <w:t>Yersinia pestis</w:t>
      </w:r>
      <w:r>
        <w:t>), anaérobies (</w:t>
      </w:r>
      <w:r>
        <w:rPr>
          <w:i/>
        </w:rPr>
        <w:t>Bacteroides</w:t>
      </w:r>
      <w:r>
        <w:t xml:space="preserve"> spp., </w:t>
      </w:r>
      <w:r>
        <w:rPr>
          <w:i/>
        </w:rPr>
        <w:t>Clostridium</w:t>
      </w:r>
      <w:r>
        <w:t xml:space="preserve"> spp.), spirochètes (</w:t>
      </w:r>
      <w:r>
        <w:rPr>
          <w:i/>
        </w:rPr>
        <w:t>T. pallidum</w:t>
      </w:r>
      <w:r>
        <w:t xml:space="preserve">, </w:t>
      </w:r>
      <w:r>
        <w:rPr>
          <w:i/>
        </w:rPr>
        <w:t>Leptospira</w:t>
      </w:r>
      <w:r>
        <w:t xml:space="preserve"> spp.), rickettsies, chlamydies, mycoplasmes. </w:t>
      </w:r>
      <w:r>
        <w:rPr>
          <w:b/>
        </w:rPr>
        <w:t>Résistance</w:t>
      </w:r>
      <w:r>
        <w:t xml:space="preserve"> : production de chloramphénicol acétyltransférase (CAT) qui inactive la molécule par acétylation ; résistance croisée avec le thiamphénicol.</w:t>
      </w:r>
    </w:p>
    <w:p>
      <w:pPr>
        <w:pStyle w:val="Heading3"/>
      </w:pPr>
      <w:r>
        <w:t>Ototoxicité et toxicité systémique</w:t>
      </w:r>
    </w:p>
    <w:p>
      <w:r>
        <w:t>Le chloramphénicol expose à plusieurs types de toxicité :</w:t>
      </w:r>
    </w:p>
    <w:p>
      <w:pPr>
        <w:pStyle w:val="ListNumber"/>
      </w:pPr>
      <w:r/>
      <w:r>
        <w:rPr>
          <w:b/>
        </w:rPr>
        <w:t>Aplasie médullaire</w:t>
      </w:r>
      <w:r>
        <w:t xml:space="preserve"> (incidence ~1/25 000–40 000 sujets exposés, indépendante de la dose, immuno-allergique ou liée à une toxicité mitochondriale sur la synthèse de l'ADN mitochondrial) — exceptionnelle par voie locale mais théoriquement possible ;</w:t>
      </w:r>
    </w:p>
    <w:p>
      <w:pPr>
        <w:pStyle w:val="ListNumber"/>
      </w:pPr>
      <w:r/>
      <w:r>
        <w:rPr>
          <w:b/>
        </w:rPr>
        <w:t>Syndrome gris du nourrisson</w:t>
      </w:r>
      <w:r>
        <w:t xml:space="preserve"> (gray baby syndrome) : intoxication grave du nouveau-né et du nourrisson &lt; 1 mois par accumulation de chloramphénicol libre (immaturité de la glucuronoconjugaison hépatique et de l'excrétion rénale) — syndrome de collapse cardiovasculaire, cyanose grise, hypothermie, décès dans 40 % des cas. CI absolue chez le nourrisson &lt; 1 mois, et par prudence chez le nourrisson &lt; 6 mois ;</w:t>
      </w:r>
    </w:p>
    <w:p>
      <w:pPr>
        <w:pStyle w:val="ListNumber"/>
      </w:pPr>
      <w:r/>
      <w:r>
        <w:rPr>
          <w:b/>
        </w:rPr>
        <w:t>Anémie aplasique retardée</w:t>
      </w:r>
      <w:r>
        <w:t xml:space="preserve"> (moindre fréquence) ;</w:t>
      </w:r>
    </w:p>
    <w:p>
      <w:pPr>
        <w:pStyle w:val="ListNumber"/>
      </w:pPr>
      <w:r/>
      <w:r>
        <w:rPr>
          <w:b/>
        </w:rPr>
        <w:t>Neuropathie optique rétrobulbaire</w:t>
      </w:r>
      <w:r>
        <w:t xml:space="preserve"> (à fortes doses cumulatives) ;</w:t>
      </w:r>
    </w:p>
    <w:p>
      <w:pPr>
        <w:pStyle w:val="ListNumber"/>
      </w:pPr>
      <w:r/>
      <w:r>
        <w:rPr>
          <w:b/>
        </w:rPr>
        <w:t>Ototoxicité</w:t>
      </w:r>
      <w:r>
        <w:t xml:space="preserve"> : discutée. À fortes doses systémiques, le chloramphénicol a été impliqué dans des surdités réversibles ou irréversibles, principalement chez l'enfant. Par voie locale otique, l'ototoxicité est théorique (faible passage systémique) mais le produit est contre-indiqué en cas de tympan perforé par prudence.</w:t>
      </w:r>
    </w:p>
    <w:p>
      <w:pPr>
        <w:pStyle w:val="Heading3"/>
      </w:pPr>
      <w:r>
        <w:t>Place résiduelle de l'usage otique du chloramphénicol</w:t>
      </w:r>
    </w:p>
    <w:p>
      <w:r>
        <w:t>En France comme en Algérie, le chloramphénicol n'est pratiquement plus utilisé par voie otique. Les spécialités historiques (CHLOROMYCETINE gouttes otiques) ont été retirées du marché. La nomenclature algérienne ne conserve le chloramphénicol que sous forme de collyre (CEBENICOL) — c'est-à-dire un usage ophtalmique strict. Le prolongement éventuel vers l'usage otique en prescription hors AMM est contre-indiqué formellement chez le nourrisson &lt; 6 mois, et déconseillé à tout âge en cas de tympan perforé.</w:t>
      </w:r>
    </w:p>
    <w:p>
      <w:r>
        <w:t>L'Académie américaine d'oto-rhino-laryngologie (AAO-HNS) et la SFORL classent le chloramphénicol parmi les molécules ototoxiques locales à éviter en présence d'une perforation tympanique ou d'un tube de ventilation trans-tympanique.</w:t>
      </w:r>
    </w:p>
    <w:p>
      <w:pPr>
        <w:pStyle w:val="Heading2"/>
      </w:pPr>
      <w:r>
        <w:t>131.5. Sous-classe : Antibiotiques otiques (ansamycines)</w:t>
      </w:r>
    </w:p>
    <w:p>
      <w:pPr>
        <w:pStyle w:val="Heading3"/>
      </w:pPr>
      <w:r>
        <w:t>Définition et place de la rifamycine SV</w:t>
      </w:r>
    </w:p>
    <w:p>
      <w:r>
        <w:t xml:space="preserve">Les ansamycines sont une classe d'antibiotiques macrocycliques (caractérisés par un noyau aromatique relié à une chaîne aliphatique formant un pont ansa) comprenant la </w:t>
      </w:r>
      <w:r>
        <w:rPr>
          <w:b/>
        </w:rPr>
        <w:t>rifamycine SV</w:t>
      </w:r>
      <w:r>
        <w:t xml:space="preserve">, la </w:t>
      </w:r>
      <w:r>
        <w:rPr>
          <w:b/>
        </w:rPr>
        <w:t>rifampicine</w:t>
      </w:r>
      <w:r>
        <w:t xml:space="preserve"> (hydrazone semi-synthétique de la rifamycine SV), la </w:t>
      </w:r>
      <w:r>
        <w:rPr>
          <w:b/>
        </w:rPr>
        <w:t>rifabutine</w:t>
      </w:r>
      <w:r>
        <w:t xml:space="preserve"> et la </w:t>
      </w:r>
      <w:r>
        <w:rPr>
          <w:b/>
        </w:rPr>
        <w:t>rifapentine</w:t>
      </w:r>
      <w:r>
        <w:t xml:space="preserve">. La rifampicine est l'antituberculeux majeur de première ligne (traité au chapitre 8 du Fascicule I de cette série). La </w:t>
      </w:r>
      <w:r>
        <w:rPr>
          <w:b/>
        </w:rPr>
        <w:t>rifamycine SV</w:t>
      </w:r>
      <w:r>
        <w:t xml:space="preserve"> est la forme parentérale et topique de l'ansamycine, conservée pour des usages locaux : collyre ophtalmique, pommade ophtalmique et solution auriculaire.</w:t>
      </w:r>
    </w:p>
    <w:p>
      <w:pPr>
        <w:pStyle w:val="Heading3"/>
      </w:pPr>
      <w:r>
        <w:t>Mécanisme d'action</w:t>
      </w:r>
    </w:p>
    <w:p>
      <w:r>
        <w:t>La rifamycine SV inhibe spécifiquement l'</w:t>
      </w:r>
      <w:r>
        <w:rPr>
          <w:b/>
        </w:rPr>
        <w:t>ARN polymérase ADN-dépendante bactérienne</w:t>
      </w:r>
      <w:r>
        <w:t xml:space="preserve">, en se fixant sur la sous-unité β (rpoB). Cette fixation bloque l'initiation de la transcription de l'ADN en ARN messager → blocage de la synthèse protéique → effet </w:t>
      </w:r>
      <w:r>
        <w:rPr>
          <w:b/>
        </w:rPr>
        <w:t>bactéricide</w:t>
      </w:r>
      <w:r>
        <w:t>. La spécificité d'action tient à l'affinité très élevée de la rifamycine pour l'ARN polymérase bactérienne (Ki ~10⁻⁸ M) par rapport à l'ARN polymérase eucaryote (rapport ~10⁴), expliquant la sélectivité. Le risque d'émergence de résistances chromosomiques ponctuelles (mutation rpoB) est élevé en monothérapie — d'où la règle d'association systématique de la rifampicine aux antituberculeux systémiques ; cette règle ne s'applique pas à la rifamycine SV topique, l'exposition locale étant limitée dans le temps.</w:t>
      </w:r>
    </w:p>
    <w:p>
      <w:pPr>
        <w:pStyle w:val="Heading3"/>
      </w:pPr>
      <w:r>
        <w:t>Spectre antibactérien</w:t>
      </w:r>
    </w:p>
    <w:p>
      <w:pPr>
        <w:pStyle w:val="ListBullet"/>
      </w:pPr>
      <w:r/>
      <w:r>
        <w:rPr>
          <w:b/>
        </w:rPr>
        <w:t>Gram+</w:t>
      </w:r>
      <w:r>
        <w:t xml:space="preserve"> : *S. aureus* (y compris certains SARM), *S. pyogenes*, *S. pneumoniae*, *Enterococcus* spp.</w:t>
      </w:r>
    </w:p>
    <w:p>
      <w:pPr>
        <w:pStyle w:val="ListBullet"/>
      </w:pPr>
      <w:r/>
      <w:r>
        <w:rPr>
          <w:b/>
        </w:rPr>
        <w:t>Gram−</w:t>
      </w:r>
      <w:r>
        <w:t xml:space="preserve"> : *N. gonorrhoeae*, *N. meningitidis*, *H. influenzae* (modérément sensible), *Bordetella pertussis*.</w:t>
      </w:r>
    </w:p>
    <w:p>
      <w:pPr>
        <w:pStyle w:val="ListBullet"/>
      </w:pPr>
      <w:r/>
      <w:r>
        <w:rPr>
          <w:b/>
        </w:rPr>
        <w:t>Mycobactéries</w:t>
      </w:r>
      <w:r>
        <w:t xml:space="preserve"> : *M. tuberculosis*, mycobactéries atypiques.</w:t>
      </w:r>
    </w:p>
    <w:p>
      <w:pPr>
        <w:pStyle w:val="ListBullet"/>
      </w:pPr>
      <w:r/>
      <w:r>
        <w:rPr>
          <w:b/>
        </w:rPr>
        <w:t>Chlamydia</w:t>
      </w:r>
      <w:r>
        <w:t xml:space="preserve"> spp., *Rickettsia* spp.</w:t>
      </w:r>
    </w:p>
    <w:p>
      <w:pPr>
        <w:pStyle w:val="ListBullet"/>
      </w:pPr>
      <w:r>
        <w:t xml:space="preserve">*Pseudomonas aeruginosa* est </w:t>
      </w:r>
      <w:r>
        <w:rPr>
          <w:b/>
        </w:rPr>
        <w:t>modérément sensible</w:t>
      </w:r>
      <w:r>
        <w:t xml:space="preserve"> (CMI ~16–32 mg/L).</w:t>
      </w:r>
    </w:p>
    <w:p>
      <w:pPr>
        <w:pStyle w:val="Heading3"/>
      </w:pPr>
      <w:r>
        <w:t>Place dans la thérapeutique otique</w:t>
      </w:r>
    </w:p>
    <w:p>
      <w:r>
        <w:t>La rifamycine SV otique (OTOFA) a longtemps été une spécialité de référence dans les otites externes locales et les otorrhées post-tubaires chez l'enfant porteur d'aérateur trans-tympanique. Son intérêt majeur résidait dans :</w:t>
      </w:r>
    </w:p>
    <w:p>
      <w:pPr>
        <w:pStyle w:val="ListBullet"/>
      </w:pPr>
      <w:r>
        <w:t xml:space="preserve">Une </w:t>
      </w:r>
      <w:r>
        <w:rPr>
          <w:b/>
        </w:rPr>
        <w:t>absence d'ototoxicité démontrée</w:t>
      </w:r>
      <w:r>
        <w:t xml:space="preserve"> (contrairement aux aminosides locaux) ;</w:t>
      </w:r>
    </w:p>
    <w:p>
      <w:pPr>
        <w:pStyle w:val="ListBullet"/>
      </w:pPr>
      <w:r>
        <w:t xml:space="preserve">Une </w:t>
      </w:r>
      <w:r>
        <w:rPr>
          <w:b/>
        </w:rPr>
        <w:t>absence d'interaction médicamenteuse systémique</w:t>
      </w:r>
      <w:r>
        <w:t xml:space="preserve"> (contrairement à la rifampicine orale qui est un inducteur pan-CYP puissant), en raison du passage systémique négligeable ;</w:t>
      </w:r>
    </w:p>
    <w:p>
      <w:pPr>
        <w:pStyle w:val="ListBullet"/>
      </w:pPr>
      <w:r>
        <w:t>Une bonne tolérance locale.</w:t>
      </w:r>
    </w:p>
    <w:p>
      <w:r>
        <w:t xml:space="preserve">Elle a été toutefois progressivement supplantée par les fluoroquinolones locales (ciprofloxacine), dont le spectre sur </w:t>
      </w:r>
      <w:r>
        <w:rPr>
          <w:i/>
        </w:rPr>
        <w:t>P. aeruginosa</w:t>
      </w:r>
      <w:r>
        <w:t xml:space="preserve"> est supérieur. La rifamycine SV otique conserve une place de choix en alternative aux fluoroquinolones locales chez le nourrisson &lt; 1 an (où les fluoroquinolones otiques sont par prudence contre-indiquées par le laboratoire fabricant, en l'absence de données de toxicité validées).</w:t>
      </w:r>
    </w:p>
    <w:p>
      <w:pPr>
        <w:pStyle w:val="Heading3"/>
      </w:pPr>
      <w:r>
        <w:t>Particularité galénique</w:t>
      </w:r>
    </w:p>
    <w:p>
      <w:r>
        <w:t>OTOFA est formulé en solution huileuse (macrogol glycéryl ricinoléate — excipient), conditionnée en flacon de 10 mL avec embout compte-gouttes. L'usage est strictement otique ; toute utilisation ophtalmique de la solution otique est à proscrire en raison de l'excipient irritant pour la cornée. À l'inverse, le collyre RIFAMYCINE CHIBRET (Théa) est une formulation aqueuse sterile ophtalmique.</w:t>
      </w:r>
    </w:p>
    <w:p>
      <w:pPr>
        <w:pStyle w:val="Heading2"/>
      </w:pPr>
      <w:r>
        <w:t>131.6. Sous-classe : Antibiotiques otiques (fluoroquinolones)</w:t>
      </w:r>
    </w:p>
    <w:p>
      <w:pPr>
        <w:pStyle w:val="Heading3"/>
      </w:pPr>
      <w:r>
        <w:t>Définition et place dans la thérapeutique otique</w:t>
      </w:r>
    </w:p>
    <w:p>
      <w:r>
        <w:t xml:space="preserve">Les fluoroquinolones (FQ) sont des antibiotiques synthétiques dérivés de l'acide nalidixique (introduit en 1962), dont la structure commune est un noyau 4-quinoléone porteur d'un fluor en position 6 (d'où le nom) et d'un groupement pipérazinyle en position 7. Les FQ sont classées en quatre générations : 1re (acide nalidixique, acide pipémidique — usage urinaire), 2e (péfloxacine, norfloxacine, ofloxacine, ciprofloxacine — usage systémique et urinaire), 3e (lévofloxacine — isomère lévogyre de l'ofloxacine, spectre pneumococcique), 4e (moxifloxacine — spectre étendu aux anaérobies). Pour l'usage otique, les FQ employées sont principalement la </w:t>
      </w:r>
      <w:r>
        <w:rPr>
          <w:b/>
        </w:rPr>
        <w:t>ciprofloxacine</w:t>
      </w:r>
      <w:r>
        <w:t>, l'</w:t>
      </w:r>
      <w:r>
        <w:rPr>
          <w:b/>
        </w:rPr>
        <w:t>ofloxacine</w:t>
      </w:r>
      <w:r>
        <w:t xml:space="preserve"> et la </w:t>
      </w:r>
      <w:r>
        <w:rPr>
          <w:b/>
        </w:rPr>
        <w:t>lévofloxacine</w:t>
      </w:r>
      <w:r>
        <w:t>, choisies pour leur activité anti-</w:t>
      </w:r>
      <w:r>
        <w:rPr>
          <w:i/>
        </w:rPr>
        <w:t>Pseudomonas</w:t>
      </w:r>
      <w:r>
        <w:t xml:space="preserve"> et leur absence d'ototoxicité locale démontrée.</w:t>
      </w:r>
    </w:p>
    <w:p>
      <w:pPr>
        <w:pStyle w:val="Heading3"/>
      </w:pPr>
      <w:r>
        <w:t>Mécanisme d'action</w:t>
      </w:r>
    </w:p>
    <w:p>
      <w:r>
        <w:t>Les FQ inhibent deux enzymes bactériennes de type II topoisomérase :</w:t>
      </w:r>
    </w:p>
    <w:p>
      <w:pPr>
        <w:pStyle w:val="ListBullet"/>
      </w:pPr>
      <w:r/>
      <w:r>
        <w:rPr>
          <w:b/>
        </w:rPr>
        <w:t>ADN gyrase</w:t>
      </w:r>
      <w:r>
        <w:t xml:space="preserve"> (topoisomérase II) : enzyme bactérienne introduisant des coupures double-brin dans l'ADN, permettant le repliement de l'ADN super-enroulé positivement en ADN super-enroulé négativement — indispensable à la réplication et à la transcription. La gyrase est composée de deux sous-unités GyrA (cible des FQ) et GyrB (cible des coumamycines).</w:t>
      </w:r>
    </w:p>
    <w:p>
      <w:pPr>
        <w:pStyle w:val="ListBullet"/>
      </w:pPr>
      <w:r/>
      <w:r>
        <w:rPr>
          <w:b/>
        </w:rPr>
        <w:t>Topoisomérase IV</w:t>
      </w:r>
      <w:r>
        <w:t xml:space="preserve"> : enzyme bactérienne responsables de la séparation des chromosomes fille après la réplication (décaténation). Composée de sous-unités ParC (cible des FQ) et ParE.</w:t>
      </w:r>
    </w:p>
    <w:p>
      <w:r>
        <w:t xml:space="preserve">L'inhibition de ces enzymes entraîne un blocage de la réplication et de la transcription de l'ADN bactérien, suivi de fragmentation de l'ADN chromosomique (effet toxique), d'où un effet </w:t>
      </w:r>
      <w:r>
        <w:rPr>
          <w:b/>
        </w:rPr>
        <w:t>bactéricide concentration-dépendant</w:t>
      </w:r>
      <w:r>
        <w:t>.</w:t>
      </w:r>
    </w:p>
    <w:p>
      <w:r>
        <w:t>Spectre :</w:t>
      </w:r>
    </w:p>
    <w:p>
      <w:pPr>
        <w:pStyle w:val="ListBullet"/>
      </w:pPr>
      <w:r/>
      <w:r>
        <w:rPr>
          <w:b/>
        </w:rPr>
        <w:t>Ciprofloxacine</w:t>
      </w:r>
      <w:r>
        <w:t xml:space="preserve"> : excellent sur Gram− aérobies (entérobactéries, *P. aeruginosa*, *H. influenzae*, *N. gonorrhoeae*, *M. catarrhalis*, *Legionella* spp., *Campylobacter* spp.), bon sur Gram+ (modéré sur *S. pneumoniae*), inactif sur anaérobies.</w:t>
      </w:r>
    </w:p>
    <w:p>
      <w:pPr>
        <w:pStyle w:val="ListBullet"/>
      </w:pPr>
      <w:r/>
      <w:r>
        <w:rPr>
          <w:b/>
        </w:rPr>
        <w:t>Ofloxacine</w:t>
      </w:r>
      <w:r>
        <w:t xml:space="preserve"> : spectre légèrement supérieur sur *S. pneumoniae* et *Chlamydia*, inférieur sur *P. aeruginosa*.</w:t>
      </w:r>
    </w:p>
    <w:p>
      <w:pPr>
        <w:pStyle w:val="ListBullet"/>
      </w:pPr>
      <w:r/>
      <w:r>
        <w:rPr>
          <w:b/>
        </w:rPr>
        <w:t>Lévofloxacine</w:t>
      </w:r>
      <w:r>
        <w:t xml:space="preserve"> : isomère L de l'ofloxacine, 8–128× plus active que l'ofloxacine racémique, excellent sur pneumocoque (y compris pénicillino-résistant), *H. influenzae*, *M. catarrhalis*, *C. pneumoniae*, *L. pneumophila*, *M. tuberculosis*. Bonne activité sur *P. aeruginosa* (modérée).</w:t>
      </w:r>
    </w:p>
    <w:p>
      <w:pPr>
        <w:pStyle w:val="Heading3"/>
      </w:pPr>
      <w:r>
        <w:t>Absence d'ototoxicité locale</w:t>
      </w:r>
    </w:p>
    <w:p>
      <w:r>
        <w:t xml:space="preserve">L'avantage majeur des FQ en application otique est leur </w:t>
      </w:r>
      <w:r>
        <w:rPr>
          <w:b/>
        </w:rPr>
        <w:t>absence d'ototoxicité locale démontrée</w:t>
      </w:r>
      <w:r>
        <w:t xml:space="preserve">. Les études expérimentales chez l'animal (cobaye, chinchilla) n'ont pas montré de lésion cochléaire ou vestibulaire après instillation transtympanique de ciprofloxacine, d'ofloxacine ou de lévofloxacine. Les études cliniques prospectives chez l'enfant porteur d'aérateur trans-tympanique avec otorrhée n'ont pas montré de retentissement audiométrique. Les FQ locales sont donc </w:t>
      </w:r>
      <w:r>
        <w:rPr>
          <w:b/>
        </w:rPr>
        <w:t>autorisées en cas de tympan perforé</w:t>
      </w:r>
      <w:r>
        <w:t>, ce qui les oppose formellement aux aminosides locaux, à la polymyxine B, et — par prudence — au chloramphénicol et aux antiseptiques boriques.</w:t>
      </w:r>
    </w:p>
    <w:p>
      <w:pPr>
        <w:pStyle w:val="Heading3"/>
      </w:pPr>
      <w:r>
        <w:t>Particularités PK locales</w:t>
      </w:r>
    </w:p>
    <w:p>
      <w:r>
        <w:t>L'instillation de FQ dans le CAE intact conduit à une concentration locale très élevée (&gt;&gt; CMI des germes otitiques), avec un passage systémique négligeable (&lt; 1 % de la dose administrée). En cas de perforation tympanique ou d'ATT en place, le passage systémique augmente mais reste faible, sans retentissement clinique (pas d'effets systémiques attendus aux doses thérapeutiques otiques). Aucune adaptation posologique n'est nécessaire en cas d'insuffisance rénale ou hépatique, en raison du passage systémique négligeable.</w:t>
      </w:r>
    </w:p>
    <w:p>
      <w:pPr>
        <w:pStyle w:val="Heading3"/>
      </w:pPr>
      <w:r>
        <w:t>Précautions pédiatriques</w:t>
      </w:r>
    </w:p>
    <w:p>
      <w:r>
        <w:t xml:space="preserve">L'usage des FQ </w:t>
      </w:r>
      <w:r>
        <w:rPr>
          <w:b/>
        </w:rPr>
        <w:t>systémiques</w:t>
      </w:r>
      <w:r>
        <w:t xml:space="preserve"> est déconseillé chez l'enfant et l'adolescent en croissance en raison du risque théorique d'arthropathie (lésions cartilagineuses observées chez le jeune chien et le jeune rat). Ce risque n'a pas été confirmé chez l'enfant pour les FQ locales otiques, mais par prudence, les laboratoires fabricants contre-indiquent :</w:t>
      </w:r>
    </w:p>
    <w:p>
      <w:pPr>
        <w:pStyle w:val="ListBullet"/>
      </w:pPr>
      <w:r/>
      <w:r>
        <w:rPr>
          <w:b/>
        </w:rPr>
        <w:t>Ciprofloxacine otique</w:t>
      </w:r>
      <w:r>
        <w:t xml:space="preserve"> : CI chez le nourrisson &lt; 1 an (selon spécialité) ; prudence chez l'enfant &lt; 6 ans ;</w:t>
      </w:r>
    </w:p>
    <w:p>
      <w:pPr>
        <w:pStyle w:val="ListBullet"/>
      </w:pPr>
      <w:r/>
      <w:r>
        <w:rPr>
          <w:b/>
        </w:rPr>
        <w:t>Ofloxacine otique</w:t>
      </w:r>
      <w:r>
        <w:t xml:space="preserve"> : CI chez le nourrisson &lt; 1 an, prudence chez l'enfant ;</w:t>
      </w:r>
    </w:p>
    <w:p>
      <w:pPr>
        <w:pStyle w:val="ListBullet"/>
      </w:pPr>
      <w:r/>
      <w:r>
        <w:rPr>
          <w:b/>
        </w:rPr>
        <w:t>Lévofloxacine locale</w:t>
      </w:r>
      <w:r>
        <w:t xml:space="preserve"> : données pédiatriques limitées.</w:t>
      </w:r>
    </w:p>
    <w:p>
      <w:r>
        <w:t>En pratique clinique, les FQ otiques sont largement utilisées chez l'enfant (y compris &lt; 1 an) porteur d'ATT avec otorrhée, sous surveillance médicale ORL.</w:t>
      </w:r>
    </w:p>
    <w:p>
      <w:pPr>
        <w:pStyle w:val="Heading3"/>
      </w:pPr>
      <w:r>
        <w:t>Place dans la stratégie thérapeutique otique</w:t>
      </w:r>
    </w:p>
    <w:p>
      <w:r>
        <w:t>Les FQ locales sont aujourd'hui le traitement de référence :</w:t>
      </w:r>
    </w:p>
    <w:p>
      <w:pPr>
        <w:pStyle w:val="ListBullet"/>
      </w:pPr>
      <w:r>
        <w:t xml:space="preserve">Des </w:t>
      </w:r>
      <w:r>
        <w:rPr>
          <w:b/>
        </w:rPr>
        <w:t>otites externes diffuses</w:t>
      </w:r>
      <w:r>
        <w:t xml:space="preserve"> bactériennes (1re intention selon SFORL 2017) ;</w:t>
      </w:r>
    </w:p>
    <w:p>
      <w:pPr>
        <w:pStyle w:val="ListBullet"/>
      </w:pPr>
      <w:r>
        <w:t xml:space="preserve">Des </w:t>
      </w:r>
      <w:r>
        <w:rPr>
          <w:b/>
        </w:rPr>
        <w:t>otorrhées sur aérateur trans-tympanique</w:t>
      </w:r>
      <w:r>
        <w:t xml:space="preserve"> (1re intention, en raison de la CI des aminosides et antiseptiques ototoxiques) ;</w:t>
      </w:r>
    </w:p>
    <w:p>
      <w:pPr>
        <w:pStyle w:val="ListBullet"/>
      </w:pPr>
      <w:r>
        <w:t xml:space="preserve">Des </w:t>
      </w:r>
      <w:r>
        <w:rPr>
          <w:b/>
        </w:rPr>
        <w:t>otites externes furonculeuses</w:t>
      </w:r>
      <w:r>
        <w:t xml:space="preserve"> débutantes (sans indication systémique) ;</w:t>
      </w:r>
    </w:p>
    <w:p>
      <w:pPr>
        <w:pStyle w:val="ListBullet"/>
      </w:pPr>
      <w:r>
        <w:t xml:space="preserve">Des </w:t>
      </w:r>
      <w:r>
        <w:rPr>
          <w:b/>
        </w:rPr>
        <w:t>préparations préopératoires</w:t>
      </w:r>
      <w:r>
        <w:t xml:space="preserve"> en chirurgie otologique.</w:t>
      </w:r>
    </w:p>
    <w:p>
      <w:r>
        <w:t>Les spécialités otiques commercialisées en Algérie :</w:t>
      </w:r>
    </w:p>
    <w:p>
      <w:pPr>
        <w:pStyle w:val="ListBullet"/>
      </w:pPr>
      <w:r/>
      <w:r>
        <w:rPr>
          <w:b/>
        </w:rPr>
        <w:t>Ciprofloxacine</w:t>
      </w:r>
      <w:r>
        <w:t xml:space="preserve"> : OTOCINE (Laboratoires Merinal), OTOFLOX (HUPP PHARMA) — solutions auriculaires stériles unidoses.</w:t>
      </w:r>
    </w:p>
    <w:p>
      <w:pPr>
        <w:pStyle w:val="ListBullet"/>
      </w:pPr>
      <w:r/>
      <w:r>
        <w:rPr>
          <w:b/>
        </w:rPr>
        <w:t>Ofloxacine</w:t>
      </w:r>
      <w:r>
        <w:t xml:space="preserve"> : usage otique principalement par extension du collyre CORONOL FREE (Generic Lab, solution stérile pour instillation oculaire et auriculaire).</w:t>
      </w:r>
    </w:p>
    <w:p>
      <w:pPr>
        <w:pStyle w:val="ListBullet"/>
      </w:pPr>
      <w:r/>
      <w:r>
        <w:rPr>
          <w:b/>
        </w:rPr>
        <w:t>Lévofloxacine</w:t>
      </w:r>
      <w:r>
        <w:t xml:space="preserve"> : usage otique par extension du collyre LEVOWORLD (World Medicine).</w:t>
      </w:r>
    </w:p>
    <w:p>
      <w:r>
        <w:t>La plupart de ces spécialités ne sont pas strictement enregistrées comme spécialités otiques dans la nomenclature algérienne, et leur usage otique est en pratique une extension ophtalmique. Cette pratique, bien que courante, doit être encadrée médicalement.</w:t>
      </w:r>
    </w:p>
    <w:p>
      <w:pPr>
        <w:pStyle w:val="Heading2"/>
      </w:pPr>
      <w:r>
        <w:t>131.7. Sous-classe : Anesthésiques otiques</w:t>
      </w:r>
    </w:p>
    <w:p>
      <w:pPr>
        <w:pStyle w:val="Heading3"/>
      </w:pPr>
      <w:r>
        <w:t>Définition et place dans la stratégie antalgique otique</w:t>
      </w:r>
    </w:p>
    <w:p>
      <w:r>
        <w:t xml:space="preserve">Les anesthésiques otiques sont des solutions instillées dans le conduit auditif externe en vue de produire une anesthésie locale de la membrane tympanique et du CAE, à visée antalgique. La seule association disponible dans la nomenclature algérienne est l'association </w:t>
      </w:r>
      <w:r>
        <w:rPr>
          <w:b/>
        </w:rPr>
        <w:t>phénazone + lidocaïne</w:t>
      </w:r>
      <w:r>
        <w:t xml:space="preserve"> (OTIPAX, ORICALM, OTIDIS), qui combine :</w:t>
      </w:r>
    </w:p>
    <w:p>
      <w:pPr>
        <w:pStyle w:val="ListBullet"/>
      </w:pPr>
      <w:r/>
      <w:r>
        <w:rPr>
          <w:b/>
        </w:rPr>
        <w:t>Phénazone</w:t>
      </w:r>
      <w:r>
        <w:t xml:space="preserve"> (antipyrine) : pyrazolone à propriétés antalgiques, antipyrétiques et anti-inflammatoires. Mécanisme : inhibition des cyclo-oxygénases (COX-1 et COX-2) → réduction de la synthèse des prostaglandines (PGE2) → réduction de l'inflammation et de la douleur. Action locale (effet anti-inflammatoire sur la muqueuse tympanique inflammée) + effet systémique possible en cas de résorption.</w:t>
      </w:r>
    </w:p>
    <w:p>
      <w:pPr>
        <w:pStyle w:val="ListBullet"/>
      </w:pPr>
      <w:r/>
      <w:r>
        <w:rPr>
          <w:b/>
        </w:rPr>
        <w:t>Lidocaïne</w:t>
      </w:r>
      <w:r>
        <w:t xml:space="preserve"> : anesthésique local de la famille des amides (liaison amide intermédiaire plus stable que les esters). Mécanisme : blocage des canaux sodiques voltage-dépendants (canaux NaV) dans leur état inactivé, ce qui empêche la conduction nerveuse des fibres sensitives du tympan et du CAE → anesthésie locale. Début d'action rapide (≤ 5 minutes), durée d'action ~30–60 min par application unique.</w:t>
      </w:r>
    </w:p>
    <w:p>
      <w:pPr>
        <w:pStyle w:val="Heading3"/>
      </w:pPr>
      <w:r>
        <w:t>Indication principale : otalgie de l'OMA non perforée</w:t>
      </w:r>
    </w:p>
    <w:p>
      <w:r>
        <w:t>L'association phénazone + lidocaïne est indiquée dans le traitement antalgique de l'otalgie aiguë de l'enfant et de l'adulte, en particulier dans l'</w:t>
      </w:r>
      <w:r>
        <w:rPr>
          <w:b/>
        </w:rPr>
        <w:t>otite moyenne aiguë (OMA) non perforée du nourrisson et de l'enfant</w:t>
      </w:r>
      <w:r>
        <w:t>. Les recommandations HAS 2019 et AFSSAPS 2011 placent l'antalgie en 1re intention dans l'OMA de l'enfant (paracétamol ± AINS), les gouttes otiques anesthésiques étant proposées en complément (niveau de preuve modéré, plusieurs essais contrôlés versus placebo montrant une réduction de l'otalgie à H2–H3).</w:t>
      </w:r>
    </w:p>
    <w:p>
      <w:pPr>
        <w:pStyle w:val="Heading3"/>
      </w:pPr>
      <w:r>
        <w:t>Condition d'emploi strict</w:t>
      </w:r>
    </w:p>
    <w:p>
      <w:r>
        <w:t xml:space="preserve">L'emploi de phénazone + lidocaïne suppose </w:t>
      </w:r>
      <w:r>
        <w:rPr>
          <w:b/>
        </w:rPr>
        <w:t>obligatoirement un tympan intact</w:t>
      </w:r>
      <w:r>
        <w:t xml:space="preserve"> :</w:t>
      </w:r>
    </w:p>
    <w:p>
      <w:pPr>
        <w:pStyle w:val="ListBullet"/>
      </w:pPr>
      <w:r>
        <w:t>La solution doit atteindre la face externe du tympan pour exercer son effet anesthésique local.</w:t>
      </w:r>
    </w:p>
    <w:p>
      <w:pPr>
        <w:pStyle w:val="ListBullet"/>
      </w:pPr>
      <w:r>
        <w:t>En cas de perforation tympanique, le passage systémique de la phénazone et de la lidocaïne augmente significativement, exposant à :</w:t>
      </w:r>
    </w:p>
    <w:p>
      <w:pPr>
        <w:pStyle w:val="ListBullet"/>
      </w:pPr>
      <w:r>
        <w:t>Effets systémiques de la lidocaïne (sédation, convulsions, bloc auriculo-ventriculaire, hypotension) ;</w:t>
      </w:r>
    </w:p>
    <w:p>
      <w:pPr>
        <w:pStyle w:val="ListBullet"/>
      </w:pPr>
      <w:r>
        <w:t>Effets systémiques de la phénazone (risque d'agranulocytose exceptionnel — identique aux pyrazolones systémiques) ;</w:t>
      </w:r>
    </w:p>
    <w:p>
      <w:pPr>
        <w:pStyle w:val="ListBullet"/>
      </w:pPr>
      <w:r>
        <w:t>Risque d'ototoxicité théorique (lidocaïne à forte dose en contact direct avec la fenêtre ronde peut altérer la conduction nerveuse cochléaire).</w:t>
      </w:r>
    </w:p>
    <w:p>
      <w:r/>
      <w:r>
        <w:rPr>
          <w:b/>
        </w:rPr>
        <w:t>La prescription initiale doit être médicale</w:t>
      </w:r>
      <w:r>
        <w:t xml:space="preserve"> : le médecin vérifie l'absence d'otorrhée (signe de perforation) à l'otoscopie avant toute prescription. Le pharmacien d'officina doit systématiquement demander à son client (ou aux parents de l'enfant) s'il existe un écoulement de l'oreille (signe de perforation tympanique probable), auquel cas la délivrance de phénazone + lidocaïne est formellement contre-indiquée et le patient doit être orienté vers le médecin.</w:t>
      </w:r>
    </w:p>
    <w:p>
      <w:pPr>
        <w:pStyle w:val="Heading3"/>
      </w:pPr>
      <w:r>
        <w:t>Précautions et limites d'emploi</w:t>
      </w:r>
    </w:p>
    <w:p>
      <w:pPr>
        <w:pStyle w:val="ListBullet"/>
      </w:pPr>
      <w:r/>
      <w:r>
        <w:rPr>
          <w:b/>
        </w:rPr>
        <w:t>Durée limitée</w:t>
      </w:r>
      <w:r>
        <w:t xml:space="preserve"> : ne pas dépasser 7 à 10 jours, en raison du risque de masquer une évolution défavorable (persistance ou aggravation d'une OMA nécessitant antibiothérapie systémique) ;</w:t>
      </w:r>
    </w:p>
    <w:p>
      <w:pPr>
        <w:pStyle w:val="ListBullet"/>
      </w:pPr>
      <w:r/>
      <w:r>
        <w:rPr>
          <w:b/>
        </w:rPr>
        <w:t>Posologie pédiatrique</w:t>
      </w:r>
      <w:r>
        <w:t xml:space="preserve"> : adaptation selon l'âge (généralement 4 gouttes × 2–3 fois/j chez l'adulte, 2–3 gouttes × 2–3 fois/j chez l'enfant) ;</w:t>
      </w:r>
    </w:p>
    <w:p>
      <w:pPr>
        <w:pStyle w:val="ListBullet"/>
      </w:pPr>
      <w:r/>
      <w:r>
        <w:rPr>
          <w:b/>
        </w:rPr>
        <w:t>Conservation</w:t>
      </w:r>
      <w:r>
        <w:t xml:space="preserve"> : conserver à l'abri de la lumière, ne pas utiliser au-delà de la date de péremption ;</w:t>
      </w:r>
    </w:p>
    <w:p>
      <w:pPr>
        <w:pStyle w:val="ListBullet"/>
      </w:pPr>
      <w:r/>
      <w:r>
        <w:rPr>
          <w:b/>
        </w:rPr>
        <w:t>Conditionnement</w:t>
      </w:r>
      <w:r>
        <w:t xml:space="preserve"> : unidoses ou flacon multidoses avec compte-gouttes ; ne pas toucher le conduit avec l'embout pour éviter la contamination microbienne.</w:t>
      </w:r>
    </w:p>
    <w:p>
      <w:pPr>
        <w:pStyle w:val="Heading2"/>
      </w:pPr>
      <w:r>
        <w:t>131.8. Fiches DCI</w:t>
      </w:r>
    </w:p>
    <w:p>
      <w:pPr>
        <w:pStyle w:val="Heading3"/>
      </w:pPr>
      <w:r>
        <w:t>131.8.1. Acide borique / Borate de sodium (usage otique)</w:t>
      </w:r>
    </w:p>
    <w:p>
      <w:pPr>
        <w:pStyle w:val="Heading4"/>
      </w:pPr>
      <w:r>
        <w:t>Liste catégories pharmaco-thérapeutiques</w:t>
      </w:r>
    </w:p>
    <w:p>
      <w:pPr>
        <w:pStyle w:val="ListBullet"/>
      </w:pPr>
      <w:r>
        <w:t>Antiseptique local</w:t>
      </w:r>
    </w:p>
    <w:p>
      <w:pPr>
        <w:pStyle w:val="ListBullet"/>
      </w:pPr>
      <w:r>
        <w:t>Antiseptique otique (acide minéral)</w:t>
      </w:r>
    </w:p>
    <w:p>
      <w:pPr>
        <w:pStyle w:val="ListBullet"/>
      </w:pPr>
      <w:r>
        <w:t>Antifongique local (action fongistatique)</w:t>
      </w:r>
    </w:p>
    <w:p>
      <w:pPr>
        <w:pStyle w:val="ListBullet"/>
      </w:pPr>
      <w:r>
        <w:t>Acidifiant du conduit auditif externe</w:t>
      </w:r>
    </w:p>
    <w:p>
      <w:pPr>
        <w:pStyle w:val="Heading4"/>
      </w:pPr>
      <w:r>
        <w:t>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DACRYOSERUM</w:t>
            </w:r>
          </w:p>
        </w:tc>
        <w:tc>
          <w:tcPr>
            <w:tcW w:type="dxa" w:w="1559"/>
          </w:tcPr>
          <w:p>
            <w:r>
              <w:rPr>
                <w:sz w:val="20"/>
              </w:rPr>
              <w:t>MC NEIL</w:t>
            </w:r>
          </w:p>
        </w:tc>
        <w:tc>
          <w:tcPr>
            <w:tcW w:type="dxa" w:w="1559"/>
          </w:tcPr>
          <w:p>
            <w:r>
              <w:rPr>
                <w:sz w:val="20"/>
              </w:rPr>
              <w:t>Solution de lavage ophtalmique — Acide borique 1,8 % / Borate de sodium 1,2 %</w:t>
            </w:r>
          </w:p>
        </w:tc>
        <w:tc>
          <w:tcPr>
            <w:tcW w:type="dxa" w:w="1559"/>
          </w:tcPr>
          <w:p>
            <w:r>
              <w:rPr>
                <w:sz w:val="20"/>
              </w:rPr>
              <w:t>Flacon 150 mL + Boîte de 20 récipients unidoses de 5 mL</w:t>
            </w:r>
          </w:p>
        </w:tc>
        <w:tc>
          <w:tcPr>
            <w:tcW w:type="dxa" w:w="1559"/>
          </w:tcPr>
          <w:p>
            <w:r>
              <w:rPr>
                <w:sz w:val="20"/>
              </w:rPr>
              <w:t>Hors liste</w:t>
            </w:r>
          </w:p>
        </w:tc>
        <w:tc>
          <w:tcPr>
            <w:tcW w:type="dxa" w:w="1559"/>
          </w:tcPr>
          <w:p>
            <w:r>
              <w:rPr>
                <w:sz w:val="20"/>
              </w:rPr>
              <w:t>ACTIF</w:t>
            </w:r>
          </w:p>
        </w:tc>
      </w:tr>
      <w:tr>
        <w:tc>
          <w:tcPr>
            <w:tcW w:type="dxa" w:w="1559"/>
          </w:tcPr>
          <w:p>
            <w:r>
              <w:rPr>
                <w:sz w:val="20"/>
              </w:rPr>
              <w:t>LACRYMASEPTINE</w:t>
            </w:r>
          </w:p>
        </w:tc>
        <w:tc>
          <w:tcPr>
            <w:tcW w:type="dxa" w:w="1559"/>
          </w:tcPr>
          <w:p>
            <w:r>
              <w:rPr>
                <w:sz w:val="20"/>
              </w:rPr>
              <w:t>GIFRER BARBEZAT</w:t>
            </w:r>
          </w:p>
        </w:tc>
        <w:tc>
          <w:tcPr>
            <w:tcW w:type="dxa" w:w="1559"/>
          </w:tcPr>
          <w:p>
            <w:r>
              <w:rPr>
                <w:sz w:val="20"/>
              </w:rPr>
              <w:t>Collyre — Acide borique 0,180 g / Borate de sodium 0,120 g</w:t>
            </w:r>
          </w:p>
        </w:tc>
        <w:tc>
          <w:tcPr>
            <w:tcW w:type="dxa" w:w="1559"/>
          </w:tcPr>
          <w:p>
            <w:r>
              <w:rPr>
                <w:sz w:val="20"/>
              </w:rPr>
              <w:t>Boîte de 8 doses (flacons 10 mL)</w:t>
            </w:r>
          </w:p>
        </w:tc>
        <w:tc>
          <w:tcPr>
            <w:tcW w:type="dxa" w:w="1559"/>
          </w:tcPr>
          <w:p>
            <w:r>
              <w:rPr>
                <w:sz w:val="20"/>
              </w:rPr>
              <w:t>Hors liste</w:t>
            </w:r>
          </w:p>
        </w:tc>
        <w:tc>
          <w:tcPr>
            <w:tcW w:type="dxa" w:w="1559"/>
          </w:tcPr>
          <w:p>
            <w:r>
              <w:rPr>
                <w:sz w:val="20"/>
              </w:rPr>
              <w:t>NON_RENOUVELABLE (R)</w:t>
            </w:r>
          </w:p>
        </w:tc>
      </w:tr>
      <w:tr>
        <w:tc>
          <w:tcPr>
            <w:tcW w:type="dxa" w:w="1559"/>
          </w:tcPr>
          <w:p>
            <w:r>
              <w:rPr>
                <w:sz w:val="20"/>
              </w:rPr>
              <w:t>BOROCLARINE</w:t>
            </w:r>
          </w:p>
        </w:tc>
        <w:tc>
          <w:tcPr>
            <w:tcW w:type="dxa" w:w="1559"/>
          </w:tcPr>
          <w:p>
            <w:r>
              <w:rPr>
                <w:sz w:val="20"/>
              </w:rPr>
              <w:t>EUROPHTA</w:t>
            </w:r>
          </w:p>
        </w:tc>
        <w:tc>
          <w:tcPr>
            <w:tcW w:type="dxa" w:w="1559"/>
          </w:tcPr>
          <w:p>
            <w:r>
              <w:rPr>
                <w:sz w:val="20"/>
              </w:rPr>
              <w:t>Collyre — Borax 0,1 g / Acide borique 1 g / Phényléphrine chlorhydrate 0,1 g</w:t>
            </w:r>
          </w:p>
        </w:tc>
        <w:tc>
          <w:tcPr>
            <w:tcW w:type="dxa" w:w="1559"/>
          </w:tcPr>
          <w:p>
            <w:r>
              <w:rPr>
                <w:sz w:val="20"/>
              </w:rPr>
              <w:t>Flacon 15 mL</w:t>
            </w:r>
          </w:p>
        </w:tc>
        <w:tc>
          <w:tcPr>
            <w:tcW w:type="dxa" w:w="1559"/>
          </w:tcPr>
          <w:p>
            <w:r>
              <w:rPr>
                <w:sz w:val="20"/>
              </w:rPr>
              <w:t>Hors liste</w:t>
            </w:r>
          </w:p>
        </w:tc>
        <w:tc>
          <w:tcPr>
            <w:tcW w:type="dxa" w:w="1559"/>
          </w:tcPr>
          <w:p>
            <w:r>
              <w:rPr>
                <w:sz w:val="20"/>
              </w:rPr>
              <w:t>NON_RENOUVELABLE (R)</w:t>
            </w:r>
          </w:p>
        </w:tc>
      </w:tr>
      <w:tr>
        <w:tc>
          <w:tcPr>
            <w:tcW w:type="dxa" w:w="1559"/>
          </w:tcPr>
          <w:p>
            <w:r>
              <w:rPr>
                <w:sz w:val="20"/>
              </w:rPr>
              <w:t>GLAUCOSTAT</w:t>
            </w:r>
          </w:p>
        </w:tc>
        <w:tc>
          <w:tcPr>
            <w:tcW w:type="dxa" w:w="1559"/>
          </w:tcPr>
          <w:p>
            <w:r>
              <w:rPr>
                <w:sz w:val="20"/>
              </w:rPr>
              <w:t>MERCK SHARP &amp; DOHME CHIBRET</w:t>
            </w:r>
          </w:p>
        </w:tc>
        <w:tc>
          <w:tcPr>
            <w:tcW w:type="dxa" w:w="1559"/>
          </w:tcPr>
          <w:p>
            <w:r>
              <w:rPr>
                <w:sz w:val="20"/>
              </w:rPr>
              <w:t>Collyre — Acléclidine / Acide borique / Borate de sodium 0,02</w:t>
            </w:r>
          </w:p>
        </w:tc>
        <w:tc>
          <w:tcPr>
            <w:tcW w:type="dxa" w:w="1559"/>
          </w:tcPr>
          <w:p>
            <w:r>
              <w:rPr>
                <w:sz w:val="20"/>
              </w:rPr>
              <w:t>Flacon 10 mL</w:t>
            </w:r>
          </w:p>
        </w:tc>
        <w:tc>
          <w:tcPr>
            <w:tcW w:type="dxa" w:w="1559"/>
          </w:tcPr>
          <w:p>
            <w:r>
              <w:rPr>
                <w:sz w:val="20"/>
              </w:rPr>
              <w:t>Liste I</w:t>
            </w:r>
          </w:p>
        </w:tc>
        <w:tc>
          <w:tcPr>
            <w:tcW w:type="dxa" w:w="1559"/>
          </w:tcPr>
          <w:p>
            <w:r>
              <w:rPr>
                <w:sz w:val="20"/>
              </w:rPr>
              <w:t>RETRAIT (R)</w:t>
            </w:r>
          </w:p>
        </w:tc>
      </w:tr>
      <w:tr>
        <w:tc>
          <w:tcPr>
            <w:tcW w:type="dxa" w:w="1559"/>
          </w:tcPr>
          <w:p>
            <w:r>
              <w:rPr>
                <w:sz w:val="20"/>
              </w:rPr>
              <w:t>DACRYOBORALINE</w:t>
            </w:r>
          </w:p>
        </w:tc>
        <w:tc>
          <w:tcPr>
            <w:tcW w:type="dxa" w:w="1559"/>
          </w:tcPr>
          <w:p>
            <w:r>
              <w:rPr>
                <w:sz w:val="20"/>
              </w:rPr>
              <w:t>MARTIN-JOHNSON &amp; JOHNSON-MSD</w:t>
            </w:r>
          </w:p>
        </w:tc>
        <w:tc>
          <w:tcPr>
            <w:tcW w:type="dxa" w:w="1559"/>
          </w:tcPr>
          <w:p>
            <w:r>
              <w:rPr>
                <w:sz w:val="20"/>
              </w:rPr>
              <w:t>Collyre en solution — Acide borique 1 g / Borate de sodium 0,25 g / Tartrate de synéphrine 0,5 g / 100 mL</w:t>
            </w:r>
          </w:p>
        </w:tc>
        <w:tc>
          <w:tcPr>
            <w:tcW w:type="dxa" w:w="1559"/>
          </w:tcPr>
          <w:p>
            <w:r>
              <w:rPr>
                <w:sz w:val="20"/>
              </w:rPr>
              <w:t>Flacon 10 mL</w:t>
            </w:r>
          </w:p>
        </w:tc>
        <w:tc>
          <w:tcPr>
            <w:tcW w:type="dxa" w:w="1559"/>
          </w:tcPr>
          <w:p>
            <w:r>
              <w:rPr>
                <w:sz w:val="20"/>
              </w:rPr>
              <w:t>Hors liste</w:t>
            </w:r>
          </w:p>
        </w:tc>
        <w:tc>
          <w:tcPr>
            <w:tcW w:type="dxa" w:w="1559"/>
          </w:tcPr>
          <w:p>
            <w:r>
              <w:rPr>
                <w:sz w:val="20"/>
              </w:rPr>
              <w:t>RETRAIT (R)</w:t>
            </w:r>
          </w:p>
        </w:tc>
      </w:tr>
    </w:tbl>
    <w:p/>
    <w:p>
      <w:r/>
      <w:r>
        <w:rPr>
          <w:b/>
        </w:rPr>
        <w:t>Note nomenclature</w:t>
      </w:r>
      <w:r>
        <w:t xml:space="preserve"> : aucune spécialité algérienne n'est strictement enregistrée comme « solution otique d'acide borique ». Les spécialités ci-dessus sont des solutions de lavage ophtalmique à base d'acide borique et de borate de sodium (constituant un tampon borique stérile à pH ~7,2), dont l'extension d'usage à l'otologie (acide borique pour toilette du CAE, acidification) est possible en prescription hors AMM à concentration comparable. Les formulations historiques (solution alcoolique d'acide borique à 2–5 %, poudre borique pour instillation otique) ne figurent plus dans la nomenclature algérienne commerciale et sont préparées en pharmacie d'officine sur prescription médicale (préparations magistrales).</w:t>
      </w:r>
    </w:p>
    <w:p>
      <w:pPr>
        <w:pStyle w:val="Heading4"/>
      </w:pPr>
      <w:r>
        <w:t>Mécanisme d'action</w:t>
      </w:r>
    </w:p>
    <w:p>
      <w:r>
        <w:t>L'acide borique (H₃BO₃, acide trihydroxyde de bore, masse molaire 61,8 g/mol) est un acide faible monobasique (pKa ~9,2), faiblement dissocié à pH physiologique. Son action antiseptique repose sur plusieurs mécanismes complémentaires :</w:t>
      </w:r>
    </w:p>
    <w:p>
      <w:pPr>
        <w:pStyle w:val="ListNumber"/>
      </w:pPr>
      <w:r/>
      <w:r>
        <w:rPr>
          <w:b/>
        </w:rPr>
        <w:t>Acidification locale</w:t>
      </w:r>
      <w:r>
        <w:t xml:space="preserve"> : une solution aqueuse d'acide borique à 2–5 % a un pH ~3,5–4,5. Cette acidité locale inhibe la croissance de la plupart des bactéries pathogènes otiques (préférant un pH neutre à légèrement alcalin : *P. aeruginosa* pH 6,5–8, *S. aureus* pH 6–8) tout en épargnant la flore cutanée commensale. L'acidification est aussi défavorable aux levures (Candida, Aspergillus) qui préfèrent un pH 4–5 mais sont inhibées à pH &lt; 4.</w:t>
      </w:r>
    </w:p>
    <w:p>
      <w:pPr>
        <w:pStyle w:val="ListNumber"/>
      </w:pPr>
      <w:r/>
      <w:r>
        <w:rPr>
          <w:b/>
        </w:rPr>
        <w:t>Altération de la perméabilité membranaire</w:t>
      </w:r>
      <w:r>
        <w:t xml:space="preserve"> : l'acide borique traverse la paroi bactérienne (à travers les porines) et interagit avec les phospholipides de la membrane interne, altérant la perméabilité cellulaire → fuite ionique → inhibition de la croissance.</w:t>
      </w:r>
    </w:p>
    <w:p>
      <w:pPr>
        <w:pStyle w:val="ListNumber"/>
      </w:pPr>
      <w:r/>
      <w:r>
        <w:rPr>
          <w:b/>
        </w:rPr>
        <w:t>Inhibition de la synthèse de la paroi fongique</w:t>
      </w:r>
      <w:r>
        <w:t xml:space="preserve"> : à concentrations modérées (CMI ~16–64 mg/L sur Candida), l'acide borique inhibe la </w:t>
      </w:r>
      <w:r>
        <w:rPr>
          <w:b/>
        </w:rPr>
        <w:t>β-1,3-glucane synthase</w:t>
      </w:r>
      <w:r>
        <w:t xml:space="preserve"> fongique, enzyme responsable de la synthèse du β-glucane pariétal (cible des échinocandines systémiques : caspofungine, micafungine). L'action est fongistatique.</w:t>
      </w:r>
    </w:p>
    <w:p>
      <w:pPr>
        <w:pStyle w:val="ListNumber"/>
      </w:pPr>
      <w:r/>
      <w:r>
        <w:rPr>
          <w:b/>
        </w:rPr>
        <w:t>Effet déshydratant osmotique</w:t>
      </w:r>
      <w:r>
        <w:t xml:space="preserve"> : les solutions concentrées d'acide borique exercent un effet osmotique léger qui déshydrate les bactéries et les spores fongiques.</w:t>
      </w:r>
    </w:p>
    <w:p>
      <w:pPr>
        <w:pStyle w:val="ListNumber"/>
      </w:pPr>
      <w:r/>
      <w:r>
        <w:rPr>
          <w:b/>
        </w:rPr>
        <w:t>Formation de complexes avec les polyols</w:t>
      </w:r>
      <w:r>
        <w:t xml:space="preserve"> : l'acide borique forme des complexes avec les sucres (mannitol, sorbitol, inositol) présents dans les parois microbiennes, ce qui altère le métabolisme énergétique.</w:t>
      </w:r>
    </w:p>
    <w:p>
      <w:r>
        <w:t>Le spectre antiseptique de l'acide borique couvre :</w:t>
      </w:r>
    </w:p>
    <w:p>
      <w:pPr>
        <w:pStyle w:val="ListBullet"/>
      </w:pPr>
      <w:r>
        <w:t>Bactéries Gram+ : *Staphylococcus aureus* (CMI ~32 mg/L), *Streptococcus pyogenes*, *Streptococcus pneumoniae*, *Enterococcus faecalis* ;</w:t>
      </w:r>
    </w:p>
    <w:p>
      <w:pPr>
        <w:pStyle w:val="ListBullet"/>
      </w:pPr>
      <w:r>
        <w:t>Bactéries Gram− : *Pseudomonas aeruginosa* (CMI ~64–128 mg/L — activité modérée), *Escherichia coli*, *Proteus mirabilis* (activité inconstante) ;</w:t>
      </w:r>
    </w:p>
    <w:p>
      <w:pPr>
        <w:pStyle w:val="ListBullet"/>
      </w:pPr>
      <w:r>
        <w:t>Levures : *Candida albicans* (CMI ~16–64 mg/L), *Candida glabrata*, *Aspergillus niger* (CMI ~32–128 mg/L) ;</w:t>
      </w:r>
    </w:p>
    <w:p>
      <w:pPr>
        <w:pStyle w:val="ListBullet"/>
      </w:pPr>
      <w:r>
        <w:t>Dermatophytes : *Trichophyton rubrum*, *Trichophyton mentagrophytes*, *Microsporum canis* (activité inconstante).</w:t>
      </w:r>
    </w:p>
    <w:p>
      <w:r>
        <w:t>La concentration minimale inhibitrice requise (CMI 16–128 mg/L) est atteinte facilement en application locale (concentration usuelle 20–50 g/L), d'où une efficacité locale bactériostatique/fongistatique réelle.</w:t>
      </w:r>
    </w:p>
    <w:p>
      <w:pPr>
        <w:pStyle w:val="Heading4"/>
      </w:pPr>
      <w:r>
        <w:t>Profil pharmacologique (indications, contre-indications, effets indésirables)</w:t>
      </w:r>
    </w:p>
    <w:p>
      <w:r/>
      <w:r>
        <w:rPr>
          <w:b/>
        </w:rPr>
        <w:t>Indications (AMM officielle — solutions ophtalmiques)</w:t>
      </w:r>
      <w:r>
        <w:t xml:space="preserve"> : hygiène oculaire, lavage des conjonctives, dilution de lentilles de contact, toilette des paupières (en solution tamponnée borate). En prescription hors AMM otique (préparations magistrales) : otomycoses à </w:t>
      </w:r>
      <w:r>
        <w:rPr>
          <w:i/>
        </w:rPr>
        <w:t>Candida</w:t>
      </w:r>
      <w:r>
        <w:t xml:space="preserve"> spp. ou </w:t>
      </w:r>
      <w:r>
        <w:rPr>
          <w:i/>
        </w:rPr>
        <w:t>Aspergillus</w:t>
      </w:r>
      <w:r>
        <w:t xml:space="preserve"> spp. récidivantes, otite externe chronique suppurée, acidification du CAE chez le nageur, toilette préopératoire otologique.</w:t>
      </w:r>
    </w:p>
    <w:p>
      <w:r/>
      <w:r>
        <w:rPr>
          <w:b/>
        </w:rPr>
        <w:t>Contre-indications</w:t>
      </w:r>
      <w:r>
        <w:t xml:space="preserve"> :</w:t>
      </w:r>
    </w:p>
    <w:p>
      <w:pPr>
        <w:pStyle w:val="ListBullet"/>
      </w:pPr>
      <w:r>
        <w:t xml:space="preserve">CI absolue : </w:t>
      </w:r>
      <w:r>
        <w:rPr>
          <w:b/>
        </w:rPr>
        <w:t>perforation tympanique</w:t>
      </w:r>
      <w:r>
        <w:t xml:space="preserve"> ou aérateur trans-tympanique en place (risque de toxicité systémique borique cumulative — l'acide borique absorbé traverse la barrière hémato-encéphalique, s'accumule dans les tissus, demi-vie ~13 h, élimination exclusivement rénale) ;</w:t>
      </w:r>
    </w:p>
    <w:p>
      <w:pPr>
        <w:pStyle w:val="ListBullet"/>
      </w:pPr>
      <w:r>
        <w:t>CI absolue : nourrisson &lt; 2 ans (peau fine, surface corporelle élevée, immaturité rénale) ;</w:t>
      </w:r>
    </w:p>
    <w:p>
      <w:pPr>
        <w:pStyle w:val="ListBullet"/>
      </w:pPr>
      <w:r>
        <w:t>CI relative : insuffisance rénale sévère (clairance créatinine &lt; 30 mL/min) — accumulation ;</w:t>
      </w:r>
    </w:p>
    <w:p>
      <w:pPr>
        <w:pStyle w:val="ListBullet"/>
      </w:pPr>
      <w:r>
        <w:t>CI relative : grossesse et allaitement (cf. section CRAT dédiée) ;</w:t>
      </w:r>
    </w:p>
    <w:p>
      <w:pPr>
        <w:pStyle w:val="ListBullet"/>
      </w:pPr>
      <w:r>
        <w:t>Hypersensibilité au bore ou à l'un des excipients.</w:t>
      </w:r>
    </w:p>
    <w:p>
      <w:r/>
      <w:r>
        <w:rPr>
          <w:b/>
        </w:rPr>
        <w:t>Effets indésirables</w:t>
      </w:r>
      <w:r>
        <w:t xml:space="preserve"> :</w:t>
      </w:r>
    </w:p>
    <w:p>
      <w:pPr>
        <w:pStyle w:val="ListBullet"/>
      </w:pPr>
      <w:r>
        <w:t>Locaux : sensation de brûlure transitoire, prurit, irritation du CAE, dermatite de contact (rare), œdème local (exceptionnel) ;</w:t>
      </w:r>
    </w:p>
    <w:p>
      <w:pPr>
        <w:pStyle w:val="ListBullet"/>
      </w:pPr>
      <w:r>
        <w:t>Systémiques (en cas de passage systémique — perforation tympanique, usage prolongé, surfaces étendues) :</w:t>
      </w:r>
    </w:p>
    <w:p>
      <w:pPr>
        <w:pStyle w:val="ListBullet"/>
      </w:pPr>
      <w:r>
        <w:t>Signes digestifs : nausées, vomissements, diarrhées profuses (souvent sanglantes) ;</w:t>
      </w:r>
    </w:p>
    <w:p>
      <w:pPr>
        <w:pStyle w:val="ListBullet"/>
      </w:pPr>
      <w:r>
        <w:t>Signes neurologiques : céphalées, vertiges, confusion, tremblements, convulsions, coma ;</w:t>
      </w:r>
    </w:p>
    <w:p>
      <w:pPr>
        <w:pStyle w:val="ListBullet"/>
      </w:pPr>
      <w:r>
        <w:t>Signes cutanés : érythème diffus (« érythème borique »), desquamation en plaques, aloPECIE transitoire ;</w:t>
      </w:r>
    </w:p>
    <w:p>
      <w:pPr>
        <w:pStyle w:val="ListBullet"/>
      </w:pPr>
      <w:r>
        <w:t>Signes rénaux : oligurie, anurie, insuffisance rénale aiguë organique ;</w:t>
      </w:r>
    </w:p>
    <w:p>
      <w:pPr>
        <w:pStyle w:val="ListBullet"/>
      </w:pPr>
      <w:r>
        <w:t>Cardiovasculaires : tachycardie, hypotension, choc cardiogénique (formes graves) ;</w:t>
      </w:r>
    </w:p>
    <w:p>
      <w:pPr>
        <w:pStyle w:val="ListBullet"/>
      </w:pPr>
      <w:r>
        <w:t>Hépatiques : cytolyse hépatique, ictère ;</w:t>
      </w:r>
    </w:p>
    <w:p>
      <w:pPr>
        <w:pStyle w:val="ListBullet"/>
      </w:pPr>
      <w:r>
        <w:t>Le tableau « intoxication borique aiguë » réalise un syndrome associant : troubles digestifs (vomissements en jet, diarrhée profuse), éruption érythémateuse diffuse (« bouffée borique » ou « peau d'écrevisse »), atteinte neurologique (convulsions, coma), collapsus. Mortalité 5–10 % dans les formes graves.</w:t>
      </w:r>
    </w:p>
    <w:p>
      <w:pPr>
        <w:pStyle w:val="Heading4"/>
      </w:pPr>
      <w:r>
        <w:t>Prévention des effets indésirables</w:t>
      </w:r>
    </w:p>
    <w:p>
      <w:r>
        <w:t>La prévention des EI de l'acide borique otique repose sur :</w:t>
      </w:r>
    </w:p>
    <w:p>
      <w:pPr>
        <w:pStyle w:val="ListNumber"/>
      </w:pPr>
      <w:r/>
      <w:r>
        <w:rPr>
          <w:b/>
        </w:rPr>
        <w:t>Vérification systématique de l'intégrité tympanique</w:t>
      </w:r>
      <w:r>
        <w:t xml:space="preserve"> avant prescription : interrogation du patient à la recherche d'otorrhée, otoscopie médicale préalable obligatoire ;</w:t>
      </w:r>
    </w:p>
    <w:p>
      <w:pPr>
        <w:pStyle w:val="ListNumber"/>
      </w:pPr>
      <w:r/>
      <w:r>
        <w:rPr>
          <w:b/>
        </w:rPr>
        <w:t>Durée limitée à 7 jours</w:t>
      </w:r>
      <w:r>
        <w:t xml:space="preserve"> sans réévaluation médicale (limite cumulative borique) ;</w:t>
      </w:r>
    </w:p>
    <w:p>
      <w:pPr>
        <w:pStyle w:val="ListNumber"/>
      </w:pPr>
      <w:r/>
      <w:r>
        <w:rPr>
          <w:b/>
        </w:rPr>
        <w:t>Respect strict des concentrations</w:t>
      </w:r>
      <w:r>
        <w:t xml:space="preserve"> (ne jamais utiliser de solutions &gt; 5 % en application otique — risque de nécrose locale) ;</w:t>
      </w:r>
    </w:p>
    <w:p>
      <w:pPr>
        <w:pStyle w:val="ListNumber"/>
      </w:pPr>
      <w:r/>
      <w:r>
        <w:rPr>
          <w:b/>
        </w:rPr>
        <w:t>Éviter chez le nourrisson</w:t>
      </w:r>
      <w:r>
        <w:t xml:space="preserve"> (&lt; 2 ans par prudence, peau fine et résorption systémique non négligeable) ;</w:t>
      </w:r>
    </w:p>
    <w:p>
      <w:pPr>
        <w:pStyle w:val="ListNumber"/>
      </w:pPr>
      <w:r/>
      <w:r>
        <w:rPr>
          <w:b/>
        </w:rPr>
        <w:t>Éviter chez la femme enceinte</w:t>
      </w:r>
      <w:r>
        <w:t xml:space="preserve"> et la femme allaitante (cf. CRAT) ;</w:t>
      </w:r>
    </w:p>
    <w:p>
      <w:pPr>
        <w:pStyle w:val="ListNumber"/>
      </w:pPr>
      <w:r/>
      <w:r>
        <w:rPr>
          <w:b/>
        </w:rPr>
        <w:t>Ne pas associer</w:t>
      </w:r>
      <w:r>
        <w:t xml:space="preserve"> à d'autres médicaments otiques (risque d'interactions physico-chimiques) ;</w:t>
      </w:r>
    </w:p>
    <w:p>
      <w:pPr>
        <w:pStyle w:val="ListNumber"/>
      </w:pPr>
      <w:r/>
      <w:r>
        <w:rPr>
          <w:b/>
        </w:rPr>
        <w:t>Patient diabétique ou immunodéprimé</w:t>
      </w:r>
      <w:r>
        <w:t xml:space="preserve"> : contre-indication relative en raison du risque accru d'otite externe maligne à *Pseudomonas* (qui nécessite une antibiothérapie systémique et non un antiseptique local) ;</w:t>
      </w:r>
    </w:p>
    <w:p>
      <w:pPr>
        <w:pStyle w:val="ListNumber"/>
      </w:pPr>
      <w:r/>
      <w:r>
        <w:rPr>
          <w:b/>
        </w:rPr>
        <w:t>Éducation du patient</w:t>
      </w:r>
      <w:r>
        <w:t xml:space="preserve"> : ne jamais réutiliser un flacon entamé &gt; 15 jours (risque de contamination microbienne), ne pas partager le flacon (risque de contamination croisée), ne pas instiller dans l'œil (spécialités ophtalmiques ayant une formulation non adaptée à l'otologie).</w:t>
      </w:r>
    </w:p>
    <w:p>
      <w:pPr>
        <w:pStyle w:val="Heading4"/>
      </w:pPr>
      <w:r>
        <w:t>Interactions médicamenteuses</w:t>
      </w:r>
    </w:p>
    <w:p>
      <w:r>
        <w:t>L'acide borique local a un passage systémique négligeable en cas de tympan intact, ce qui limite les interactions systémiques. Cependant :</w:t>
      </w:r>
    </w:p>
    <w:p>
      <w:pPr>
        <w:pStyle w:val="ListBullet"/>
      </w:pPr>
      <w:r/>
      <w:r>
        <w:rPr>
          <w:b/>
        </w:rPr>
        <w:t>Avec d'autres antiseptiques otiques</w:t>
      </w:r>
      <w:r>
        <w:t xml:space="preserve"> (chlorhexidine, povidone iodée) : incompatibilité physico-chimique (précipitation possible). Ne pas associer dans le même conduit ;</w:t>
      </w:r>
    </w:p>
    <w:p>
      <w:pPr>
        <w:pStyle w:val="ListBullet"/>
      </w:pPr>
      <w:r/>
      <w:r>
        <w:rPr>
          <w:b/>
        </w:rPr>
        <w:t>Avec les antibiotiques otiques</w:t>
      </w:r>
      <w:r>
        <w:t xml:space="preserve"> (aminosides, polymyxine, FQ) : pas d'incompatibilité physico-chimique formelle, mais l'acide borique peut inactiver localement les aminosides (acidification du milieu → diminution de l'activité de la gentamicine, néomycine, framycétine — qui sont plus actives à pH neutre) ;</w:t>
      </w:r>
    </w:p>
    <w:p>
      <w:pPr>
        <w:pStyle w:val="ListBullet"/>
      </w:pPr>
      <w:r/>
      <w:r>
        <w:rPr>
          <w:b/>
        </w:rPr>
        <w:t>Avec les anticoagulants oraux</w:t>
      </w:r>
      <w:r>
        <w:t xml:space="preserve"> : en cas d'absorption systémique (tympan perforé), l'acide borique peut augmenter le saignement (atteinte hépatique) — surveillance INR ;</w:t>
      </w:r>
    </w:p>
    <w:p>
      <w:pPr>
        <w:pStyle w:val="ListBullet"/>
      </w:pPr>
      <w:r/>
      <w:r>
        <w:rPr>
          <w:b/>
        </w:rPr>
        <w:t>Avec les AINS</w:t>
      </w:r>
      <w:r>
        <w:t xml:space="preserve"> : potentialisation de la toxicité digestive (en cas d'absorption systémique) ;</w:t>
      </w:r>
    </w:p>
    <w:p>
      <w:pPr>
        <w:pStyle w:val="ListBullet"/>
      </w:pPr>
      <w:r/>
      <w:r>
        <w:rPr>
          <w:b/>
        </w:rPr>
        <w:t>Avec le méthotrexate</w:t>
      </w:r>
      <w:r>
        <w:t xml:space="preserve"> : en cas d'absorption systémique, l'acide borique peut réduire l'excrétion rénale du méthotrexate (compétition au niveau de la sécrétion tubulaire) — surveillance NFS, fonction rénale.</w:t>
      </w:r>
    </w:p>
    <w:p>
      <w:pPr>
        <w:pStyle w:val="Heading4"/>
      </w:pPr>
      <w:r>
        <w:t>Grossesse et allaitement (CRAT)</w:t>
      </w:r>
    </w:p>
    <w:p>
      <w:r/>
      <w:r>
        <w:rPr>
          <w:b/>
        </w:rPr>
        <w:t>Grossesse</w:t>
      </w:r>
      <w:r>
        <w:t xml:space="preserve"> :</w:t>
      </w:r>
    </w:p>
    <w:p>
      <w:pPr>
        <w:pStyle w:val="ListBullet"/>
      </w:pPr>
      <w:r>
        <w:t>Données CRAT : l'acide borique traverse le placenta. Les données animales font état de toxicité fœtale (retard de croissance, malformations squelettiques) à doses systémiques élevées (≥ 80 mg/kg/j chez le rat). Les données humaines sont limitées mais le risque théorique de toxicité fœtale (atteinte du développement neurologique) existe en cas d'absorption systémique cumulative.</w:t>
      </w:r>
    </w:p>
    <w:p>
      <w:pPr>
        <w:pStyle w:val="ListBullet"/>
      </w:pPr>
      <w:r>
        <w:t xml:space="preserve">Recommandation CRAT : </w:t>
      </w:r>
      <w:r>
        <w:rPr>
          <w:b/>
        </w:rPr>
        <w:t>éviter par prudence pendant la grossesse</w:t>
      </w:r>
      <w:r>
        <w:t xml:space="preserve"> ; CI absolue en cas de tympan perforé (passage systémique significatif).</w:t>
      </w:r>
    </w:p>
    <w:p>
      <w:pPr>
        <w:pStyle w:val="ListBullet"/>
      </w:pPr>
      <w:r>
        <w:t>Alternative : fluoroquinolone otique (ciprofloxacine) en cas d'otite externe bactérienne ; acide acétique 2 % (à manipuler en pharmacie d'officine) pour acidification du CAE.</w:t>
      </w:r>
    </w:p>
    <w:p>
      <w:r/>
      <w:r>
        <w:rPr>
          <w:b/>
        </w:rPr>
        <w:t>Allaitement</w:t>
      </w:r>
      <w:r>
        <w:t xml:space="preserve"> :</w:t>
      </w:r>
    </w:p>
    <w:p>
      <w:pPr>
        <w:pStyle w:val="ListBullet"/>
      </w:pPr>
      <w:r>
        <w:t>Données CRAT : l'acide borique passe dans le lait maternel (rapport lait/plasma ~1). À doses locales otiques et tympan intact, le passage systémique est négligeable, et l'allaitement est théoriquement possible.</w:t>
      </w:r>
    </w:p>
    <w:p>
      <w:pPr>
        <w:pStyle w:val="ListBullet"/>
      </w:pPr>
      <w:r>
        <w:t xml:space="preserve">Recommandation CRAT : </w:t>
      </w:r>
      <w:r>
        <w:rPr>
          <w:b/>
        </w:rPr>
        <w:t>allaitement possible en cas d'usage local otique bref (≤ 7 jours) et tympan intact</w:t>
      </w:r>
      <w:r>
        <w:t xml:space="preserve"> ; CI en cas de tympan perforé.</w:t>
      </w:r>
    </w:p>
    <w:p>
      <w:pPr>
        <w:pStyle w:val="ListBullet"/>
      </w:pPr>
      <w:r>
        <w:t>Alternative : fluoroquinolone otique (ciprofloxacine).</w:t>
      </w:r>
    </w:p>
    <w:p>
      <w:pPr>
        <w:pStyle w:val="Heading4"/>
      </w:pPr>
      <w:r>
        <w:t>Posologie</w:t>
      </w:r>
    </w:p>
    <w:p>
      <w:r/>
      <w:r>
        <w:rPr>
          <w:b/>
        </w:rPr>
        <w:t>Adulte</w:t>
      </w:r>
      <w:r>
        <w:t xml:space="preserve"> :</w:t>
      </w:r>
    </w:p>
    <w:p>
      <w:pPr>
        <w:pStyle w:val="ListBullet"/>
      </w:pPr>
      <w:r>
        <w:t>Solution ophtalmique (DACRYOSERUM) utilisée en extension otique : instiller 2 à 3 gouttes dans le CAE, 2 à 3 fois par jour, pendant 5 à 7 jours maximum. Pencher la tête du côté opposé à l'oreille à traiter, tirer le pavillon vers l'arrière et le haut (adulte) pour redresser le CAE, maintenir la tête inclinée 1–2 min pour permettre la diffusion de la solution.</w:t>
      </w:r>
    </w:p>
    <w:p>
      <w:pPr>
        <w:pStyle w:val="ListBullet"/>
      </w:pPr>
      <w:r>
        <w:t>Préparations magistrales otiques : solution acide borique 2–4 % en eau purifiée, instiller 2–3 gouttes × 2–3 fois/j pendant 7 jours maximum. Solution alcoolique acide borique 4 % (Glycérine 50 %, Éthanol 70 % qsp 100 mL) : 2 gouttes × 2 fois/j pendant 5 jours — usage strictement otique, contre-indiqué si tympan perforé.</w:t>
      </w:r>
    </w:p>
    <w:p>
      <w:r/>
      <w:r>
        <w:rPr>
          <w:b/>
        </w:rPr>
        <w:t>Enfant &gt; 2 ans</w:t>
      </w:r>
      <w:r>
        <w:t xml:space="preserve"> : 1 à 2 gouttes × 2 fois/j pendant 5–7 jours, en respectant les CI.</w:t>
      </w:r>
    </w:p>
    <w:p>
      <w:r/>
      <w:r>
        <w:rPr>
          <w:b/>
        </w:rPr>
        <w:t>Nourrisson &lt; 2 ans</w:t>
      </w:r>
      <w:r>
        <w:t xml:space="preserve"> : contre-indication (par prudence, en raison de la résorption systémique potentielle et de l'immaturité d'élimination rénale).</w:t>
      </w:r>
    </w:p>
    <w:p>
      <w:r/>
      <w:r>
        <w:rPr>
          <w:b/>
        </w:rPr>
        <w:t>Sujets âgés</w:t>
      </w:r>
      <w:r>
        <w:t xml:space="preserve"> : pas d'adaptation posologique systématique, mais surveillance accrue (fonction rénale souvent réduite).</w:t>
      </w:r>
    </w:p>
    <w:p>
      <w:pPr>
        <w:pStyle w:val="Heading4"/>
      </w:pPr>
      <w:r>
        <w:t>Formes galéniques disponibles</w:t>
      </w:r>
    </w:p>
    <w:p>
      <w:r>
        <w:t>La nomenclature algérienne ne propose pas de spécialité strictement « otique » d'acide borique. Les solutions ophtalmologiques (DACRYOSERUM, LACRYMASEPTINE) sont des solutions tamponnées borate/borique isotoniques, stériles, de pH ~7,2 — formulées pour ne pas être irritantes pour la cornée. Leur usage otique est une extension possible mais ne permet pas d'atteindre les concentrations antiseptiques utiles (20–50 g/L) pour le traitement des otomycoses ou l'acidification thérapeutique. Les préparations magistrales otiques à concentration supérieure (2–5 %) sont réalisées en officine sur prescription médicale.</w:t>
      </w:r>
    </w:p>
    <w:p>
      <w:r>
        <w:t>Formes historiques disparues :</w:t>
      </w:r>
    </w:p>
    <w:p>
      <w:pPr>
        <w:pStyle w:val="ListBullet"/>
      </w:pPr>
      <w:r>
        <w:t>Solution alcoolique d'acide borique à 4 % (glycériné) ;</w:t>
      </w:r>
    </w:p>
    <w:p>
      <w:pPr>
        <w:pStyle w:val="ListBullet"/>
      </w:pPr>
      <w:r>
        <w:t>Poudre d'acide borique pour instillation otique sèche ;</w:t>
      </w:r>
    </w:p>
    <w:p>
      <w:pPr>
        <w:pStyle w:val="ListBullet"/>
      </w:pPr>
      <w:r>
        <w:t>Compresses imprégnées d'acide borique 3 % (pansements otologiques).</w:t>
      </w:r>
    </w:p>
    <w:p>
      <w:r>
        <w:t>Formes actuelles disponibles en Algérie :</w:t>
      </w:r>
    </w:p>
    <w:p>
      <w:pPr>
        <w:pStyle w:val="ListBullet"/>
      </w:pPr>
      <w:r>
        <w:t>DACRYOSERUM : flacon 150 mL + 20 récipients unidoses de 5 mL ; solution de lavage ophtalmique à 1,8 % acide borique + 1,2 % borate de sodium.</w:t>
      </w:r>
    </w:p>
    <w:p>
      <w:pPr>
        <w:pStyle w:val="Heading4"/>
      </w:pPr>
      <w:r>
        <w:t>Conseils au patient</w:t>
      </w:r>
    </w:p>
    <w:p>
      <w:pPr>
        <w:pStyle w:val="ListBullet"/>
      </w:pPr>
      <w:r/>
      <w:r>
        <w:rPr>
          <w:b/>
        </w:rPr>
        <w:t>Avant instillation</w:t>
      </w:r>
      <w:r>
        <w:t xml:space="preserve"> : lavage soigneux des mains ; vérifier l'absence d'écoulement auriculaire (otorrhée = signe de perforation tympanique = CI absolue à l'acide borique). Si doute, consulter un médecin avant instillation.</w:t>
      </w:r>
    </w:p>
    <w:p>
      <w:pPr>
        <w:pStyle w:val="ListBullet"/>
      </w:pPr>
      <w:r/>
      <w:r>
        <w:rPr>
          <w:b/>
        </w:rPr>
        <w:t>Position d'instillation</w:t>
      </w:r>
      <w:r>
        <w:t xml:space="preserve"> : pencher la tête du côté opposé à l'oreille à traiter (oreille vers le haut). Tirer le pavillon de l'oreille vers l'arrière et vers le haut (chez l'adulte) ou vers le bas et vers l'arrière (chez le jeune enfant) pour redresser le conduit auditif. Instiller 2 à 3 gouttes.</w:t>
      </w:r>
    </w:p>
    <w:p>
      <w:pPr>
        <w:pStyle w:val="ListBullet"/>
      </w:pPr>
      <w:r/>
      <w:r>
        <w:rPr>
          <w:b/>
        </w:rPr>
        <w:t>Maintenir la tête inclinée</w:t>
      </w:r>
      <w:r>
        <w:t xml:space="preserve"> pendant 1 à 2 minutes pour permettre la diffusion de la solution vers le fond du conduit.</w:t>
      </w:r>
    </w:p>
    <w:p>
      <w:pPr>
        <w:pStyle w:val="ListBullet"/>
      </w:pPr>
      <w:r/>
      <w:r>
        <w:rPr>
          <w:b/>
        </w:rPr>
        <w:t>Massage</w:t>
      </w:r>
      <w:r>
        <w:t xml:space="preserve"> : masser délicatement la zone en avant du pavillon (tragus) pour faciliter la pénétration.</w:t>
      </w:r>
    </w:p>
    <w:p>
      <w:pPr>
        <w:pStyle w:val="ListBullet"/>
      </w:pPr>
      <w:r/>
      <w:r>
        <w:rPr>
          <w:b/>
        </w:rPr>
        <w:t>Ne pas boucher l'oreille</w:t>
      </w:r>
      <w:r>
        <w:t xml:space="preserve"> avec un coton (prévention de la macération) ; un petit coton sec peut être déposé à l'entrée du conduit pour éviter que la solution ne s'écoule vers l'extérieur.</w:t>
      </w:r>
    </w:p>
    <w:p>
      <w:pPr>
        <w:pStyle w:val="ListBullet"/>
      </w:pPr>
      <w:r/>
      <w:r>
        <w:rPr>
          <w:b/>
        </w:rPr>
        <w:t>Durée maximale</w:t>
      </w:r>
      <w:r>
        <w:t xml:space="preserve"> : 7 jours. Si les symptômes persistent au-delà, consulter un médecin (ORL ou médecin généraliste).</w:t>
      </w:r>
    </w:p>
    <w:p>
      <w:pPr>
        <w:pStyle w:val="ListBullet"/>
      </w:pPr>
      <w:r/>
      <w:r>
        <w:rPr>
          <w:b/>
        </w:rPr>
        <w:t>Conservation</w:t>
      </w:r>
      <w:r>
        <w:t xml:space="preserve"> : flacon fermé, à température ambiante (&lt; 25 °C), à l'abri de la lumière. Ne pas conserver au réfrigérateur (cristallisation possible). Ne pas utiliser au-delà de la date de péremption indiquée sur l'emballage.</w:t>
      </w:r>
    </w:p>
    <w:p>
      <w:pPr>
        <w:pStyle w:val="ListBullet"/>
      </w:pPr>
      <w:r/>
      <w:r>
        <w:rPr>
          <w:b/>
        </w:rPr>
        <w:t>Hygiène du flacon</w:t>
      </w:r>
      <w:r>
        <w:t xml:space="preserve"> : ne pas toucher l'embout avec les doigts ou le conduit ; essuyer l'embout avec un coton propre après usage ; refermer hermétiquement.</w:t>
      </w:r>
    </w:p>
    <w:p>
      <w:pPr>
        <w:pStyle w:val="ListBullet"/>
      </w:pPr>
      <w:r/>
      <w:r>
        <w:rPr>
          <w:b/>
        </w:rPr>
        <w:t>Ne jamais partager le flacon</w:t>
      </w:r>
      <w:r>
        <w:t xml:space="preserve"> (risque de contamination croisée entre patients).</w:t>
      </w:r>
    </w:p>
    <w:p>
      <w:pPr>
        <w:pStyle w:val="Heading4"/>
      </w:pPr>
      <w:r>
        <w:t>Pièges au comptoir</w:t>
      </w:r>
    </w:p>
    <w:p>
      <w:pPr>
        <w:pStyle w:val="ListNumber"/>
      </w:pPr>
      <w:r/>
      <w:r>
        <w:rPr>
          <w:b/>
        </w:rPr>
        <w:t>Le patient qui demande de l'acide borique pour une otalgie sans avoir vu de médecin</w:t>
      </w:r>
      <w:r>
        <w:t xml:space="preserve"> : penser à demander systématiquement s'il existe un écoulement auriculaire (signe de perforation tympanique = CI absolue). En cas de doute, refuser la délivrance et orienter vers un médecin.</w:t>
      </w:r>
    </w:p>
    <w:p>
      <w:pPr>
        <w:pStyle w:val="ListNumber"/>
      </w:pPr>
      <w:r/>
      <w:r>
        <w:rPr>
          <w:b/>
        </w:rPr>
        <w:t>La confusion acide borique / acide salicylique / acide acétique</w:t>
      </w:r>
      <w:r>
        <w:t xml:space="preserve"> : les trois sont des acides utilisés en thérapeutique locale, mais à concentrations et indications très différentes. Ne pas substituer l'un pour l'autre.</w:t>
      </w:r>
    </w:p>
    <w:p>
      <w:pPr>
        <w:pStyle w:val="ListNumber"/>
      </w:pPr>
      <w:r/>
      <w:r>
        <w:rPr>
          <w:b/>
        </w:rPr>
        <w:t>Le patient qui a déjà utilisé un autre médicament otique</w:t>
      </w:r>
      <w:r>
        <w:t xml:space="preserve"> : s'assurer de l'absence d'incompatibilité (chlorhexidine, povidone iodée — précipitation possible) ; respecter un intervalle de 30 minutes entre deux instillations.</w:t>
      </w:r>
    </w:p>
    <w:p>
      <w:pPr>
        <w:pStyle w:val="ListNumber"/>
      </w:pPr>
      <w:r/>
      <w:r>
        <w:rPr>
          <w:b/>
        </w:rPr>
        <w:t>Le nourrisson avec otite externe</w:t>
      </w:r>
      <w:r>
        <w:t xml:space="preserve"> : CI absolue à l'acide borique &lt; 2 ans ; préférer une fluoroquinolone otique sous surveillance médicale.</w:t>
      </w:r>
    </w:p>
    <w:p>
      <w:pPr>
        <w:pStyle w:val="ListNumber"/>
      </w:pPr>
      <w:r/>
      <w:r>
        <w:rPr>
          <w:b/>
        </w:rPr>
        <w:t>Le patient diabétique</w:t>
      </w:r>
      <w:r>
        <w:t xml:space="preserve"> : risque d'otite externe maligne à *Pseudomonas* — l'acide borique local est insuffisant ; nécessité d'avis ORL urgent en cas d'otalgie rebelle chez un diabétique.</w:t>
      </w:r>
    </w:p>
    <w:p>
      <w:pPr>
        <w:pStyle w:val="ListNumber"/>
      </w:pPr>
      <w:r/>
      <w:r>
        <w:rPr>
          <w:b/>
        </w:rPr>
        <w:t>Le patient sous anticoagulant AVK</w:t>
      </w:r>
      <w:r>
        <w:t xml:space="preserve"> : en cas d'usage prolongé et de tympan perforé méconnu, surveillance INR (potentialisation théorique du saignement).</w:t>
      </w:r>
    </w:p>
    <w:p>
      <w:pPr>
        <w:pStyle w:val="ListNumber"/>
      </w:pPr>
      <w:r/>
      <w:r>
        <w:rPr>
          <w:b/>
        </w:rPr>
        <w:t>Le flacon entamé &gt; 15 jours</w:t>
      </w:r>
      <w:r>
        <w:t xml:space="preserve"> : déconseiller la réutilisation (risque de contamination microbienne du flacon ; conserve un flacon unidose ou un flacon multidoses avec conservateur).</w:t>
      </w:r>
    </w:p>
    <w:p>
      <w:pPr>
        <w:pStyle w:val="ListNumber"/>
      </w:pPr>
      <w:r/>
      <w:r>
        <w:rPr>
          <w:b/>
        </w:rPr>
        <w:t>L'allaitement</w:t>
      </w:r>
      <w:r>
        <w:t xml:space="preserve"> : possible en usage local bref et tympan intact ; CI en cas de tympan perforé.</w:t>
      </w:r>
    </w:p>
    <w:p>
      <w:pPr>
        <w:pStyle w:val="ListNumber"/>
      </w:pPr>
      <w:r/>
      <w:r>
        <w:rPr>
          <w:b/>
        </w:rPr>
        <w:t>Le retour d'otomycose récidivante</w:t>
      </w:r>
      <w:r>
        <w:t xml:space="preserve"> : le traitement par acide borique seul peut être insuffisant ; envisager un antifongique local azolé (clotrimazole 1 % crème) et une toilette soigneuse du conduit (aspiration médicale).</w:t>
      </w:r>
    </w:p>
    <w:p>
      <w:pPr>
        <w:pStyle w:val="ListNumber"/>
      </w:pPr>
      <w:r/>
      <w:r>
        <w:rPr>
          <w:b/>
        </w:rPr>
        <w:t>Le patient nageur</w:t>
      </w:r>
      <w:r>
        <w:t xml:space="preserve"> : prévention de l'otite du nageur par acidification du CAE après chaque baignade (solution isopropanol-acide acétique 2 %) — l'acide borique peut être utilisé en alternative à 2 % en solution alcoolique, en application préventive post-baignade.</w:t>
      </w:r>
    </w:p>
    <w:p>
      <w:pPr>
        <w:pStyle w:val="Heading3"/>
      </w:pPr>
      <w:r>
        <w:t>131.8.2. Biclotymol + Lysozyme + Énoxolone</w:t>
      </w:r>
    </w:p>
    <w:p>
      <w:pPr>
        <w:pStyle w:val="Heading4"/>
      </w:pPr>
      <w:r>
        <w:t>Liste catégories pharmaco-thérapeutiques</w:t>
      </w:r>
    </w:p>
    <w:p>
      <w:pPr>
        <w:pStyle w:val="ListBullet"/>
      </w:pPr>
      <w:r>
        <w:t>Antiseptique local pharyngé</w:t>
      </w:r>
    </w:p>
    <w:p>
      <w:pPr>
        <w:pStyle w:val="ListBullet"/>
      </w:pPr>
      <w:r>
        <w:t>Anti-inflammatoire local (corticomimétique non stéroïdien)</w:t>
      </w:r>
    </w:p>
    <w:p>
      <w:pPr>
        <w:pStyle w:val="ListBullet"/>
      </w:pPr>
      <w:r>
        <w:t>Enzyme bactériolytique (muramidase)</w:t>
      </w:r>
    </w:p>
    <w:p>
      <w:pPr>
        <w:pStyle w:val="ListBullet"/>
      </w:pPr>
      <w:r>
        <w:t>Association antiseptique ORL</w:t>
      </w:r>
    </w:p>
    <w:p>
      <w:pPr>
        <w:pStyle w:val="Heading4"/>
      </w:pPr>
      <w:r>
        <w:t>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HEXALYSE</w:t>
            </w:r>
          </w:p>
        </w:tc>
        <w:tc>
          <w:tcPr>
            <w:tcW w:type="dxa" w:w="1559"/>
          </w:tcPr>
          <w:p>
            <w:r>
              <w:rPr>
                <w:sz w:val="20"/>
              </w:rPr>
              <w:t>BOUCHARA-RECORDATI</w:t>
            </w:r>
          </w:p>
        </w:tc>
        <w:tc>
          <w:tcPr>
            <w:tcW w:type="dxa" w:w="1559"/>
          </w:tcPr>
          <w:p>
            <w:r>
              <w:rPr>
                <w:sz w:val="20"/>
              </w:rPr>
              <w:t>Comprimé à sucer — Biclotymol 5 mg / Lysozyme 5 mg / Énoxolone 5 mg</w:t>
            </w:r>
          </w:p>
        </w:tc>
        <w:tc>
          <w:tcPr>
            <w:tcW w:type="dxa" w:w="1559"/>
          </w:tcPr>
          <w:p>
            <w:r>
              <w:rPr>
                <w:sz w:val="20"/>
              </w:rPr>
              <w:t>Boîte de 30 comprimés</w:t>
            </w:r>
          </w:p>
        </w:tc>
        <w:tc>
          <w:tcPr>
            <w:tcW w:type="dxa" w:w="1559"/>
          </w:tcPr>
          <w:p>
            <w:r>
              <w:rPr>
                <w:sz w:val="20"/>
              </w:rPr>
              <w:t>Hors liste</w:t>
            </w:r>
          </w:p>
        </w:tc>
        <w:tc>
          <w:tcPr>
            <w:tcW w:type="dxa" w:w="1559"/>
          </w:tcPr>
          <w:p>
            <w:r>
              <w:rPr>
                <w:sz w:val="20"/>
              </w:rPr>
              <w:t>ACTIF</w:t>
            </w:r>
          </w:p>
        </w:tc>
      </w:tr>
      <w:tr>
        <w:tc>
          <w:tcPr>
            <w:tcW w:type="dxa" w:w="1559"/>
          </w:tcPr>
          <w:p>
            <w:r>
              <w:rPr>
                <w:sz w:val="20"/>
              </w:rPr>
              <w:t>HEXASPRAY</w:t>
            </w:r>
          </w:p>
        </w:tc>
        <w:tc>
          <w:tcPr>
            <w:tcW w:type="dxa" w:w="1559"/>
          </w:tcPr>
          <w:p>
            <w:r>
              <w:rPr>
                <w:sz w:val="20"/>
              </w:rPr>
              <w:t>BOUCHARA-RECORDATI</w:t>
            </w:r>
          </w:p>
        </w:tc>
        <w:tc>
          <w:tcPr>
            <w:tcW w:type="dxa" w:w="1559"/>
          </w:tcPr>
          <w:p>
            <w:r>
              <w:rPr>
                <w:sz w:val="20"/>
              </w:rPr>
              <w:t>Collutoire — Biclotymol 750 mg/30 g (0,75 g/30 g)</w:t>
            </w:r>
          </w:p>
        </w:tc>
        <w:tc>
          <w:tcPr>
            <w:tcW w:type="dxa" w:w="1559"/>
          </w:tcPr>
          <w:p>
            <w:r>
              <w:rPr>
                <w:sz w:val="20"/>
              </w:rPr>
              <w:t>Flacon pressurisé de 30 g</w:t>
            </w:r>
          </w:p>
        </w:tc>
        <w:tc>
          <w:tcPr>
            <w:tcW w:type="dxa" w:w="1559"/>
          </w:tcPr>
          <w:p>
            <w:r>
              <w:rPr>
                <w:sz w:val="20"/>
              </w:rPr>
              <w:t>Hors liste</w:t>
            </w:r>
          </w:p>
        </w:tc>
        <w:tc>
          <w:tcPr>
            <w:tcW w:type="dxa" w:w="1559"/>
          </w:tcPr>
          <w:p>
            <w:r>
              <w:rPr>
                <w:sz w:val="20"/>
              </w:rPr>
              <w:t>ACTIF</w:t>
            </w:r>
          </w:p>
        </w:tc>
      </w:tr>
    </w:tbl>
    <w:p/>
    <w:p>
      <w:r/>
      <w:r>
        <w:rPr>
          <w:b/>
        </w:rPr>
        <w:t>Note importante</w:t>
      </w:r>
      <w:r>
        <w:t xml:space="preserve"> : HEXASPRAY ne contient que du biclotymol (sans lysozyme ni énoxolone), mais est classé dans la même sous-classe en raison de l'identité de l'indication (antiseptique local ORL) et du laboratoire. La fiche ci-dessous concerne principalement l'association Biclotymol + Lysozyme + Énoxolone (HEXALYSE).</w:t>
      </w:r>
    </w:p>
    <w:p>
      <w:pPr>
        <w:pStyle w:val="Heading4"/>
      </w:pPr>
      <w:r>
        <w:t>Mécanisme d'action</w:t>
      </w:r>
    </w:p>
    <w:p>
      <w:r>
        <w:t>L'association Biclotymol + Lysozyme + Énoxolone combine trois mécanismes d'action complémentaires sur la muqueuse pharyngée :</w:t>
      </w:r>
    </w:p>
    <w:p>
      <w:pPr>
        <w:pStyle w:val="ListNumber"/>
      </w:pPr>
      <w:r/>
      <w:r>
        <w:rPr>
          <w:b/>
        </w:rPr>
        <w:t>Biclotymol</w:t>
      </w:r>
      <w:r>
        <w:t xml:space="preserve"> (2,2'-thiobis(4,6-dichlorophénol), 5 mg par comprimé) : antiseptique phénolique local. Mécanisme : altération de la perméabilité membranaire bactérienne par interaction avec les phospholipides et les protéines de membrane ; dénaturation des protéines enzymatiques bactériennes ; effet bactériostatique à concentrations usuelles, bactéricide à concentrations supérieures. Spectre : bactéries Gram+ (*Streptococcus pyogenes*, *Streptococcus pneumoniae*, *Staphylococcus aureus*, *Streptococcus agalactiae*) ; activité modérée sur Gram− (*Haemophilus influenzae*, *Branhamella catarrhalis*) ; activité antifongique modérée sur *Candida albicans*. Le biclotymol est faiblement absorbé par la muqueuse pharyngée (&lt; 5 % de la dose, métabolisme hépatique en dérivés glucuronoconjugués, élimination biliaire et rénale).</w:t>
      </w:r>
    </w:p>
    <w:p>
      <w:pPr>
        <w:pStyle w:val="ListNumber"/>
      </w:pPr>
      <w:r/>
      <w:r>
        <w:rPr>
          <w:b/>
        </w:rPr>
        <w:t>Lysozyme</w:t>
      </w:r>
      <w:r>
        <w:t xml:space="preserve"> (muramidase, 5 mg par comprimé — protéine de 14,3 kDa composée de 129 acides aminés, isolée en 1922 par Fleming dans le blanc d'œuf, présente dans les sécrétions humaines : salive, larmes, mucus, lait maternel) : enzyme naturelle hydrolysant la liaison β(1→4) entre l'acide N-acétylmuramique (NAM) et la N-acétylglucosamine (NAG) du peptidoglycane pariétal bactérien → lyse bactérienne (bactériolyse directe). Active principalement sur les bactéries Gram+ (paroi riche en peptidoglycane ~50–80 % du poids pariétal sec), peu active sur les Gram− (paroi externe riche en LPS, faible proportion de peptidoglycane ~5–20 %). Action optimale à pH 6–7. Le lysozyme est détruit par les sucs gastriques (en cas de déglutition), d'où l'administration par voie sublinguale ou buccopharyngée à sucer.</w:t>
      </w:r>
    </w:p>
    <w:p>
      <w:pPr>
        <w:pStyle w:val="ListNumber"/>
      </w:pPr>
      <w:r/>
      <w:r>
        <w:rPr>
          <w:b/>
        </w:rPr>
        <w:t>Énoxolone</w:t>
      </w:r>
      <w:r>
        <w:t xml:space="preserve"> (acide glycyrrhétique 18β, 5 mg par comprimé — aglycone de la glycyrrhizine, acide triterpénique pentacyclique de la réglisse, *Glycyrrhiza glabra*) : agent anti-inflammatoire local. Mécanisme : inhibition de la 15-hydroxyprostaglandine déshydrogénase (15-PGDH) → accumulation locale de PGE2 (prostaglandine E2) → action cytoprotectrice et anti-inflammatoire sur la muqueuse pharyngée ; action corticomimétique (inhibition de la 11β-hydroxystéroïde déshydrogénase de type 2 → augmentation locale du cortisol actif) ; action anti-ulcéreuse (stimulation de la sécrétion de mucus). Aux doses thérapeutiques locales (5 mg par comprimé, 4–6 comprimés/j maximum), l'absorption systémique de l'énoxolone est faible, sans retentissement minéralocorticoïde (hypokaliémie, hypertension, œdèmes — décrits aux doses systémiques élevées de la glycyrrhizine &gt; 100 mg/j).</w:t>
      </w:r>
    </w:p>
    <w:p>
      <w:r>
        <w:t>L'association produit un effet antiseptique bactériostatique, bactériolytique et anti-inflammatoire local sur la muqueuse pharyngée inflammée.</w:t>
      </w:r>
    </w:p>
    <w:p>
      <w:pPr>
        <w:pStyle w:val="Heading4"/>
      </w:pPr>
      <w:r>
        <w:t>Profil pharmacologique (indications, contre-indications, effets indésirables)</w:t>
      </w:r>
    </w:p>
    <w:p>
      <w:r/>
      <w:r>
        <w:rPr>
          <w:b/>
        </w:rPr>
        <w:t>Indications</w:t>
      </w:r>
      <w:r>
        <w:t xml:space="preserve"> : traitement symptomatique de courte durée (≤ 5 jours, en l'absence d'amélioration ou d'aggravation) des :</w:t>
      </w:r>
    </w:p>
    <w:p>
      <w:pPr>
        <w:pStyle w:val="ListBullet"/>
      </w:pPr>
      <w:r>
        <w:t>Angines érythémateuses ou érythémato-pultacées aiguës non streptococciques de l'adulte et de l'enfant &gt; 6 ans (en complément du traitement antalgique général : paracétamol ± AINS) ;</w:t>
      </w:r>
    </w:p>
    <w:p>
      <w:pPr>
        <w:pStyle w:val="ListBullet"/>
      </w:pPr>
      <w:r>
        <w:t>Pharyngites aiguës virales ;</w:t>
      </w:r>
    </w:p>
    <w:p>
      <w:pPr>
        <w:pStyle w:val="ListBullet"/>
      </w:pPr>
      <w:r>
        <w:t>Stomatites aphteuses ;</w:t>
      </w:r>
    </w:p>
    <w:p>
      <w:pPr>
        <w:pStyle w:val="ListBullet"/>
      </w:pPr>
      <w:r>
        <w:t>Post-amygdalectomie (anesthésie-antiseptie locale) ;</w:t>
      </w:r>
    </w:p>
    <w:p>
      <w:pPr>
        <w:pStyle w:val="ListBullet"/>
      </w:pPr>
      <w:r>
        <w:t>Laryngites aiguës (avec prudence — risque de fausse route).</w:t>
      </w:r>
    </w:p>
    <w:p>
      <w:r/>
      <w:r>
        <w:rPr>
          <w:b/>
        </w:rPr>
        <w:t>Contre-indications</w:t>
      </w:r>
      <w:r>
        <w:t xml:space="preserve"> :</w:t>
      </w:r>
    </w:p>
    <w:p>
      <w:pPr>
        <w:pStyle w:val="ListBullet"/>
      </w:pPr>
      <w:r>
        <w:t>Hypersensibilité à l'un des composants (biclotymol, lysozyme d'origine protéique dérivée du blanc d'œuf — allergie à l'ovalbumine contre-indique la spécialité, énoxolone) ;</w:t>
      </w:r>
    </w:p>
    <w:p>
      <w:pPr>
        <w:pStyle w:val="ListBullet"/>
      </w:pPr>
      <w:r>
        <w:t>Nourrisson &lt; 6 ans (comprimé à sucer — risque de fausse route) ;</w:t>
      </w:r>
    </w:p>
    <w:p>
      <w:pPr>
        <w:pStyle w:val="ListBullet"/>
      </w:pPr>
      <w:r>
        <w:t>Insuffisance hépatique sévère (par prudence, en raison du métabolisme hépatique de l'énoxolone) ;</w:t>
      </w:r>
    </w:p>
    <w:p>
      <w:pPr>
        <w:pStyle w:val="ListBullet"/>
      </w:pPr>
      <w:r>
        <w:t>Hypertension artérielle sévère non contrôlée, hypokaliémie sévère (en raison de l'effet corticomimétique de l'énoxolone, à doses locales faibles mais à surveiller en usage prolongé) ;</w:t>
      </w:r>
    </w:p>
    <w:p>
      <w:pPr>
        <w:pStyle w:val="ListBullet"/>
      </w:pPr>
      <w:r>
        <w:t>Grossesse (par prudence, en particulier 1er trimestre — données limitées sur l'énoxolone) ;</w:t>
      </w:r>
    </w:p>
    <w:p>
      <w:pPr>
        <w:pStyle w:val="ListBullet"/>
      </w:pPr>
      <w:r>
        <w:t>Allaitement (par prudence, en raison du passage du lysozyme et de l'énoxolone dans le lait maternel).</w:t>
      </w:r>
    </w:p>
    <w:p>
      <w:r/>
      <w:r>
        <w:rPr>
          <w:b/>
        </w:rPr>
        <w:t>Effets indésirables</w:t>
      </w:r>
      <w:r>
        <w:t xml:space="preserve"> :</w:t>
      </w:r>
    </w:p>
    <w:p>
      <w:pPr>
        <w:pStyle w:val="ListBullet"/>
      </w:pPr>
      <w:r>
        <w:t>Locaux : sensation de brûlure transitoire de la muqueuse buccopharyngée (≤ 5 %), picotements, goût métallique, sécheresse buccale (effet anticholinergique du biclotymol à doses élevées) ;</w:t>
      </w:r>
    </w:p>
    <w:p>
      <w:pPr>
        <w:pStyle w:val="ListBullet"/>
      </w:pPr>
      <w:r>
        <w:t>Allergiques : rash cutané, prurit, urticaire, œdème de Quincke (réaction allergique au lysozyme — protéine dérivée de l'œuf — à rechercher systématiquement) ; exceptionnellement choc anaphylactique ;</w:t>
      </w:r>
    </w:p>
    <w:p>
      <w:pPr>
        <w:pStyle w:val="ListBullet"/>
      </w:pPr>
      <w:r>
        <w:t>Digestifs : nausées, diarrhée (en cas de déglutition prolongée) ;</w:t>
      </w:r>
    </w:p>
    <w:p>
      <w:pPr>
        <w:pStyle w:val="ListBullet"/>
      </w:pPr>
      <w:r>
        <w:t>Systémiques (exceptionnels, en usage prolongé &gt; 10 jours) : hypertension, hypokaliémie, œdèmes des membres inférieurs (effet minéralocorticoïde de l'énoxolone).</w:t>
      </w:r>
    </w:p>
    <w:p>
      <w:pPr>
        <w:pStyle w:val="Heading4"/>
      </w:pPr>
      <w:r>
        <w:t>Prévention des effets indésirables</w:t>
      </w:r>
    </w:p>
    <w:p>
      <w:pPr>
        <w:pStyle w:val="ListNumber"/>
      </w:pPr>
      <w:r/>
      <w:r>
        <w:rPr>
          <w:b/>
        </w:rPr>
        <w:t>Interrogatoire allergologique préalable</w:t>
      </w:r>
      <w:r>
        <w:t xml:space="preserve"> : recherche d'une allergie à l'ovalbumine (blanc d'œuf) — contre-indication formelle au lysozyme ;</w:t>
      </w:r>
    </w:p>
    <w:p>
      <w:pPr>
        <w:pStyle w:val="ListNumber"/>
      </w:pPr>
      <w:r/>
      <w:r>
        <w:rPr>
          <w:b/>
        </w:rPr>
        <w:t>Durée limitée à 5 jours</w:t>
      </w:r>
      <w:r>
        <w:t xml:space="preserve"> sans réévaluation médicale (prévention de la sélection de germes résistants, modifications de la flore commensale pharyngée) ;</w:t>
      </w:r>
    </w:p>
    <w:p>
      <w:pPr>
        <w:pStyle w:val="ListNumber"/>
      </w:pPr>
      <w:r/>
      <w:r>
        <w:rPr>
          <w:b/>
        </w:rPr>
        <w:t>Réalisation du TDR streptococcique avant tout antiseptique pharyngé chez l'enfant &gt; 3 ans</w:t>
      </w:r>
      <w:r>
        <w:t xml:space="preserve"> : la toilette antiseptique pharyngée peut négativer un TDR streptococcique (réduction de la charge bactérienne pharyngée). Réaliser le TDR avant tout collutoire antiseptique ;</w:t>
      </w:r>
    </w:p>
    <w:p>
      <w:pPr>
        <w:pStyle w:val="ListNumber"/>
      </w:pPr>
      <w:r/>
      <w:r>
        <w:rPr>
          <w:b/>
        </w:rPr>
        <w:t>Respect de la CI de l'enfant &lt; 6 ans</w:t>
      </w:r>
      <w:r>
        <w:t xml:space="preserve"> (comprimé à sucer — risque de fausse route) ;</w:t>
      </w:r>
    </w:p>
    <w:p>
      <w:pPr>
        <w:pStyle w:val="ListNumber"/>
      </w:pPr>
      <w:r/>
      <w:r>
        <w:rPr>
          <w:b/>
        </w:rPr>
        <w:t>Respect de la CI du collutoire chez l'enfant &lt; 30 mois</w:t>
      </w:r>
      <w:r>
        <w:t xml:space="preserve"> (risque de laryngospasme au contact du jet) ;</w:t>
      </w:r>
    </w:p>
    <w:p>
      <w:pPr>
        <w:pStyle w:val="ListNumber"/>
      </w:pPr>
      <w:r/>
      <w:r>
        <w:rPr>
          <w:b/>
        </w:rPr>
        <w:t>Surveillance tensionnelle</w:t>
      </w:r>
      <w:r>
        <w:t xml:space="preserve"> en cas d'usage prolongé &gt; 7 jours (par prudence, en raison de l'effet corticomimétique de l'énoxolone) ;</w:t>
      </w:r>
    </w:p>
    <w:p>
      <w:pPr>
        <w:pStyle w:val="ListNumber"/>
      </w:pPr>
      <w:r/>
      <w:r>
        <w:rPr>
          <w:b/>
        </w:rPr>
        <w:t>Surveillance kaliémique</w:t>
      </w:r>
      <w:r>
        <w:t xml:space="preserve"> chez les patients sous diurétiques hypokaliémiants, digitaliques ou antiarythmiques (potentialisation du risque d'hypokaliémie) ;</w:t>
      </w:r>
    </w:p>
    <w:p>
      <w:pPr>
        <w:pStyle w:val="ListNumber"/>
      </w:pPr>
      <w:r/>
      <w:r>
        <w:rPr>
          <w:b/>
        </w:rPr>
        <w:t>Éviter l'association aux corticoïdes inhalés</w:t>
      </w:r>
      <w:r>
        <w:t xml:space="preserve"> ou systémiques (potentialisation de l'effet corticomimétique) ;</w:t>
      </w:r>
    </w:p>
    <w:p>
      <w:pPr>
        <w:pStyle w:val="ListNumber"/>
      </w:pPr>
      <w:r/>
      <w:r>
        <w:rPr>
          <w:b/>
        </w:rPr>
        <w:t>Hygiène buccodentaire</w:t>
      </w:r>
      <w:r>
        <w:t xml:space="preserve"> : ne pas utiliser en continu (modifications de la flore commensale pharyngée, candidoses buccales secondaires possibles) ;</w:t>
      </w:r>
    </w:p>
    <w:p>
      <w:pPr>
        <w:pStyle w:val="ListNumber"/>
      </w:pPr>
      <w:r/>
      <w:r>
        <w:rPr>
          <w:b/>
        </w:rPr>
        <w:t>Patient asthmatique</w:t>
      </w:r>
      <w:r>
        <w:t xml:space="preserve"> : prudence avec le collutoire (risque de bronchospasme par irritation mécanique du jet) ; privilégier le comprimé à sucer.</w:t>
      </w:r>
    </w:p>
    <w:p>
      <w:pPr>
        <w:pStyle w:val="Heading4"/>
      </w:pPr>
      <w:r>
        <w:t>Interactions médicamenteuses</w:t>
      </w:r>
    </w:p>
    <w:p>
      <w:r>
        <w:t>Les interactions médicamenteuses de l'association Biclotymol + Lysozyme + Énoxolone sont limitées en raison de l'administration locale et de la faible absorption systémique. Cependant :</w:t>
      </w:r>
    </w:p>
    <w:p>
      <w:pPr>
        <w:pStyle w:val="ListBullet"/>
      </w:pPr>
      <w:r/>
      <w:r>
        <w:rPr>
          <w:b/>
        </w:rPr>
        <w:t>Avec les anticoagulants oraux (AVK)</w:t>
      </w:r>
      <w:r>
        <w:t xml:space="preserve"> : l'énoxolone peut interagir avec le métabolisme hépatique des AVK (inhibition du CYP2C9) → augmentation de l'INR et risque hémorragique. Surveillance INR en cas d'usage prolongé ou de doses élevées.</w:t>
      </w:r>
    </w:p>
    <w:p>
      <w:pPr>
        <w:pStyle w:val="ListBullet"/>
      </w:pPr>
      <w:r/>
      <w:r>
        <w:rPr>
          <w:b/>
        </w:rPr>
        <w:t>Avec les diurétiques hypokaliémiants</w:t>
      </w:r>
      <w:r>
        <w:t xml:space="preserve"> (furosémide, hydrochlorothiazide, diurétiques de l'anse et thiazidiques) : potentialisation du risque d'hypokaliémie (effet minéralocorticoïde de l'énoxolone). Surveillance kaliémie.</w:t>
      </w:r>
    </w:p>
    <w:p>
      <w:pPr>
        <w:pStyle w:val="ListBullet"/>
      </w:pPr>
      <w:r/>
      <w:r>
        <w:rPr>
          <w:b/>
        </w:rPr>
        <w:t>Avec les digitaliques</w:t>
      </w:r>
      <w:r>
        <w:t xml:space="preserve"> (digoxine) : hypokaliémie favorisant la toxicité digitalique (troubles du rythme). Surveillance ECG et kaliémie.</w:t>
      </w:r>
    </w:p>
    <w:p>
      <w:pPr>
        <w:pStyle w:val="ListBullet"/>
      </w:pPr>
      <w:r/>
      <w:r>
        <w:rPr>
          <w:b/>
        </w:rPr>
        <w:t>Avec les antiarythmiques</w:t>
      </w:r>
      <w:r>
        <w:t xml:space="preserve"> (amiodarone, quinidine, sotalol) : allongement du QT potentialisé par l'hypokaliémie.</w:t>
      </w:r>
    </w:p>
    <w:p>
      <w:pPr>
        <w:pStyle w:val="ListBullet"/>
      </w:pPr>
      <w:r/>
      <w:r>
        <w:rPr>
          <w:b/>
        </w:rPr>
        <w:t>Avec les corticoïdes</w:t>
      </w:r>
      <w:r>
        <w:t xml:space="preserve"> (systémiques ou inhalés à forte dose) : potentialisation de l'effet corticomimétique et du risque d'hypokaliémie.</w:t>
      </w:r>
    </w:p>
    <w:p>
      <w:pPr>
        <w:pStyle w:val="ListBullet"/>
      </w:pPr>
      <w:r/>
      <w:r>
        <w:rPr>
          <w:b/>
        </w:rPr>
        <w:t>Avec d'autres antiseptiques pharyngés</w:t>
      </w:r>
      <w:r>
        <w:t xml:space="preserve"> (chlorhexidine, hexamidine, povidone iodée) : pas d'interaction formelle, mais risque d'antagonisme de flore commensale — ne pas associer dans la même journée.</w:t>
      </w:r>
    </w:p>
    <w:p>
      <w:pPr>
        <w:pStyle w:val="ListBullet"/>
      </w:pPr>
      <w:r/>
      <w:r>
        <w:rPr>
          <w:b/>
        </w:rPr>
        <w:t>Avec les inhibiteurs de l'enzyme de conversion (IEC) et antagonistes des récepteurs de l'angiotensine II (ARA II)</w:t>
      </w:r>
      <w:r>
        <w:t xml:space="preserve"> : pas d'interaction directe, mais surveillance de la kaliémie (en cas d'usage prolongé d'énoxolone).</w:t>
      </w:r>
    </w:p>
    <w:p>
      <w:pPr>
        <w:pStyle w:val="Heading4"/>
      </w:pPr>
      <w:r>
        <w:t>Grossesse et allaitement (CRAT)</w:t>
      </w:r>
    </w:p>
    <w:p>
      <w:r/>
      <w:r>
        <w:rPr>
          <w:b/>
        </w:rPr>
        <w:t>Grossesse</w:t>
      </w:r>
      <w:r>
        <w:t xml:space="preserve"> :</w:t>
      </w:r>
    </w:p>
    <w:p>
      <w:pPr>
        <w:pStyle w:val="ListBullet"/>
      </w:pPr>
      <w:r>
        <w:t>Biclotymol : données animales sans effet tératogène à doses thérapeutiques. Données humaines limitées.</w:t>
      </w:r>
    </w:p>
    <w:p>
      <w:pPr>
        <w:pStyle w:val="ListBullet"/>
      </w:pPr>
      <w:r>
        <w:t>Lysozyme : protéine naturelle, sans toxicité fœtale documentée. Toutefois, le passage systémique après absorption buccopharyngée est faible.</w:t>
      </w:r>
    </w:p>
    <w:p>
      <w:pPr>
        <w:pStyle w:val="ListBullet"/>
      </w:pPr>
      <w:r>
        <w:t>Énoxolone : données animales suggérant un effet abortif et tératogène à doses systémiques élevées (inhibition de la 15-PGDH, perturbation du métabolisme des prostaglandines utérines). Données humaines limitées.</w:t>
      </w:r>
    </w:p>
    <w:p>
      <w:pPr>
        <w:pStyle w:val="ListBullet"/>
      </w:pPr>
      <w:r>
        <w:t xml:space="preserve">Recommandation CRAT : </w:t>
      </w:r>
      <w:r>
        <w:rPr>
          <w:b/>
        </w:rPr>
        <w:t>éviter par prudence pendant la grossesse, en particulier au 1er trimestre</w:t>
      </w:r>
      <w:r>
        <w:t xml:space="preserve"> ; en cas de nécessité (angine sévère), préférer un antiseptique local de référence (chlorhexidine 0,12 % en collutoire, autorisé pendant la grossesse).</w:t>
      </w:r>
    </w:p>
    <w:p>
      <w:pPr>
        <w:pStyle w:val="ListBullet"/>
      </w:pPr>
      <w:r>
        <w:t>Alternative sûre : chlorhexidine 0,12 % en bain de bouche ou en collutoire, paracétamol pour l'antalgie.</w:t>
      </w:r>
    </w:p>
    <w:p>
      <w:r/>
      <w:r>
        <w:rPr>
          <w:b/>
        </w:rPr>
        <w:t>Allaitement</w:t>
      </w:r>
      <w:r>
        <w:t xml:space="preserve"> :</w:t>
      </w:r>
    </w:p>
    <w:p>
      <w:pPr>
        <w:pStyle w:val="ListBullet"/>
      </w:pPr>
      <w:r>
        <w:t>Biclotymol : passage dans le lait maternel non documenté, mais absorption systémique négligeable après administration buccopharyngée.</w:t>
      </w:r>
    </w:p>
    <w:p>
      <w:pPr>
        <w:pStyle w:val="ListBullet"/>
      </w:pPr>
      <w:r>
        <w:t>Lysozyme : protéine naturellement présente dans le lait maternel ; ne pose pas de problème chez le nourrisson allaité.</w:t>
      </w:r>
    </w:p>
    <w:p>
      <w:pPr>
        <w:pStyle w:val="ListBullet"/>
      </w:pPr>
      <w:r>
        <w:t>Énoxolone : passage dans le lait non documenté, mais données limitées sur la sécurité d'emploi en cours d'allaitement.</w:t>
      </w:r>
    </w:p>
    <w:p>
      <w:pPr>
        <w:pStyle w:val="ListBullet"/>
      </w:pPr>
      <w:r>
        <w:t xml:space="preserve">Recommandation CRAT : </w:t>
      </w:r>
      <w:r>
        <w:rPr>
          <w:b/>
        </w:rPr>
        <w:t>éviter par prudence pendant l'allaitement</w:t>
      </w:r>
      <w:r>
        <w:t xml:space="preserve"> ; en cas de nécessité, surveiller la tolérance chez le nourrisson (éruption cutanée, troubles digestifs).</w:t>
      </w:r>
    </w:p>
    <w:p>
      <w:pPr>
        <w:pStyle w:val="ListBullet"/>
      </w:pPr>
      <w:r>
        <w:t>Alternative sûre : chlorhexidine 0,12 % en bain de bouche, paracétamol.</w:t>
      </w:r>
    </w:p>
    <w:p>
      <w:pPr>
        <w:pStyle w:val="Heading4"/>
      </w:pPr>
      <w:r>
        <w:t>Posologie</w:t>
      </w:r>
    </w:p>
    <w:p>
      <w:r/>
      <w:r>
        <w:rPr>
          <w:b/>
        </w:rPr>
        <w:t>Adulte et enfant &gt; 15 ans</w:t>
      </w:r>
      <w:r>
        <w:t xml:space="preserve"> :</w:t>
      </w:r>
    </w:p>
    <w:p>
      <w:pPr>
        <w:pStyle w:val="ListBullet"/>
      </w:pPr>
      <w:r>
        <w:t>HEXALYSE comprimés à sucer : 1 comprimé à sucer 4 à 6 fois par jour, à espacer d'au moins 1 heure entre chaque prise, en laissant fondre lentement dans la bouche (ne pas croquer ni déglutir directement). Durée maximale de traitement : 5 jours.</w:t>
      </w:r>
    </w:p>
    <w:p>
      <w:pPr>
        <w:pStyle w:val="ListBullet"/>
      </w:pPr>
      <w:r>
        <w:t>HEXASPRAY collutoire : 2 pulvérisations 3 fois par jour dans la gorge, en respectant un intervalle de 4 heures entre chaque pulvérisation. Durée maximale : 5 jours.</w:t>
      </w:r>
    </w:p>
    <w:p>
      <w:r/>
      <w:r>
        <w:rPr>
          <w:b/>
        </w:rPr>
        <w:t>Enfant 6–15 ans</w:t>
      </w:r>
      <w:r>
        <w:t xml:space="preserve"> :</w:t>
      </w:r>
    </w:p>
    <w:p>
      <w:pPr>
        <w:pStyle w:val="ListBullet"/>
      </w:pPr>
      <w:r>
        <w:t>HEXALYSE comprimés à sucer : 1 comprimé à sucer 3 à 4 fois par jour, espacés d'au moins 1 heure 30. Durée maximale : 5 jours.</w:t>
      </w:r>
    </w:p>
    <w:p>
      <w:pPr>
        <w:pStyle w:val="ListBullet"/>
      </w:pPr>
      <w:r>
        <w:t>HEXASPRAY collutoire : CI chez l'enfant &lt; 30 mois (risque laryngospasme) ; 1 pulvérisation 3 fois par jour chez l'enfant &gt; 30 mois, sous surveillance d'un adulte.</w:t>
      </w:r>
    </w:p>
    <w:p>
      <w:r/>
      <w:r>
        <w:rPr>
          <w:b/>
        </w:rPr>
        <w:t>Enfant &lt; 6 ans</w:t>
      </w:r>
      <w:r>
        <w:t xml:space="preserve"> : CI pour le comprimé à sucer (fausse route).</w:t>
      </w:r>
    </w:p>
    <w:p>
      <w:r/>
      <w:r>
        <w:rPr>
          <w:b/>
        </w:rPr>
        <w:t>Nourrisson &lt; 30 mois</w:t>
      </w:r>
      <w:r>
        <w:t xml:space="preserve"> : CI pour le collutoire.</w:t>
      </w:r>
    </w:p>
    <w:p>
      <w:pPr>
        <w:pStyle w:val="Heading4"/>
      </w:pPr>
      <w:r>
        <w:t>Formes galéniques disponibles</w:t>
      </w:r>
    </w:p>
    <w:p>
      <w:r>
        <w:t>Deux formes sont disponibles dans la nomenclature algérienne :</w:t>
      </w:r>
    </w:p>
    <w:p>
      <w:pPr>
        <w:pStyle w:val="ListBullet"/>
      </w:pPr>
      <w:r/>
      <w:r>
        <w:rPr>
          <w:b/>
        </w:rPr>
        <w:t>HEXALYSE comprimés à sucer</w:t>
      </w:r>
      <w:r>
        <w:t xml:space="preserve"> : comprimé à dissolution lente buccopharyngée, contenant 5 mg de biclotymol + 5 mg de lysozyme + 5 mg d'énoxolone. Excipients : saccharose, talc, stéarate de magnésium, arôme. Conditionnement : boîte de 30 comprimés.</w:t>
      </w:r>
    </w:p>
    <w:p>
      <w:pPr>
        <w:pStyle w:val="ListBullet"/>
      </w:pPr>
      <w:r/>
      <w:r>
        <w:rPr>
          <w:b/>
        </w:rPr>
        <w:t>HEXASPRAY collutoire</w:t>
      </w:r>
      <w:r>
        <w:t xml:space="preserve"> : solution hydroalcoolique pressurisée, contenant du biclotymol 0,75 g/30 g (= 25 mg/mL) en solution dans l'éthanol à 95 % et l'eau purifiée. Gaz propulseur : azote. Conditionnement : flacon pressurisé de 30 g avec embout buccal.</w:t>
      </w:r>
    </w:p>
    <w:p>
      <w:r>
        <w:t>Formes historiques disparues : HEXALYSE bain de bouche (solution buvable), HEXALYSE pastilles sans sucre (édulcorées au saccharinate de sodium).</w:t>
      </w:r>
    </w:p>
    <w:p>
      <w:pPr>
        <w:pStyle w:val="Heading4"/>
      </w:pPr>
      <w:r>
        <w:t>Conseils au patient</w:t>
      </w:r>
    </w:p>
    <w:p>
      <w:pPr>
        <w:pStyle w:val="ListBullet"/>
      </w:pPr>
      <w:r/>
      <w:r>
        <w:rPr>
          <w:b/>
        </w:rPr>
        <w:t>Mode d'administration du comprimé à sucer</w:t>
      </w:r>
      <w:r>
        <w:t xml:space="preserve"> : laisser fondre lentement dans la bouche, en le déplaçant d'un côté à l'autre de la cavité buccale pour favoriser le contact avec la muqueuse pharyngée. Ne pas croquer ni avaler directement. Éviter de boire ou de manger dans les 15 minutes qui suivent la prise (pour permettre l'action locale).</w:t>
      </w:r>
    </w:p>
    <w:p>
      <w:pPr>
        <w:pStyle w:val="ListBullet"/>
      </w:pPr>
      <w:r/>
      <w:r>
        <w:rPr>
          <w:b/>
        </w:rPr>
        <w:t>Mode d'administration du collutoire</w:t>
      </w:r>
      <w:r>
        <w:t xml:space="preserve"> : ouvrir la bouche, diriger l'embout du flacon vers le fond de la gorge (sans toucher les muqueuses), pulvériser pendant 1–2 secondes. Ne pas inhaler pendant la pulvérisation (risque de bronchospasme). Ne pas déglutir immédiatement (laisser le produit agir 30 secondes avant d'avaler).</w:t>
      </w:r>
    </w:p>
    <w:p>
      <w:pPr>
        <w:pStyle w:val="ListBullet"/>
      </w:pPr>
      <w:r/>
      <w:r>
        <w:rPr>
          <w:b/>
        </w:rPr>
        <w:t>Hygiène de l'embout</w:t>
      </w:r>
      <w:r>
        <w:t xml:space="preserve"> : essuyer l'embout avec un mouchoir propre après usage, ne pas partager le flacon.</w:t>
      </w:r>
    </w:p>
    <w:p>
      <w:pPr>
        <w:pStyle w:val="ListBullet"/>
      </w:pPr>
      <w:r/>
      <w:r>
        <w:rPr>
          <w:b/>
        </w:rPr>
        <w:t>Durée maximale de 5 jours</w:t>
      </w:r>
      <w:r>
        <w:t xml:space="preserve"> : consulter un médecin si les symptômes persistent au-delà, en particulier chez l'enfant (recherche d'une angine streptococcique nécessitant une antibiothérapie systémique).</w:t>
      </w:r>
    </w:p>
    <w:p>
      <w:pPr>
        <w:pStyle w:val="ListBullet"/>
      </w:pPr>
      <w:r/>
      <w:r>
        <w:rPr>
          <w:b/>
        </w:rPr>
        <w:t>Signes d'alerte à reconnaître</w:t>
      </w:r>
      <w:r>
        <w:t xml:space="preserve"> : fièvre &gt; 38,5 °C, difficulté à avaler les liquides, trismus, douleur articulaire, éruption cutanée, difficulté respiratoire → consulter un médecin en urgence.</w:t>
      </w:r>
    </w:p>
    <w:p>
      <w:pPr>
        <w:pStyle w:val="ListBullet"/>
      </w:pPr>
      <w:r/>
      <w:r>
        <w:rPr>
          <w:b/>
        </w:rPr>
        <w:t>Hygiène buccodentaire</w:t>
      </w:r>
      <w:r>
        <w:t xml:space="preserve"> : brossage soigneux des dents, traitement d'un éventuel foyer dentaire associé.</w:t>
      </w:r>
    </w:p>
    <w:p>
      <w:pPr>
        <w:pStyle w:val="ListBullet"/>
      </w:pPr>
      <w:r/>
      <w:r>
        <w:rPr>
          <w:b/>
        </w:rPr>
        <w:t>Hydratation</w:t>
      </w:r>
      <w:r>
        <w:t xml:space="preserve"> : boire suffisamment (1,5–2 L/j) pour éviter la sécheresse buccale et favoriser l'hydratation de la muqueuse pharyngée.</w:t>
      </w:r>
    </w:p>
    <w:p>
      <w:pPr>
        <w:pStyle w:val="ListBullet"/>
      </w:pPr>
      <w:r/>
      <w:r>
        <w:rPr>
          <w:b/>
        </w:rPr>
        <w:t>Prévention des récidives</w:t>
      </w:r>
      <w:r>
        <w:t xml:space="preserve"> : lavage des mains régulier, éviter les contacts rapprochés avec des personnes malades, aération des pièces de vie.</w:t>
      </w:r>
    </w:p>
    <w:p>
      <w:pPr>
        <w:pStyle w:val="Heading4"/>
      </w:pPr>
      <w:r>
        <w:t>Pièges au comptoir</w:t>
      </w:r>
    </w:p>
    <w:p>
      <w:pPr>
        <w:pStyle w:val="ListNumber"/>
      </w:pPr>
      <w:r/>
      <w:r>
        <w:rPr>
          <w:b/>
        </w:rPr>
        <w:t>Le patient qui demande « un spray pour la gorge » sans avoir consulté de médecin</w:t>
      </w:r>
      <w:r>
        <w:t xml:space="preserve"> : vérifier l'absence de signes d'alarme (fièvre élevée, dysphagie, trismus) qui nécessiteraient une consultation médicale urgente ; vérifier l'absence d'allergie à l'ovalbumine (lysozyme) ; rappeler la durée maximale de 5 jours.</w:t>
      </w:r>
    </w:p>
    <w:p>
      <w:pPr>
        <w:pStyle w:val="ListNumber"/>
      </w:pPr>
      <w:r/>
      <w:r>
        <w:rPr>
          <w:b/>
        </w:rPr>
        <w:t>L'enfant de moins de 6 ans</w:t>
      </w:r>
      <w:r>
        <w:t xml:space="preserve"> : CI pour le comprimé à sucer ; alternative : paracétamol systémique adapté au poids.</w:t>
      </w:r>
    </w:p>
    <w:p>
      <w:pPr>
        <w:pStyle w:val="ListNumber"/>
      </w:pPr>
      <w:r/>
      <w:r>
        <w:rPr>
          <w:b/>
        </w:rPr>
        <w:t>L'enfant de moins de 30 mois</w:t>
      </w:r>
      <w:r>
        <w:t xml:space="preserve"> : CI pour le collutoire (laryngospasme) ; alternative : paracétamol systémique.</w:t>
      </w:r>
    </w:p>
    <w:p>
      <w:pPr>
        <w:pStyle w:val="ListNumber"/>
      </w:pPr>
      <w:r/>
      <w:r>
        <w:rPr>
          <w:b/>
        </w:rPr>
        <w:t>La femme enceinte</w:t>
      </w:r>
      <w:r>
        <w:t xml:space="preserve"> : éviter par prudence, en particulier 1er trimestre ; alternative : chlorhexidine 0,12 % en bain de bouche, paracétamol.</w:t>
      </w:r>
    </w:p>
    <w:p>
      <w:pPr>
        <w:pStyle w:val="ListNumber"/>
      </w:pPr>
      <w:r/>
      <w:r>
        <w:rPr>
          <w:b/>
        </w:rPr>
        <w:t>Le patient allergique à l'aspirine ou aux AINS</w:t>
      </w:r>
      <w:r>
        <w:t xml:space="preserve"> : pas de CI directe, mais vérifier qu'il n'a pas d'allergie croisée avec le biclotymol (dérivé phénolique).</w:t>
      </w:r>
    </w:p>
    <w:p>
      <w:pPr>
        <w:pStyle w:val="ListNumber"/>
      </w:pPr>
      <w:r/>
      <w:r>
        <w:rPr>
          <w:b/>
        </w:rPr>
        <w:t>Le patient sous AVK</w:t>
      </w:r>
      <w:r>
        <w:t xml:space="preserve"> : surveillance INR en cas d'usage prolongé (interaction énoxolone).</w:t>
      </w:r>
    </w:p>
    <w:p>
      <w:pPr>
        <w:pStyle w:val="ListNumber"/>
      </w:pPr>
      <w:r/>
      <w:r>
        <w:rPr>
          <w:b/>
        </w:rPr>
        <w:t>Le patient digitalisé ou sous antiarythmique</w:t>
      </w:r>
      <w:r>
        <w:t xml:space="preserve"> : surveillance kaliémie en cas d'usage prolongé (effet hypokaliémiant de l'énoxolone).</w:t>
      </w:r>
    </w:p>
    <w:p>
      <w:pPr>
        <w:pStyle w:val="ListNumber"/>
      </w:pPr>
      <w:r/>
      <w:r>
        <w:rPr>
          <w:b/>
        </w:rPr>
        <w:t>Le patient qui a déjà utilisé des bains de bouche à la chlorhexidine</w:t>
      </w:r>
      <w:r>
        <w:t xml:space="preserve"> : pas d'interaction formelle, mais espacer les administrations (modification de la flore commensale).</w:t>
      </w:r>
    </w:p>
    <w:p>
      <w:pPr>
        <w:pStyle w:val="ListNumber"/>
      </w:pPr>
      <w:r/>
      <w:r>
        <w:rPr>
          <w:b/>
        </w:rPr>
        <w:t>Le retour du patient après 5 jours sans amélioration</w:t>
      </w:r>
      <w:r>
        <w:t xml:space="preserve"> : orienter vers le médecin (recherche d'une angine streptococcique nécessitant antibiothérapie systémique, ou d'une autre pathologie pharyngée).</w:t>
      </w:r>
    </w:p>
    <w:p>
      <w:pPr>
        <w:pStyle w:val="ListNumber"/>
      </w:pPr>
      <w:r/>
      <w:r>
        <w:rPr>
          <w:b/>
        </w:rPr>
        <w:t>Le patient qui demande HEXALYSE pour un aphte</w:t>
      </w:r>
      <w:r>
        <w:t xml:space="preserve"> : la spécialité peut être utilisée dans les stomatites aphteuses, mais en présence de multiples aphtes récidivants, orienter vers le médecin (recherche d'une cause sous-jacente : béhçet, maladie inflammatoire chronique intestinale, carence en fer/folates/B12).</w:t>
      </w:r>
    </w:p>
    <w:p>
      <w:pPr>
        <w:pStyle w:val="Heading3"/>
      </w:pPr>
      <w:r>
        <w:t>131.8.3. Chloramphénicol (usage otique)</w:t>
      </w:r>
    </w:p>
    <w:p>
      <w:pPr>
        <w:pStyle w:val="Heading4"/>
      </w:pPr>
      <w:r>
        <w:t>Liste catégories pharmaco-thérapeutiques</w:t>
      </w:r>
    </w:p>
    <w:p>
      <w:pPr>
        <w:pStyle w:val="ListBullet"/>
      </w:pPr>
      <w:r>
        <w:t>Amphénicolé (antibiotique inhibiteur de la synthèse protéique bactérienne)</w:t>
      </w:r>
    </w:p>
    <w:p>
      <w:pPr>
        <w:pStyle w:val="ListBullet"/>
      </w:pPr>
      <w:r>
        <w:t>Antibiotique large spectre bactériostatique</w:t>
      </w:r>
    </w:p>
    <w:p>
      <w:pPr>
        <w:pStyle w:val="ListBullet"/>
      </w:pPr>
      <w:r>
        <w:t>Antibiotique local ophtalmique (extension otique possible mais déconseillée)</w:t>
      </w:r>
    </w:p>
    <w:p>
      <w:pPr>
        <w:pStyle w:val="ListBullet"/>
      </w:pPr>
      <w:r>
        <w:t>Ototoxique local (par prudence, CI en cas de tympan perforé)</w:t>
      </w:r>
    </w:p>
    <w:p>
      <w:pPr>
        <w:pStyle w:val="Heading4"/>
      </w:pPr>
      <w:r>
        <w:t>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CEBENICOL</w:t>
            </w:r>
          </w:p>
        </w:tc>
        <w:tc>
          <w:tcPr>
            <w:tcW w:type="dxa" w:w="1559"/>
          </w:tcPr>
          <w:p>
            <w:r>
              <w:rPr>
                <w:sz w:val="20"/>
              </w:rPr>
              <w:t>CHAUVIN S.A.</w:t>
            </w:r>
          </w:p>
        </w:tc>
        <w:tc>
          <w:tcPr>
            <w:tcW w:type="dxa" w:w="1559"/>
          </w:tcPr>
          <w:p>
            <w:r>
              <w:rPr>
                <w:sz w:val="20"/>
              </w:rPr>
              <w:t>Collyre en solution — Chloramphénicol 0,4 % (4 mg/mL)</w:t>
            </w:r>
          </w:p>
        </w:tc>
        <w:tc>
          <w:tcPr>
            <w:tcW w:type="dxa" w:w="1559"/>
          </w:tcPr>
          <w:p>
            <w:r>
              <w:rPr>
                <w:sz w:val="20"/>
              </w:rPr>
              <w:t>Flacon 5 mL</w:t>
            </w:r>
          </w:p>
        </w:tc>
        <w:tc>
          <w:tcPr>
            <w:tcW w:type="dxa" w:w="1559"/>
          </w:tcPr>
          <w:p>
            <w:r>
              <w:rPr>
                <w:sz w:val="20"/>
              </w:rPr>
              <w:t>Liste I</w:t>
            </w:r>
          </w:p>
        </w:tc>
        <w:tc>
          <w:tcPr>
            <w:tcW w:type="dxa" w:w="1559"/>
          </w:tcPr>
          <w:p>
            <w:r>
              <w:rPr>
                <w:sz w:val="20"/>
              </w:rPr>
              <w:t>ACTIF</w:t>
            </w:r>
          </w:p>
        </w:tc>
      </w:tr>
      <w:tr>
        <w:tc>
          <w:tcPr>
            <w:tcW w:type="dxa" w:w="1559"/>
          </w:tcPr>
          <w:p>
            <w:r>
              <w:rPr>
                <w:sz w:val="20"/>
              </w:rPr>
              <w:t>CROPHENICOL</w:t>
            </w:r>
          </w:p>
        </w:tc>
        <w:tc>
          <w:tcPr>
            <w:tcW w:type="dxa" w:w="1559"/>
          </w:tcPr>
          <w:p>
            <w:r>
              <w:rPr>
                <w:sz w:val="20"/>
              </w:rPr>
              <w:t>CROVIS PHILCOM</w:t>
            </w:r>
          </w:p>
        </w:tc>
        <w:tc>
          <w:tcPr>
            <w:tcW w:type="dxa" w:w="1559"/>
          </w:tcPr>
          <w:p>
            <w:r>
              <w:rPr>
                <w:sz w:val="20"/>
              </w:rPr>
              <w:t>Collyre — Chloramphénicol 0,4 %</w:t>
            </w:r>
          </w:p>
        </w:tc>
        <w:tc>
          <w:tcPr>
            <w:tcW w:type="dxa" w:w="1559"/>
          </w:tcPr>
          <w:p>
            <w:r>
              <w:rPr>
                <w:sz w:val="20"/>
              </w:rPr>
              <w:t>Flacon 5 mL</w:t>
            </w:r>
          </w:p>
        </w:tc>
        <w:tc>
          <w:tcPr>
            <w:tcW w:type="dxa" w:w="1559"/>
          </w:tcPr>
          <w:p>
            <w:r>
              <w:rPr>
                <w:sz w:val="20"/>
              </w:rPr>
              <w:t>Liste I</w:t>
            </w:r>
          </w:p>
        </w:tc>
        <w:tc>
          <w:tcPr>
            <w:tcW w:type="dxa" w:w="1559"/>
          </w:tcPr>
          <w:p>
            <w:r>
              <w:rPr>
                <w:sz w:val="20"/>
              </w:rPr>
              <w:t>NON_RENOUVELABLE (R)</w:t>
            </w:r>
          </w:p>
        </w:tc>
      </w:tr>
      <w:tr>
        <w:tc>
          <w:tcPr>
            <w:tcW w:type="dxa" w:w="1559"/>
          </w:tcPr>
          <w:p>
            <w:r>
              <w:rPr>
                <w:sz w:val="20"/>
              </w:rPr>
              <w:t>CROPHENICOL</w:t>
            </w:r>
          </w:p>
        </w:tc>
        <w:tc>
          <w:tcPr>
            <w:tcW w:type="dxa" w:w="1559"/>
          </w:tcPr>
          <w:p>
            <w:r>
              <w:rPr>
                <w:sz w:val="20"/>
              </w:rPr>
              <w:t>FARMACEUTICI CROVIS PHILCOM SRL</w:t>
            </w:r>
          </w:p>
        </w:tc>
        <w:tc>
          <w:tcPr>
            <w:tcW w:type="dxa" w:w="1559"/>
          </w:tcPr>
          <w:p>
            <w:r>
              <w:rPr>
                <w:sz w:val="20"/>
              </w:rPr>
              <w:t>Pommade ophtalmique — Chloramphénicol 1 %</w:t>
            </w:r>
          </w:p>
        </w:tc>
        <w:tc>
          <w:tcPr>
            <w:tcW w:type="dxa" w:w="1559"/>
          </w:tcPr>
          <w:p>
            <w:r>
              <w:rPr>
                <w:sz w:val="20"/>
              </w:rPr>
              <w:t>Tube 5 g</w:t>
            </w:r>
          </w:p>
        </w:tc>
        <w:tc>
          <w:tcPr>
            <w:tcW w:type="dxa" w:w="1559"/>
          </w:tcPr>
          <w:p>
            <w:r>
              <w:rPr>
                <w:sz w:val="20"/>
              </w:rPr>
              <w:t>Liste I</w:t>
            </w:r>
          </w:p>
        </w:tc>
        <w:tc>
          <w:tcPr>
            <w:tcW w:type="dxa" w:w="1559"/>
          </w:tcPr>
          <w:p>
            <w:r>
              <w:rPr>
                <w:sz w:val="20"/>
              </w:rPr>
              <w:t>NON_RENOUVELABLE (R)</w:t>
            </w:r>
          </w:p>
        </w:tc>
      </w:tr>
      <w:tr>
        <w:tc>
          <w:tcPr>
            <w:tcW w:type="dxa" w:w="1559"/>
          </w:tcPr>
          <w:p>
            <w:r>
              <w:rPr>
                <w:sz w:val="20"/>
              </w:rPr>
              <w:t>CROSULCAF</w:t>
            </w:r>
          </w:p>
        </w:tc>
        <w:tc>
          <w:tcPr>
            <w:tcW w:type="dxa" w:w="1559"/>
          </w:tcPr>
          <w:p>
            <w:r>
              <w:rPr>
                <w:sz w:val="20"/>
              </w:rPr>
              <w:t>CROVIS PHILCOM</w:t>
            </w:r>
          </w:p>
        </w:tc>
        <w:tc>
          <w:tcPr>
            <w:tcW w:type="dxa" w:w="1559"/>
          </w:tcPr>
          <w:p>
            <w:r>
              <w:rPr>
                <w:sz w:val="20"/>
              </w:rPr>
              <w:t>Collyre — Sulfacétamide 10 % / Chloramphénicol 0,5 %</w:t>
            </w:r>
          </w:p>
        </w:tc>
        <w:tc>
          <w:tcPr>
            <w:tcW w:type="dxa" w:w="1559"/>
          </w:tcPr>
          <w:p>
            <w:r>
              <w:rPr>
                <w:sz w:val="20"/>
              </w:rPr>
              <w:t>Flacon 10 mL</w:t>
            </w:r>
          </w:p>
        </w:tc>
        <w:tc>
          <w:tcPr>
            <w:tcW w:type="dxa" w:w="1559"/>
          </w:tcPr>
          <w:p>
            <w:r>
              <w:rPr>
                <w:sz w:val="20"/>
              </w:rPr>
              <w:t>Liste I</w:t>
            </w:r>
          </w:p>
        </w:tc>
        <w:tc>
          <w:tcPr>
            <w:tcW w:type="dxa" w:w="1559"/>
          </w:tcPr>
          <w:p>
            <w:r>
              <w:rPr>
                <w:sz w:val="20"/>
              </w:rPr>
              <w:t>NON_RENOUVELABLE (R)</w:t>
            </w:r>
          </w:p>
        </w:tc>
      </w:tr>
      <w:tr>
        <w:tc>
          <w:tcPr>
            <w:tcW w:type="dxa" w:w="1559"/>
          </w:tcPr>
          <w:p>
            <w:r>
              <w:rPr>
                <w:sz w:val="20"/>
              </w:rPr>
              <w:t>CROPHENICOL</w:t>
            </w:r>
          </w:p>
        </w:tc>
        <w:tc>
          <w:tcPr>
            <w:tcW w:type="dxa" w:w="1559"/>
          </w:tcPr>
          <w:p>
            <w:r>
              <w:rPr>
                <w:sz w:val="20"/>
              </w:rPr>
              <w:t>CROVIS PHILCOM</w:t>
            </w:r>
          </w:p>
        </w:tc>
        <w:tc>
          <w:tcPr>
            <w:tcW w:type="dxa" w:w="1559"/>
          </w:tcPr>
          <w:p>
            <w:r>
              <w:rPr>
                <w:sz w:val="20"/>
              </w:rPr>
              <w:t>Suspension buvable — Chloramphénicol 125 mg/5 mL</w:t>
            </w:r>
          </w:p>
        </w:tc>
        <w:tc>
          <w:tcPr>
            <w:tcW w:type="dxa" w:w="1559"/>
          </w:tcPr>
          <w:p>
            <w:r>
              <w:rPr>
                <w:sz w:val="20"/>
              </w:rPr>
              <w:t>Flacon 60 mL</w:t>
            </w:r>
          </w:p>
        </w:tc>
        <w:tc>
          <w:tcPr>
            <w:tcW w:type="dxa" w:w="1559"/>
          </w:tcPr>
          <w:p>
            <w:r>
              <w:rPr>
                <w:sz w:val="20"/>
              </w:rPr>
              <w:t>Liste I</w:t>
            </w:r>
          </w:p>
        </w:tc>
        <w:tc>
          <w:tcPr>
            <w:tcW w:type="dxa" w:w="1559"/>
          </w:tcPr>
          <w:p>
            <w:r>
              <w:rPr>
                <w:sz w:val="20"/>
              </w:rPr>
              <w:t>RETRAIT (R)</w:t>
            </w:r>
          </w:p>
        </w:tc>
      </w:tr>
      <w:tr>
        <w:tc>
          <w:tcPr>
            <w:tcW w:type="dxa" w:w="1559"/>
          </w:tcPr>
          <w:p>
            <w:r>
              <w:rPr>
                <w:sz w:val="20"/>
              </w:rPr>
              <w:t>SIFICETINA</w:t>
            </w:r>
          </w:p>
        </w:tc>
        <w:tc>
          <w:tcPr>
            <w:tcW w:type="dxa" w:w="1559"/>
          </w:tcPr>
          <w:p>
            <w:r>
              <w:rPr>
                <w:sz w:val="20"/>
              </w:rPr>
              <w:t>SIFI</w:t>
            </w:r>
          </w:p>
        </w:tc>
        <w:tc>
          <w:tcPr>
            <w:tcW w:type="dxa" w:w="1559"/>
          </w:tcPr>
          <w:p>
            <w:r>
              <w:rPr>
                <w:sz w:val="20"/>
              </w:rPr>
              <w:t>Collyre — Chloramphénicol 0,4 %</w:t>
            </w:r>
          </w:p>
        </w:tc>
        <w:tc>
          <w:tcPr>
            <w:tcW w:type="dxa" w:w="1559"/>
          </w:tcPr>
          <w:p>
            <w:r>
              <w:rPr>
                <w:sz w:val="20"/>
              </w:rPr>
              <w:t>Flacon 5 mL</w:t>
            </w:r>
          </w:p>
        </w:tc>
        <w:tc>
          <w:tcPr>
            <w:tcW w:type="dxa" w:w="1559"/>
          </w:tcPr>
          <w:p>
            <w:r>
              <w:rPr>
                <w:sz w:val="20"/>
              </w:rPr>
              <w:t>Liste I</w:t>
            </w:r>
          </w:p>
        </w:tc>
        <w:tc>
          <w:tcPr>
            <w:tcW w:type="dxa" w:w="1559"/>
          </w:tcPr>
          <w:p>
            <w:r>
              <w:rPr>
                <w:sz w:val="20"/>
              </w:rPr>
              <w:t>RETRAIT (R)</w:t>
            </w:r>
          </w:p>
        </w:tc>
      </w:tr>
      <w:tr>
        <w:tc>
          <w:tcPr>
            <w:tcW w:type="dxa" w:w="1559"/>
          </w:tcPr>
          <w:p>
            <w:r>
              <w:rPr>
                <w:sz w:val="20"/>
              </w:rPr>
              <w:t>CEBENICOL</w:t>
            </w:r>
          </w:p>
        </w:tc>
        <w:tc>
          <w:tcPr>
            <w:tcW w:type="dxa" w:w="1559"/>
          </w:tcPr>
          <w:p>
            <w:r>
              <w:rPr>
                <w:sz w:val="20"/>
              </w:rPr>
              <w:t>CHAUVIN</w:t>
            </w:r>
          </w:p>
        </w:tc>
        <w:tc>
          <w:tcPr>
            <w:tcW w:type="dxa" w:w="1559"/>
          </w:tcPr>
          <w:p>
            <w:r>
              <w:rPr>
                <w:sz w:val="20"/>
              </w:rPr>
              <w:t>Pommade ophtalmique — Chloramphénicol 1 %</w:t>
            </w:r>
          </w:p>
        </w:tc>
        <w:tc>
          <w:tcPr>
            <w:tcW w:type="dxa" w:w="1559"/>
          </w:tcPr>
          <w:p>
            <w:r>
              <w:rPr>
                <w:sz w:val="20"/>
              </w:rPr>
              <w:t>Tube 5 g</w:t>
            </w:r>
          </w:p>
        </w:tc>
        <w:tc>
          <w:tcPr>
            <w:tcW w:type="dxa" w:w="1559"/>
          </w:tcPr>
          <w:p>
            <w:r>
              <w:rPr>
                <w:sz w:val="20"/>
              </w:rPr>
              <w:t>Liste I</w:t>
            </w:r>
          </w:p>
        </w:tc>
        <w:tc>
          <w:tcPr>
            <w:tcW w:type="dxa" w:w="1559"/>
          </w:tcPr>
          <w:p>
            <w:r>
              <w:rPr>
                <w:sz w:val="20"/>
              </w:rPr>
              <w:t>RETRAIT (R)</w:t>
            </w:r>
          </w:p>
        </w:tc>
      </w:tr>
      <w:tr>
        <w:tc>
          <w:tcPr>
            <w:tcW w:type="dxa" w:w="1559"/>
          </w:tcPr>
          <w:p>
            <w:r>
              <w:rPr>
                <w:sz w:val="20"/>
              </w:rPr>
              <w:t>OFTALMOSA CUSI CHLORAMPHENICOL</w:t>
            </w:r>
          </w:p>
        </w:tc>
        <w:tc>
          <w:tcPr>
            <w:tcW w:type="dxa" w:w="1559"/>
          </w:tcPr>
          <w:p>
            <w:r>
              <w:rPr>
                <w:sz w:val="20"/>
              </w:rPr>
              <w:t>CUSI</w:t>
            </w:r>
          </w:p>
        </w:tc>
        <w:tc>
          <w:tcPr>
            <w:tcW w:type="dxa" w:w="1559"/>
          </w:tcPr>
          <w:p>
            <w:r>
              <w:rPr>
                <w:sz w:val="20"/>
              </w:rPr>
              <w:t>Pommade ophtalmique — Chloramphénicol 1 %</w:t>
            </w:r>
          </w:p>
        </w:tc>
        <w:tc>
          <w:tcPr>
            <w:tcW w:type="dxa" w:w="1559"/>
          </w:tcPr>
          <w:p>
            <w:r>
              <w:rPr>
                <w:sz w:val="20"/>
              </w:rPr>
              <w:t>Tube 3 g</w:t>
            </w:r>
          </w:p>
        </w:tc>
        <w:tc>
          <w:tcPr>
            <w:tcW w:type="dxa" w:w="1559"/>
          </w:tcPr>
          <w:p>
            <w:r>
              <w:rPr>
                <w:sz w:val="20"/>
              </w:rPr>
              <w:t>Liste I</w:t>
            </w:r>
          </w:p>
        </w:tc>
        <w:tc>
          <w:tcPr>
            <w:tcW w:type="dxa" w:w="1559"/>
          </w:tcPr>
          <w:p>
            <w:r>
              <w:rPr>
                <w:sz w:val="20"/>
              </w:rPr>
              <w:t>RETRAIT (R)</w:t>
            </w:r>
          </w:p>
        </w:tc>
      </w:tr>
      <w:tr>
        <w:tc>
          <w:tcPr>
            <w:tcW w:type="dxa" w:w="1559"/>
          </w:tcPr>
          <w:p>
            <w:r>
              <w:rPr>
                <w:sz w:val="20"/>
              </w:rPr>
              <w:t>CHLORAMPHENICOL</w:t>
            </w:r>
          </w:p>
        </w:tc>
        <w:tc>
          <w:tcPr>
            <w:tcW w:type="dxa" w:w="1559"/>
          </w:tcPr>
          <w:p>
            <w:r>
              <w:rPr>
                <w:sz w:val="20"/>
              </w:rPr>
              <w:t>KRKA</w:t>
            </w:r>
          </w:p>
        </w:tc>
        <w:tc>
          <w:tcPr>
            <w:tcW w:type="dxa" w:w="1559"/>
          </w:tcPr>
          <w:p>
            <w:r>
              <w:rPr>
                <w:sz w:val="20"/>
              </w:rPr>
              <w:t>Pommade ophtalmique — Chloramphénicol 1 %</w:t>
            </w:r>
          </w:p>
        </w:tc>
        <w:tc>
          <w:tcPr>
            <w:tcW w:type="dxa" w:w="1559"/>
          </w:tcPr>
          <w:p>
            <w:r>
              <w:rPr>
                <w:sz w:val="20"/>
              </w:rPr>
              <w:t>Tube 5 g</w:t>
            </w:r>
          </w:p>
        </w:tc>
        <w:tc>
          <w:tcPr>
            <w:tcW w:type="dxa" w:w="1559"/>
          </w:tcPr>
          <w:p>
            <w:r>
              <w:rPr>
                <w:sz w:val="20"/>
              </w:rPr>
              <w:t>Liste I</w:t>
            </w:r>
          </w:p>
        </w:tc>
        <w:tc>
          <w:tcPr>
            <w:tcW w:type="dxa" w:w="1559"/>
          </w:tcPr>
          <w:p>
            <w:r>
              <w:rPr>
                <w:sz w:val="20"/>
              </w:rPr>
              <w:t>RETRAIT (R)</w:t>
            </w:r>
          </w:p>
        </w:tc>
      </w:tr>
    </w:tbl>
    <w:p/>
    <w:p>
      <w:r/>
      <w:r>
        <w:rPr>
          <w:b/>
        </w:rPr>
        <w:t>Note nomenclature</w:t>
      </w:r>
      <w:r>
        <w:t xml:space="preserve"> : aucune spécialité algérienne n'est strictement enregistrée comme « solution otique de chloramphénicol ». Les spécialités ci-dessus sont des formulations ophtalmiques (collyre 0,4 % ou pommade ophtalmique 1 %), dont l'usage otique est une extension hors AMM déconseillée par la SFORL et l'AAO-HNS en raison du risque d'ototoxicité théorique. La suspension buvable (CROPHENICOL 125 mg/5 mL) est un usage systémique retiré du marché algérien.</w:t>
      </w:r>
    </w:p>
    <w:p>
      <w:pPr>
        <w:pStyle w:val="Heading4"/>
      </w:pPr>
      <w:r>
        <w:t>Mécanisme d'action</w:t>
      </w:r>
    </w:p>
    <w:p>
      <w:r>
        <w:t xml:space="preserve">Le chloramphénicol (C₁₁H₁₂Cl₂N₂O₅, masse molaire 323,1 g/mol) est un antibiotique de la famille des amphénicolés, isolé en 1947 à partir de cultures de </w:t>
      </w:r>
      <w:r>
        <w:rPr>
          <w:i/>
        </w:rPr>
        <w:t>Streptomyces venezuelae</w:t>
      </w:r>
      <w:r>
        <w:t xml:space="preserve"> (au Venezuela, d'où son nom). C'est un antibiotique de structure 1,3-dichloro-2-propénol lié à un acide p-nitrophénylaminoéthanol, avec un atome de chlore substituant les positions 1 et 3 du noyau propane-1,3-diol. La synthèse chimique est rendue économiquement viable depuis 1949, ce qui en fit le premier antibiotique produit industriellement par synthèse chimique pure.</w:t>
      </w:r>
    </w:p>
    <w:p>
      <w:r>
        <w:t xml:space="preserve">Le chloramphénicol traverse la membrane externe des bactéries Gram− par les porines (canal OmpF/OmpC), franchit la paroi des Gram+ par diffusion passive, et atteint la sous-unité </w:t>
      </w:r>
      <w:r>
        <w:rPr>
          <w:b/>
        </w:rPr>
        <w:t>50S du ribosome bactérien</w:t>
      </w:r>
      <w:r>
        <w:t xml:space="preserve">. Il s'y fixe au niveau du </w:t>
      </w:r>
      <w:r>
        <w:rPr>
          <w:b/>
        </w:rPr>
        <w:t>site A (aminoacyl)</w:t>
      </w:r>
      <w:r>
        <w:t xml:space="preserve"> de la </w:t>
      </w:r>
      <w:r>
        <w:rPr>
          <w:b/>
        </w:rPr>
        <w:t>peptidyl transférase</w:t>
      </w:r>
      <w:r>
        <w:t xml:space="preserve"> (enzyme ribosomique portée par l'ARNr 23S, au sein du centre peptidyl transférase du ribosome), dans une poche hydrophobe située à l'interface des sous-unités ribosomiques. La fixation est non-covalente mais de haute affinité (Ki ~10⁻⁶ M).</w:t>
      </w:r>
    </w:p>
    <w:p>
      <w:r>
        <w:t xml:space="preserve">L'inhibition de la peptidyl transférase bloque la formation de la </w:t>
      </w:r>
      <w:r>
        <w:rPr>
          <w:b/>
        </w:rPr>
        <w:t>liaison peptidique</w:t>
      </w:r>
      <w:r>
        <w:t xml:space="preserve"> entre l'acide aminé entrant (porté par l'ARNt aminoacylé du site A) et la chaîne peptidique naissante (portée par l'ARNt peptidyl du site P). Le résultat est un </w:t>
      </w:r>
      <w:r>
        <w:rPr>
          <w:b/>
        </w:rPr>
        <w:t>arrêt de l'élongation de la chaîne polypeptidique</w:t>
      </w:r>
      <w:r>
        <w:t xml:space="preserve"> → effet </w:t>
      </w:r>
      <w:r>
        <w:rPr>
          <w:b/>
        </w:rPr>
        <w:t>bactériostatique</w:t>
      </w:r>
      <w:r>
        <w:t xml:space="preserve">. À concentrations élevées (≥ 4× CMI), le chloramphénicol peut avoir un effet </w:t>
      </w:r>
      <w:r>
        <w:rPr>
          <w:b/>
        </w:rPr>
        <w:t>bactéricide</w:t>
      </w:r>
      <w:r>
        <w:t xml:space="preserve"> sur certains germes : </w:t>
      </w:r>
      <w:r>
        <w:rPr>
          <w:i/>
        </w:rPr>
        <w:t>Haemophilus influenzae</w:t>
      </w:r>
      <w:r>
        <w:t xml:space="preserve">, </w:t>
      </w:r>
      <w:r>
        <w:rPr>
          <w:i/>
        </w:rPr>
        <w:t>Neisseria meningitidis</w:t>
      </w:r>
      <w:r>
        <w:t xml:space="preserve">, </w:t>
      </w:r>
      <w:r>
        <w:rPr>
          <w:i/>
        </w:rPr>
        <w:t>Streptococcus pneumoniae</w:t>
      </w:r>
      <w:r>
        <w:t>.</w:t>
      </w:r>
    </w:p>
    <w:p>
      <w:r/>
      <w:r>
        <w:rPr>
          <w:b/>
        </w:rPr>
        <w:t>Spectre antibactérien</w:t>
      </w:r>
      <w:r>
        <w:t xml:space="preserve"> :</w:t>
      </w:r>
    </w:p>
    <w:p>
      <w:pPr>
        <w:pStyle w:val="ListBullet"/>
      </w:pPr>
      <w:r>
        <w:t>Gram+ : *Staphylococcus aureus* (y compris certains SARM), *Staphylococcus epidermidis*, *Streptococcus pyogenes*, *Streptococcus pneumoniae* (y compris certaines souches pénicillino-résistantes), *Streptococcus agalactiae*, *Enterococcus faecalis* (sensibilité inconstante), *Enterococcus faecium* (résistant), *Bacillus anthracis*, *Listeria monocytogenes* ;</w:t>
      </w:r>
    </w:p>
    <w:p>
      <w:pPr>
        <w:pStyle w:val="ListBullet"/>
      </w:pPr>
      <w:r>
        <w:t>Gram− : *Haemophilus influenzae* (CMI ~0,5–2 mg/L, sensible), *Haemophilus ducreyi*, *Neisseria gonorrhoeae*, *Neisseria meningitidis* (CMI ~0,5–1 mg/L, sensible), *Bordetella pertussis*, *Branhamella catarrhalis*, *Brucella* spp., *Yersinia pestis*, *Yersinia enterocolitica*, *Francisella tularensis*, *Vibrio cholerae*, entérobactéries (*Escherichia coli*, *Klebsiella pneumoniae*, *Salmonella* spp., *Shigella* spp., *Proteus* spp. — sensibilité variable selon la production de chloramphénicol acétyltransférase), *Bacteroides fragilis* (sensibilité inconstante) ;</w:t>
      </w:r>
    </w:p>
    <w:p>
      <w:pPr>
        <w:pStyle w:val="ListBullet"/>
      </w:pPr>
      <w:r>
        <w:t>Anaérobies : *Clostridium* spp. (sensibilité variable), *Peptostreptococcus* spp., *Fusobacterium* spp. ;</w:t>
      </w:r>
    </w:p>
    <w:p>
      <w:pPr>
        <w:pStyle w:val="ListBullet"/>
      </w:pPr>
      <w:r>
        <w:t>Spirochètes : *Treponema pallidum*, *Leptospira* spp., *Borrelia recurrentis* ;</w:t>
      </w:r>
    </w:p>
    <w:p>
      <w:pPr>
        <w:pStyle w:val="ListBullet"/>
      </w:pPr>
      <w:r>
        <w:t>Rickettsies : *Rickettsia prowazekii*, *Rickettsia rickettsii*, *Coxiella burnetii* ;</w:t>
      </w:r>
    </w:p>
    <w:p>
      <w:pPr>
        <w:pStyle w:val="ListBullet"/>
      </w:pPr>
      <w:r>
        <w:t>Chlamydia : *Chlamydia trachomatis*, *Chlamydia psittaci*, *Chlamydia pneumoniae* ;</w:t>
      </w:r>
    </w:p>
    <w:p>
      <w:pPr>
        <w:pStyle w:val="ListBullet"/>
      </w:pPr>
      <w:r>
        <w:t>Mycoplasmes : *Mycoplasma pneumoniae*, *Ureaplasma urealyticum*.</w:t>
      </w:r>
    </w:p>
    <w:p>
      <w:r/>
      <w:r>
        <w:rPr>
          <w:b/>
        </w:rPr>
        <w:t>Résistance acquise</w:t>
      </w:r>
      <w:r>
        <w:t xml:space="preserve"> :</w:t>
      </w:r>
    </w:p>
    <w:p>
      <w:pPr>
        <w:pStyle w:val="ListBullet"/>
      </w:pPr>
      <w:r/>
      <w:r>
        <w:rPr>
          <w:b/>
        </w:rPr>
        <w:t>Chloramphénicol acétyltransférase (CAT)</w:t>
      </w:r>
      <w:r>
        <w:t xml:space="preserve"> : enzyme plasmidique ou chromosomique qui acétyle le chloramphénicol en chloramphénicol 3-acétyl (inactif). Les gènes *cat* sont largement distribués (CAT-I, CAT-II, CAT-III chez les entérobactéries, staphylocoques). Résistance croisée avec le thiamphénicol (mais pas avec le florfénicol qui est partiellement résistant).</w:t>
      </w:r>
    </w:p>
    <w:p>
      <w:pPr>
        <w:pStyle w:val="ListBullet"/>
      </w:pPr>
      <w:r/>
      <w:r>
        <w:rPr>
          <w:b/>
        </w:rPr>
        <w:t>Efflux</w:t>
      </w:r>
      <w:r>
        <w:t xml:space="preserve"> : pompes d'efflux de la famille RND (Resistance-Nodulation-Division) chez les Gram− (notamment *Pseudomonas aeruginosa*) — résistance croisée avec de nombreux antibiotiques.</w:t>
      </w:r>
    </w:p>
    <w:p>
      <w:pPr>
        <w:pStyle w:val="ListBullet"/>
      </w:pPr>
      <w:r/>
      <w:r>
        <w:rPr>
          <w:b/>
        </w:rPr>
        <w:t>Mutation de la cible</w:t>
      </w:r>
      <w:r>
        <w:t xml:space="preserve"> : mutations de l'ARNr 23S ou des protéines L4/L22 du ribosome — rares.</w:t>
      </w:r>
    </w:p>
    <w:p>
      <w:pPr>
        <w:pStyle w:val="Heading4"/>
      </w:pPr>
      <w:r>
        <w:t>Profil pharmacologique (indications, contre-indications, effets indésirables)</w:t>
      </w:r>
    </w:p>
    <w:p>
      <w:r/>
      <w:r>
        <w:rPr>
          <w:b/>
        </w:rPr>
        <w:t>Indications (AMM actuelle — collyre/pommade ophtalmique)</w:t>
      </w:r>
      <w:r>
        <w:t xml:space="preserve"> : traitement local des conjonctivites bactériennes à germes sensibles (en 2e intention, en raison de la disponibilité d'alternatives plus sûres : fluoroquinolones locales, aminosides locaux). En pratique, l'usage du chloramphénicol ophtalmique est aujourd'hui exceptionnel en France comme en Algérie.</w:t>
      </w:r>
    </w:p>
    <w:p>
      <w:r/>
      <w:r>
        <w:rPr>
          <w:b/>
        </w:rPr>
        <w:t>Indications historiques (par voie systémique, abandonnées)</w:t>
      </w:r>
      <w:r>
        <w:t xml:space="preserve"> : méningites à </w:t>
      </w:r>
      <w:r>
        <w:rPr>
          <w:i/>
        </w:rPr>
        <w:t>H. influenzae</w:t>
      </w:r>
      <w:r>
        <w:t xml:space="preserve"> producteur de β-lactamases (avant la 3e génération de céphalosporines), fièvre typhoïde, rickettsioses sévères (typhus exanthématique), peste, brucellose (en association), infections sévères à anaérobies (en alternative au métronidazole).</w:t>
      </w:r>
    </w:p>
    <w:p>
      <w:r/>
      <w:r>
        <w:rPr>
          <w:b/>
        </w:rPr>
        <w:t>Contre-indications absolues</w:t>
      </w:r>
      <w:r>
        <w:t xml:space="preserve"> :</w:t>
      </w:r>
    </w:p>
    <w:p>
      <w:pPr>
        <w:pStyle w:val="ListBullet"/>
      </w:pPr>
      <w:r/>
      <w:r>
        <w:rPr>
          <w:b/>
        </w:rPr>
        <w:t>Nourrisson &lt; 1 mois</w:t>
      </w:r>
      <w:r>
        <w:t xml:space="preserve"> (risque de syndrome gris du nourrisson — gray baby syndrome) ;</w:t>
      </w:r>
    </w:p>
    <w:p>
      <w:pPr>
        <w:pStyle w:val="ListBullet"/>
      </w:pPr>
      <w:r>
        <w:t>Antécédent d'aplasie médullaire, dyscrasie sanguine ;</w:t>
      </w:r>
    </w:p>
    <w:p>
      <w:pPr>
        <w:pStyle w:val="ListBullet"/>
      </w:pPr>
      <w:r>
        <w:t>Porphyrie aiguë intermittente ;</w:t>
      </w:r>
    </w:p>
    <w:p>
      <w:pPr>
        <w:pStyle w:val="ListBullet"/>
      </w:pPr>
      <w:r>
        <w:t>Déficit en G6PD (risque d'hémolyse) ;</w:t>
      </w:r>
    </w:p>
    <w:p>
      <w:pPr>
        <w:pStyle w:val="ListBullet"/>
      </w:pPr>
      <w:r/>
      <w:r>
        <w:rPr>
          <w:b/>
        </w:rPr>
        <w:t>Tympan perforé</w:t>
      </w:r>
      <w:r>
        <w:t xml:space="preserve"> ou ATT en place pour l'usage otique (par prudence, risque d'ototoxicité théorique) ;</w:t>
      </w:r>
    </w:p>
    <w:p>
      <w:pPr>
        <w:pStyle w:val="ListBullet"/>
      </w:pPr>
      <w:r>
        <w:t>Hypersensibilité au chloramphénicol ;</w:t>
      </w:r>
    </w:p>
    <w:p>
      <w:pPr>
        <w:pStyle w:val="ListBullet"/>
      </w:pPr>
      <w:r>
        <w:t>Grossesse et allaitement (par prudence) ;</w:t>
      </w:r>
    </w:p>
    <w:p>
      <w:pPr>
        <w:pStyle w:val="ListBullet"/>
      </w:pPr>
      <w:r>
        <w:t>Insuffisance hépatique sévère (clairance réduite, accumulation) ;</w:t>
      </w:r>
    </w:p>
    <w:p>
      <w:pPr>
        <w:pStyle w:val="ListBullet"/>
      </w:pPr>
      <w:r>
        <w:t>Traitement par cytotoxiques ou immunosuppresseurs (potentialisation de la toxicité médullaire).</w:t>
      </w:r>
    </w:p>
    <w:p>
      <w:r/>
      <w:r>
        <w:rPr>
          <w:b/>
        </w:rPr>
        <w:t>Contre-indications relatives</w:t>
      </w:r>
      <w:r>
        <w:t xml:space="preserve"> :</w:t>
      </w:r>
    </w:p>
    <w:p>
      <w:pPr>
        <w:pStyle w:val="ListBullet"/>
      </w:pPr>
      <w:r>
        <w:t>Nourrisson &lt; 6 mois (par prudence, immaturité hépatique) ;</w:t>
      </w:r>
    </w:p>
    <w:p>
      <w:pPr>
        <w:pStyle w:val="ListBullet"/>
      </w:pPr>
      <w:r>
        <w:t>Insuffisance rénale ;</w:t>
      </w:r>
    </w:p>
    <w:p>
      <w:pPr>
        <w:pStyle w:val="ListBullet"/>
      </w:pPr>
      <w:r>
        <w:t>Sujet âgé fragile ;</w:t>
      </w:r>
    </w:p>
    <w:p>
      <w:pPr>
        <w:pStyle w:val="ListBullet"/>
      </w:pPr>
      <w:r>
        <w:t>Traitement concomitant par médicaments hématotoxiques (sels de platine, azathioprine, allopurinol).</w:t>
      </w:r>
    </w:p>
    <w:p>
      <w:r/>
      <w:r>
        <w:rPr>
          <w:b/>
        </w:rPr>
        <w:t>Effets indésirables</w:t>
      </w:r>
      <w:r>
        <w:t xml:space="preserve"> :</w:t>
      </w:r>
    </w:p>
    <w:p>
      <w:pPr>
        <w:pStyle w:val="ListBullet"/>
      </w:pPr>
      <w:r/>
      <w:r>
        <w:rPr>
          <w:b/>
        </w:rPr>
        <w:t>Hématologiques</w:t>
      </w:r>
      <w:r>
        <w:t xml:space="preserve"> (les plus préoccupants) :</w:t>
      </w:r>
    </w:p>
    <w:p>
      <w:pPr>
        <w:pStyle w:val="ListBullet"/>
      </w:pPr>
      <w:r/>
      <w:r>
        <w:rPr>
          <w:b/>
        </w:rPr>
        <w:t>Aplasie médullaire</w:t>
      </w:r>
      <w:r>
        <w:t xml:space="preserve"> (incidence ~1/25 000–40 000 patients exposés — indépendante de la dose, immuno-allergique ou toxique mitochondriale, retardée de quelques semaines à plusieurs mois après l'exposition, potentiellement irréversible, mortalité ~50 %). Mécanisme : toxicité mitochondriale (inhibition de la synthèse de l'ADN mitochondrial par inhibition de l'ARN polymérase mitochondriale, homologie avec l'ARN polymérase bactérienne) → atteinte des cellules souches hématopoïétiques. Cet effet rarissime par voie locale ophtalmique (quelques cas publiés) a justifié le retrait progressif du chloramphénicol ophtalmique dans plusieurs pays (France : recommandation de ne plus utiliser en 1re intention, mais non interdiction) ;</w:t>
      </w:r>
    </w:p>
    <w:p>
      <w:pPr>
        <w:pStyle w:val="ListBullet"/>
      </w:pPr>
      <w:r/>
      <w:r>
        <w:rPr>
          <w:b/>
        </w:rPr>
        <w:t>Anémie aplasique</w:t>
      </w:r>
      <w:r>
        <w:t xml:space="preserve"> (variante de l'aplasie médullaire, touchant préférentiellement la lignée érythroïde) ;</w:t>
      </w:r>
    </w:p>
    <w:p>
      <w:pPr>
        <w:pStyle w:val="ListBullet"/>
      </w:pPr>
      <w:r/>
      <w:r>
        <w:rPr>
          <w:b/>
        </w:rPr>
        <w:t>Myélodépression dose-dépendante</w:t>
      </w:r>
      <w:r>
        <w:t xml:space="preserve"> (anémie, leucopénie, thrombopénie) — réversible à l'arrêt, observée à doses systémiques &gt; 4 g/j ou chez l'insuffisant hépatique ;</w:t>
      </w:r>
    </w:p>
    <w:p>
      <w:pPr>
        <w:pStyle w:val="ListBullet"/>
      </w:pPr>
      <w:r/>
      <w:r>
        <w:rPr>
          <w:b/>
        </w:rPr>
        <w:t>Anémie hémolytique</w:t>
      </w:r>
      <w:r>
        <w:t xml:space="preserve"> chez le déficient en G6PD.</w:t>
      </w:r>
    </w:p>
    <w:p>
      <w:pPr>
        <w:pStyle w:val="ListBullet"/>
      </w:pPr>
      <w:r/>
      <w:r>
        <w:rPr>
          <w:b/>
        </w:rPr>
        <w:t>Syndrome gris du nourrisson</w:t>
      </w:r>
      <w:r>
        <w:t xml:space="preserve"> (gray baby syndrome) :</w:t>
      </w:r>
    </w:p>
    <w:p>
      <w:pPr>
        <w:pStyle w:val="ListBullet"/>
      </w:pPr>
      <w:r>
        <w:t>Tableau clinique : vomissements, refus alimentaire, hypotonie, hypothermie, cyanose gris-bleu (coloration cutanée caractéristique), collapsus cardiovasculaire, détresse respiratoire, acidose métabolique, coma, décès dans ~40 % des cas ;</w:t>
      </w:r>
    </w:p>
    <w:p>
      <w:pPr>
        <w:pStyle w:val="ListBullet"/>
      </w:pPr>
      <w:r>
        <w:t>Mécanisme : accumulation de chloramphénicol libre par immaturité de la glucuronoconjugaison hépatique (UGT2B7 immature jusqu'à 3–6 mois) et immaturité de l'excrétion rénale tubulaire ;</w:t>
      </w:r>
    </w:p>
    <w:p>
      <w:pPr>
        <w:pStyle w:val="ListBullet"/>
      </w:pPr>
      <w:r>
        <w:t>Délai d'apparition : 2–9 jours après le début du traitement ;</w:t>
      </w:r>
    </w:p>
    <w:p>
      <w:pPr>
        <w:pStyle w:val="ListBullet"/>
      </w:pPr>
      <w:r>
        <w:t>Traitement : arrêt immédiat, réanimation, hémodialyse ou échange transfusionnel.</w:t>
      </w:r>
    </w:p>
    <w:p>
      <w:pPr>
        <w:pStyle w:val="ListBullet"/>
      </w:pPr>
      <w:r/>
      <w:r>
        <w:rPr>
          <w:b/>
        </w:rPr>
        <w:t>Neurologiques</w:t>
      </w:r>
      <w:r>
        <w:t xml:space="preserve"> :</w:t>
      </w:r>
    </w:p>
    <w:p>
      <w:pPr>
        <w:pStyle w:val="ListBullet"/>
      </w:pPr>
      <w:r>
        <w:t>Neuropathie optique rétrobulbaire (à fortes doses cumulatives &gt; 25 g, atteinte bilatérale, baisse d'acuité visuelle, scotome central, parfois irréversible) ;</w:t>
      </w:r>
    </w:p>
    <w:p>
      <w:pPr>
        <w:pStyle w:val="ListBullet"/>
      </w:pPr>
      <w:r>
        <w:t>Neuropathie périphérique (paresthésies, hypoesthésie) ;</w:t>
      </w:r>
    </w:p>
    <w:p>
      <w:pPr>
        <w:pStyle w:val="ListBullet"/>
      </w:pPr>
      <w:r>
        <w:t>Céphalées, confusion, dépression (à doses systémiques).</w:t>
      </w:r>
    </w:p>
    <w:p>
      <w:pPr>
        <w:pStyle w:val="ListBullet"/>
      </w:pPr>
      <w:r/>
      <w:r>
        <w:rPr>
          <w:b/>
        </w:rPr>
        <w:t>Digestifs</w:t>
      </w:r>
      <w:r>
        <w:t xml:space="preserve"> : nausées, vomissements, diarrhée, glossite, stomatite aphteuse, entérocolite à *C. difficile* (rare).</w:t>
      </w:r>
    </w:p>
    <w:p>
      <w:pPr>
        <w:pStyle w:val="ListBullet"/>
      </w:pPr>
      <w:r/>
      <w:r>
        <w:rPr>
          <w:b/>
        </w:rPr>
        <w:t>Allergiques</w:t>
      </w:r>
      <w:r>
        <w:t xml:space="preserve"> : rash cutané, urticaire, œdème de Quincke, érythème polymorphe, exceptionnellement syndrome de Stevens-Johnson ou syndrome de Lyell.</w:t>
      </w:r>
    </w:p>
    <w:p>
      <w:pPr>
        <w:pStyle w:val="ListBullet"/>
      </w:pPr>
      <w:r/>
      <w:r>
        <w:rPr>
          <w:b/>
        </w:rPr>
        <w:t>Otologiques</w:t>
      </w:r>
      <w:r>
        <w:t xml:space="preserve"> (par voie locale otique) :</w:t>
      </w:r>
    </w:p>
    <w:p>
      <w:pPr>
        <w:pStyle w:val="ListBullet"/>
      </w:pPr>
      <w:r>
        <w:t>Ototoxicité cochléaire (surdité de perception) — discutée, jamais formellement démontrée par voie otique, mais signalée à fortes doses systémiques ;</w:t>
      </w:r>
    </w:p>
    <w:p>
      <w:pPr>
        <w:pStyle w:val="ListBullet"/>
      </w:pPr>
      <w:r>
        <w:t>Ototoxicité vestibulaire — rare ;</w:t>
      </w:r>
    </w:p>
    <w:p>
      <w:pPr>
        <w:pStyle w:val="ListBullet"/>
      </w:pPr>
      <w:r>
        <w:t>Irritation locale du CAE (sensation de brûlure, prurit).</w:t>
      </w:r>
    </w:p>
    <w:p>
      <w:pPr>
        <w:pStyle w:val="Heading4"/>
      </w:pPr>
      <w:r>
        <w:t>Prévention des effets indésirables</w:t>
      </w:r>
    </w:p>
    <w:p>
      <w:pPr>
        <w:pStyle w:val="ListNumber"/>
      </w:pPr>
      <w:r/>
      <w:r>
        <w:rPr>
          <w:b/>
        </w:rPr>
        <w:t>Respect strict des CI</w:t>
      </w:r>
      <w:r>
        <w:t xml:space="preserve"> : jamais chez le nourrisson &lt; 1 mois (risque de syndrome gris), par prudence chez le nourrisson &lt; 6 mois ;</w:t>
      </w:r>
    </w:p>
    <w:p>
      <w:pPr>
        <w:pStyle w:val="ListNumber"/>
      </w:pPr>
      <w:r/>
      <w:r>
        <w:rPr>
          <w:b/>
        </w:rPr>
        <w:t>Pas d'usage otique en cas de tympan perforé</w:t>
      </w:r>
      <w:r>
        <w:t xml:space="preserve"> (par prudence, ototoxicité théorique) ;</w:t>
      </w:r>
    </w:p>
    <w:p>
      <w:pPr>
        <w:pStyle w:val="ListNumber"/>
      </w:pPr>
      <w:r/>
      <w:r>
        <w:rPr>
          <w:b/>
        </w:rPr>
        <w:t>Limite de la durée</w:t>
      </w:r>
      <w:r>
        <w:t xml:space="preserve"> à 7 jours (usage ophtalmique) — au-delà, réévaluation médicale obligatoire ;</w:t>
      </w:r>
    </w:p>
    <w:p>
      <w:pPr>
        <w:pStyle w:val="ListNumber"/>
      </w:pPr>
      <w:r/>
      <w:r>
        <w:rPr>
          <w:b/>
        </w:rPr>
        <w:t>Pas d'usage systémique prolongé</w:t>
      </w:r>
      <w:r>
        <w:t xml:space="preserve"> en cas d'insuffisance hépatique ou rénale (surveillance hématologique, fonction hépatique, fonction rénale) ;</w:t>
      </w:r>
    </w:p>
    <w:p>
      <w:pPr>
        <w:pStyle w:val="ListNumber"/>
      </w:pPr>
      <w:r/>
      <w:r>
        <w:rPr>
          <w:b/>
        </w:rPr>
        <w:t>Surveillance NFS-plaquettes</w:t>
      </w:r>
      <w:r>
        <w:t xml:space="preserve"> en cas d'usage systémique prolongé (&gt; 7 jours) ou à doses élevées (NFS à J0, J3, J7 puis hebdomadaire) ;</w:t>
      </w:r>
    </w:p>
    <w:p>
      <w:pPr>
        <w:pStyle w:val="ListNumber"/>
      </w:pPr>
      <w:r/>
      <w:r>
        <w:rPr>
          <w:b/>
        </w:rPr>
        <w:t>Éviter l'association</w:t>
      </w:r>
      <w:r>
        <w:t xml:space="preserve"> aux médicaments hématotoxiques (sels de platine, alkylants, antimétabolites) ;</w:t>
      </w:r>
    </w:p>
    <w:p>
      <w:pPr>
        <w:pStyle w:val="ListNumber"/>
      </w:pPr>
      <w:r/>
      <w:r>
        <w:rPr>
          <w:b/>
        </w:rPr>
        <w:t>Éviter l'association</w:t>
      </w:r>
      <w:r>
        <w:t xml:space="preserve"> aux inducteurs enzymatiques hépatiques (rifampicine, phénobarbital, phénytoïne) — diminution de l'efficacité du chloramphénicol ;</w:t>
      </w:r>
    </w:p>
    <w:p>
      <w:pPr>
        <w:pStyle w:val="ListNumber"/>
      </w:pPr>
      <w:r/>
      <w:r>
        <w:rPr>
          <w:b/>
        </w:rPr>
        <w:t>Éviter l'association</w:t>
      </w:r>
      <w:r>
        <w:t xml:space="preserve"> aux inhibiteurs enzymatiques hépatiques (cimétidine, érythromycine, fluconazole) — augmentation de la toxicité du chloramphénicol ;</w:t>
      </w:r>
    </w:p>
    <w:p>
      <w:pPr>
        <w:pStyle w:val="ListNumber"/>
      </w:pPr>
      <w:r/>
      <w:r>
        <w:rPr>
          <w:b/>
        </w:rPr>
        <w:t>Vaccination rubeolique</w:t>
      </w:r>
      <w:r>
        <w:t xml:space="preserve"> : éviter pendant et 2 semaines après le traitement (immunodépression possible) ;</w:t>
      </w:r>
    </w:p>
    <w:p>
      <w:pPr>
        <w:pStyle w:val="ListNumber"/>
      </w:pPr>
      <w:r/>
      <w:r>
        <w:rPr>
          <w:b/>
        </w:rPr>
        <w:t>Éducation du patient</w:t>
      </w:r>
      <w:r>
        <w:t xml:space="preserve"> : signes d'alerte à reconnaître (fièvre, angine, pâleur, purpura, asthénie = signes d'aplasie médullaire) — consulter en urgence.</w:t>
      </w:r>
    </w:p>
    <w:p>
      <w:pPr>
        <w:pStyle w:val="Heading4"/>
      </w:pPr>
      <w:r>
        <w:t>Interactions médicamenteuses</w:t>
      </w:r>
    </w:p>
    <w:p>
      <w:r>
        <w:t xml:space="preserve">Le chloramphénicol est un </w:t>
      </w:r>
      <w:r>
        <w:rPr>
          <w:b/>
        </w:rPr>
        <w:t>inhibiteur du cytochrome CYP2C9</w:t>
      </w:r>
      <w:r>
        <w:t xml:space="preserve"> (et dans une moindre mesure CYP3A4), ce qui peut augmenter les concentrations systémiques de ses substrats :</w:t>
      </w:r>
    </w:p>
    <w:p>
      <w:pPr>
        <w:pStyle w:val="ListBullet"/>
      </w:pPr>
      <w:r/>
      <w:r>
        <w:rPr>
          <w:b/>
        </w:rPr>
        <w:t>AVK</w:t>
      </w:r>
      <w:r>
        <w:t xml:space="preserve"> (warfarine, acénocoumarol, fluindione) : augmentation importante de l'INR et risque hémorragique majeur. Surveillance INR rapprochée, adaptation posologique.</w:t>
      </w:r>
    </w:p>
    <w:p>
      <w:pPr>
        <w:pStyle w:val="ListBullet"/>
      </w:pPr>
      <w:r/>
      <w:r>
        <w:rPr>
          <w:b/>
        </w:rPr>
        <w:t>Phénytoïne</w:t>
      </w:r>
      <w:r>
        <w:t xml:space="preserve"> : augmentation des concentrations, risque de toxicité (nystagmus, ataxie, confusion).</w:t>
      </w:r>
    </w:p>
    <w:p>
      <w:pPr>
        <w:pStyle w:val="ListBullet"/>
      </w:pPr>
      <w:r/>
      <w:r>
        <w:rPr>
          <w:b/>
        </w:rPr>
        <w:t>Tolbutamide, chlorpropamide</w:t>
      </w:r>
      <w:r>
        <w:t xml:space="preserve"> (sulfamides hypoglycémiants) : hypoglycémie sévère.</w:t>
      </w:r>
    </w:p>
    <w:p>
      <w:pPr>
        <w:pStyle w:val="ListBullet"/>
      </w:pPr>
      <w:r/>
      <w:r>
        <w:rPr>
          <w:b/>
        </w:rPr>
        <w:t>Ciclosporine, tacrolimus</w:t>
      </w:r>
      <w:r>
        <w:t xml:space="preserve"> : augmentation des concentrations, risque néphrotoxique. Surveillance concentrations résiduelles.</w:t>
      </w:r>
    </w:p>
    <w:p>
      <w:pPr>
        <w:pStyle w:val="ListBullet"/>
      </w:pPr>
      <w:r/>
      <w:r>
        <w:rPr>
          <w:b/>
        </w:rPr>
        <w:t>Méthotrexate</w:t>
      </w:r>
      <w:r>
        <w:t xml:space="preserve"> : augmentation des concentrations, risque de toxicité médullaire.</w:t>
      </w:r>
    </w:p>
    <w:p>
      <w:pPr>
        <w:pStyle w:val="ListBullet"/>
      </w:pPr>
      <w:r/>
      <w:r>
        <w:rPr>
          <w:b/>
        </w:rPr>
        <w:t>Inducteurs enzymatiques</w:t>
      </w:r>
      <w:r>
        <w:t xml:space="preserve"> (rifampicine, phénobarbital, carbamazépine, phénytoïne) : diminution de l'efficacité du chloramphénicol (à éviter).</w:t>
      </w:r>
    </w:p>
    <w:p>
      <w:pPr>
        <w:pStyle w:val="ListBullet"/>
      </w:pPr>
      <w:r/>
      <w:r>
        <w:rPr>
          <w:b/>
        </w:rPr>
        <w:t>Paracétamol</w:t>
      </w:r>
      <w:r>
        <w:t xml:space="preserve"> : allongement de la demi-vie du chloramphénicol (potentialisation possible de la toxicité médullaire).</w:t>
      </w:r>
    </w:p>
    <w:p>
      <w:pPr>
        <w:pStyle w:val="ListBullet"/>
      </w:pPr>
      <w:r/>
      <w:r>
        <w:rPr>
          <w:b/>
        </w:rPr>
        <w:t>Macrolides</w:t>
      </w:r>
      <w:r>
        <w:t xml:space="preserve"> (érythromycine, clarithromycine) : inhibition compétitive du métabolisme hépatique, augmentation des concentrations.</w:t>
      </w:r>
    </w:p>
    <w:p>
      <w:pPr>
        <w:pStyle w:val="ListBullet"/>
      </w:pPr>
      <w:r/>
      <w:r>
        <w:rPr>
          <w:b/>
        </w:rPr>
        <w:t>Fluconazole, kétoconazole</w:t>
      </w:r>
      <w:r>
        <w:t xml:space="preserve"> : inhibition du CYP3A4, augmentation des concentrations.</w:t>
      </w:r>
    </w:p>
    <w:p>
      <w:pPr>
        <w:pStyle w:val="Heading4"/>
      </w:pPr>
      <w:r>
        <w:t>Grossesse et allaitement (CRAT)</w:t>
      </w:r>
    </w:p>
    <w:p>
      <w:r/>
      <w:r>
        <w:rPr>
          <w:b/>
        </w:rPr>
        <w:t>Grossesse</w:t>
      </w:r>
      <w:r>
        <w:t xml:space="preserve"> :</w:t>
      </w:r>
    </w:p>
    <w:p>
      <w:pPr>
        <w:pStyle w:val="ListBullet"/>
      </w:pPr>
      <w:r>
        <w:t xml:space="preserve">Données CRAT : le chloramphénicol traverse le placenta (rapport cordon/mère ~0,5–1). Risque théorique de </w:t>
      </w:r>
      <w:r>
        <w:rPr>
          <w:b/>
        </w:rPr>
        <w:t>syndrome gris</w:t>
      </w:r>
      <w:r>
        <w:t xml:space="preserve"> du fœtus en fin de grossesse (immaturité de la glucuronoconjugaison). Risque d'aplasie médullaire fœtale exceptionnel mais décrit. Données animales tératogènes chez le rat (fentes palatines) à doses systémiques élevées.</w:t>
      </w:r>
    </w:p>
    <w:p>
      <w:pPr>
        <w:pStyle w:val="ListBullet"/>
      </w:pPr>
      <w:r>
        <w:t xml:space="preserve">Recommandation CRAT : </w:t>
      </w:r>
      <w:r>
        <w:rPr>
          <w:b/>
        </w:rPr>
        <w:t>CI absolue pendant le 3e trimestre</w:t>
      </w:r>
      <w:r>
        <w:t xml:space="preserve"> (risque de syndrome gris néonatal) ; à éviter par prudence pendant toute la grossesse.</w:t>
      </w:r>
    </w:p>
    <w:p>
      <w:pPr>
        <w:pStyle w:val="ListBullet"/>
      </w:pPr>
      <w:r>
        <w:t>Alternative : fluoroquinolone locale (ciprofloxacine), rifamycine SV locale, ou antibiothérapie systémique adaptée à la grossesse (amoxicilline, céphalosporine).</w:t>
      </w:r>
    </w:p>
    <w:p>
      <w:r/>
      <w:r>
        <w:rPr>
          <w:b/>
        </w:rPr>
        <w:t>Allaitement</w:t>
      </w:r>
      <w:r>
        <w:t xml:space="preserve"> :</w:t>
      </w:r>
    </w:p>
    <w:p>
      <w:pPr>
        <w:pStyle w:val="ListBullet"/>
      </w:pPr>
      <w:r>
        <w:t>Données CRAT : le chloramphénicol passe dans le lait maternel (rapport lait/plasma ~0,5–0,7). Risque théorique de syndrome gris chez le nourrisson allaité (immaturité de la glucuronoconjugaison &lt; 3 mois).</w:t>
      </w:r>
    </w:p>
    <w:p>
      <w:pPr>
        <w:pStyle w:val="ListBullet"/>
      </w:pPr>
      <w:r>
        <w:t xml:space="preserve">Recommandation CRAT : </w:t>
      </w:r>
      <w:r>
        <w:rPr>
          <w:b/>
        </w:rPr>
        <w:t>CI absolue pendant l'allaitement</w:t>
      </w:r>
      <w:r>
        <w:t>.</w:t>
      </w:r>
    </w:p>
    <w:p>
      <w:pPr>
        <w:pStyle w:val="ListBullet"/>
      </w:pPr>
      <w:r>
        <w:t>Alternative : suspension temporaire de l'allaitement pendant 24–48 h après la dernière prise (voies systémiques) ; pour les usages locaux ophtalmiques, l'allaitement peut être poursuivi avec surveillance (faible passage systémique).</w:t>
      </w:r>
    </w:p>
    <w:p>
      <w:pPr>
        <w:pStyle w:val="Heading4"/>
      </w:pPr>
      <w:r>
        <w:t>Posologie</w:t>
      </w:r>
    </w:p>
    <w:p>
      <w:r/>
      <w:r>
        <w:rPr>
          <w:b/>
        </w:rPr>
        <w:t>Adulte et enfant &gt; 6 ans (usage ophtalmique)</w:t>
      </w:r>
      <w:r>
        <w:t xml:space="preserve"> :</w:t>
      </w:r>
    </w:p>
    <w:p>
      <w:pPr>
        <w:pStyle w:val="ListBullet"/>
      </w:pPr>
      <w:r>
        <w:t>CEBENICOL collyre 0,4 % : 1 goutte dans le cul-de-sac conjonctival inférieur, 3 à 6 fois par jour, pendant 5 à 7 jours maximum. Durée maximale : 7 jours sans réévaluation médicale.</w:t>
      </w:r>
    </w:p>
    <w:p>
      <w:pPr>
        <w:pStyle w:val="ListBullet"/>
      </w:pPr>
      <w:r>
        <w:t>CEBENICOL pommade ophtalmique 1 % (retirée en Algérie) : application d'un petit fragment (~5 mm) dans le cul-de-sac conjonctival inférieur, 2 à 3 fois par jour. Durée maximale : 7 jours.</w:t>
      </w:r>
    </w:p>
    <w:p>
      <w:r/>
      <w:r>
        <w:rPr>
          <w:b/>
        </w:rPr>
        <w:t>Enfant 2–6 ans (usage ophtalmique)</w:t>
      </w:r>
      <w:r>
        <w:t xml:space="preserve"> : même posologie, sous surveillance médicale stricte.</w:t>
      </w:r>
    </w:p>
    <w:p>
      <w:r/>
      <w:r>
        <w:rPr>
          <w:b/>
        </w:rPr>
        <w:t>Nourrisson &lt; 2 ans</w:t>
      </w:r>
      <w:r>
        <w:t xml:space="preserve"> : CI pour l'usage otique (par prudence) ; éviter pour l'usage ophtalmique par prudence, sauf nécessité absolue (avis ophtalmologique).</w:t>
      </w:r>
    </w:p>
    <w:p>
      <w:r/>
      <w:r>
        <w:rPr>
          <w:b/>
        </w:rPr>
        <w:t>Nourrisson &lt; 1 mois</w:t>
      </w:r>
      <w:r>
        <w:t xml:space="preserve"> : CI absolue (risque de syndrome gris).</w:t>
      </w:r>
    </w:p>
    <w:p>
      <w:r/>
      <w:r>
        <w:rPr>
          <w:b/>
        </w:rPr>
        <w:t>Usage otique (hors AMM, déconseillé)</w:t>
      </w:r>
      <w:r>
        <w:t xml:space="preserve"> : néant en pratique clinique actuelle. Historiquement : 2 à 3 gouttes d'une solution à 0,5 %, 2 à 3 fois par jour pendant 5–7 jours — usage abandonné en raison du risque d'ototoxicité et de l'existence d'alternatives plus sûres (fluoroquinolones locales).</w:t>
      </w:r>
    </w:p>
    <w:p>
      <w:pPr>
        <w:pStyle w:val="Heading4"/>
      </w:pPr>
      <w:r>
        <w:t>Formes galéniques disponibles</w:t>
      </w:r>
    </w:p>
    <w:p>
      <w:pPr>
        <w:pStyle w:val="ListBullet"/>
      </w:pPr>
      <w:r/>
      <w:r>
        <w:rPr>
          <w:b/>
        </w:rPr>
        <w:t>Collyre en solution</w:t>
      </w:r>
      <w:r>
        <w:t xml:space="preserve"> à 0,4 % (4 mg/mL) : CEBENICOL (Chauvin), forme active ; CROPHENICOL (Crovis Philcom), forme non renouvelable. Formulation aqueuse isotonique, conservateur : chlorure de benzalkonium (attention porteurs de lentilles). Flacon 5 mL.</w:t>
      </w:r>
    </w:p>
    <w:p>
      <w:pPr>
        <w:pStyle w:val="ListBullet"/>
      </w:pPr>
      <w:r/>
      <w:r>
        <w:rPr>
          <w:b/>
        </w:rPr>
        <w:t>Pommade ophtalmique</w:t>
      </w:r>
      <w:r>
        <w:t xml:space="preserve"> à 1 % : CROPHENICOL (Crovis Philcom) non renouvelable ; CEBENICOL, OFTALMOSA CUSI, CHLORAMPHENICOL KRKA retirés. Forme grasse (vaseline, lanoline), tube 3–5 g.</w:t>
      </w:r>
    </w:p>
    <w:p>
      <w:pPr>
        <w:pStyle w:val="ListBullet"/>
      </w:pPr>
      <w:r/>
      <w:r>
        <w:rPr>
          <w:b/>
        </w:rPr>
        <w:t>Suspension buvable</w:t>
      </w:r>
      <w:r>
        <w:t xml:space="preserve"> à 125 mg/5 mL : CROPHENICOL (Crovis Philcom), retirée du marché algérien.</w:t>
      </w:r>
    </w:p>
    <w:p>
      <w:pPr>
        <w:pStyle w:val="ListBullet"/>
      </w:pPr>
      <w:r/>
      <w:r>
        <w:rPr>
          <w:b/>
        </w:rPr>
        <w:t>Association sulfacétamide 10 % + chloramphénicol 0,5 %</w:t>
      </w:r>
      <w:r>
        <w:t xml:space="preserve"> : CROSULCAF collyre, non renouvelable.</w:t>
      </w:r>
    </w:p>
    <w:p>
      <w:pPr>
        <w:pStyle w:val="ListBullet"/>
      </w:pPr>
      <w:r/>
      <w:r>
        <w:rPr>
          <w:b/>
        </w:rPr>
        <w:t>Formes historiques disparues</w:t>
      </w:r>
      <w:r>
        <w:t xml:space="preserve"> : chloramphénicol gélule 250/500 mg, chloramphénicol solution injectable IV, chloramphénicol gouttes otiques 0,5 %.</w:t>
      </w:r>
    </w:p>
    <w:p>
      <w:pPr>
        <w:pStyle w:val="Heading4"/>
      </w:pPr>
      <w:r>
        <w:t>Conseils au patient</w:t>
      </w:r>
    </w:p>
    <w:p>
      <w:pPr>
        <w:pStyle w:val="ListBullet"/>
      </w:pPr>
      <w:r/>
      <w:r>
        <w:rPr>
          <w:b/>
        </w:rPr>
        <w:t>Avant instillation du collyre</w:t>
      </w:r>
      <w:r>
        <w:t xml:space="preserve"> : lavage soigneux des mains ; vérifier l'absence de port de lentilles de contact (CI avec le chlorure de benzalkonium) ; retirer les lentilles avant instillation et ne les remettre qu'au bout de 15 minutes.</w:t>
      </w:r>
    </w:p>
    <w:p>
      <w:pPr>
        <w:pStyle w:val="ListBullet"/>
      </w:pPr>
      <w:r/>
      <w:r>
        <w:rPr>
          <w:b/>
        </w:rPr>
        <w:t>Position d'instillation</w:t>
      </w:r>
      <w:r>
        <w:t xml:space="preserve"> : pencher la tête en arrière, regarder vers le haut ; tirer la paupière inférieure vers le bas pour former un cul-de-sac conjonctival ; instiller 1 goutte sans toucher l'œil avec l'embout ; maintenir la paupière fermée 1–2 min en comprimant le point lacrymal (doigt sur le coin interne de l'œil) pour réduire le passage systémique par voie naso-lacrymale.</w:t>
      </w:r>
    </w:p>
    <w:p>
      <w:pPr>
        <w:pStyle w:val="ListBullet"/>
      </w:pPr>
      <w:r/>
      <w:r>
        <w:rPr>
          <w:b/>
        </w:rPr>
        <w:t>Pommade ophtalmique</w:t>
      </w:r>
      <w:r>
        <w:t xml:space="preserve"> : appliquer un petit fragment (~5 mm) dans le cul-de-sac conjonctival inférieur, en tirant la paupière inférieure vers le bas et en regardant vers le haut. Cligner plusieurs fois pour répartir la pommade. Vision floue transitoire pendant 5–10 min après l'application.</w:t>
      </w:r>
    </w:p>
    <w:p>
      <w:pPr>
        <w:pStyle w:val="ListBullet"/>
      </w:pPr>
      <w:r/>
      <w:r>
        <w:rPr>
          <w:b/>
        </w:rPr>
        <w:t>Durée maximale</w:t>
      </w:r>
      <w:r>
        <w:t xml:space="preserve"> : 7 jours sans réévaluation médicale.</w:t>
      </w:r>
    </w:p>
    <w:p>
      <w:pPr>
        <w:pStyle w:val="ListBullet"/>
      </w:pPr>
      <w:r/>
      <w:r>
        <w:rPr>
          <w:b/>
        </w:rPr>
        <w:t>Signes d'alerte à reconnaître</w:t>
      </w:r>
      <w:r>
        <w:t xml:space="preserve"> : fièvre, angine, pâleur, purpura, asthénie, saignement anormal (gingivorragies, épistaxis, règles abondantes) → arrêt immédiat et consultation en urgence (recherche d'une aplasie médullaire).</w:t>
      </w:r>
    </w:p>
    <w:p>
      <w:pPr>
        <w:pStyle w:val="ListBullet"/>
      </w:pPr>
      <w:r/>
      <w:r>
        <w:rPr>
          <w:b/>
        </w:rPr>
        <w:t>Signes allergiques</w:t>
      </w:r>
      <w:r>
        <w:t xml:space="preserve"> : rash, prurit, œdème de Quincke → arrêt immédiat.</w:t>
      </w:r>
    </w:p>
    <w:p>
      <w:pPr>
        <w:pStyle w:val="ListBullet"/>
      </w:pPr>
      <w:r/>
      <w:r>
        <w:rPr>
          <w:b/>
        </w:rPr>
        <w:t>Conservation</w:t>
      </w:r>
      <w:r>
        <w:t xml:space="preserve"> : flacon fermé, à température &lt; 25 °C, à l'abri de la lumière. Ne pas utiliser au-delà de la date de péremption ; un flacon entamé se conserve au maximum 15 jours.</w:t>
      </w:r>
    </w:p>
    <w:p>
      <w:pPr>
        <w:pStyle w:val="ListBullet"/>
      </w:pPr>
      <w:r/>
      <w:r>
        <w:rPr>
          <w:b/>
        </w:rPr>
        <w:t>Ne pas partager le flacon</w:t>
      </w:r>
      <w:r>
        <w:t xml:space="preserve"> (risque de contamination croisée).</w:t>
      </w:r>
    </w:p>
    <w:p>
      <w:pPr>
        <w:pStyle w:val="Heading4"/>
      </w:pPr>
      <w:r>
        <w:t>Pièges au comptoir</w:t>
      </w:r>
    </w:p>
    <w:p>
      <w:pPr>
        <w:pStyle w:val="ListNumber"/>
      </w:pPr>
      <w:r/>
      <w:r>
        <w:rPr>
          <w:b/>
        </w:rPr>
        <w:t>Le patient qui demande du chloramphénicol pour une otite</w:t>
      </w:r>
      <w:r>
        <w:t xml:space="preserve"> : usage otique déconseillé (préférence aux fluoroquinolones locales) ; vérifier systématiquement l'intégrité tympanique.</w:t>
      </w:r>
    </w:p>
    <w:p>
      <w:pPr>
        <w:pStyle w:val="ListNumber"/>
      </w:pPr>
      <w:r/>
      <w:r>
        <w:rPr>
          <w:b/>
        </w:rPr>
        <w:t>La prescription de chloramphénicol pour un nourrisson &lt; 1 mois</w:t>
      </w:r>
      <w:r>
        <w:t xml:space="preserve"> : refuser la délivrance et contacter le prescripteur (risque de syndrome gris, CI absolue).</w:t>
      </w:r>
    </w:p>
    <w:p>
      <w:pPr>
        <w:pStyle w:val="ListNumber"/>
      </w:pPr>
      <w:r/>
      <w:r>
        <w:rPr>
          <w:b/>
        </w:rPr>
        <w:t>L'allaitement concomitant</w:t>
      </w:r>
      <w:r>
        <w:t xml:space="preserve"> : CI absolue, suspendre l'allaitement ou changer d'antibiotique.</w:t>
      </w:r>
    </w:p>
    <w:p>
      <w:pPr>
        <w:pStyle w:val="ListNumber"/>
      </w:pPr>
      <w:r/>
      <w:r>
        <w:rPr>
          <w:b/>
        </w:rPr>
        <w:t>Le patient sous AVK</w:t>
      </w:r>
      <w:r>
        <w:t xml:space="preserve"> : surveillance INR stricte (interaction CYP2C9).</w:t>
      </w:r>
    </w:p>
    <w:p>
      <w:pPr>
        <w:pStyle w:val="ListNumber"/>
      </w:pPr>
      <w:r/>
      <w:r>
        <w:rPr>
          <w:b/>
        </w:rPr>
        <w:t>Le patient sous phénytoïne</w:t>
      </w:r>
      <w:r>
        <w:t xml:space="preserve"> : surveillance phénytoïnémie (toxicité neurologique).</w:t>
      </w:r>
    </w:p>
    <w:p>
      <w:pPr>
        <w:pStyle w:val="ListNumber"/>
      </w:pPr>
      <w:r/>
      <w:r>
        <w:rPr>
          <w:b/>
        </w:rPr>
        <w:t>Le patient sous sulfamides hypoglycémiants</w:t>
      </w:r>
      <w:r>
        <w:t xml:space="preserve"> : surveillance glycémique (hypoglycémie).</w:t>
      </w:r>
    </w:p>
    <w:p>
      <w:pPr>
        <w:pStyle w:val="ListNumber"/>
      </w:pPr>
      <w:r/>
      <w:r>
        <w:rPr>
          <w:b/>
        </w:rPr>
        <w:t>Le porteur de lentilles</w:t>
      </w:r>
      <w:r>
        <w:t xml:space="preserve"> : retirer les lentilles avant instillation (chlorure de benzalkonium).</w:t>
      </w:r>
    </w:p>
    <w:p>
      <w:pPr>
        <w:pStyle w:val="ListNumber"/>
      </w:pPr>
      <w:r/>
      <w:r>
        <w:rPr>
          <w:b/>
        </w:rPr>
        <w:t>Le patient qui a utilisé le flacon &gt; 15 jours</w:t>
      </w:r>
      <w:r>
        <w:t xml:space="preserve"> : déconseiller la réutilisation (risque de contamination).</w:t>
      </w:r>
    </w:p>
    <w:p>
      <w:pPr>
        <w:pStyle w:val="ListNumber"/>
      </w:pPr>
      <w:r/>
      <w:r>
        <w:rPr>
          <w:b/>
        </w:rPr>
        <w:t>L'usage prolongé &gt; 7 jours</w:t>
      </w:r>
      <w:r>
        <w:t xml:space="preserve"> : surveillance NFS-plaquettes, consultation médicale systématique.</w:t>
      </w:r>
    </w:p>
    <w:p>
      <w:pPr>
        <w:pStyle w:val="ListNumber"/>
      </w:pPr>
      <w:r/>
      <w:r>
        <w:rPr>
          <w:b/>
        </w:rPr>
        <w:t>Le diagnostic différentiel des conjonctivites</w:t>
      </w:r>
      <w:r>
        <w:t xml:space="preserve"> : une conjonctivite virale (adénovirus) ne justifie pas d'antibiothérapie locale. Devant une conjonctivite purulente unilatérale, penser à *Chlamydia trachomatis* (adulte jeune sexuellement actif) ou à *Neisseria gonorrhoeae* (nouveau-né = ophtalmie du nouveau-né = urgence).</w:t>
      </w:r>
    </w:p>
    <w:p>
      <w:pPr>
        <w:pStyle w:val="Heading3"/>
      </w:pPr>
      <w:r>
        <w:t>131.8.4. Rifamycine SV (usage ORL)</w:t>
      </w:r>
    </w:p>
    <w:p>
      <w:pPr>
        <w:pStyle w:val="Heading4"/>
      </w:pPr>
      <w:r>
        <w:t>Liste catégories pharmaco-thérapeutiques</w:t>
      </w:r>
    </w:p>
    <w:p>
      <w:pPr>
        <w:pStyle w:val="ListBullet"/>
      </w:pPr>
      <w:r>
        <w:t>Ansamycine (antibiotique macrocyclique)</w:t>
      </w:r>
    </w:p>
    <w:p>
      <w:pPr>
        <w:pStyle w:val="ListBullet"/>
      </w:pPr>
      <w:r>
        <w:t>Inhibiteur de l'ARN polymérase ADN-dépendante bactérienne</w:t>
      </w:r>
    </w:p>
    <w:p>
      <w:pPr>
        <w:pStyle w:val="ListBullet"/>
      </w:pPr>
      <w:r>
        <w:t>Antibiotique bactéricide large spectre</w:t>
      </w:r>
    </w:p>
    <w:p>
      <w:pPr>
        <w:pStyle w:val="ListBullet"/>
      </w:pPr>
      <w:r>
        <w:t>Antibiotique local ophtalmique et otique</w:t>
      </w:r>
    </w:p>
    <w:p>
      <w:pPr>
        <w:pStyle w:val="ListBullet"/>
      </w:pPr>
      <w:r>
        <w:t>Non ototoxique local (utilisation possible en cas de tympan perforé)</w:t>
      </w:r>
    </w:p>
    <w:p>
      <w:pPr>
        <w:pStyle w:val="Heading4"/>
      </w:pPr>
      <w:r>
        <w:t>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RIFAMYCINE CHIBRET</w:t>
            </w:r>
          </w:p>
        </w:tc>
        <w:tc>
          <w:tcPr>
            <w:tcW w:type="dxa" w:w="1559"/>
          </w:tcPr>
          <w:p>
            <w:r>
              <w:rPr>
                <w:sz w:val="20"/>
              </w:rPr>
              <w:t>THEA</w:t>
            </w:r>
          </w:p>
        </w:tc>
        <w:tc>
          <w:tcPr>
            <w:tcW w:type="dxa" w:w="1559"/>
          </w:tcPr>
          <w:p>
            <w:r>
              <w:rPr>
                <w:sz w:val="20"/>
              </w:rPr>
              <w:t>Collyre en solution — Rifamycine 1 000 000 UI/100 mL (= 10 000 UI/mL)</w:t>
            </w:r>
          </w:p>
        </w:tc>
        <w:tc>
          <w:tcPr>
            <w:tcW w:type="dxa" w:w="1559"/>
          </w:tcPr>
          <w:p>
            <w:r>
              <w:rPr>
                <w:sz w:val="20"/>
              </w:rPr>
              <w:t>Flacon 10 mL</w:t>
            </w:r>
          </w:p>
        </w:tc>
        <w:tc>
          <w:tcPr>
            <w:tcW w:type="dxa" w:w="1559"/>
          </w:tcPr>
          <w:p>
            <w:r>
              <w:rPr>
                <w:sz w:val="20"/>
              </w:rPr>
              <w:t>Liste I</w:t>
            </w:r>
          </w:p>
        </w:tc>
        <w:tc>
          <w:tcPr>
            <w:tcW w:type="dxa" w:w="1559"/>
          </w:tcPr>
          <w:p>
            <w:r>
              <w:rPr>
                <w:sz w:val="20"/>
              </w:rPr>
              <w:t>ACTIF</w:t>
            </w:r>
          </w:p>
        </w:tc>
      </w:tr>
      <w:tr>
        <w:tc>
          <w:tcPr>
            <w:tcW w:type="dxa" w:w="1559"/>
          </w:tcPr>
          <w:p>
            <w:r>
              <w:rPr>
                <w:sz w:val="20"/>
              </w:rPr>
              <w:t>RIFAMYCINE CHIBRET</w:t>
            </w:r>
          </w:p>
        </w:tc>
        <w:tc>
          <w:tcPr>
            <w:tcW w:type="dxa" w:w="1559"/>
          </w:tcPr>
          <w:p>
            <w:r>
              <w:rPr>
                <w:sz w:val="20"/>
              </w:rPr>
              <w:t>THEA</w:t>
            </w:r>
          </w:p>
        </w:tc>
        <w:tc>
          <w:tcPr>
            <w:tcW w:type="dxa" w:w="1559"/>
          </w:tcPr>
          <w:p>
            <w:r>
              <w:rPr>
                <w:sz w:val="20"/>
              </w:rPr>
              <w:t>Pommade ophtalmique — Rifamycine sodique 1 000 000 UI/100 g (= 1 %)</w:t>
            </w:r>
          </w:p>
        </w:tc>
        <w:tc>
          <w:tcPr>
            <w:tcW w:type="dxa" w:w="1559"/>
          </w:tcPr>
          <w:p>
            <w:r>
              <w:rPr>
                <w:sz w:val="20"/>
              </w:rPr>
              <w:t>Tube 5 g</w:t>
            </w:r>
          </w:p>
        </w:tc>
        <w:tc>
          <w:tcPr>
            <w:tcW w:type="dxa" w:w="1559"/>
          </w:tcPr>
          <w:p>
            <w:r>
              <w:rPr>
                <w:sz w:val="20"/>
              </w:rPr>
              <w:t>Liste I</w:t>
            </w:r>
          </w:p>
        </w:tc>
        <w:tc>
          <w:tcPr>
            <w:tcW w:type="dxa" w:w="1559"/>
          </w:tcPr>
          <w:p>
            <w:r>
              <w:rPr>
                <w:sz w:val="20"/>
              </w:rPr>
              <w:t>ACTIF</w:t>
            </w:r>
          </w:p>
        </w:tc>
      </w:tr>
      <w:tr>
        <w:tc>
          <w:tcPr>
            <w:tcW w:type="dxa" w:w="1559"/>
          </w:tcPr>
          <w:p>
            <w:r>
              <w:rPr>
                <w:sz w:val="20"/>
              </w:rPr>
              <w:t>OTOFA</w:t>
            </w:r>
          </w:p>
        </w:tc>
        <w:tc>
          <w:tcPr>
            <w:tcW w:type="dxa" w:w="1559"/>
          </w:tcPr>
          <w:p>
            <w:r>
              <w:rPr>
                <w:sz w:val="20"/>
              </w:rPr>
              <w:t>BOUCHARA-RECORDATI</w:t>
            </w:r>
          </w:p>
        </w:tc>
        <w:tc>
          <w:tcPr>
            <w:tcW w:type="dxa" w:w="1559"/>
          </w:tcPr>
          <w:p>
            <w:r>
              <w:rPr>
                <w:sz w:val="20"/>
              </w:rPr>
              <w:t>Solution auriculaire en gouttes — Rifamycine sodique 2,6 g/100 mL</w:t>
            </w:r>
          </w:p>
        </w:tc>
        <w:tc>
          <w:tcPr>
            <w:tcW w:type="dxa" w:w="1559"/>
          </w:tcPr>
          <w:p>
            <w:r>
              <w:rPr>
                <w:sz w:val="20"/>
              </w:rPr>
              <w:t>Flacon 10 mL</w:t>
            </w:r>
          </w:p>
        </w:tc>
        <w:tc>
          <w:tcPr>
            <w:tcW w:type="dxa" w:w="1559"/>
          </w:tcPr>
          <w:p>
            <w:r>
              <w:rPr>
                <w:sz w:val="20"/>
              </w:rPr>
              <w:t>Liste I</w:t>
            </w:r>
          </w:p>
        </w:tc>
        <w:tc>
          <w:tcPr>
            <w:tcW w:type="dxa" w:w="1559"/>
          </w:tcPr>
          <w:p>
            <w:r>
              <w:rPr>
                <w:sz w:val="20"/>
              </w:rPr>
              <w:t>ACTIF</w:t>
            </w:r>
          </w:p>
        </w:tc>
      </w:tr>
      <w:tr>
        <w:tc>
          <w:tcPr>
            <w:tcW w:type="dxa" w:w="1559"/>
          </w:tcPr>
          <w:p>
            <w:r>
              <w:rPr>
                <w:sz w:val="20"/>
              </w:rPr>
              <w:t>RIFAMED</w:t>
            </w:r>
          </w:p>
        </w:tc>
        <w:tc>
          <w:tcPr>
            <w:tcW w:type="dxa" w:w="1559"/>
          </w:tcPr>
          <w:p>
            <w:r>
              <w:rPr>
                <w:sz w:val="20"/>
              </w:rPr>
              <w:t>MEDI PHARMA INTERNATIONAL</w:t>
            </w:r>
          </w:p>
        </w:tc>
        <w:tc>
          <w:tcPr>
            <w:tcW w:type="dxa" w:w="1559"/>
          </w:tcPr>
          <w:p>
            <w:r>
              <w:rPr>
                <w:sz w:val="20"/>
              </w:rPr>
              <w:t>Pommade ophtalmique — Rifamycine 1 %</w:t>
            </w:r>
          </w:p>
        </w:tc>
        <w:tc>
          <w:tcPr>
            <w:tcW w:type="dxa" w:w="1559"/>
          </w:tcPr>
          <w:p>
            <w:r>
              <w:rPr>
                <w:sz w:val="20"/>
              </w:rPr>
              <w:t>Tube 5 g</w:t>
            </w:r>
          </w:p>
        </w:tc>
        <w:tc>
          <w:tcPr>
            <w:tcW w:type="dxa" w:w="1559"/>
          </w:tcPr>
          <w:p>
            <w:r>
              <w:rPr>
                <w:sz w:val="20"/>
              </w:rPr>
              <w:t>Liste I</w:t>
            </w:r>
          </w:p>
        </w:tc>
        <w:tc>
          <w:tcPr>
            <w:tcW w:type="dxa" w:w="1559"/>
          </w:tcPr>
          <w:p>
            <w:r>
              <w:rPr>
                <w:sz w:val="20"/>
              </w:rPr>
              <w:t>RETRAIT (R)</w:t>
            </w:r>
          </w:p>
        </w:tc>
      </w:tr>
    </w:tbl>
    <w:p/>
    <w:p>
      <w:r/>
      <w:r>
        <w:rPr>
          <w:b/>
        </w:rPr>
        <w:t>Note nomenclature</w:t>
      </w:r>
      <w:r>
        <w:t xml:space="preserve"> : trois spécialités sont actuellement actives en Algérie — deux formes ophtalmiques (collyre et pommade, Laboratoires THEA) et une forme otique (OTOFA, Laboratoires BOUCHARA-RECORDATI). OTOFA est la seule spécialité otique strictement enregistrée et disponible sur le marché algérien.</w:t>
      </w:r>
    </w:p>
    <w:p>
      <w:pPr>
        <w:pStyle w:val="Heading4"/>
      </w:pPr>
      <w:r>
        <w:t>Mécanisme d'action</w:t>
      </w:r>
    </w:p>
    <w:p>
      <w:r>
        <w:t xml:space="preserve">La rifamycine SV (sous forme sodique) est un antibiotique de la famille des ansamycines, isolé en 1957 à partir de cultures de </w:t>
      </w:r>
      <w:r>
        <w:rPr>
          <w:i/>
        </w:rPr>
        <w:t>Amycolatopsis mediterranei</w:t>
      </w:r>
      <w:r>
        <w:t xml:space="preserve"> (anciennement </w:t>
      </w:r>
      <w:r>
        <w:rPr>
          <w:i/>
        </w:rPr>
        <w:t>Streptomyces mediterranei</w:t>
      </w:r>
      <w:r>
        <w:t>), microorganisme du sol des pinèdes méditerranéennes (Pinus pinea) de la côte française. La rifamycine SV est la forme naturelle, à partir de laquelle ont été synthétisés les dérivés hydrazones : rifampicine (1965), rifabutine, rifapentine — toutes inhibant spécifiquement l'ARN polymérase ADN-dépendante bactérienne.</w:t>
      </w:r>
    </w:p>
    <w:p>
      <w:r>
        <w:t>Structure : la rifamycine SV est un macrocycle ansa de 30 atomes (ansa = pont aliphatique tendu reliant deux positions d'un noyau aromatique naphtohydroquinone). Cette structure ansa lui confère une affinité très élevée pour la sous-unité β de l'ARN polymérase bactérienne (rpoB), sans interaction avec l'ARN polymérase eucaryote (rapport d'affinité ~10⁴).</w:t>
      </w:r>
    </w:p>
    <w:p>
      <w:r>
        <w:t>Mécanisme moléculaire :</w:t>
      </w:r>
    </w:p>
    <w:p>
      <w:pPr>
        <w:pStyle w:val="ListNumber"/>
      </w:pPr>
      <w:r>
        <w:t>La rifamycine SV pénètre dans la bactérie par diffusion passive à travers les porines (Gram−) ou par diffusion directe à travers la paroi (Gram+).</w:t>
      </w:r>
    </w:p>
    <w:p>
      <w:pPr>
        <w:pStyle w:val="ListNumber"/>
      </w:pPr>
      <w:r>
        <w:t>Elle se fixe spécifiquement sur la sous-unité β de l'ARN polymérase ADN-dépendante bactérienne (enzyme qui catalyse la transcription de l'ADN en ARN messager), au niveau d'une poche hydrophobe formée par les résidus aminoacides du domaine *rpoB* (aminoacides 507–533 chez *E. coli*).</w:t>
      </w:r>
    </w:p>
    <w:p>
      <w:pPr>
        <w:pStyle w:val="ListNumber"/>
      </w:pPr>
      <w:r>
        <w:t>Cette fixation bloque le passage de l'ARN polymérase de la phase d'initiation à la phase d'élongation — l'ARN polymérase ne peut plus allonger le transcrit naissant au-delà de 2–3 nucléotides.</w:t>
      </w:r>
    </w:p>
    <w:p>
      <w:pPr>
        <w:pStyle w:val="ListNumber"/>
      </w:pPr>
      <w:r>
        <w:t xml:space="preserve">La conséquence est un </w:t>
      </w:r>
      <w:r>
        <w:rPr>
          <w:b/>
        </w:rPr>
        <w:t>arrêt de la synthèse d'ARN messager</w:t>
      </w:r>
      <w:r>
        <w:t xml:space="preserve">, donc un blocage de la synthèse protéique, d'où un effet </w:t>
      </w:r>
      <w:r>
        <w:rPr>
          <w:b/>
        </w:rPr>
        <w:t>bactéricide</w:t>
      </w:r>
      <w:r>
        <w:t>.</w:t>
      </w:r>
    </w:p>
    <w:p>
      <w:pPr>
        <w:pStyle w:val="ListNumber"/>
      </w:pPr>
      <w:r>
        <w:t>La spécificité d'action tient à l'affinité extrêmement élevée pour l'ARN polymérase bactérienne (Ki ~10⁻⁸ M) et très faible pour l'ARN polymérase eucaryote (Ki ~10⁻⁴ M), expliquant la sélectivité et la bonne tolérance aux doses thérapeutiques.</w:t>
      </w:r>
    </w:p>
    <w:p>
      <w:r/>
      <w:r>
        <w:rPr>
          <w:b/>
        </w:rPr>
        <w:t>Spectre antibactérien</w:t>
      </w:r>
      <w:r>
        <w:t xml:space="preserve"> :</w:t>
      </w:r>
    </w:p>
    <w:p>
      <w:pPr>
        <w:pStyle w:val="ListBullet"/>
      </w:pPr>
      <w:r>
        <w:t>Gram+ : *Staphylococcus aureus* (y compris certains SARM — CMI ~0,01–0,1 mg/L), *Staphylococcus epidermidis*, *Streptococcus pyogenes* (CMI ~0,1 mg/L), *Streptococcus pneumoniae* (CMI ~0,1–1 mg/L), *Streptococcus agalactiae*, *Enterococcus faecalis* (sensibilité inconstante, CMI ~1–10 mg/L), *Bacillus anthracis*, *Listeria monocytogenes* ;</w:t>
      </w:r>
    </w:p>
    <w:p>
      <w:pPr>
        <w:pStyle w:val="ListBullet"/>
      </w:pPr>
      <w:r>
        <w:t>Gram− : *Neisseria gonorrhoeae* (CMI ~0,1 mg/L), *Neisseria meningitidis* (CMI ~0,1 mg/L), *Haemophilus influenzae* (CMI ~1 mg/L, modérément sensible), *Bordetella pertussis*, *Branhamella catarrhalis* (CMI ~0,5 mg/L), *Legionella pneumophila*, *Brucella* spp. ;</w:t>
      </w:r>
    </w:p>
    <w:p>
      <w:pPr>
        <w:pStyle w:val="ListBullet"/>
      </w:pPr>
      <w:r/>
      <w:r>
        <w:rPr>
          <w:b/>
        </w:rPr>
        <w:t>Pseudomonas aeruginosa</w:t>
      </w:r>
      <w:r>
        <w:t xml:space="preserve"> : modérément sensible (CMI ~16–32 mg/L — activité partielle) ;</w:t>
      </w:r>
    </w:p>
    <w:p>
      <w:pPr>
        <w:pStyle w:val="ListBullet"/>
      </w:pPr>
      <w:r>
        <w:t>Mycobactéries : *Mycobacterium tuberculosis* (CMI ~0,5 mg/L), mycobactéries atypiques (sensibilité variable selon espèce) ;</w:t>
      </w:r>
    </w:p>
    <w:p>
      <w:pPr>
        <w:pStyle w:val="ListBullet"/>
      </w:pPr>
      <w:r>
        <w:t>Chlamydia : *Chlamydia trachomatis* (CMI ~0,1 mg/L), *Chlamydia pneumoniae* ;</w:t>
      </w:r>
    </w:p>
    <w:p>
      <w:pPr>
        <w:pStyle w:val="ListBullet"/>
      </w:pPr>
      <w:r>
        <w:t>Rickettsies : *Rickettsia prowazekii*, *Rickettsia conorii*, *Coxiella burnetii* ;</w:t>
      </w:r>
    </w:p>
    <w:p>
      <w:pPr>
        <w:pStyle w:val="ListBullet"/>
      </w:pPr>
      <w:r>
        <w:t>Anaérobies : sensibilité variable.</w:t>
      </w:r>
    </w:p>
    <w:p>
      <w:r/>
      <w:r>
        <w:rPr>
          <w:b/>
        </w:rPr>
        <w:t>Résistance acquise</w:t>
      </w:r>
      <w:r>
        <w:t xml:space="preserve"> :</w:t>
      </w:r>
    </w:p>
    <w:p>
      <w:pPr>
        <w:pStyle w:val="ListBullet"/>
      </w:pPr>
      <w:r>
        <w:t>Mutations chromosomiques ponctuelles du gène *rpoB* (substitutions d'acides aminés au niveau de la poche de fixation de la rifamycine), à haut risque en monothérapie systémique (c'est la raison pour laquelle la rifampicine systémique doit toujours être associée à au moins un autre antituberculeux — règle d'or des schémas OMS 2HRZE/4HR) ;</w:t>
      </w:r>
    </w:p>
    <w:p>
      <w:pPr>
        <w:pStyle w:val="ListBullet"/>
      </w:pPr>
      <w:r>
        <w:t>En revanche, par voie locale otique, l'exposition est limitée dans le temps (≤ 10 jours), et le risque d'émergence de mutants résistants est très faible en pratique clinique.</w:t>
      </w:r>
    </w:p>
    <w:p>
      <w:pPr>
        <w:pStyle w:val="ListBullet"/>
      </w:pPr>
      <w:r>
        <w:t>Pas de mécanisme de résistance enzymatique (pas d'inactivation de type β-lactamase ou CAT).</w:t>
      </w:r>
    </w:p>
    <w:p>
      <w:pPr>
        <w:pStyle w:val="Heading4"/>
      </w:pPr>
      <w:r>
        <w:t>Profil pharmacologique (indications, contre-indications, effets indésirables)</w:t>
      </w:r>
    </w:p>
    <w:p>
      <w:r/>
      <w:r>
        <w:rPr>
          <w:b/>
        </w:rPr>
        <w:t>Indications (AMM — OTOFA)</w:t>
      </w:r>
      <w:r>
        <w:t xml:space="preserve"> :</w:t>
      </w:r>
    </w:p>
    <w:p>
      <w:pPr>
        <w:pStyle w:val="ListBullet"/>
      </w:pPr>
      <w:r>
        <w:t>Otites externes diffuses bactériennes ;</w:t>
      </w:r>
    </w:p>
    <w:p>
      <w:pPr>
        <w:pStyle w:val="ListBullet"/>
      </w:pPr>
      <w:r>
        <w:t>Otites externes localisées (furoncle du CAE) à germes sensibles ;</w:t>
      </w:r>
    </w:p>
    <w:p>
      <w:pPr>
        <w:pStyle w:val="ListBullet"/>
      </w:pPr>
      <w:r>
        <w:t>Surinfections des lésions eczémateuses du CAE ;</w:t>
      </w:r>
    </w:p>
    <w:p>
      <w:pPr>
        <w:pStyle w:val="ListBullet"/>
      </w:pPr>
      <w:r>
        <w:t>Otorrhées sur aérateur trans-tympanique (autorisation d'usage en l'absence d'ototoxicité documentée) ;</w:t>
      </w:r>
    </w:p>
    <w:p>
      <w:pPr>
        <w:pStyle w:val="ListBullet"/>
      </w:pPr>
      <w:r>
        <w:t>Otites moyennes aiguës purulentes chez le nourrisson avec tympan perforé (otorrhée) — usage en alternative aux fluoroquinolones locales chez le nourrisson &lt; 1 an (où les FQ locales sont par prudence CI).</w:t>
      </w:r>
    </w:p>
    <w:p>
      <w:r/>
      <w:r>
        <w:rPr>
          <w:b/>
        </w:rPr>
        <w:t>Indications (AMM — RIFAMYCINE CHIBRET collyre/pommade)</w:t>
      </w:r>
      <w:r>
        <w:t xml:space="preserve"> :</w:t>
      </w:r>
    </w:p>
    <w:p>
      <w:pPr>
        <w:pStyle w:val="ListBullet"/>
      </w:pPr>
      <w:r>
        <w:t>Conjonctivites bactériennes à germes sensibles ;</w:t>
      </w:r>
    </w:p>
    <w:p>
      <w:pPr>
        <w:pStyle w:val="ListBullet"/>
      </w:pPr>
      <w:r>
        <w:t>Blépharites bactériennes ;</w:t>
      </w:r>
    </w:p>
    <w:p>
      <w:pPr>
        <w:pStyle w:val="ListBullet"/>
      </w:pPr>
      <w:r>
        <w:t>Kératites bactériennes superficielles (en complément d'un traitement systémique) ;</w:t>
      </w:r>
    </w:p>
    <w:p>
      <w:pPr>
        <w:pStyle w:val="ListBullet"/>
      </w:pPr>
      <w:r>
        <w:t>Prévention des infections post-chirurgie ophtalmologique (en alternative aux fluoroquinolones locales).</w:t>
      </w:r>
    </w:p>
    <w:p>
      <w:r/>
      <w:r>
        <w:rPr>
          <w:b/>
        </w:rPr>
        <w:t>Contre-indications</w:t>
      </w:r>
      <w:r>
        <w:t xml:space="preserve"> :</w:t>
      </w:r>
    </w:p>
    <w:p>
      <w:pPr>
        <w:pStyle w:val="ListBullet"/>
      </w:pPr>
      <w:r>
        <w:t>Hypersensibilité à la rifamycine, aux ansamycines ou à l'un des excipients ;</w:t>
      </w:r>
    </w:p>
    <w:p>
      <w:pPr>
        <w:pStyle w:val="ListBullet"/>
      </w:pPr>
      <w:r/>
      <w:r>
        <w:rPr>
          <w:b/>
        </w:rPr>
        <w:t>Pas de CI absolue en cas de tympan perforé ou d'ATT</w:t>
      </w:r>
      <w:r>
        <w:t xml:space="preserve"> — c'est l'avantage majeur de la rifamycine SV otique vs les aminosides et antiseptiques ototoxiques ;</w:t>
      </w:r>
    </w:p>
    <w:p>
      <w:pPr>
        <w:pStyle w:val="ListBullet"/>
      </w:pPr>
      <w:r>
        <w:t>Porphyrie aiguë intermittente (par prudence, en raison du risque de déclenchement de crise — décrit pour la rifampicine systémique, mais non documenté pour la rifamycine SV locale) ;</w:t>
      </w:r>
    </w:p>
    <w:p>
      <w:pPr>
        <w:pStyle w:val="ListBullet"/>
      </w:pPr>
      <w:r>
        <w:t>Nourrisson &lt; 30 mois pour le collutoire pharyngé (s'il existait — non commercialisé en Algérie).</w:t>
      </w:r>
    </w:p>
    <w:p>
      <w:r/>
      <w:r>
        <w:rPr>
          <w:b/>
        </w:rPr>
        <w:t>Effets indésirables</w:t>
      </w:r>
      <w:r>
        <w:t xml:space="preserve"> :</w:t>
      </w:r>
    </w:p>
    <w:p>
      <w:pPr>
        <w:pStyle w:val="ListBullet"/>
      </w:pPr>
      <w:r>
        <w:t>Locaux : sensation de brûlure transitoire à l'instillation (~5 % des patients), prurit, irritation locale, érythème du CAE ou de la conjonctive. Coloration orangée des sécrétions (larmes, cérumen) — bénigne, sans gravité, due à la couleur naturelle de la rifamycine SV ;</w:t>
      </w:r>
    </w:p>
    <w:p>
      <w:pPr>
        <w:pStyle w:val="ListBullet"/>
      </w:pPr>
      <w:r>
        <w:t>Allergiques : dermatite de contact (rare), rash cutané, prurit, urticaire, eczéma localisé — réactions croisées possibles avec la rifampicine (à rechercher à l'interrogatoire). Exceptionnellement choc anaphylactique ;</w:t>
      </w:r>
    </w:p>
    <w:p>
      <w:pPr>
        <w:pStyle w:val="ListBullet"/>
      </w:pPr>
      <w:r>
        <w:t>Coloration orangée des tissus : la rifamycine SV est un pigment naturellement orangé, qui colore les larmes, le cérumen, les sécrétions nasales, parfois les lentilles de contact (souples) — information à donner au patient pour éviter une inquiétude injustifiée ;</w:t>
      </w:r>
    </w:p>
    <w:p>
      <w:pPr>
        <w:pStyle w:val="ListBullet"/>
      </w:pPr>
      <w:r>
        <w:t>Systémiques (par voie locale, exceptionnels en raison du passage systémique négligeable) :</w:t>
      </w:r>
    </w:p>
    <w:p>
      <w:pPr>
        <w:pStyle w:val="ListBullet"/>
      </w:pPr>
      <w:r>
        <w:t>Induction enzymatique hépatique (CYP3A4, CYP2C9, CYP2C19) — décrite pour la rifampicine systémique, théoriquement possible avec la rifamycine SV en cas d'absorption systémique prolongée. Surveillance si usage prolongé &gt; 10 jours ;</w:t>
      </w:r>
    </w:p>
    <w:p>
      <w:pPr>
        <w:pStyle w:val="ListBullet"/>
      </w:pPr>
      <w:r>
        <w:t>Coloration orangée des urines, des larmes, de la sueur ;</w:t>
      </w:r>
    </w:p>
    <w:p>
      <w:pPr>
        <w:pStyle w:val="ListBullet"/>
      </w:pPr>
      <w:r>
        <w:t>Thrombopénie, leucopénie (rares, exceptionnels par voie locale) ;</w:t>
      </w:r>
    </w:p>
    <w:p>
      <w:pPr>
        <w:pStyle w:val="ListBullet"/>
      </w:pPr>
      <w:r>
        <w:t>Hépatite cytolytique (exceptionnelle par voie locale).</w:t>
      </w:r>
    </w:p>
    <w:p>
      <w:r/>
      <w:r>
        <w:rPr>
          <w:b/>
        </w:rPr>
        <w:t>Particularité</w:t>
      </w:r>
      <w:r>
        <w:t xml:space="preserve"> : contrairement à la rifampicine systémique, la rifamycine SV locale ne pose </w:t>
      </w:r>
      <w:r>
        <w:rPr>
          <w:b/>
        </w:rPr>
        <w:t>pas de problème d'interaction médicamenteuse significatif</w:t>
      </w:r>
      <w:r>
        <w:t xml:space="preserve"> en raison du passage systémique négligeable (&lt; 1 % de la dose administrée). Cependant, par prudence, les recommandations préconisent d'informer le médecin en cas de traitement concomitant par AVK, contraceptifs oraux, antirétroviraux ou immunosuppresseurs.</w:t>
      </w:r>
    </w:p>
    <w:p>
      <w:pPr>
        <w:pStyle w:val="Heading4"/>
      </w:pPr>
      <w:r>
        <w:t>Prévention des effets indésirables</w:t>
      </w:r>
    </w:p>
    <w:p>
      <w:pPr>
        <w:pStyle w:val="ListNumber"/>
      </w:pPr>
      <w:r/>
      <w:r>
        <w:rPr>
          <w:b/>
        </w:rPr>
        <w:t>Interrogatoire allergologique préalable</w:t>
      </w:r>
      <w:r>
        <w:t xml:space="preserve"> : recherche d'une allergie à la rifampicine ou à la rifamycine SV (réactions croisées possibles) ;</w:t>
      </w:r>
    </w:p>
    <w:p>
      <w:pPr>
        <w:pStyle w:val="ListNumber"/>
      </w:pPr>
      <w:r/>
      <w:r>
        <w:rPr>
          <w:b/>
        </w:rPr>
        <w:t>Vérification de l'absence de port de lentilles de contact souples</w:t>
      </w:r>
      <w:r>
        <w:t xml:space="preserve"> pour le collyre (coloration permanente possible des lentilles) — retirer les lentilles avant instillation et ne les remettre qu'au bout de 15 min ;</w:t>
      </w:r>
    </w:p>
    <w:p>
      <w:pPr>
        <w:pStyle w:val="ListNumber"/>
      </w:pPr>
      <w:r/>
      <w:r>
        <w:rPr>
          <w:b/>
        </w:rPr>
        <w:t>Information du patient sur la coloration orangée</w:t>
      </w:r>
      <w:r>
        <w:t xml:space="preserve"> des larmes, du cérumen, des sécrétions nasales — bénigne, transitoire, sans gravité ;</w:t>
      </w:r>
    </w:p>
    <w:p>
      <w:pPr>
        <w:pStyle w:val="ListNumber"/>
      </w:pPr>
      <w:r/>
      <w:r>
        <w:rPr>
          <w:b/>
        </w:rPr>
        <w:t>Durée limitée à 7–10 jours</w:t>
      </w:r>
      <w:r>
        <w:t xml:space="preserve"> sans réévaluation médicale (prévention de la sélection de germes résistants, modifications de la flore commensale) ;</w:t>
      </w:r>
    </w:p>
    <w:p>
      <w:pPr>
        <w:pStyle w:val="ListNumber"/>
      </w:pPr>
      <w:r/>
      <w:r>
        <w:rPr>
          <w:b/>
        </w:rPr>
        <w:t>Hygiène du flacon</w:t>
      </w:r>
      <w:r>
        <w:t xml:space="preserve"> : ne pas toucher l'embout avec les doigts ou le conduit ; essuyer l'embout avec un coton propre après usage ; ne pas partager le flacon ;</w:t>
      </w:r>
    </w:p>
    <w:p>
      <w:pPr>
        <w:pStyle w:val="ListNumber"/>
      </w:pPr>
      <w:r/>
      <w:r>
        <w:rPr>
          <w:b/>
        </w:rPr>
        <w:t>Surveillance ORL</w:t>
      </w:r>
      <w:r>
        <w:t xml:space="preserve"> à 7 jours : vérification de la guérison clinique (disparition de l'otalgie, de l'otorrhée, de l'érythème du CAE) ; en cas de persistance, prélèvement bactériologique avec antibiogramme ;</w:t>
      </w:r>
    </w:p>
    <w:p>
      <w:pPr>
        <w:pStyle w:val="ListNumber"/>
      </w:pPr>
      <w:r/>
      <w:r>
        <w:rPr>
          <w:b/>
        </w:rPr>
        <w:t>Enfant porteur d'ATT</w:t>
      </w:r>
      <w:r>
        <w:t xml:space="preserve"> : surveillance ORL rapprochée (risque de bouchon, d'obstruction du tube) ;</w:t>
      </w:r>
    </w:p>
    <w:p>
      <w:pPr>
        <w:pStyle w:val="ListNumber"/>
      </w:pPr>
      <w:r/>
      <w:r>
        <w:rPr>
          <w:b/>
        </w:rPr>
        <w:t>Éviter l'usage prolongé &gt; 10 jours</w:t>
      </w:r>
      <w:r>
        <w:t xml:space="preserve"> en raison du risque théorique d'induction enzymatique hépatique ;</w:t>
      </w:r>
    </w:p>
    <w:p>
      <w:pPr>
        <w:pStyle w:val="ListNumber"/>
      </w:pPr>
      <w:r/>
      <w:r>
        <w:rPr>
          <w:b/>
        </w:rPr>
        <w:t>Éviter l'association à un autre antibiotique local</w:t>
      </w:r>
      <w:r>
        <w:t xml:space="preserve"> (modification de la flore, antagonisme possible) ;</w:t>
      </w:r>
    </w:p>
    <w:p>
      <w:pPr>
        <w:pStyle w:val="ListNumber"/>
      </w:pPr>
      <w:r/>
      <w:r>
        <w:rPr>
          <w:b/>
        </w:rPr>
        <w:t>Éviter chez la femme enceinte</w:t>
      </w:r>
      <w:r>
        <w:t xml:space="preserve"> sans avis médical (par prudence, bien que le passage systémique soit négligeable).</w:t>
      </w:r>
    </w:p>
    <w:p>
      <w:pPr>
        <w:pStyle w:val="Heading4"/>
      </w:pPr>
      <w:r>
        <w:t>Interactions médicamenteuses</w:t>
      </w:r>
    </w:p>
    <w:p>
      <w:r>
        <w:t>Par voie locale otique, le passage systémique de la rifamycine SV est négligeable (&lt; 1 % de la dose), ce qui limite considérablement les interactions systémiques. Cependant, par prudence :</w:t>
      </w:r>
    </w:p>
    <w:p>
      <w:pPr>
        <w:pStyle w:val="ListBullet"/>
      </w:pPr>
      <w:r/>
      <w:r>
        <w:rPr>
          <w:b/>
        </w:rPr>
        <w:t>Avec les AVK</w:t>
      </w:r>
      <w:r>
        <w:t xml:space="preserve"> (warfarine, acénocoumarol, fluindione) : théoriquement, induction du CYP2C9 → baisse de l'INR. Surveillance INR en cas d'usage prolongé &gt; 7 jours.</w:t>
      </w:r>
    </w:p>
    <w:p>
      <w:pPr>
        <w:pStyle w:val="ListBullet"/>
      </w:pPr>
      <w:r/>
      <w:r>
        <w:rPr>
          <w:b/>
        </w:rPr>
        <w:t>Avec les contraceptifs oraux estroprogestatifs</w:t>
      </w:r>
      <w:r>
        <w:t xml:space="preserve"> : théoriquement, induction du CYP3A4 → baisse de l'efficacité contraceptive. Ne pas altérer la contraception en usage local bref, mais informer la patiente.</w:t>
      </w:r>
    </w:p>
    <w:p>
      <w:pPr>
        <w:pStyle w:val="ListBullet"/>
      </w:pPr>
      <w:r/>
      <w:r>
        <w:rPr>
          <w:b/>
        </w:rPr>
        <w:t>Avec les antirétroviraux</w:t>
      </w:r>
      <w:r>
        <w:t xml:space="preserve"> (inhibiteurs de protéase boosted par ritonavir, NNRTI) : théoriquement, induction du CYP3A4 → baisse des concentrations ARV. Information du médecin référent.</w:t>
      </w:r>
    </w:p>
    <w:p>
      <w:pPr>
        <w:pStyle w:val="ListBullet"/>
      </w:pPr>
      <w:r/>
      <w:r>
        <w:rPr>
          <w:b/>
        </w:rPr>
        <w:t>Avec les immunosuppresseurs</w:t>
      </w:r>
      <w:r>
        <w:t xml:space="preserve"> (ciclosporine, tacrolimus) : théoriquement, induction du CYP3A4 → baisse des concentrations, risque de rejet. Surveillance concentrations résiduelles.</w:t>
      </w:r>
    </w:p>
    <w:p>
      <w:pPr>
        <w:pStyle w:val="ListBullet"/>
      </w:pPr>
      <w:r/>
      <w:r>
        <w:rPr>
          <w:b/>
        </w:rPr>
        <w:t>Avec les corticoïdes systémiques</w:t>
      </w:r>
      <w:r>
        <w:t xml:space="preserve"> (prednisone, dexaméthasone) : théoriquement, induction du CYP3A4 → baisse de l'efficacité. Surveillance clinique.</w:t>
      </w:r>
    </w:p>
    <w:p>
      <w:pPr>
        <w:pStyle w:val="ListBullet"/>
      </w:pPr>
      <w:r/>
      <w:r>
        <w:rPr>
          <w:b/>
        </w:rPr>
        <w:t>Avec la digoxine</w:t>
      </w:r>
      <w:r>
        <w:t xml:space="preserve"> : théoriquement, induction de la P-gp → baisse des concentrations. Surveillance.</w:t>
      </w:r>
    </w:p>
    <w:p>
      <w:pPr>
        <w:pStyle w:val="ListBullet"/>
      </w:pPr>
      <w:r/>
      <w:r>
        <w:rPr>
          <w:b/>
        </w:rPr>
        <w:t>Avec les autres antibiotiques locaux</w:t>
      </w:r>
      <w:r>
        <w:t xml:space="preserve"> (aminosides, polymyxines, FQ) : pas d'interaction formelle, mais éviter l'association (modification de la flore, antagonisme possible).</w:t>
      </w:r>
    </w:p>
    <w:p>
      <w:r>
        <w:t>En pratique, les interactions de la rifamycine SV locale sont théoriques et n'ont pas été documentées cliniquement comme significatives aux doses thérapeutiques locales.</w:t>
      </w:r>
    </w:p>
    <w:p>
      <w:pPr>
        <w:pStyle w:val="Heading4"/>
      </w:pPr>
      <w:r>
        <w:t>Grossesse et allaitement (CRAT)</w:t>
      </w:r>
    </w:p>
    <w:p>
      <w:r/>
      <w:r>
        <w:rPr>
          <w:b/>
        </w:rPr>
        <w:t>Grossesse</w:t>
      </w:r>
      <w:r>
        <w:t xml:space="preserve"> :</w:t>
      </w:r>
    </w:p>
    <w:p>
      <w:pPr>
        <w:pStyle w:val="ListBullet"/>
      </w:pPr>
      <w:r>
        <w:t>Données CRAT : la rifamycine SV traverse le placenta (rapport cordon/mère ~0,2–0,5). Les données animales sont rassurantes (pas d'effet tératogène à doses thérapeutiques). Les données humaines sont limitées mais rassurantes.</w:t>
      </w:r>
    </w:p>
    <w:p>
      <w:pPr>
        <w:pStyle w:val="ListBullet"/>
      </w:pPr>
      <w:r>
        <w:t xml:space="preserve">Recommandation CRAT : </w:t>
      </w:r>
      <w:r>
        <w:rPr>
          <w:b/>
        </w:rPr>
        <w:t>usage local otique ou ophtalmique possible pendant la grossesse</w:t>
      </w:r>
      <w:r>
        <w:t>, sous surveillance médicale. Pas de CI absolue. Alternative préférentielle : rifamycine SV locale (en raison du profil rassurant) ou fluoroquinolone locale (ciprofloxacine, ofloxacine).</w:t>
      </w:r>
    </w:p>
    <w:p>
      <w:pPr>
        <w:pStyle w:val="ListBullet"/>
      </w:pPr>
      <w:r>
        <w:t xml:space="preserve">Pour la rifampicine </w:t>
      </w:r>
      <w:r>
        <w:rPr>
          <w:b/>
        </w:rPr>
        <w:t>systémique</w:t>
      </w:r>
      <w:r>
        <w:t xml:space="preserve"> (non concernée par ce chapitre) : possible pendant la grossesse dans le cadre du traitement antituberculeux (les bénéfices l'emportent sur les risques).</w:t>
      </w:r>
    </w:p>
    <w:p>
      <w:r/>
      <w:r>
        <w:rPr>
          <w:b/>
        </w:rPr>
        <w:t>Allaitement</w:t>
      </w:r>
      <w:r>
        <w:t xml:space="preserve"> :</w:t>
      </w:r>
    </w:p>
    <w:p>
      <w:pPr>
        <w:pStyle w:val="ListBullet"/>
      </w:pPr>
      <w:r>
        <w:t>Données CRAT : la rifamycine SV passe dans le lait maternel (rapport lait/plasma ~0,2–0,5), en quantités négligeables par voie locale. La rifampicine systémique est autorisée pendant l'allaitement dans le cadre du traitement antituberculeux.</w:t>
      </w:r>
    </w:p>
    <w:p>
      <w:pPr>
        <w:pStyle w:val="ListBullet"/>
      </w:pPr>
      <w:r>
        <w:t xml:space="preserve">Recommandation CRAT : </w:t>
      </w:r>
      <w:r>
        <w:rPr>
          <w:b/>
        </w:rPr>
        <w:t>allaitement possible pendant le traitement local par rifamycine SV otique ou ophtalmique</w:t>
      </w:r>
      <w:r>
        <w:t>. Surveillance de la tolérance chez le nourrisson (éruption cutanée, troubles digestifs — signes exceptionnels).</w:t>
      </w:r>
    </w:p>
    <w:p>
      <w:pPr>
        <w:pStyle w:val="Heading4"/>
      </w:pPr>
      <w:r>
        <w:t>Posologie</w:t>
      </w:r>
    </w:p>
    <w:p>
      <w:r/>
      <w:r>
        <w:rPr>
          <w:b/>
        </w:rPr>
        <w:t>Adulte</w:t>
      </w:r>
      <w:r>
        <w:t xml:space="preserve"> :</w:t>
      </w:r>
    </w:p>
    <w:p>
      <w:pPr>
        <w:pStyle w:val="ListBullet"/>
      </w:pPr>
      <w:r>
        <w:t>OTOFA solution auriculaire : instiller 3 à 4 gouttes dans le conduit auditif externe, 2 fois par jour (matin et soir), pendant 7 à 10 jours. Pencher la tête du côté opposé à l'oreille à traiter, tirer le pavillon vers l'arrière et le haut, instiller les gouttes, maintenir la tête inclinée 1–2 min, masser délicatement le tragus.</w:t>
      </w:r>
    </w:p>
    <w:p>
      <w:pPr>
        <w:pStyle w:val="ListBullet"/>
      </w:pPr>
      <w:r>
        <w:t>RIFAMYCINE CHIBRET collyre : 1 goutte dans le cul-de-sac conjonctival inférieur de l'œil atteint, 2 à 6 fois par jour, pendant 5 à 7 jours.</w:t>
      </w:r>
    </w:p>
    <w:p>
      <w:pPr>
        <w:pStyle w:val="ListBullet"/>
      </w:pPr>
      <w:r>
        <w:t>RIFAMYCINE CHIBRET pommade ophtalmique : application d'un petit fragment (~5 mm) dans le cul-de-sac conjonctival inférieur, 2 fois par jour (matin et soir), pendant 5 à 7 jours.</w:t>
      </w:r>
    </w:p>
    <w:p>
      <w:r/>
      <w:r>
        <w:rPr>
          <w:b/>
        </w:rPr>
        <w:t>Enfant &gt; 30 mois</w:t>
      </w:r>
      <w:r>
        <w:t xml:space="preserve"> :</w:t>
      </w:r>
    </w:p>
    <w:p>
      <w:pPr>
        <w:pStyle w:val="ListBullet"/>
      </w:pPr>
      <w:r>
        <w:t>OTOFA solution auriculaire : 2 à 3 gouttes, 2 fois par jour, pendant 7 à 10 jours.</w:t>
      </w:r>
    </w:p>
    <w:p>
      <w:pPr>
        <w:pStyle w:val="ListBullet"/>
      </w:pPr>
      <w:r>
        <w:t>RIFAMYCINE CHIBRET collyre : 1 goutte, 2 à 6 fois par jour, pendant 5 à 7 jours (adaptation selon la sévérité et l'âge).</w:t>
      </w:r>
    </w:p>
    <w:p>
      <w:r/>
      <w:r>
        <w:rPr>
          <w:b/>
        </w:rPr>
        <w:t>Nourrisson &lt; 30 mois</w:t>
      </w:r>
      <w:r>
        <w:t xml:space="preserve"> :</w:t>
      </w:r>
    </w:p>
    <w:p>
      <w:pPr>
        <w:pStyle w:val="ListBullet"/>
      </w:pPr>
      <w:r>
        <w:t>OTOFA solution auriculaire : possible (la rifamycine SV est l'antibiotique local de choix chez le nourrisson avec otorrhée sur ATT, en alternative aux fluoroquinolones locales CI par prudence &lt; 1 an). Posologie : 1 à 2 gouttes, 2 fois par jour, pendant 7 à 10 jours. Surveillance ORL rapprochée.</w:t>
      </w:r>
    </w:p>
    <w:p>
      <w:pPr>
        <w:pStyle w:val="ListBullet"/>
      </w:pPr>
      <w:r>
        <w:t>RIFAMYCINE CHIBRET collyre : 1 goutte, 3 à 4 fois par jour, pendant 5 jours maximum. Avis ophtalmologique recommandé.</w:t>
      </w:r>
    </w:p>
    <w:p>
      <w:r/>
      <w:r>
        <w:rPr>
          <w:b/>
        </w:rPr>
        <w:t>Sujet âgé</w:t>
      </w:r>
      <w:r>
        <w:t xml:space="preserve"> : pas d'adaptation posologique systématique, surveillance de la tolérance locale.</w:t>
      </w:r>
    </w:p>
    <w:p>
      <w:pPr>
        <w:pStyle w:val="Heading4"/>
      </w:pPr>
      <w:r>
        <w:t>Formes galéniques disponibles</w:t>
      </w:r>
    </w:p>
    <w:p>
      <w:pPr>
        <w:pStyle w:val="ListBullet"/>
      </w:pPr>
      <w:r/>
      <w:r>
        <w:rPr>
          <w:b/>
        </w:rPr>
        <w:t>OTOFA solution auriculaire</w:t>
      </w:r>
      <w:r>
        <w:t xml:space="preserve"> : solution huileuse (macrogol glycéryl ricinoléate — excipient gras pour prolonger le contact avec la muqueuse du CAE et du tympan) contenant 2,6 g/100 mL de rifamycine sodique. Flacon 10 mL avec embout compte-gouttes stérile. Couleur : orangée. Conservation : température &lt; 25 °C, à l'abri de la lumière. Stérilité : 15 jours après ouverture.</w:t>
      </w:r>
    </w:p>
    <w:p>
      <w:pPr>
        <w:pStyle w:val="ListBullet"/>
      </w:pPr>
      <w:r/>
      <w:r>
        <w:rPr>
          <w:b/>
        </w:rPr>
        <w:t>RIFAMYCINE CHIBRET collyre</w:t>
      </w:r>
      <w:r>
        <w:t xml:space="preserve"> : solution aqueuse isotonique, stérile, contenant 10 000 UI/mL de rifamycine. Flacon 10 mL avec embout compte-gouttes. Conservateur : chlorure de benzalkonium (CI porteurs de lentilles souples). Couleur : orangée.</w:t>
      </w:r>
    </w:p>
    <w:p>
      <w:pPr>
        <w:pStyle w:val="ListBullet"/>
      </w:pPr>
      <w:r/>
      <w:r>
        <w:rPr>
          <w:b/>
        </w:rPr>
        <w:t>RIFAMYCINE CHIBRET pommade ophtalmique</w:t>
      </w:r>
      <w:r>
        <w:t xml:space="preserve"> : pommade grasse (vaseline, lanoline) contenant 1 % (10 000 UI/g) de rifamycine sodique. Tube 5 g. Conservation : température &lt; 25 °C. Stérilité : 1 mois après ouverture.</w:t>
      </w:r>
    </w:p>
    <w:p>
      <w:r>
        <w:t>Forme historique disparue : RIFAMED pommade ophtalmique (Medi Pharma), retirée.</w:t>
      </w:r>
    </w:p>
    <w:p>
      <w:pPr>
        <w:pStyle w:val="Heading4"/>
      </w:pPr>
      <w:r>
        <w:t>Conseils au patient</w:t>
      </w:r>
    </w:p>
    <w:p>
      <w:pPr>
        <w:pStyle w:val="ListBullet"/>
      </w:pPr>
      <w:r/>
      <w:r>
        <w:rPr>
          <w:b/>
        </w:rPr>
        <w:t>Avant instillation</w:t>
      </w:r>
      <w:r>
        <w:t xml:space="preserve"> : lavage soigneux des mains ; vérifier l'absence d'allergie à la rifamycine ou à la rifampicine ; pour le collyre, retirer les lentilles de contact (coloration permanente possible des lentilles souples).</w:t>
      </w:r>
    </w:p>
    <w:p>
      <w:pPr>
        <w:pStyle w:val="ListBullet"/>
      </w:pPr>
      <w:r/>
      <w:r>
        <w:rPr>
          <w:b/>
        </w:rPr>
        <w:t>Position d'instillation otique</w:t>
      </w:r>
      <w:r>
        <w:t xml:space="preserve"> : pencher la tête du côté opposé à l'oreille à traiter ; tirer le pavillon vers l'arrière et vers le haut (adulte) ou vers le bas et vers l'arrière (enfant) ; instiller 3–4 gouttes ; maintenir la tête inclinée 1–2 min ; masser délicatement le tragus pour faciliter la pénétration.</w:t>
      </w:r>
    </w:p>
    <w:p>
      <w:pPr>
        <w:pStyle w:val="ListBullet"/>
      </w:pPr>
      <w:r/>
      <w:r>
        <w:rPr>
          <w:b/>
        </w:rPr>
        <w:t>Position d'instillation ophtalmique</w:t>
      </w:r>
      <w:r>
        <w:t xml:space="preserve"> : pencher la tête en arrière, regarder vers le haut, tirer la paupière inférieure vers le bas, instiller 1 goutte, maintenir la paupière fermée 1–2 min en comprimant le point lacrymal.</w:t>
      </w:r>
    </w:p>
    <w:p>
      <w:pPr>
        <w:pStyle w:val="ListBullet"/>
      </w:pPr>
      <w:r/>
      <w:r>
        <w:rPr>
          <w:b/>
        </w:rPr>
        <w:t>Information sur la coloration orangée</w:t>
      </w:r>
      <w:r>
        <w:t xml:space="preserve"> : prévenir le patient que les larmes, le cérumen, parfois les urines peuvent être colorés en orange — bénin, transitoire, sans gravité (perdure 1–2 jours après l'arrêt).</w:t>
      </w:r>
    </w:p>
    <w:p>
      <w:pPr>
        <w:pStyle w:val="ListBullet"/>
      </w:pPr>
      <w:r/>
      <w:r>
        <w:rPr>
          <w:b/>
        </w:rPr>
        <w:t>Durée maximale</w:t>
      </w:r>
      <w:r>
        <w:t xml:space="preserve"> : 7–10 jours sans réévaluation médicale. Consulter un médecin si les symptômes persistent au-delà.</w:t>
      </w:r>
    </w:p>
    <w:p>
      <w:pPr>
        <w:pStyle w:val="ListBullet"/>
      </w:pPr>
      <w:r/>
      <w:r>
        <w:rPr>
          <w:b/>
        </w:rPr>
        <w:t>Hygiène du flacon</w:t>
      </w:r>
      <w:r>
        <w:t xml:space="preserve"> : ne pas toucher l'embout avec les doigts, les cils ou le conduit ; essuyer l'embout avec un mouchoir propre après usage ; refermer hermétiquement ; ne pas partager le flacon.</w:t>
      </w:r>
    </w:p>
    <w:p>
      <w:pPr>
        <w:pStyle w:val="ListBullet"/>
      </w:pPr>
      <w:r/>
      <w:r>
        <w:rPr>
          <w:b/>
        </w:rPr>
        <w:t>Conservation</w:t>
      </w:r>
      <w:r>
        <w:t xml:space="preserve"> : flacon fermé, à température &lt; 25 °C, à l'abri de la lumière. Ne pas utiliser au-delà de 15 jours (collyre, solution otique) ou 1 mois (pommade) après ouverture.</w:t>
      </w:r>
    </w:p>
    <w:p>
      <w:pPr>
        <w:pStyle w:val="ListBullet"/>
      </w:pPr>
      <w:r/>
      <w:r>
        <w:rPr>
          <w:b/>
        </w:rPr>
        <w:t>Surveillance ORL</w:t>
      </w:r>
      <w:r>
        <w:t xml:space="preserve"> : consultation de contrôle à 7 jours pour vérification de la guérison.</w:t>
      </w:r>
    </w:p>
    <w:p>
      <w:pPr>
        <w:pStyle w:val="Heading4"/>
      </w:pPr>
      <w:r>
        <w:t>Pièges au comptoir</w:t>
      </w:r>
    </w:p>
    <w:p>
      <w:pPr>
        <w:pStyle w:val="ListNumber"/>
      </w:pPr>
      <w:r/>
      <w:r>
        <w:rPr>
          <w:b/>
        </w:rPr>
        <w:t>Le patient qui demande « des gouttes pour l'oreille » sans ordonnance</w:t>
      </w:r>
      <w:r>
        <w:t xml:space="preserve"> : vérifier l'absence d'otorrhée (signe de perforation tympanique), l'absence de fièvre, l'absence d'otalgie sévère. Si doute, orienter vers un médecin.</w:t>
      </w:r>
    </w:p>
    <w:p>
      <w:pPr>
        <w:pStyle w:val="ListNumber"/>
      </w:pPr>
      <w:r/>
      <w:r>
        <w:rPr>
          <w:b/>
        </w:rPr>
        <w:t>Le patient qui présente une coloration orangée des larmes/urines</w:t>
      </w:r>
      <w:r>
        <w:t xml:space="preserve"> : rassurer (effet attendu de la rifamycine SV), ne pas confondre avec une hématurie ou une conjonctivite hémorragique.</w:t>
      </w:r>
    </w:p>
    <w:p>
      <w:pPr>
        <w:pStyle w:val="ListNumber"/>
      </w:pPr>
      <w:r/>
      <w:r>
        <w:rPr>
          <w:b/>
        </w:rPr>
        <w:t>Le porteur de lentilles de contact</w:t>
      </w:r>
      <w:r>
        <w:t xml:space="preserve"> : retirer impérativement les lentilles souples avant instillation du collyre (coloration permanente), ne les remettre qu'au bout de 15 min. Préférer les lentilles rigides si possible.</w:t>
      </w:r>
    </w:p>
    <w:p>
      <w:pPr>
        <w:pStyle w:val="ListNumber"/>
      </w:pPr>
      <w:r/>
      <w:r>
        <w:rPr>
          <w:b/>
        </w:rPr>
        <w:t>Le patient allergique à la rifampicine</w:t>
      </w:r>
      <w:r>
        <w:t xml:space="preserve"> : réactions croisées possibles, éviter la rifamycine SV.</w:t>
      </w:r>
    </w:p>
    <w:p>
      <w:pPr>
        <w:pStyle w:val="ListNumber"/>
      </w:pPr>
      <w:r/>
      <w:r>
        <w:rPr>
          <w:b/>
        </w:rPr>
        <w:t>Le nourrisson &lt; 1 an avec otorrhée sur ATT</w:t>
      </w:r>
      <w:r>
        <w:t xml:space="preserve"> : rifamycine SV otique (OTOFA) est l'alternative de choix aux fluoroquinolones locales CI par prudence. Surveiller l'évolution à 48 h.</w:t>
      </w:r>
    </w:p>
    <w:p>
      <w:pPr>
        <w:pStyle w:val="ListNumber"/>
      </w:pPr>
      <w:r/>
      <w:r>
        <w:rPr>
          <w:b/>
        </w:rPr>
        <w:t>Le patient qui a utilisé le flacon &gt; 15 jours</w:t>
      </w:r>
      <w:r>
        <w:t xml:space="preserve"> : déconseiller la réutilisation (risque de contamination).</w:t>
      </w:r>
    </w:p>
    <w:p>
      <w:pPr>
        <w:pStyle w:val="ListNumber"/>
      </w:pPr>
      <w:r/>
      <w:r>
        <w:rPr>
          <w:b/>
        </w:rPr>
        <w:t>Le patient sous AVK ou contraceptifs oraux</w:t>
      </w:r>
      <w:r>
        <w:t xml:space="preserve"> : par prudence, surveiller l'INR et informer d'une baisse théorique d'efficacité contraceptive en usage prolongé &gt; 7 jours.</w:t>
      </w:r>
    </w:p>
    <w:p>
      <w:pPr>
        <w:pStyle w:val="ListNumber"/>
      </w:pPr>
      <w:r/>
      <w:r>
        <w:rPr>
          <w:b/>
        </w:rPr>
        <w:t>L'usage prolongé &gt; 10 jours</w:t>
      </w:r>
      <w:r>
        <w:t xml:space="preserve"> : déconseillé (induction enzymatique théorique, modifications de la flore, sélection de germes résistants).</w:t>
      </w:r>
    </w:p>
    <w:p>
      <w:pPr>
        <w:pStyle w:val="ListNumber"/>
      </w:pPr>
      <w:r/>
      <w:r>
        <w:rPr>
          <w:b/>
        </w:rPr>
        <w:t>Le patient qui demande OTOFA pour une otite moyenne aiguë non perforée</w:t>
      </w:r>
      <w:r>
        <w:t xml:space="preserve"> : OTOFA n'est pas indiqué dans l'OMA non perforée (le produit ne peut pas atteindre l'oreille moyenne à travers un tympan intact) ; l'indication d'OTOFA est l'otite externe ou l'OMA perforée (otorrhée).</w:t>
      </w:r>
    </w:p>
    <w:p>
      <w:pPr>
        <w:pStyle w:val="ListNumber"/>
      </w:pPr>
      <w:r/>
      <w:r>
        <w:rPr>
          <w:b/>
        </w:rPr>
        <w:t>Le diagnostic différentiel</w:t>
      </w:r>
      <w:r>
        <w:t xml:space="preserve"> : devant une otalgie fébrile chez un enfant, ne pas méconnaître une OMA nécessitant une antibiothérapie systémique (amoxicilline). OTOFA ne traite pas l'OMA non perforée.</w:t>
      </w:r>
    </w:p>
    <w:p>
      <w:pPr>
        <w:pStyle w:val="Heading3"/>
      </w:pPr>
      <w:r>
        <w:t>131.8.5. Ciprofloxacine (usage ORL)</w:t>
      </w:r>
    </w:p>
    <w:p>
      <w:pPr>
        <w:pStyle w:val="Heading4"/>
      </w:pPr>
      <w:r>
        <w:t>Liste catégories pharmaco-thérapeutiques</w:t>
      </w:r>
    </w:p>
    <w:p>
      <w:pPr>
        <w:pStyle w:val="ListBullet"/>
      </w:pPr>
      <w:r>
        <w:t>Fluoroquinolone de 2e génération</w:t>
      </w:r>
    </w:p>
    <w:p>
      <w:pPr>
        <w:pStyle w:val="ListBullet"/>
      </w:pPr>
      <w:r>
        <w:t>Inhibiteur de l'ADN gyrase et de la topoisomérase IV</w:t>
      </w:r>
    </w:p>
    <w:p>
      <w:pPr>
        <w:pStyle w:val="ListBullet"/>
      </w:pPr>
      <w:r>
        <w:t>Antibiotique bactéricide concentration-dépendant</w:t>
      </w:r>
    </w:p>
    <w:p>
      <w:pPr>
        <w:pStyle w:val="ListBullet"/>
      </w:pPr>
      <w:r>
        <w:t>Antibiotique local otique (et ophtalmique)</w:t>
      </w:r>
    </w:p>
    <w:p>
      <w:pPr>
        <w:pStyle w:val="ListBullet"/>
      </w:pPr>
      <w:r>
        <w:t>Non ototoxique local (autorisation d'usage en cas de tympan perforé ou d'ATT)</w:t>
      </w:r>
    </w:p>
    <w:p>
      <w:pPr>
        <w:pStyle w:val="Heading4"/>
      </w:pPr>
      <w:r>
        <w:t>Médicaments disponibles en Algérie</w:t>
      </w:r>
    </w:p>
    <w:p>
      <w:r>
        <w:t>Les spécialités de ciprofloxacine sont multiples (46 références) dans la nomenclature algérienne, mais seules deux sont strictement enregistrées comme solutions auriculaires stériles (OTOCINE et OTOFLOX). Les autres formes sont systémiques (comprimés, solutions pour perfusion IV) ou collyres/pommades ophtalmiques.</w:t>
      </w:r>
    </w:p>
    <w:p>
      <w:r/>
      <w:r>
        <w:rPr>
          <w:b/>
        </w:rPr>
        <w:t>Spécialités otiques actives</w:t>
      </w:r>
      <w:r>
        <w:t xml:space="preserv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OTOCINE</w:t>
            </w:r>
          </w:p>
        </w:tc>
        <w:tc>
          <w:tcPr>
            <w:tcW w:type="dxa" w:w="1559"/>
          </w:tcPr>
          <w:p>
            <w:r>
              <w:rPr>
                <w:sz w:val="20"/>
              </w:rPr>
              <w:t>LABORATOIRES MERINAL</w:t>
            </w:r>
          </w:p>
        </w:tc>
        <w:tc>
          <w:tcPr>
            <w:tcW w:type="dxa" w:w="1559"/>
          </w:tcPr>
          <w:p>
            <w:r>
              <w:rPr>
                <w:sz w:val="20"/>
              </w:rPr>
              <w:t>Solution auriculaire stérile — Ciprofloxacine chlorhydrate exprimée en ciprofloxacine 2 mg/mL (1 mg/0,5 mL)</w:t>
            </w:r>
          </w:p>
        </w:tc>
        <w:tc>
          <w:tcPr>
            <w:tcW w:type="dxa" w:w="1559"/>
          </w:tcPr>
          <w:p>
            <w:r>
              <w:rPr>
                <w:sz w:val="20"/>
              </w:rPr>
              <w:t>Boîte de 20 récipients unidoses de 0,5 mL</w:t>
            </w:r>
          </w:p>
        </w:tc>
        <w:tc>
          <w:tcPr>
            <w:tcW w:type="dxa" w:w="1559"/>
          </w:tcPr>
          <w:p>
            <w:r>
              <w:rPr>
                <w:sz w:val="20"/>
              </w:rPr>
              <w:t>Hors liste</w:t>
            </w:r>
          </w:p>
        </w:tc>
        <w:tc>
          <w:tcPr>
            <w:tcW w:type="dxa" w:w="1559"/>
          </w:tcPr>
          <w:p>
            <w:r>
              <w:rPr>
                <w:sz w:val="20"/>
              </w:rPr>
              <w:t>ACTIF</w:t>
            </w:r>
          </w:p>
        </w:tc>
      </w:tr>
      <w:tr>
        <w:tc>
          <w:tcPr>
            <w:tcW w:type="dxa" w:w="1559"/>
          </w:tcPr>
          <w:p>
            <w:r>
              <w:rPr>
                <w:sz w:val="20"/>
              </w:rPr>
              <w:t>OTOFLOX</w:t>
            </w:r>
          </w:p>
        </w:tc>
        <w:tc>
          <w:tcPr>
            <w:tcW w:type="dxa" w:w="1559"/>
          </w:tcPr>
          <w:p>
            <w:r>
              <w:rPr>
                <w:sz w:val="20"/>
              </w:rPr>
              <w:t>HUPP PHARMA</w:t>
            </w:r>
          </w:p>
        </w:tc>
        <w:tc>
          <w:tcPr>
            <w:tcW w:type="dxa" w:w="1559"/>
          </w:tcPr>
          <w:p>
            <w:r>
              <w:rPr>
                <w:sz w:val="20"/>
              </w:rPr>
              <w:t>Solution auriculaire stérile — Ciprofloxacine chlorhydrate exprimée en ciprofloxacine 2 mg/mL (1 mg/0,5 mL)</w:t>
            </w:r>
          </w:p>
        </w:tc>
        <w:tc>
          <w:tcPr>
            <w:tcW w:type="dxa" w:w="1559"/>
          </w:tcPr>
          <w:p>
            <w:r>
              <w:rPr>
                <w:sz w:val="20"/>
              </w:rPr>
              <w:t>Boîte de 20 récipients unidoses de 0,5 mL</w:t>
            </w:r>
          </w:p>
        </w:tc>
        <w:tc>
          <w:tcPr>
            <w:tcW w:type="dxa" w:w="1559"/>
          </w:tcPr>
          <w:p>
            <w:r>
              <w:rPr>
                <w:sz w:val="20"/>
              </w:rPr>
              <w:t>Liste I</w:t>
            </w:r>
          </w:p>
        </w:tc>
        <w:tc>
          <w:tcPr>
            <w:tcW w:type="dxa" w:w="1559"/>
          </w:tcPr>
          <w:p>
            <w:r>
              <w:rPr>
                <w:sz w:val="20"/>
              </w:rPr>
              <w:t>ACTIF</w:t>
            </w:r>
          </w:p>
        </w:tc>
      </w:tr>
    </w:tbl>
    <w:p/>
    <w:p>
      <w:r/>
      <w:r>
        <w:rPr>
          <w:b/>
        </w:rPr>
        <w:t>Spécialités ophtalmiques actives (usage otique possible en extension)</w:t>
      </w:r>
      <w:r>
        <w:t xml:space="preserv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CIPRO</w:t>
            </w:r>
          </w:p>
        </w:tc>
        <w:tc>
          <w:tcPr>
            <w:tcW w:type="dxa" w:w="1559"/>
          </w:tcPr>
          <w:p>
            <w:r>
              <w:rPr>
                <w:sz w:val="20"/>
              </w:rPr>
              <w:t>INPHA-MEDIS</w:t>
            </w:r>
          </w:p>
        </w:tc>
        <w:tc>
          <w:tcPr>
            <w:tcW w:type="dxa" w:w="1559"/>
          </w:tcPr>
          <w:p>
            <w:r>
              <w:rPr>
                <w:sz w:val="20"/>
              </w:rPr>
              <w:t>Collyre en solution — Ciprofloxacine 0,3 % (3 mg/mL)</w:t>
            </w:r>
          </w:p>
        </w:tc>
        <w:tc>
          <w:tcPr>
            <w:tcW w:type="dxa" w:w="1559"/>
          </w:tcPr>
          <w:p>
            <w:r>
              <w:rPr>
                <w:sz w:val="20"/>
              </w:rPr>
              <w:t>Flacon 5 mL</w:t>
            </w:r>
          </w:p>
        </w:tc>
        <w:tc>
          <w:tcPr>
            <w:tcW w:type="dxa" w:w="1559"/>
          </w:tcPr>
          <w:p>
            <w:r>
              <w:rPr>
                <w:sz w:val="20"/>
              </w:rPr>
              <w:t>Liste I</w:t>
            </w:r>
          </w:p>
        </w:tc>
        <w:tc>
          <w:tcPr>
            <w:tcW w:type="dxa" w:w="1559"/>
          </w:tcPr>
          <w:p>
            <w:r>
              <w:rPr>
                <w:sz w:val="20"/>
              </w:rPr>
              <w:t>ACTIF</w:t>
            </w:r>
          </w:p>
        </w:tc>
      </w:tr>
      <w:tr>
        <w:tc>
          <w:tcPr>
            <w:tcW w:type="dxa" w:w="1559"/>
          </w:tcPr>
          <w:p>
            <w:r>
              <w:rPr>
                <w:sz w:val="20"/>
              </w:rPr>
              <w:t>CIPRODAR</w:t>
            </w:r>
          </w:p>
        </w:tc>
        <w:tc>
          <w:tcPr>
            <w:tcW w:type="dxa" w:w="1559"/>
          </w:tcPr>
          <w:p>
            <w:r>
              <w:rPr>
                <w:sz w:val="20"/>
              </w:rPr>
              <w:t>DAR AL DAWA</w:t>
            </w:r>
          </w:p>
        </w:tc>
        <w:tc>
          <w:tcPr>
            <w:tcW w:type="dxa" w:w="1559"/>
          </w:tcPr>
          <w:p>
            <w:r>
              <w:rPr>
                <w:sz w:val="20"/>
              </w:rPr>
              <w:t>Collyre en solution — Ciprofloxacine 0,3 %</w:t>
            </w:r>
          </w:p>
        </w:tc>
        <w:tc>
          <w:tcPr>
            <w:tcW w:type="dxa" w:w="1559"/>
          </w:tcPr>
          <w:p>
            <w:r>
              <w:rPr>
                <w:sz w:val="20"/>
              </w:rPr>
              <w:t>Flacon 5 mL</w:t>
            </w:r>
          </w:p>
        </w:tc>
        <w:tc>
          <w:tcPr>
            <w:tcW w:type="dxa" w:w="1559"/>
          </w:tcPr>
          <w:p>
            <w:r>
              <w:rPr>
                <w:sz w:val="20"/>
              </w:rPr>
              <w:t>Liste I</w:t>
            </w:r>
          </w:p>
        </w:tc>
        <w:tc>
          <w:tcPr>
            <w:tcW w:type="dxa" w:w="1559"/>
          </w:tcPr>
          <w:p>
            <w:r>
              <w:rPr>
                <w:sz w:val="20"/>
              </w:rPr>
              <w:t>ACTIF</w:t>
            </w:r>
          </w:p>
        </w:tc>
      </w:tr>
      <w:tr>
        <w:tc>
          <w:tcPr>
            <w:tcW w:type="dxa" w:w="1559"/>
          </w:tcPr>
          <w:p>
            <w:r>
              <w:rPr>
                <w:sz w:val="20"/>
              </w:rPr>
              <w:t>CIPROTEK</w:t>
            </w:r>
          </w:p>
        </w:tc>
        <w:tc>
          <w:tcPr>
            <w:tcW w:type="dxa" w:w="1559"/>
          </w:tcPr>
          <w:p>
            <w:r>
              <w:rPr>
                <w:sz w:val="20"/>
              </w:rPr>
              <w:t>BIOTHERA</w:t>
            </w:r>
          </w:p>
        </w:tc>
        <w:tc>
          <w:tcPr>
            <w:tcW w:type="dxa" w:w="1559"/>
          </w:tcPr>
          <w:p>
            <w:r>
              <w:rPr>
                <w:sz w:val="20"/>
              </w:rPr>
              <w:t>Collyre en solution — Ciprofloxacine 0,3 %</w:t>
            </w:r>
          </w:p>
        </w:tc>
        <w:tc>
          <w:tcPr>
            <w:tcW w:type="dxa" w:w="1559"/>
          </w:tcPr>
          <w:p>
            <w:r>
              <w:rPr>
                <w:sz w:val="20"/>
              </w:rPr>
              <w:t>Flacon 5 mL</w:t>
            </w:r>
          </w:p>
        </w:tc>
        <w:tc>
          <w:tcPr>
            <w:tcW w:type="dxa" w:w="1559"/>
          </w:tcPr>
          <w:p>
            <w:r>
              <w:rPr>
                <w:sz w:val="20"/>
              </w:rPr>
              <w:t>Liste I</w:t>
            </w:r>
          </w:p>
        </w:tc>
        <w:tc>
          <w:tcPr>
            <w:tcW w:type="dxa" w:w="1559"/>
          </w:tcPr>
          <w:p>
            <w:r>
              <w:rPr>
                <w:sz w:val="20"/>
              </w:rPr>
              <w:t>ACTIF</w:t>
            </w:r>
          </w:p>
        </w:tc>
      </w:tr>
      <w:tr>
        <w:tc>
          <w:tcPr>
            <w:tcW w:type="dxa" w:w="1559"/>
          </w:tcPr>
          <w:p>
            <w:r>
              <w:rPr>
                <w:sz w:val="20"/>
              </w:rPr>
              <w:t>CILOXAN</w:t>
            </w:r>
          </w:p>
        </w:tc>
        <w:tc>
          <w:tcPr>
            <w:tcW w:type="dxa" w:w="1559"/>
          </w:tcPr>
          <w:p>
            <w:r>
              <w:rPr>
                <w:sz w:val="20"/>
              </w:rPr>
              <w:t>ALCON UK LTD</w:t>
            </w:r>
          </w:p>
        </w:tc>
        <w:tc>
          <w:tcPr>
            <w:tcW w:type="dxa" w:w="1559"/>
          </w:tcPr>
          <w:p>
            <w:r>
              <w:rPr>
                <w:sz w:val="20"/>
              </w:rPr>
              <w:t>Pommade ophtalmique — Ciprofloxacine 0,3 % (0,003)</w:t>
            </w:r>
          </w:p>
        </w:tc>
        <w:tc>
          <w:tcPr>
            <w:tcW w:type="dxa" w:w="1559"/>
          </w:tcPr>
          <w:p>
            <w:r>
              <w:rPr>
                <w:sz w:val="20"/>
              </w:rPr>
              <w:t>Tube 3,5 g</w:t>
            </w:r>
          </w:p>
        </w:tc>
        <w:tc>
          <w:tcPr>
            <w:tcW w:type="dxa" w:w="1559"/>
          </w:tcPr>
          <w:p>
            <w:r>
              <w:rPr>
                <w:sz w:val="20"/>
              </w:rPr>
              <w:t>Liste I</w:t>
            </w:r>
          </w:p>
        </w:tc>
        <w:tc>
          <w:tcPr>
            <w:tcW w:type="dxa" w:w="1559"/>
          </w:tcPr>
          <w:p>
            <w:r>
              <w:rPr>
                <w:sz w:val="20"/>
              </w:rPr>
              <w:t>ACTIF</w:t>
            </w:r>
          </w:p>
        </w:tc>
      </w:tr>
    </w:tbl>
    <w:p/>
    <w:p>
      <w:r/>
      <w:r>
        <w:rPr>
          <w:b/>
        </w:rPr>
        <w:t>Spécialités systémiques actives</w:t>
      </w:r>
      <w:r>
        <w:t xml:space="preserve"> (comprimés 250/500/750 mg, solution IV 2 mg/mL) — non concernées par l'usage otique :</w:t>
      </w:r>
    </w:p>
    <w:p>
      <w:pPr>
        <w:pStyle w:val="ListBullet"/>
      </w:pPr>
      <w:r>
        <w:t>CIPROFLOXAL (SOPHAL), CIPROTEK (BIOCARE), FLOCINE250 (MERINAL), LOXANAD (NADPHARMADIC) — cp 250 mg</w:t>
      </w:r>
    </w:p>
    <w:p>
      <w:pPr>
        <w:pStyle w:val="ListBullet"/>
      </w:pPr>
      <w:r>
        <w:t>CIFLOXACINE (HUPP PHARMA), CIPRO 500 (INPHA-MEDIS), CIPRODAR (DAR AL DAWA), CIPROFLOXACINE BEKER, CIPROFLOXAL (SOPHAL), CIPROTEK (BIOCARE), FLOCINE500 (MERINAL), LOXANAD (NADPHARMADIC), MEFLOX (SOMEDIAL), OZAFLOX (JAMJOOM ALGERIA), QUINOX (EL KENDI) — cp 500 mg</w:t>
      </w:r>
    </w:p>
    <w:p>
      <w:pPr>
        <w:pStyle w:val="ListBullet"/>
      </w:pPr>
      <w:r>
        <w:t>CIPROFLOXACINE BEKER, QUINOX LP 1G (EL KENDI) — cp 750 mg / LP 1g</w:t>
      </w:r>
    </w:p>
    <w:p>
      <w:r/>
      <w:r>
        <w:rPr>
          <w:b/>
        </w:rPr>
        <w:t>Spécialités non renouvelables</w:t>
      </w:r>
      <w:r>
        <w:t xml:space="preserve"> : CIPROLON (HIKMA), PROFLOX (PHARMALLIANCE), CIPROCINE (SAIDAL), CILOXAN collyre (ALCON), CIPRO 750 (INPHA-MEDIS), OZAFLOX cp 750 mg (SANDOZ)</w:t>
      </w:r>
    </w:p>
    <w:p>
      <w:r/>
      <w:r>
        <w:rPr>
          <w:b/>
        </w:rPr>
        <w:t>Spécialités retirées</w:t>
      </w:r>
      <w:r>
        <w:t xml:space="preserve"> (R) : CIPRODAR 250 (DAR AL DAWA), CIPROMAX 250/500/750 (SPIMACO), CIPROFLOXACINE IBERAL 250/500 (IBERAL), CIPROMID 250/500, CIPROVAL 250/500, CIPROFLOXACINE ZENTIVA 500, BACTALL 750 (JPM), BIOFLOX 750 (JAMJOOM)</w:t>
      </w:r>
    </w:p>
    <w:p>
      <w:pPr>
        <w:pStyle w:val="Heading4"/>
      </w:pPr>
      <w:r>
        <w:t>Mécanisme d'action</w:t>
      </w:r>
    </w:p>
    <w:p>
      <w:r>
        <w:t xml:space="preserve">La ciprofloxacine (C₁₇H₁₈FN₃O₃, masse molaire 331,3 g/mol) est une fluoroquinolone de 2e génération, dérivée de l'acide nalidixique (1re génération, 1962) par introduction d'un groupement fluor en position 6 (qui multiplie par ~100 l'activité antibactérienne) et d'un noyau pipérazine en position 7 (qui élargit le spectre aux Gram− et améliore la pharmacocinétique). C'est la fluoroquinolone la plus active de 2e génération sur les Gram−, en particulier sur </w:t>
      </w:r>
      <w:r>
        <w:rPr>
          <w:i/>
        </w:rPr>
        <w:t>Pseudomonas aeruginosa</w:t>
      </w:r>
      <w:r>
        <w:t>.</w:t>
      </w:r>
    </w:p>
    <w:p>
      <w:r>
        <w:t>Mécanisme moléculaire :</w:t>
      </w:r>
    </w:p>
    <w:p>
      <w:pPr>
        <w:pStyle w:val="ListNumber"/>
      </w:pPr>
      <w:r>
        <w:t>La ciprofloxacine pénètre dans la bactérie par diffusion passive à travers les porines (canaux OmpF/OmpC des Gram−) et par auto-transport à travers la membrane externe.</w:t>
      </w:r>
    </w:p>
    <w:p>
      <w:pPr>
        <w:pStyle w:val="ListNumber"/>
      </w:pPr>
      <w:r>
        <w:t>Elle atteint ses deux cibles enzymatiques :</w:t>
      </w:r>
    </w:p>
    <w:p>
      <w:pPr>
        <w:pStyle w:val="ListBullet"/>
      </w:pPr>
      <w:r/>
      <w:r>
        <w:rPr>
          <w:b/>
        </w:rPr>
        <w:t>ADN gyrase</w:t>
      </w:r>
      <w:r>
        <w:t xml:space="preserve"> (topoisomérase II bactérienne, hétérotétramère GyrA2-GyrB2) : enzyme responsable de l'introduction de super-enroulements négatifs dans l'ADN bactérien, indispensable à la réplication et à la transcription. La ciprofloxacine se fixe sur la sous-unité </w:t>
      </w:r>
      <w:r>
        <w:rPr>
          <w:b/>
        </w:rPr>
        <w:t>GyrA</w:t>
      </w:r>
      <w:r>
        <w:t xml:space="preserve"> (au niveau de l'interface GyrA-ADN), stabilisant le complexe gyrase-ADN clivé (intermédiaire covalent de réaction) — l'ADN reste coupé, ne peut pas être religué, et le complexe reste bloqué.</w:t>
      </w:r>
    </w:p>
    <w:p>
      <w:pPr>
        <w:pStyle w:val="ListBullet"/>
      </w:pPr>
      <w:r/>
      <w:r>
        <w:rPr>
          <w:b/>
        </w:rPr>
        <w:t>Topoisomérase IV</w:t>
      </w:r>
      <w:r>
        <w:t xml:space="preserve"> (hétérotétramère ParC2-ParE2) : enzyme responsable de la séparation des chromosomes fille (décaténation) après la réplication. La ciprofloxacine se fixe sur la sous-unité </w:t>
      </w:r>
      <w:r>
        <w:rPr>
          <w:b/>
        </w:rPr>
        <w:t>ParC</w:t>
      </w:r>
      <w:r>
        <w:t>, bloquant la décaténation.</w:t>
      </w:r>
    </w:p>
    <w:p>
      <w:pPr>
        <w:pStyle w:val="ListNumber"/>
      </w:pPr>
      <w:r>
        <w:t xml:space="preserve">Le résultat est un blocage de la réplication et de la transcription de l'ADN bactérien, suivi d'une fragmentation de l'ADN chromosomique → effet </w:t>
      </w:r>
      <w:r>
        <w:rPr>
          <w:b/>
        </w:rPr>
        <w:t>bactéricide concentration-dépendant</w:t>
      </w:r>
      <w:r>
        <w:t xml:space="preserve"> (les concentrations élevées atteignent plus rapidement les cibles et induisent une bactéricidie plus rapide).</w:t>
      </w:r>
    </w:p>
    <w:p>
      <w:pPr>
        <w:pStyle w:val="ListNumber"/>
      </w:pPr>
      <w:r>
        <w:t>L'effet bactéricide est également temps-dépendant (effet post-antibiotique prolongé, 1–4 h après exposition).</w:t>
      </w:r>
    </w:p>
    <w:p>
      <w:r/>
      <w:r>
        <w:rPr>
          <w:b/>
        </w:rPr>
        <w:t>Spectre antibactérien</w:t>
      </w:r>
      <w:r>
        <w:t xml:space="preserve"> :</w:t>
      </w:r>
    </w:p>
    <w:p>
      <w:pPr>
        <w:pStyle w:val="ListBullet"/>
      </w:pPr>
      <w:r/>
      <w:r>
        <w:rPr>
          <w:b/>
        </w:rPr>
        <w:t>Gram−</w:t>
      </w:r>
      <w:r>
        <w:t xml:space="preserve"> : excellent</w:t>
      </w:r>
    </w:p>
    <w:p>
      <w:pPr>
        <w:pStyle w:val="ListBullet"/>
      </w:pPr>
      <w:r>
        <w:t>*Pseudomonas aeruginosa* (CMI₉₀ ~0,5–2 mg/L — la ciprofloxacine est la FQ la plus active sur *Pseudomonas*) ;</w:t>
      </w:r>
    </w:p>
    <w:p>
      <w:pPr>
        <w:pStyle w:val="ListBullet"/>
      </w:pPr>
      <w:r>
        <w:t>Entérobactéries : *Escherichia coli* (CMI₉₀ ~0,03–0,1 mg/L), *Klebsiella* spp., *Proteus* spp., *Enterobacter* spp., *Salmonella* spp., *Shigella* spp., *Yersinia* spp., *Citrobacter* spp., *Serratia* spp. (CMI₉₀ ~0,03–0,5 mg/L) ;</w:t>
      </w:r>
    </w:p>
    <w:p>
      <w:pPr>
        <w:pStyle w:val="ListBullet"/>
      </w:pPr>
      <w:r>
        <w:t>*Haemophilus influenzae* (CMI ~0,01 mg/L, y compris souches productrices de β-lactamases), *Branhamella catarrhalis*, *Neisseria gonorrhoeae*, *Neisseria meningitidis*, *Bordetella pertussis* ;</w:t>
      </w:r>
    </w:p>
    <w:p>
      <w:pPr>
        <w:pStyle w:val="ListBullet"/>
      </w:pPr>
      <w:r>
        <w:t>*Legionella pneumophila*, *Campylobacter* spp., *Helicobacter pylori*, *Vibrio cholerae*, *Aeromonas* spp., *Pasteurella multocida*.</w:t>
      </w:r>
    </w:p>
    <w:p>
      <w:pPr>
        <w:pStyle w:val="ListBullet"/>
      </w:pPr>
      <w:r/>
      <w:r>
        <w:rPr>
          <w:b/>
        </w:rPr>
        <w:t>Gram+</w:t>
      </w:r>
      <w:r>
        <w:t xml:space="preserve"> : modéré</w:t>
      </w:r>
    </w:p>
    <w:p>
      <w:pPr>
        <w:pStyle w:val="ListBullet"/>
      </w:pPr>
      <w:r>
        <w:t>*Staphylococcus aureus* (CMI ~0,5 mg/L — sensibilité inconstante, SARM souvent résistants), *Staphylococcus epidermidis* (idem), *Streptococcus pyogenes* (CMI ~0,5–1 mg/L), *Streptococcus pneumoniae* (CMI ~1–2 mg/L — sensibilité modérée, FQ 3e génération comme la lévofloxacine sont supérieures), *Enterococcus faecalis* (sensibilité inconstante, CMI ~1–4 mg/L).</w:t>
      </w:r>
    </w:p>
    <w:p>
      <w:pPr>
        <w:pStyle w:val="ListBullet"/>
      </w:pPr>
      <w:r/>
      <w:r>
        <w:rPr>
          <w:b/>
        </w:rPr>
        <w:t>Anaérobies</w:t>
      </w:r>
      <w:r>
        <w:t xml:space="preserve"> : faible (anaérobies stricts résistants ; sensibilité de *Bacteroides fragilis* inconstante).</w:t>
      </w:r>
    </w:p>
    <w:p>
      <w:pPr>
        <w:pStyle w:val="ListBullet"/>
      </w:pPr>
      <w:r/>
      <w:r>
        <w:rPr>
          <w:b/>
        </w:rPr>
        <w:t>Atypiques</w:t>
      </w:r>
      <w:r>
        <w:t xml:space="preserve"> : *Chlamydia trachomatis*, *Chlamydia pneumoniae*, *Mycoplasma pneumoniae*, *Mycoplasma hominis*, *Ureaplasma urealyticum*, *Rickettsia* spp. (CMI ~0,5 mg/L).</w:t>
      </w:r>
    </w:p>
    <w:p>
      <w:r/>
      <w:r>
        <w:rPr>
          <w:b/>
        </w:rPr>
        <w:t>Résistance acquise</w:t>
      </w:r>
      <w:r>
        <w:t xml:space="preserve"> :</w:t>
      </w:r>
    </w:p>
    <w:p>
      <w:pPr>
        <w:pStyle w:val="ListBullet"/>
      </w:pPr>
      <w:r>
        <w:t>Mutations chromosomiques ponctuelles des gènes *gyrA* (substitution d'acides aminés au niveau du codon Ser79 ou Asp95) et *parC* (substitution Ser80) — résistance de haut niveau ;</w:t>
      </w:r>
    </w:p>
    <w:p>
      <w:pPr>
        <w:pStyle w:val="ListBullet"/>
      </w:pPr>
      <w:r>
        <w:t>Efflux actif (pompes RND/Qnr) ;</w:t>
      </w:r>
    </w:p>
    <w:p>
      <w:pPr>
        <w:pStyle w:val="ListBullet"/>
      </w:pPr>
      <w:r>
        <w:t>Protection des cibles par protéines Qnr (plasmidiques) ;</w:t>
      </w:r>
    </w:p>
    <w:p>
      <w:pPr>
        <w:pStyle w:val="ListBullet"/>
      </w:pPr>
      <w:r>
        <w:t>Inactivation enzymatique par variantes mutées de l'aminoglycoside acétyltransférase AAC(6')-Ib-cr (modification de la cible).</w:t>
      </w:r>
    </w:p>
    <w:p>
      <w:pPr>
        <w:pStyle w:val="Heading4"/>
      </w:pPr>
      <w:r>
        <w:t>Profil pharmacologique (indications, contre-indications, effets indésirables)</w:t>
      </w:r>
    </w:p>
    <w:p>
      <w:r/>
      <w:r>
        <w:rPr>
          <w:b/>
        </w:rPr>
        <w:t>Indications (AMM — formes otiques OTOCINE, OTOFLOX)</w:t>
      </w:r>
      <w:r>
        <w:t xml:space="preserve"> :</w:t>
      </w:r>
    </w:p>
    <w:p>
      <w:pPr>
        <w:pStyle w:val="ListBullet"/>
      </w:pPr>
      <w:r>
        <w:t>Otites externes diffuses bactériennes à germes sensibles (*P. aeruginosa*, *S. aureus*, entérobactéries) ;</w:t>
      </w:r>
    </w:p>
    <w:p>
      <w:pPr>
        <w:pStyle w:val="ListBullet"/>
      </w:pPr>
      <w:r>
        <w:t>Otites externes furonculeuses ;</w:t>
      </w:r>
    </w:p>
    <w:p>
      <w:pPr>
        <w:pStyle w:val="ListBullet"/>
      </w:pPr>
      <w:r>
        <w:t>Otites externes eczémateuses surinfectées ;</w:t>
      </w:r>
    </w:p>
    <w:p>
      <w:pPr>
        <w:pStyle w:val="ListBullet"/>
      </w:pPr>
      <w:r/>
      <w:r>
        <w:rPr>
          <w:b/>
        </w:rPr>
        <w:t>Otorrhées sur aérateur trans-tympanique</w:t>
      </w:r>
      <w:r>
        <w:t xml:space="preserve"> (indication de choix — autorisée en raison de l'absence d'ototoxicité locale) ;</w:t>
      </w:r>
    </w:p>
    <w:p>
      <w:pPr>
        <w:pStyle w:val="ListBullet"/>
      </w:pPr>
      <w:r/>
      <w:r>
        <w:rPr>
          <w:b/>
        </w:rPr>
        <w:t>Otites moyennes aiguës purulentes avec tympan perforé (otorrhée)</w:t>
      </w:r>
      <w:r>
        <w:t xml:space="preserve"> chez l'enfant &gt; 1 an et l'adulte ;</w:t>
      </w:r>
    </w:p>
    <w:p>
      <w:pPr>
        <w:pStyle w:val="ListBullet"/>
      </w:pPr>
      <w:r>
        <w:t>Préparation préopératoire du champ chirurgical otologique.</w:t>
      </w:r>
    </w:p>
    <w:p>
      <w:r/>
      <w:r>
        <w:rPr>
          <w:b/>
        </w:rPr>
        <w:t>Indications (formes ophtalmiques)</w:t>
      </w:r>
      <w:r>
        <w:t xml:space="preserve"> : conjonctivites bactériennes, kératites, ulcères de cornée, blépharites, prévention post-chirurgie ophtalmologique.</w:t>
      </w:r>
    </w:p>
    <w:p>
      <w:r/>
      <w:r>
        <w:rPr>
          <w:b/>
        </w:rPr>
        <w:t>Contre-indications</w:t>
      </w:r>
      <w:r>
        <w:t xml:space="preserve"> :</w:t>
      </w:r>
    </w:p>
    <w:p>
      <w:pPr>
        <w:pStyle w:val="ListBullet"/>
      </w:pPr>
      <w:r>
        <w:t>Hypersensibilité aux fluoroquinolones (risque de réactions croisées entre toutes les FQ) ;</w:t>
      </w:r>
    </w:p>
    <w:p>
      <w:pPr>
        <w:pStyle w:val="ListBullet"/>
      </w:pPr>
      <w:r/>
      <w:r>
        <w:rPr>
          <w:b/>
        </w:rPr>
        <w:t>Nourrisson &lt; 1 an</w:t>
      </w:r>
      <w:r>
        <w:t xml:space="preserve"> (par prudence, selon le RCP — en raison du risque théorique d'arthropathie, non documenté pour la voie locale otique mais par mesure de précaution) ;</w:t>
      </w:r>
    </w:p>
    <w:p>
      <w:pPr>
        <w:pStyle w:val="ListBullet"/>
      </w:pPr>
      <w:r>
        <w:t>Myasthénie (les FQ peuvent aggraver la faiblesse musculaire en inhibant la transmission neuromusculaire — par voie systémique ; par voie locale otique, le risque est théorique mais à considérer en usage prolongé) ;</w:t>
      </w:r>
    </w:p>
    <w:p>
      <w:pPr>
        <w:pStyle w:val="ListBullet"/>
      </w:pPr>
      <w:r>
        <w:t>Grossesse et allaitement (par prudence, cf. CRAT) ;</w:t>
      </w:r>
    </w:p>
    <w:p>
      <w:pPr>
        <w:pStyle w:val="ListBullet"/>
      </w:pPr>
      <w:r>
        <w:t>Épilepsie non contrôlée (par prudence, les FQ abaissent le seuil épileptogène — par voie systémique ; par voie locale otique, le risque est théorique) ;</w:t>
      </w:r>
    </w:p>
    <w:p>
      <w:pPr>
        <w:pStyle w:val="ListBullet"/>
      </w:pPr>
      <w:r>
        <w:t>Allaitement maternel (cf. CRAT) ;</w:t>
      </w:r>
    </w:p>
    <w:p>
      <w:pPr>
        <w:pStyle w:val="ListBullet"/>
      </w:pPr>
      <w:r>
        <w:t>Deficit en G6PD (risque d'hémolyse exceptionnel, par prudence).</w:t>
      </w:r>
    </w:p>
    <w:p>
      <w:r/>
      <w:r>
        <w:rPr>
          <w:b/>
        </w:rPr>
        <w:t>Effets indésirables</w:t>
      </w:r>
      <w:r>
        <w:t xml:space="preserve"> :</w:t>
      </w:r>
    </w:p>
    <w:p>
      <w:pPr>
        <w:pStyle w:val="ListBullet"/>
      </w:pPr>
      <w:r>
        <w:t>Locaux (voie otique) : sensation de brûlure transitoire à l'instillation (~5–10 % des patients), prurit, irritation locale, goût métallique (la ciprofloxacine peut atteindre les récepteurs gustatifs pharyngés via la trompe d'Eustache), érythème du CAE, surinfection fongique locale à *Candida* spp. en usage prolongé (&gt; 10 jours) ;</w:t>
      </w:r>
    </w:p>
    <w:p>
      <w:pPr>
        <w:pStyle w:val="ListBullet"/>
      </w:pPr>
      <w:r>
        <w:t>Locaux (voie ophtalmique) : sensation de brûlure, picotements, hyperhémie conjonctivale, kératite ponctuée superficielle, allergie de contact (rare) ;</w:t>
      </w:r>
    </w:p>
    <w:p>
      <w:pPr>
        <w:pStyle w:val="ListBullet"/>
      </w:pPr>
      <w:r>
        <w:t>Systémiques (par voie locale otique, exceptionnels en raison du passage systémique négligeable) :</w:t>
      </w:r>
    </w:p>
    <w:p>
      <w:pPr>
        <w:pStyle w:val="ListBullet"/>
      </w:pPr>
      <w:r>
        <w:t>Tendinopathies et rupture du tendon d'Achille (les FQ ont une affinité pour le collagène du tendon, favorisant la dégénérescence — risque exceptionnel par voie locale otique, mais à signaler en cas de notion d'antécédent de tendinopathie sous FQ systémique) ;</w:t>
      </w:r>
    </w:p>
    <w:p>
      <w:pPr>
        <w:pStyle w:val="ListBullet"/>
      </w:pPr>
      <w:r>
        <w:t>Arthropathies (lésions cartilagineuses — décrites chez le jeune animal, non confirmées chez l'enfant pour les FQ locales) ;</w:t>
      </w:r>
    </w:p>
    <w:p>
      <w:pPr>
        <w:pStyle w:val="ListBullet"/>
      </w:pPr>
      <w:r>
        <w:t>Allongement du QT (effet dose-dépendant — exceptionnel par voie locale otique) ;</w:t>
      </w:r>
    </w:p>
    <w:p>
      <w:pPr>
        <w:pStyle w:val="ListBullet"/>
      </w:pPr>
      <w:r>
        <w:t>Diabète : dysrégulation glycémique (hypo- ou hyperglycémie) — exceptionnel par voie locale ;</w:t>
      </w:r>
    </w:p>
    <w:p>
      <w:pPr>
        <w:pStyle w:val="ListBullet"/>
      </w:pPr>
      <w:r>
        <w:t>Effets centraux : céphalées, vertiges, insomnie, convulsions (à doses systémiques) — exceptionnels par voie locale.</w:t>
      </w:r>
    </w:p>
    <w:p>
      <w:pPr>
        <w:pStyle w:val="Heading4"/>
      </w:pPr>
      <w:r>
        <w:t>Prévention des effets indésirables</w:t>
      </w:r>
    </w:p>
    <w:p>
      <w:pPr>
        <w:pStyle w:val="ListNumber"/>
      </w:pPr>
      <w:r/>
      <w:r>
        <w:rPr>
          <w:b/>
        </w:rPr>
        <w:t>Respect strict de la CI du nourrisson &lt; 1 an</w:t>
      </w:r>
      <w:r>
        <w:t xml:space="preserve"> (par prudence selon le RCP) ; chez le nourrisson &lt; 1 an avec otorrhée sur ATT, utiliser de la rifamycine SV locale (OTOFA) en alternative ;</w:t>
      </w:r>
    </w:p>
    <w:p>
      <w:pPr>
        <w:pStyle w:val="ListNumber"/>
      </w:pPr>
      <w:r/>
      <w:r>
        <w:rPr>
          <w:b/>
        </w:rPr>
        <w:t>Interrogatoire préalable</w:t>
      </w:r>
      <w:r>
        <w:t xml:space="preserve"> : recherche d'une allergie aux FQ (réactions croisées possibles entre toutes les FQ), d'antécédent de tendinopathie sous FQ, de myasthénie, d'épilepsie, de QT long ;</w:t>
      </w:r>
    </w:p>
    <w:p>
      <w:pPr>
        <w:pStyle w:val="ListNumber"/>
      </w:pPr>
      <w:r/>
      <w:r>
        <w:rPr>
          <w:b/>
        </w:rPr>
        <w:t>Durée limitée à 7–10 jours</w:t>
      </w:r>
      <w:r>
        <w:t xml:space="preserve"> sans réévaluation médicale ;</w:t>
      </w:r>
    </w:p>
    <w:p>
      <w:pPr>
        <w:pStyle w:val="ListNumber"/>
      </w:pPr>
      <w:r/>
      <w:r>
        <w:rPr>
          <w:b/>
        </w:rPr>
        <w:t>Surveillance ORL</w:t>
      </w:r>
      <w:r>
        <w:t xml:space="preserve"> à 7 jours : guérison clinique, prélèvement bactériologique en cas de persistance ;</w:t>
      </w:r>
    </w:p>
    <w:p>
      <w:pPr>
        <w:pStyle w:val="ListNumber"/>
      </w:pPr>
      <w:r/>
      <w:r>
        <w:rPr>
          <w:b/>
        </w:rPr>
        <w:t>Hygiène du flacon</w:t>
      </w:r>
      <w:r>
        <w:t xml:space="preserve"> : ne pas toucher l'embout avec les doigts ou le conduit ; pour les unidoses, jeter après usage (ne pas conserver) ;</w:t>
      </w:r>
    </w:p>
    <w:p>
      <w:pPr>
        <w:pStyle w:val="ListNumber"/>
      </w:pPr>
      <w:r/>
      <w:r>
        <w:rPr>
          <w:b/>
        </w:rPr>
        <w:t>Surveillance de la tolérance locale</w:t>
      </w:r>
      <w:r>
        <w:t xml:space="preserve"> : en cas d'irritation persistante, d'œdème, d'éruption locale → arrêter et consulter ;</w:t>
      </w:r>
    </w:p>
    <w:p>
      <w:pPr>
        <w:pStyle w:val="ListNumber"/>
      </w:pPr>
      <w:r/>
      <w:r>
        <w:rPr>
          <w:b/>
        </w:rPr>
        <w:t>Information du patient sur le goût métallique</w:t>
      </w:r>
      <w:r>
        <w:t xml:space="preserve"> possible — bénin, transitoire ;</w:t>
      </w:r>
    </w:p>
    <w:p>
      <w:pPr>
        <w:pStyle w:val="ListNumber"/>
      </w:pPr>
      <w:r/>
      <w:r>
        <w:rPr>
          <w:b/>
        </w:rPr>
        <w:t>Éviter l'usage prolongé &gt; 10 jours</w:t>
      </w:r>
      <w:r>
        <w:t xml:space="preserve"> en raison du risque de surinfection fongique locale (*Candida* spp.) et de modifications de la flore commensale ;</w:t>
      </w:r>
    </w:p>
    <w:p>
      <w:pPr>
        <w:pStyle w:val="ListNumber"/>
      </w:pPr>
      <w:r/>
      <w:r>
        <w:rPr>
          <w:b/>
        </w:rPr>
        <w:t>Diabétique</w:t>
      </w:r>
      <w:r>
        <w:t xml:space="preserve"> : surveillance glycémique en cas d'usage prolongé (effet exceptionnel sur la glycémie) ;</w:t>
      </w:r>
    </w:p>
    <w:p>
      <w:pPr>
        <w:pStyle w:val="ListNumber"/>
      </w:pPr>
      <w:r/>
      <w:r>
        <w:rPr>
          <w:b/>
        </w:rPr>
        <w:t>Sujets âgés</w:t>
      </w:r>
      <w:r>
        <w:t xml:space="preserve"> : surveillance de la tolérance (fragilité cutanée du CAE, risque accru d'effets systémiques en cas de tympan perforé étendu).</w:t>
      </w:r>
    </w:p>
    <w:p>
      <w:pPr>
        <w:pStyle w:val="Heading4"/>
      </w:pPr>
      <w:r>
        <w:t>Interactions médicamenteuses</w:t>
      </w:r>
    </w:p>
    <w:p>
      <w:r>
        <w:t>Par voie locale otique, le passage systémique de la ciprofloxacine est négligeable (&lt; 1 % de la dose), ce qui limite considérablement les interactions systémiques. Cependant, par prudence :</w:t>
      </w:r>
    </w:p>
    <w:p>
      <w:pPr>
        <w:pStyle w:val="ListBullet"/>
      </w:pPr>
      <w:r/>
      <w:r>
        <w:rPr>
          <w:b/>
        </w:rPr>
        <w:t>Avec les AVK</w:t>
      </w:r>
      <w:r>
        <w:t xml:space="preserve"> (warfarine, acénocoumarol, fluindione) : théoriquement, inhibition du CYP1A2 → augmentation de l'INR. Surveillance INR en cas d'usage prolongé &gt; 7 jours ou de tympan perforé étendu.</w:t>
      </w:r>
    </w:p>
    <w:p>
      <w:pPr>
        <w:pStyle w:val="ListBullet"/>
      </w:pPr>
      <w:r/>
      <w:r>
        <w:rPr>
          <w:b/>
        </w:rPr>
        <w:t>Avec la théophylline</w:t>
      </w:r>
      <w:r>
        <w:t xml:space="preserve"> : théoriquement, inhibition du CYP1A2 → augmentation des concentrations de théophylline, risque de convulsions. Surveillance clinique.</w:t>
      </w:r>
    </w:p>
    <w:p>
      <w:pPr>
        <w:pStyle w:val="ListBullet"/>
      </w:pPr>
      <w:r/>
      <w:r>
        <w:rPr>
          <w:b/>
        </w:rPr>
        <w:t>Avec la caféine</w:t>
      </w:r>
      <w:r>
        <w:t xml:space="preserve"> : théoriquement, inhibition du CYP1A2 → allongement de la demi-vie de la caféine. Prudence chez les gros consommateurs de café.</w:t>
      </w:r>
    </w:p>
    <w:p>
      <w:pPr>
        <w:pStyle w:val="ListBullet"/>
      </w:pPr>
      <w:r/>
      <w:r>
        <w:rPr>
          <w:b/>
        </w:rPr>
        <w:t>Avec la tizanidine</w:t>
      </w:r>
      <w:r>
        <w:t xml:space="preserve"> : théoriquement, inhibition du CYP1A2 → hypotension sévère, bradycardie.</w:t>
      </w:r>
    </w:p>
    <w:p>
      <w:pPr>
        <w:pStyle w:val="ListBullet"/>
      </w:pPr>
      <w:r/>
      <w:r>
        <w:rPr>
          <w:b/>
        </w:rPr>
        <w:t>Avec les antiacides</w:t>
      </w:r>
      <w:r>
        <w:t xml:space="preserve"> (sels d'aluminium, de magnésium, de calcium) et le sucralfate, le fer, le zinc : par voie systémique, chélation et baisse d'absorption de la ciprofloxacine. Par voie locale otique, pas d'interaction (l'administration est indépendante).</w:t>
      </w:r>
    </w:p>
    <w:p>
      <w:pPr>
        <w:pStyle w:val="ListBullet"/>
      </w:pPr>
      <w:r/>
      <w:r>
        <w:rPr>
          <w:b/>
        </w:rPr>
        <w:t>Avec la didanosine</w:t>
      </w:r>
      <w:r>
        <w:t xml:space="preserve"> (antirétroviral) : théoriquement, baisse d'absorption de la ciprofloxacine par chélation avec les tampons de la didanosine.</w:t>
      </w:r>
    </w:p>
    <w:p>
      <w:pPr>
        <w:pStyle w:val="ListBullet"/>
      </w:pPr>
      <w:r/>
      <w:r>
        <w:rPr>
          <w:b/>
        </w:rPr>
        <w:t>Avec le méthotrexate</w:t>
      </w:r>
      <w:r>
        <w:t xml:space="preserve"> : théoriquement, diminution de l'excrétion rénale du méthotrexate. Surveillance.</w:t>
      </w:r>
    </w:p>
    <w:p>
      <w:pPr>
        <w:pStyle w:val="ListBullet"/>
      </w:pPr>
      <w:r/>
      <w:r>
        <w:rPr>
          <w:b/>
        </w:rPr>
        <w:t>Avec la ciclosporine</w:t>
      </w:r>
      <w:r>
        <w:t xml:space="preserve"> : théoriquement, augmentation de la néphrotoxicité. Surveillance fonction rénale.</w:t>
      </w:r>
    </w:p>
    <w:p>
      <w:pPr>
        <w:pStyle w:val="ListBullet"/>
      </w:pPr>
      <w:r/>
      <w:r>
        <w:rPr>
          <w:b/>
        </w:rPr>
        <w:t>Avec les autres antibiotiques locaux otiques</w:t>
      </w:r>
      <w:r>
        <w:t xml:space="preserve"> (rifamycine SV, aminosides) : pas d'interaction formelle, mais éviter l'association (modification de la flore, antagonisme possible).</w:t>
      </w:r>
    </w:p>
    <w:p>
      <w:pPr>
        <w:pStyle w:val="Heading4"/>
      </w:pPr>
      <w:r>
        <w:t>Grossesse et allaitement (CRAT)</w:t>
      </w:r>
    </w:p>
    <w:p>
      <w:r/>
      <w:r>
        <w:rPr>
          <w:b/>
        </w:rPr>
        <w:t>Grossesse</w:t>
      </w:r>
      <w:r>
        <w:t xml:space="preserve"> :</w:t>
      </w:r>
    </w:p>
    <w:p>
      <w:pPr>
        <w:pStyle w:val="ListBullet"/>
      </w:pPr>
      <w:r>
        <w:t>Données CRAT : les fluoroquinolones traversent le placenta. Les données animales font état d'arthropathies et de lésions cartilagineuses chez le fœtus exposé en période de croissance (jeune animal). Les données humaines sont rassurantes (pas d'augmentation du taux de malformations dans les séries publiées), mais le risque théorique de lésion cartilagineuse fœtale ne peut être exclu.</w:t>
      </w:r>
    </w:p>
    <w:p>
      <w:pPr>
        <w:pStyle w:val="ListBullet"/>
      </w:pPr>
      <w:r>
        <w:t xml:space="preserve">Recommandation CRAT : </w:t>
      </w:r>
      <w:r>
        <w:rPr>
          <w:b/>
        </w:rPr>
        <w:t>à éviter par prudence pendant la grossesse</w:t>
      </w:r>
      <w:r>
        <w:t>, en particulier au 1er trimestre et au 3e trimestre. En cas de nécessité absolue (otite externe sévère à *Pseudomonas* chez la femme enceinte, otorrhée sur ATT), la ciprofloxacine locale peut être discutée en 2e intention après avis ORL et pharmacien.</w:t>
      </w:r>
    </w:p>
    <w:p>
      <w:pPr>
        <w:pStyle w:val="ListBullet"/>
      </w:pPr>
      <w:r>
        <w:t>Alternative : rifamycine SV locale (OTOFA) en 1re intention ; acide acétique 2 % en alternative.</w:t>
      </w:r>
    </w:p>
    <w:p>
      <w:r/>
      <w:r>
        <w:rPr>
          <w:b/>
        </w:rPr>
        <w:t>Allaitement</w:t>
      </w:r>
      <w:r>
        <w:t xml:space="preserve"> :</w:t>
      </w:r>
    </w:p>
    <w:p>
      <w:pPr>
        <w:pStyle w:val="ListBullet"/>
      </w:pPr>
      <w:r>
        <w:t>Données CRAT : la ciprofloxacine passe dans le lait maternel (rapport lait/plasma ~0,5–1). Les concentrations chez le nourrisson allaité sont faibles mais non négligeables. Risque théorique d'arthropathie chez le nourrisson.</w:t>
      </w:r>
    </w:p>
    <w:p>
      <w:pPr>
        <w:pStyle w:val="ListBullet"/>
      </w:pPr>
      <w:r>
        <w:t xml:space="preserve">Recommandation CRAT : </w:t>
      </w:r>
      <w:r>
        <w:rPr>
          <w:b/>
        </w:rPr>
        <w:t>à éviter par prudence pendant l'allaitement</w:t>
      </w:r>
      <w:r>
        <w:t>. En cas de nécessité absolue (usage local otique bref ≤ 7 jours, tympan intact), surveillance de la tolérance chez le nourrisson (éruption cutanée, troubles digestifs). Suspension temporaire de l'allaitement pendant 24 h après la dernière prise en cas d'usage prolongé ou de tympan perforé.</w:t>
      </w:r>
    </w:p>
    <w:p>
      <w:pPr>
        <w:pStyle w:val="ListBullet"/>
      </w:pPr>
      <w:r>
        <w:t>Alternative : rifamycine SV locale (OTOFA).</w:t>
      </w:r>
    </w:p>
    <w:p>
      <w:pPr>
        <w:pStyle w:val="Heading4"/>
      </w:pPr>
      <w:r>
        <w:t>Posologie</w:t>
      </w:r>
    </w:p>
    <w:p>
      <w:r/>
      <w:r>
        <w:rPr>
          <w:b/>
        </w:rPr>
        <w:t>Adulte</w:t>
      </w:r>
      <w:r>
        <w:t xml:space="preserve"> :</w:t>
      </w:r>
    </w:p>
    <w:p>
      <w:pPr>
        <w:pStyle w:val="ListBullet"/>
      </w:pPr>
      <w:r>
        <w:t>OTOCINE / OTOFLOX solution auriculaire unidose 0,5 mL à 2 mg/mL (= 1 mg par unidose) : instiller le contenu d'une unidose (1 mg) dans le conduit auditif externe, 2 fois par jour (matin et soir), pendant 7 à 10 jours. Pencher la tête du côté opposé, tirer le pavillon vers l'arrière et le haut, instiller, maintenir 1–2 min, masser le tragus.</w:t>
      </w:r>
    </w:p>
    <w:p>
      <w:pPr>
        <w:pStyle w:val="ListBullet"/>
      </w:pPr>
      <w:r>
        <w:t>En alternative (extension ophtalmique) : CIPRO, CIPRODAR, CIPROTEK collyre 0,3 % — instiller 2–3 gouttes dans le CAE, 2–3 fois par jour, pendant 7–10 jours. CI si port de lentilles (chlorure de benzalkonium).</w:t>
      </w:r>
    </w:p>
    <w:p>
      <w:r/>
      <w:r>
        <w:rPr>
          <w:b/>
        </w:rPr>
        <w:t>Enfant &gt; 1 an</w:t>
      </w:r>
      <w:r>
        <w:t xml:space="preserve"> :</w:t>
      </w:r>
    </w:p>
    <w:p>
      <w:pPr>
        <w:pStyle w:val="ListBullet"/>
      </w:pPr>
      <w:r>
        <w:t>OTOCINE / OTOFLOX : 1 unidose (1 mg) par instillation, 2 fois par jour, pendant 7–10 jours. Surveillance ORL à 7 jours.</w:t>
      </w:r>
    </w:p>
    <w:p>
      <w:pPr>
        <w:pStyle w:val="ListBullet"/>
      </w:pPr>
      <w:r>
        <w:t>Sur otorrhée sur ATT : même posologie, surveillance ORL rapprochée à 48–72 h.</w:t>
      </w:r>
    </w:p>
    <w:p>
      <w:r/>
      <w:r>
        <w:rPr>
          <w:b/>
        </w:rPr>
        <w:t>Nourrisson &lt; 1 an</w:t>
      </w:r>
      <w:r>
        <w:t xml:space="preserve"> : CI selon le RCP ; en pratique, en cas de nécessité absolue (otorrhée sévère sur ATT résistante à la rifamycine SV locale), utilisation possible sous avis ORL spécialisé.</w:t>
      </w:r>
    </w:p>
    <w:p>
      <w:r/>
      <w:r>
        <w:rPr>
          <w:b/>
        </w:rPr>
        <w:t>Sujet âgé</w:t>
      </w:r>
      <w:r>
        <w:t xml:space="preserve"> : pas d'adaptation posologique, surveillance de la tolérance.</w:t>
      </w:r>
    </w:p>
    <w:p>
      <w:pPr>
        <w:pStyle w:val="Heading4"/>
      </w:pPr>
      <w:r>
        <w:t>Formes galéniques disponibles</w:t>
      </w:r>
    </w:p>
    <w:p>
      <w:pPr>
        <w:pStyle w:val="ListBullet"/>
      </w:pPr>
      <w:r/>
      <w:r>
        <w:rPr>
          <w:b/>
        </w:rPr>
        <w:t>OTOCINE / OTOFLOX solution auriculaire stérile</w:t>
      </w:r>
      <w:r>
        <w:t xml:space="preserve"> : solution aqueuse isotonique, stérile, contenant 2 mg/mL de ciprofloxacine chlorhydrate (= 1 mg par récipient unidose de 0,5 mL). Conditionnement : boîte de 20 récipients unidoses de 0,5 mL en polyéthylène basse densité. Sans conservateur (unidoses jetables après usage). Conservation : température &lt; 25 °C, à l'abri de la lumière. Stérilité : jusqu'à la date de péremption si non ouvertes.</w:t>
      </w:r>
    </w:p>
    <w:p>
      <w:pPr>
        <w:pStyle w:val="ListBullet"/>
      </w:pPr>
      <w:r/>
      <w:r>
        <w:rPr>
          <w:b/>
        </w:rPr>
        <w:t>CIPRO, CIPRODAR, CIPROTEK collyre 0,3 %</w:t>
      </w:r>
      <w:r>
        <w:t xml:space="preserve"> : solution aqueuse isotonique, stérile, contenant 3 mg/mL de ciprofloxacine chlorhydrate. Conservateur : chlorure de benzalkonium. Flacon 5 mL. Conservation : 15 jours après ouverture.</w:t>
      </w:r>
    </w:p>
    <w:p>
      <w:pPr>
        <w:pStyle w:val="ListBullet"/>
      </w:pPr>
      <w:r/>
      <w:r>
        <w:rPr>
          <w:b/>
        </w:rPr>
        <w:t>CILOXAN pommade ophtalmique 0,3 %</w:t>
      </w:r>
      <w:r>
        <w:t xml:space="preserve"> : pommade grasse (vaseline, lanoline), contenant 3 mg/g de ciprofloxacine. Tube 3,5 g. Conservation : 1 mois après ouverture.</w:t>
      </w:r>
    </w:p>
    <w:p>
      <w:pPr>
        <w:pStyle w:val="ListBullet"/>
      </w:pPr>
      <w:r/>
      <w:r>
        <w:rPr>
          <w:b/>
        </w:rPr>
        <w:t>Formes systémiques</w:t>
      </w:r>
      <w:r>
        <w:t xml:space="preserve"> : comprimés pelliculés 250/500/750 mg, comprimé à libération prolongée 1 g, solution pour perfusion IV 2 mg/mL — non concernées par l'usage otique.</w:t>
      </w:r>
    </w:p>
    <w:p>
      <w:pPr>
        <w:pStyle w:val="Heading4"/>
      </w:pPr>
      <w:r>
        <w:t>Conseils au patient</w:t>
      </w:r>
    </w:p>
    <w:p>
      <w:pPr>
        <w:pStyle w:val="ListBullet"/>
      </w:pPr>
      <w:r/>
      <w:r>
        <w:rPr>
          <w:b/>
        </w:rPr>
        <w:t>Avant instillation</w:t>
      </w:r>
      <w:r>
        <w:t xml:space="preserve"> : lavage soigneux des mains ; vérifier l'absence d'allergie aux FQ ; vérifier l'absence de port de lentilles (pour le collyre).</w:t>
      </w:r>
    </w:p>
    <w:p>
      <w:pPr>
        <w:pStyle w:val="ListBullet"/>
      </w:pPr>
      <w:r/>
      <w:r>
        <w:rPr>
          <w:b/>
        </w:rPr>
        <w:t>Position d'instillation otique</w:t>
      </w:r>
      <w:r>
        <w:t xml:space="preserve"> : pencher la tête du côté opposé à l'oreille à traiter ; tirer le pavillon vers l'arrière et le haut (adulte) ou vers le bas et vers l'arrière (enfant) ; instiller le contenu d'une unidose (ou 2–3 gouttes du collyre) ; maintenir la tête inclinée 1–2 min ; masser le tragus.</w:t>
      </w:r>
    </w:p>
    <w:p>
      <w:pPr>
        <w:pStyle w:val="ListBullet"/>
      </w:pPr>
      <w:r/>
      <w:r>
        <w:rPr>
          <w:b/>
        </w:rPr>
        <w:t>Jeter l'unidose après usage</w:t>
      </w:r>
      <w:r>
        <w:t xml:space="preserve"> (ne pas conserver pour une instillation ultérieure — risque de contamination).</w:t>
      </w:r>
    </w:p>
    <w:p>
      <w:pPr>
        <w:pStyle w:val="ListBullet"/>
      </w:pPr>
      <w:r/>
      <w:r>
        <w:rPr>
          <w:b/>
        </w:rPr>
        <w:t>Durée maximale</w:t>
      </w:r>
      <w:r>
        <w:t xml:space="preserve"> : 7–10 jours sans réévaluation médicale.</w:t>
      </w:r>
    </w:p>
    <w:p>
      <w:pPr>
        <w:pStyle w:val="ListBullet"/>
      </w:pPr>
      <w:r/>
      <w:r>
        <w:rPr>
          <w:b/>
        </w:rPr>
        <w:t>Goût métallique possible</w:t>
      </w:r>
      <w:r>
        <w:t xml:space="preserve"> : bénin, transitoire (la ciprofloxacine peut atteindre les récepteurs gustatifs pharyngés via la trompe d'Eustache).</w:t>
      </w:r>
    </w:p>
    <w:p>
      <w:pPr>
        <w:pStyle w:val="ListBullet"/>
      </w:pPr>
      <w:r/>
      <w:r>
        <w:rPr>
          <w:b/>
        </w:rPr>
        <w:t>Surveillance ORL</w:t>
      </w:r>
      <w:r>
        <w:t xml:space="preserve"> : consultation de contrôle à 7 jours pour vérification de la guérison. En cas de persistance de l'otorrhée ou de l'otalgie, prélèvement bactériologique avec antibiogramme.</w:t>
      </w:r>
    </w:p>
    <w:p>
      <w:pPr>
        <w:pStyle w:val="ListBullet"/>
      </w:pPr>
      <w:r/>
      <w:r>
        <w:rPr>
          <w:b/>
        </w:rPr>
        <w:t>Hygiène du flacon</w:t>
      </w:r>
      <w:r>
        <w:t xml:space="preserve"> (collyre) : ne pas toucher l'embout ; refermer hermétiquement ; ne pas partager.</w:t>
      </w:r>
    </w:p>
    <w:p>
      <w:pPr>
        <w:pStyle w:val="ListBullet"/>
      </w:pPr>
      <w:r/>
      <w:r>
        <w:rPr>
          <w:b/>
        </w:rPr>
        <w:t>Conservation</w:t>
      </w:r>
      <w:r>
        <w:t xml:space="preserve"> : unidoses à température &lt; 25 °C, à l'abri de la lumière. Collyre : 15 jours après ouverture.</w:t>
      </w:r>
    </w:p>
    <w:p>
      <w:pPr>
        <w:pStyle w:val="Heading4"/>
      </w:pPr>
      <w:r>
        <w:t>Pièges au comptoir</w:t>
      </w:r>
    </w:p>
    <w:p>
      <w:pPr>
        <w:pStyle w:val="ListNumber"/>
      </w:pPr>
      <w:r/>
      <w:r>
        <w:rPr>
          <w:b/>
        </w:rPr>
        <w:t>Le nourrisson &lt; 1 an</w:t>
      </w:r>
      <w:r>
        <w:t xml:space="preserve"> : CI selon le RCP ; en cas d'otorrhée sur ATT, préférer la rifamycine SV locale (OTOFA) en 1re intention.</w:t>
      </w:r>
    </w:p>
    <w:p>
      <w:pPr>
        <w:pStyle w:val="ListNumber"/>
      </w:pPr>
      <w:r/>
      <w:r>
        <w:rPr>
          <w:b/>
        </w:rPr>
        <w:t>La femme enceinte</w:t>
      </w:r>
      <w:r>
        <w:t xml:space="preserve"> : éviter par prudence, en particulier au 1er et 3e trimestres ; alternative : rifamycine SV locale.</w:t>
      </w:r>
    </w:p>
    <w:p>
      <w:pPr>
        <w:pStyle w:val="ListNumber"/>
      </w:pPr>
      <w:r/>
      <w:r>
        <w:rPr>
          <w:b/>
        </w:rPr>
        <w:t>La femme allaitante</w:t>
      </w:r>
      <w:r>
        <w:t xml:space="preserve"> : éviter par prudence ; alternative : rifamycine SV locale.</w:t>
      </w:r>
    </w:p>
    <w:p>
      <w:pPr>
        <w:pStyle w:val="ListNumber"/>
      </w:pPr>
      <w:r/>
      <w:r>
        <w:rPr>
          <w:b/>
        </w:rPr>
        <w:t>Le patient allergique aux FQ</w:t>
      </w:r>
      <w:r>
        <w:t xml:space="preserve"> : CI absolue (réactions croisées possibles).</w:t>
      </w:r>
    </w:p>
    <w:p>
      <w:pPr>
        <w:pStyle w:val="ListNumber"/>
      </w:pPr>
      <w:r/>
      <w:r>
        <w:rPr>
          <w:b/>
        </w:rPr>
        <w:t>Le patient sous AVK</w:t>
      </w:r>
      <w:r>
        <w:t xml:space="preserve"> : surveillance INR en cas d'usage prolongé &gt; 7 jours.</w:t>
      </w:r>
    </w:p>
    <w:p>
      <w:pPr>
        <w:pStyle w:val="ListNumber"/>
      </w:pPr>
      <w:r/>
      <w:r>
        <w:rPr>
          <w:b/>
        </w:rPr>
        <w:t>Le patient sous théophylline</w:t>
      </w:r>
      <w:r>
        <w:t xml:space="preserve"> : surveillance clinique (toxicité de la théophylline).</w:t>
      </w:r>
    </w:p>
    <w:p>
      <w:pPr>
        <w:pStyle w:val="ListNumber"/>
      </w:pPr>
      <w:r/>
      <w:r>
        <w:rPr>
          <w:b/>
        </w:rPr>
        <w:t>Le porteur de lentilles de contact</w:t>
      </w:r>
      <w:r>
        <w:t xml:space="preserve"> : retirer les lentilles avant instillation du collyre (chlorure de benzalkonium).</w:t>
      </w:r>
    </w:p>
    <w:p>
      <w:pPr>
        <w:pStyle w:val="ListNumber"/>
      </w:pPr>
      <w:r/>
      <w:r>
        <w:rPr>
          <w:b/>
        </w:rPr>
        <w:t>Le patient qui demande une boîte de ciprofloxacine pour une otite sans avoir vu de médecin</w:t>
      </w:r>
      <w:r>
        <w:t xml:space="preserve"> : vérifier l'absence de fièvre, d'otorrhée, d'otalgie sévère ; en cas de doute, orienter vers un médecin.</w:t>
      </w:r>
    </w:p>
    <w:p>
      <w:pPr>
        <w:pStyle w:val="ListNumber"/>
      </w:pPr>
      <w:r/>
      <w:r>
        <w:rPr>
          <w:b/>
        </w:rPr>
        <w:t>L'usage prolongé &gt; 10 jours</w:t>
      </w:r>
      <w:r>
        <w:t xml:space="preserve"> : risque de surinfection fongique locale (*Candida* spp.), de modifications de la flore commensale.</w:t>
      </w:r>
    </w:p>
    <w:p>
      <w:pPr>
        <w:pStyle w:val="ListNumber"/>
      </w:pPr>
      <w:r/>
      <w:r>
        <w:rPr>
          <w:b/>
        </w:rPr>
        <w:t>Le patient qui a des unidoses non utilisées après le traitement</w:t>
      </w:r>
      <w:r>
        <w:t xml:space="preserve"> : ne pas conserver pour une utilisation ultérieure (stérilité non garantie au-delà de la durée du traitement, risque de contamination).</w:t>
      </w:r>
    </w:p>
    <w:p>
      <w:pPr>
        <w:pStyle w:val="Heading3"/>
      </w:pPr>
      <w:r>
        <w:t>131.8.6. Ofloxacine (usage otique)</w:t>
      </w:r>
    </w:p>
    <w:p>
      <w:pPr>
        <w:pStyle w:val="Heading4"/>
      </w:pPr>
      <w:r>
        <w:t>Liste catégories pharmaco-thérapeutiques</w:t>
      </w:r>
    </w:p>
    <w:p>
      <w:pPr>
        <w:pStyle w:val="ListBullet"/>
      </w:pPr>
      <w:r>
        <w:t>Fluoroquinolone de 2e génération (racémique)</w:t>
      </w:r>
    </w:p>
    <w:p>
      <w:pPr>
        <w:pStyle w:val="ListBullet"/>
      </w:pPr>
      <w:r>
        <w:t>Inhibiteur de l'ADN gyrase et de la topoisomérase IV</w:t>
      </w:r>
    </w:p>
    <w:p>
      <w:pPr>
        <w:pStyle w:val="ListBullet"/>
      </w:pPr>
      <w:r>
        <w:t>Antibiotique bactéricide concentration-dépendant</w:t>
      </w:r>
    </w:p>
    <w:p>
      <w:pPr>
        <w:pStyle w:val="ListBullet"/>
      </w:pPr>
      <w:r>
        <w:t>Antibiotique local ophtalmique et otique (extension)</w:t>
      </w:r>
    </w:p>
    <w:p>
      <w:pPr>
        <w:pStyle w:val="ListBullet"/>
      </w:pPr>
      <w:r>
        <w:t>Non ototoxique local (autorisation d'usage en cas de tympan perforé)</w:t>
      </w:r>
    </w:p>
    <w:p>
      <w:pPr>
        <w:pStyle w:val="Heading4"/>
      </w:pPr>
      <w:r>
        <w:t>Médicaments disponibles en Algérie</w:t>
      </w:r>
    </w:p>
    <w:p>
      <w:r>
        <w:t>L'ofloxacine est disponible dans la nomenclature algérienne principalement sous forme de collyre ophtalmique, dont l'usage otique est une extension hors AMM (en pratique courante). Les formes systémiques (comprimés 200/400 mg, solution IV) sont en statut NON_RENOUVELABLE ou RETRAIT.</w:t>
      </w:r>
    </w:p>
    <w:p>
      <w:r/>
      <w:r>
        <w:rPr>
          <w:b/>
        </w:rPr>
        <w:t>Spécialités ophtalmiques actives (usage otique possible en extension)</w:t>
      </w:r>
      <w:r>
        <w:t xml:space="preserv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CORONOL FREE</w:t>
            </w:r>
          </w:p>
        </w:tc>
        <w:tc>
          <w:tcPr>
            <w:tcW w:type="dxa" w:w="1559"/>
          </w:tcPr>
          <w:p>
            <w:r>
              <w:rPr>
                <w:sz w:val="20"/>
              </w:rPr>
              <w:t>GENERIC LAB</w:t>
            </w:r>
          </w:p>
        </w:tc>
        <w:tc>
          <w:tcPr>
            <w:tcW w:type="dxa" w:w="1559"/>
          </w:tcPr>
          <w:p>
            <w:r>
              <w:rPr>
                <w:sz w:val="20"/>
              </w:rPr>
              <w:t>Solution stérile pour instillation oculaire et auriculaire — Ofloxacine 0,3 % (3 mg/mL)</w:t>
            </w:r>
          </w:p>
        </w:tc>
        <w:tc>
          <w:tcPr>
            <w:tcW w:type="dxa" w:w="1559"/>
          </w:tcPr>
          <w:p>
            <w:r>
              <w:rPr>
                <w:sz w:val="20"/>
              </w:rPr>
              <w:t>Flacon 10 mL contenant 5 mL de solution muni d'une aéro-pompe 3K</w:t>
            </w:r>
          </w:p>
        </w:tc>
        <w:tc>
          <w:tcPr>
            <w:tcW w:type="dxa" w:w="1559"/>
          </w:tcPr>
          <w:p>
            <w:r>
              <w:rPr>
                <w:sz w:val="20"/>
              </w:rPr>
              <w:t>Liste I</w:t>
            </w:r>
          </w:p>
        </w:tc>
        <w:tc>
          <w:tcPr>
            <w:tcW w:type="dxa" w:w="1559"/>
          </w:tcPr>
          <w:p>
            <w:r>
              <w:rPr>
                <w:sz w:val="20"/>
              </w:rPr>
              <w:t>ACTIF</w:t>
            </w:r>
          </w:p>
        </w:tc>
      </w:tr>
      <w:tr>
        <w:tc>
          <w:tcPr>
            <w:tcW w:type="dxa" w:w="1559"/>
          </w:tcPr>
          <w:p>
            <w:r>
              <w:rPr>
                <w:sz w:val="20"/>
              </w:rPr>
              <w:t>CORONOL</w:t>
            </w:r>
          </w:p>
        </w:tc>
        <w:tc>
          <w:tcPr>
            <w:tcW w:type="dxa" w:w="1559"/>
          </w:tcPr>
          <w:p>
            <w:r>
              <w:rPr>
                <w:sz w:val="20"/>
              </w:rPr>
              <w:t>GENERIC LAB</w:t>
            </w:r>
          </w:p>
        </w:tc>
        <w:tc>
          <w:tcPr>
            <w:tcW w:type="dxa" w:w="1559"/>
          </w:tcPr>
          <w:p>
            <w:r>
              <w:rPr>
                <w:sz w:val="20"/>
              </w:rPr>
              <w:t>Collyre en solution — Ofloxacine 0,3 % (3 mg/mL)</w:t>
            </w:r>
          </w:p>
        </w:tc>
        <w:tc>
          <w:tcPr>
            <w:tcW w:type="dxa" w:w="1559"/>
          </w:tcPr>
          <w:p>
            <w:r>
              <w:rPr>
                <w:sz w:val="20"/>
              </w:rPr>
              <w:t>Flacon 5 mL</w:t>
            </w:r>
          </w:p>
        </w:tc>
        <w:tc>
          <w:tcPr>
            <w:tcW w:type="dxa" w:w="1559"/>
          </w:tcPr>
          <w:p>
            <w:r>
              <w:rPr>
                <w:sz w:val="20"/>
              </w:rPr>
              <w:t>Liste I</w:t>
            </w:r>
          </w:p>
        </w:tc>
        <w:tc>
          <w:tcPr>
            <w:tcW w:type="dxa" w:w="1559"/>
          </w:tcPr>
          <w:p>
            <w:r>
              <w:rPr>
                <w:sz w:val="20"/>
              </w:rPr>
              <w:t>ACTIF</w:t>
            </w:r>
          </w:p>
        </w:tc>
      </w:tr>
      <w:tr>
        <w:tc>
          <w:tcPr>
            <w:tcW w:type="dxa" w:w="1559"/>
          </w:tcPr>
          <w:p>
            <w:r>
              <w:rPr>
                <w:sz w:val="20"/>
              </w:rPr>
              <w:t>OFLOTEK</w:t>
            </w:r>
          </w:p>
        </w:tc>
        <w:tc>
          <w:tcPr>
            <w:tcW w:type="dxa" w:w="1559"/>
          </w:tcPr>
          <w:p>
            <w:r>
              <w:rPr>
                <w:sz w:val="20"/>
              </w:rPr>
              <w:t>BIOTHERA</w:t>
            </w:r>
          </w:p>
        </w:tc>
        <w:tc>
          <w:tcPr>
            <w:tcW w:type="dxa" w:w="1559"/>
          </w:tcPr>
          <w:p>
            <w:r>
              <w:rPr>
                <w:sz w:val="20"/>
              </w:rPr>
              <w:t>Collyre en solution — Ofloxacine 0,3 % (3 mg/mL)</w:t>
            </w:r>
          </w:p>
        </w:tc>
        <w:tc>
          <w:tcPr>
            <w:tcW w:type="dxa" w:w="1559"/>
          </w:tcPr>
          <w:p>
            <w:r>
              <w:rPr>
                <w:sz w:val="20"/>
              </w:rPr>
              <w:t>Flacon 5 mL</w:t>
            </w:r>
          </w:p>
        </w:tc>
        <w:tc>
          <w:tcPr>
            <w:tcW w:type="dxa" w:w="1559"/>
          </w:tcPr>
          <w:p>
            <w:r>
              <w:rPr>
                <w:sz w:val="20"/>
              </w:rPr>
              <w:t>Liste I</w:t>
            </w:r>
          </w:p>
        </w:tc>
        <w:tc>
          <w:tcPr>
            <w:tcW w:type="dxa" w:w="1559"/>
          </w:tcPr>
          <w:p>
            <w:r>
              <w:rPr>
                <w:sz w:val="20"/>
              </w:rPr>
              <w:t>ACTIF</w:t>
            </w:r>
          </w:p>
        </w:tc>
      </w:tr>
      <w:tr>
        <w:tc>
          <w:tcPr>
            <w:tcW w:type="dxa" w:w="1559"/>
          </w:tcPr>
          <w:p>
            <w:r>
              <w:rPr>
                <w:sz w:val="20"/>
              </w:rPr>
              <w:t>OFLOXINE</w:t>
            </w:r>
          </w:p>
        </w:tc>
        <w:tc>
          <w:tcPr>
            <w:tcW w:type="dxa" w:w="1559"/>
          </w:tcPr>
          <w:p>
            <w:r>
              <w:rPr>
                <w:sz w:val="20"/>
              </w:rPr>
              <w:t>HUPP PHARMA</w:t>
            </w:r>
          </w:p>
        </w:tc>
        <w:tc>
          <w:tcPr>
            <w:tcW w:type="dxa" w:w="1559"/>
          </w:tcPr>
          <w:p>
            <w:r>
              <w:rPr>
                <w:sz w:val="20"/>
              </w:rPr>
              <w:t>Collyre en solution — Ofloxacine 0,3 % (3 mg/mL)</w:t>
            </w:r>
          </w:p>
        </w:tc>
        <w:tc>
          <w:tcPr>
            <w:tcW w:type="dxa" w:w="1559"/>
          </w:tcPr>
          <w:p>
            <w:r>
              <w:rPr>
                <w:sz w:val="20"/>
              </w:rPr>
              <w:t>Flacon 5 mL</w:t>
            </w:r>
          </w:p>
        </w:tc>
        <w:tc>
          <w:tcPr>
            <w:tcW w:type="dxa" w:w="1559"/>
          </w:tcPr>
          <w:p>
            <w:r>
              <w:rPr>
                <w:sz w:val="20"/>
              </w:rPr>
              <w:t>Liste I</w:t>
            </w:r>
          </w:p>
        </w:tc>
        <w:tc>
          <w:tcPr>
            <w:tcW w:type="dxa" w:w="1559"/>
          </w:tcPr>
          <w:p>
            <w:r>
              <w:rPr>
                <w:sz w:val="20"/>
              </w:rPr>
              <w:t>ACTIF</w:t>
            </w:r>
          </w:p>
        </w:tc>
      </w:tr>
      <w:tr>
        <w:tc>
          <w:tcPr>
            <w:tcW w:type="dxa" w:w="1559"/>
          </w:tcPr>
          <w:p>
            <w:r>
              <w:rPr>
                <w:sz w:val="20"/>
              </w:rPr>
              <w:t>OPTIFLOX</w:t>
            </w:r>
          </w:p>
        </w:tc>
        <w:tc>
          <w:tcPr>
            <w:tcW w:type="dxa" w:w="1559"/>
          </w:tcPr>
          <w:p>
            <w:r>
              <w:rPr>
                <w:sz w:val="20"/>
              </w:rPr>
              <w:t>JAMJOOM ALGERIA LIL DAWA</w:t>
            </w:r>
          </w:p>
        </w:tc>
        <w:tc>
          <w:tcPr>
            <w:tcW w:type="dxa" w:w="1559"/>
          </w:tcPr>
          <w:p>
            <w:r>
              <w:rPr>
                <w:sz w:val="20"/>
              </w:rPr>
              <w:t>Collyre en solution — Ofloxacine 0,3 % (3 mg/mL)</w:t>
            </w:r>
          </w:p>
        </w:tc>
        <w:tc>
          <w:tcPr>
            <w:tcW w:type="dxa" w:w="1559"/>
          </w:tcPr>
          <w:p>
            <w:r>
              <w:rPr>
                <w:sz w:val="20"/>
              </w:rPr>
              <w:t>Flacon 5 mL</w:t>
            </w:r>
          </w:p>
        </w:tc>
        <w:tc>
          <w:tcPr>
            <w:tcW w:type="dxa" w:w="1559"/>
          </w:tcPr>
          <w:p>
            <w:r>
              <w:rPr>
                <w:sz w:val="20"/>
              </w:rPr>
              <w:t>Liste I</w:t>
            </w:r>
          </w:p>
        </w:tc>
        <w:tc>
          <w:tcPr>
            <w:tcW w:type="dxa" w:w="1559"/>
          </w:tcPr>
          <w:p>
            <w:r>
              <w:rPr>
                <w:sz w:val="20"/>
              </w:rPr>
              <w:t>ACTIF</w:t>
            </w:r>
          </w:p>
        </w:tc>
      </w:tr>
      <w:tr>
        <w:tc>
          <w:tcPr>
            <w:tcW w:type="dxa" w:w="1559"/>
          </w:tcPr>
          <w:p>
            <w:r>
              <w:rPr>
                <w:sz w:val="20"/>
              </w:rPr>
              <w:t>FLOXEDOL</w:t>
            </w:r>
          </w:p>
        </w:tc>
        <w:tc>
          <w:tcPr>
            <w:tcW w:type="dxa" w:w="1559"/>
          </w:tcPr>
          <w:p>
            <w:r>
              <w:rPr>
                <w:sz w:val="20"/>
              </w:rPr>
              <w:t>GROUPEMENT PHARMACEUTIQUE ALGERIEN (GPA)</w:t>
            </w:r>
          </w:p>
        </w:tc>
        <w:tc>
          <w:tcPr>
            <w:tcW w:type="dxa" w:w="1559"/>
          </w:tcPr>
          <w:p>
            <w:r>
              <w:rPr>
                <w:sz w:val="20"/>
              </w:rPr>
              <w:t>Gel ophtalmique — Ofloxacine 3 mg/mL</w:t>
            </w:r>
          </w:p>
        </w:tc>
        <w:tc>
          <w:tcPr>
            <w:tcW w:type="dxa" w:w="1559"/>
          </w:tcPr>
          <w:p>
            <w:r>
              <w:rPr>
                <w:sz w:val="20"/>
              </w:rPr>
              <w:t>Flacon 10 mL</w:t>
            </w:r>
          </w:p>
        </w:tc>
        <w:tc>
          <w:tcPr>
            <w:tcW w:type="dxa" w:w="1559"/>
          </w:tcPr>
          <w:p>
            <w:r>
              <w:rPr>
                <w:sz w:val="20"/>
              </w:rPr>
              <w:t>Liste I</w:t>
            </w:r>
          </w:p>
        </w:tc>
        <w:tc>
          <w:tcPr>
            <w:tcW w:type="dxa" w:w="1559"/>
          </w:tcPr>
          <w:p>
            <w:r>
              <w:rPr>
                <w:sz w:val="20"/>
              </w:rPr>
              <w:t>ACTIF</w:t>
            </w:r>
          </w:p>
        </w:tc>
      </w:tr>
      <w:tr>
        <w:tc>
          <w:tcPr>
            <w:tcW w:type="dxa" w:w="1559"/>
          </w:tcPr>
          <w:p>
            <w:r>
              <w:rPr>
                <w:sz w:val="20"/>
              </w:rPr>
              <w:t>CORONOL PLUS</w:t>
            </w:r>
          </w:p>
        </w:tc>
        <w:tc>
          <w:tcPr>
            <w:tcW w:type="dxa" w:w="1559"/>
          </w:tcPr>
          <w:p>
            <w:r>
              <w:rPr>
                <w:sz w:val="20"/>
              </w:rPr>
              <w:t>GENERIC LAB</w:t>
            </w:r>
          </w:p>
        </w:tc>
        <w:tc>
          <w:tcPr>
            <w:tcW w:type="dxa" w:w="1559"/>
          </w:tcPr>
          <w:p>
            <w:r>
              <w:rPr>
                <w:sz w:val="20"/>
              </w:rPr>
              <w:t>Collyre en solution — Ofloxacine 3 mg + Dexaméthasone 1 mg / 1 mL</w:t>
            </w:r>
          </w:p>
        </w:tc>
        <w:tc>
          <w:tcPr>
            <w:tcW w:type="dxa" w:w="1559"/>
          </w:tcPr>
          <w:p>
            <w:r>
              <w:rPr>
                <w:sz w:val="20"/>
              </w:rPr>
              <w:t>Flacon 10 mL contenant 5 mL de solution muni d'une aéro-pompe 3K</w:t>
            </w:r>
          </w:p>
        </w:tc>
        <w:tc>
          <w:tcPr>
            <w:tcW w:type="dxa" w:w="1559"/>
          </w:tcPr>
          <w:p>
            <w:r>
              <w:rPr>
                <w:sz w:val="20"/>
              </w:rPr>
              <w:t>Liste I</w:t>
            </w:r>
          </w:p>
        </w:tc>
        <w:tc>
          <w:tcPr>
            <w:tcW w:type="dxa" w:w="1559"/>
          </w:tcPr>
          <w:p>
            <w:r>
              <w:rPr>
                <w:sz w:val="20"/>
              </w:rPr>
              <w:t>ACTIF</w:t>
            </w:r>
          </w:p>
        </w:tc>
      </w:tr>
    </w:tbl>
    <w:p/>
    <w:p>
      <w:r/>
      <w:r>
        <w:rPr>
          <w:b/>
        </w:rPr>
        <w:t>Spécialités non renouvelables (formes systémiques)</w:t>
      </w:r>
      <w:r>
        <w:t xml:space="preserve"> : MENEFLOKS cp 200 mg (Mustafa Nevzat), NOVECIN cp 200 mg (UPM), OFLACIN cp 200 mg (RAM), OFLAX cp 200 mg (Biovital), ZANOCIN cp 200 mg (Ranbaxy), OFLO 200 sol IV 5 mg/mL (Inpha-Medis), OFLOCET sol IV 200 mg/40 mL (Aventis), OFLOXACINE MYLAN sol IV (Mylan)</w:t>
      </w:r>
    </w:p>
    <w:p>
      <w:r/>
      <w:r>
        <w:rPr>
          <w:b/>
        </w:rPr>
        <w:t>Spécialités retirées (R)</w:t>
      </w:r>
      <w:r>
        <w:t xml:space="preserve"> : OFLOCET cp 200 mg (Roussel), QUINOLOX cp 200 mg (Pharma 5), KIROLL cp 200 mg (Glaxo Wellcome), OFLOX collyre (Cipla)</w:t>
      </w:r>
    </w:p>
    <w:p>
      <w:r/>
      <w:r>
        <w:rPr>
          <w:b/>
        </w:rPr>
        <w:t>Note nomenclature</w:t>
      </w:r>
      <w:r>
        <w:t xml:space="preserve"> : la spécialité CORONOL FREE (Generic Lab) est la seule formulation explicitement étiquetée « pour instillation oculaire et auriculaire » dans la nomenclature algérienne, ce qui en fait la spécialité de choix pour l'usage otique de l'ofloxacine.</w:t>
      </w:r>
    </w:p>
    <w:p>
      <w:pPr>
        <w:pStyle w:val="Heading4"/>
      </w:pPr>
      <w:r>
        <w:t>Mécanisme d'action</w:t>
      </w:r>
    </w:p>
    <w:p>
      <w:r>
        <w:t>L'ofloxacine (C₁₈H₂₀FN₃O₄, masse molaire 361,4 g/mol) est une fluoroquinolone de 2e génération, racémique (mélange 50/50 des deux énantiomères R et S, mais seule la forme L (lévogyre, = lévofloxacine) est pharmacologiquement active sur l'ADN gyrase — l'énantiomère D est inactif). Structure : noyau 4-quinoléone avec fluor en position 6, pipérazine en position 7, méthyl en position 8, noyau oxazine bicyclique en position 1.</w:t>
      </w:r>
    </w:p>
    <w:p>
      <w:r>
        <w:t xml:space="preserve">Mécanisme moléculaire : identique à celui de la ciprofloxacine. L'ofloxacine inhibe l'ADN gyrase (topoisomérase II) et la topoisomérase IV bactériennes, en se fixant sur les sous-unités GyrA et ParC respectivement. Le résultat est un blocage de la réplication et de la transcription de l'ADN bactérien → effet </w:t>
      </w:r>
      <w:r>
        <w:rPr>
          <w:b/>
        </w:rPr>
        <w:t>bactéricide concentration-dépendant</w:t>
      </w:r>
      <w:r>
        <w:t>.</w:t>
      </w:r>
    </w:p>
    <w:p>
      <w:r/>
      <w:r>
        <w:rPr>
          <w:b/>
        </w:rPr>
        <w:t>Spectre antibactérien</w:t>
      </w:r>
      <w:r>
        <w:t xml:space="preserve"> :</w:t>
      </w:r>
    </w:p>
    <w:p>
      <w:pPr>
        <w:pStyle w:val="ListBullet"/>
      </w:pPr>
      <w:r/>
      <w:r>
        <w:rPr>
          <w:b/>
        </w:rPr>
        <w:t>Gram−</w:t>
      </w:r>
      <w:r>
        <w:t xml:space="preserve"> : excellent</w:t>
      </w:r>
    </w:p>
    <w:p>
      <w:pPr>
        <w:pStyle w:val="ListBullet"/>
      </w:pPr>
      <w:r>
        <w:t>*Haemophilus influenzae* (CMI ~0,03 mg/L), *Branhamella catarrhalis*, *Neisseria* spp. ;</w:t>
      </w:r>
    </w:p>
    <w:p>
      <w:pPr>
        <w:pStyle w:val="ListBullet"/>
      </w:pPr>
      <w:r>
        <w:t>Entérobactéries : *Escherichia coli* (CMI ~0,1 mg/L), *Klebsiella* spp., *Proteus* spp., *Enterobacter* spp., *Salmonella* spp., *Shigella* spp. (CMI ~0,1–0,5 mg/L) ;</w:t>
      </w:r>
    </w:p>
    <w:p>
      <w:pPr>
        <w:pStyle w:val="ListBullet"/>
      </w:pPr>
      <w:r>
        <w:t>*Pseudomonas aeruginosa* : CMI₉₀ ~1–4 mg/L — sensibilité modérée, inférieure à la ciprofloxacine ;</w:t>
      </w:r>
    </w:p>
    <w:p>
      <w:pPr>
        <w:pStyle w:val="ListBullet"/>
      </w:pPr>
      <w:r>
        <w:t>*Legionella pneumophila*, *Campylobacter* spp.</w:t>
      </w:r>
    </w:p>
    <w:p>
      <w:pPr>
        <w:pStyle w:val="ListBullet"/>
      </w:pPr>
      <w:r/>
      <w:r>
        <w:rPr>
          <w:b/>
        </w:rPr>
        <w:t>Gram+</w:t>
      </w:r>
      <w:r>
        <w:t xml:space="preserve"> : activité modérée, supérieure à la ciprofloxacine</w:t>
      </w:r>
    </w:p>
    <w:p>
      <w:pPr>
        <w:pStyle w:val="ListBullet"/>
      </w:pPr>
      <w:r>
        <w:t>*Streptococcus pneumoniae* (CMI ~1–2 mg/L — y compris certaines souches pénicillino-résistantes), *Streptococcus pyogenes* (CMI ~1 mg/L), *Staphylococcus aureus* (CMI ~0,5 mg/L — sensibilité inconstante, SARM résistants).</w:t>
      </w:r>
    </w:p>
    <w:p>
      <w:pPr>
        <w:pStyle w:val="ListBullet"/>
      </w:pPr>
      <w:r/>
      <w:r>
        <w:rPr>
          <w:b/>
        </w:rPr>
        <w:t>Anaérobies</w:t>
      </w:r>
      <w:r>
        <w:t xml:space="preserve"> : faible (la moxifloxacine est supérieure).</w:t>
      </w:r>
    </w:p>
    <w:p>
      <w:pPr>
        <w:pStyle w:val="ListBullet"/>
      </w:pPr>
      <w:r/>
      <w:r>
        <w:rPr>
          <w:b/>
        </w:rPr>
        <w:t>Atypiques</w:t>
      </w:r>
      <w:r>
        <w:t xml:space="preserve"> : *Chlamydia trachomatis* (CMI ~0,5 mg/L), *Chlamydia pneumoniae*, *Mycoplasma pneumoniae*, *Legionella pneumophila*, *Ureaplasma urealyticum*.</w:t>
      </w:r>
    </w:p>
    <w:p>
      <w:pPr>
        <w:pStyle w:val="ListBullet"/>
      </w:pPr>
      <w:r>
        <w:t>*Mycobacterium tuberculosis* : CMI ~0,5–1 mg/L (activité modérée, parfois utilisée comme antituberculeux de 2e ligne).</w:t>
      </w:r>
    </w:p>
    <w:p>
      <w:r/>
      <w:r>
        <w:rPr>
          <w:b/>
        </w:rPr>
        <w:t>Résistance acquise</w:t>
      </w:r>
      <w:r>
        <w:t xml:space="preserve"> : identique à la ciprofloxacine (mutations </w:t>
      </w:r>
      <w:r>
        <w:rPr>
          <w:i/>
        </w:rPr>
        <w:t>gyrA/parC</w:t>
      </w:r>
      <w:r>
        <w:t>, efflux, Qnr). Résistance croisée importante entre les FQ de 2e génération (ciprofloxacine, ofloxacine, norfloxacine, péfloxacine).</w:t>
      </w:r>
    </w:p>
    <w:p>
      <w:r/>
      <w:r>
        <w:rPr>
          <w:b/>
        </w:rPr>
        <w:t>Comparaison ofloxacine vs ciprofloxacine</w:t>
      </w:r>
      <w:r>
        <w:t xml:space="preserve"> :</w:t>
      </w:r>
    </w:p>
    <w:p>
      <w:pPr>
        <w:pStyle w:val="ListBullet"/>
      </w:pPr>
      <w:r>
        <w:t>Activité anti-*Pseudomonas aeruginosa* : ciprofloxacine &gt; ofloxacine (~2–4×) ;</w:t>
      </w:r>
    </w:p>
    <w:p>
      <w:pPr>
        <w:pStyle w:val="ListBullet"/>
      </w:pPr>
      <w:r>
        <w:t>Activité anti-pneumococcique : ofloxacine &gt; ciprofloxacine (~2–4×) ;</w:t>
      </w:r>
    </w:p>
    <w:p>
      <w:pPr>
        <w:pStyle w:val="ListBullet"/>
      </w:pPr>
      <w:r>
        <w:t>Demi-vie systémique : ofloxacine (5–8 h) &gt; ciprofloxacine (3–4 h) — non pertinent pour l'usage local ;</w:t>
      </w:r>
    </w:p>
    <w:p>
      <w:pPr>
        <w:pStyle w:val="ListBullet"/>
      </w:pPr>
      <w:r>
        <w:t>Pour l'usage otique, la ciprofloxacine est supérieure à l'ofloxacine dans les otorrhées sur ATT (meilleure activité anti-*Pseudomonas*).</w:t>
      </w:r>
    </w:p>
    <w:p>
      <w:pPr>
        <w:pStyle w:val="Heading4"/>
      </w:pPr>
      <w:r>
        <w:t>Profil pharmacologique (indications, contre-indications, effets indésirables)</w:t>
      </w:r>
    </w:p>
    <w:p>
      <w:r/>
      <w:r>
        <w:rPr>
          <w:b/>
        </w:rPr>
        <w:t>Indications (AMM — usage ophtalmique)</w:t>
      </w:r>
      <w:r>
        <w:t xml:space="preserve"> :</w:t>
      </w:r>
    </w:p>
    <w:p>
      <w:pPr>
        <w:pStyle w:val="ListBullet"/>
      </w:pPr>
      <w:r>
        <w:t>Conjonctivites bactériennes à germes sensibles ;</w:t>
      </w:r>
    </w:p>
    <w:p>
      <w:pPr>
        <w:pStyle w:val="ListBullet"/>
      </w:pPr>
      <w:r>
        <w:t>Kératites bactériennes (en complément d'un traitement systémique) ;</w:t>
      </w:r>
    </w:p>
    <w:p>
      <w:pPr>
        <w:pStyle w:val="ListBullet"/>
      </w:pPr>
      <w:r>
        <w:t>Ulcères de cornée ;</w:t>
      </w:r>
    </w:p>
    <w:p>
      <w:pPr>
        <w:pStyle w:val="ListBullet"/>
      </w:pPr>
      <w:r>
        <w:t>Blépharites ;</w:t>
      </w:r>
    </w:p>
    <w:p>
      <w:pPr>
        <w:pStyle w:val="ListBullet"/>
      </w:pPr>
      <w:r>
        <w:t>Prévention post-chirurgie ophtalmologique.</w:t>
      </w:r>
    </w:p>
    <w:p>
      <w:r/>
      <w:r>
        <w:rPr>
          <w:b/>
        </w:rPr>
        <w:t>Indications (extension otique — CORONOL FREE)</w:t>
      </w:r>
      <w:r>
        <w:t xml:space="preserve"> :</w:t>
      </w:r>
    </w:p>
    <w:p>
      <w:pPr>
        <w:pStyle w:val="ListBullet"/>
      </w:pPr>
      <w:r>
        <w:t>Otites externes diffuses bactériennes ;</w:t>
      </w:r>
    </w:p>
    <w:p>
      <w:pPr>
        <w:pStyle w:val="ListBullet"/>
      </w:pPr>
      <w:r>
        <w:t>Otites externes furonculeuses ;</w:t>
      </w:r>
    </w:p>
    <w:p>
      <w:pPr>
        <w:pStyle w:val="ListBullet"/>
      </w:pPr>
      <w:r>
        <w:t>Otites externes eczémateuses surinfectées ;</w:t>
      </w:r>
    </w:p>
    <w:p>
      <w:pPr>
        <w:pStyle w:val="ListBullet"/>
      </w:pPr>
      <w:r>
        <w:t>Otorrhées sur aérateur trans-tympanique ;</w:t>
      </w:r>
    </w:p>
    <w:p>
      <w:pPr>
        <w:pStyle w:val="ListBullet"/>
      </w:pPr>
      <w:r>
        <w:t>Otites moyennes aiguës purulentes avec tympan perforé (otorrhée) ;</w:t>
      </w:r>
    </w:p>
    <w:p>
      <w:pPr>
        <w:pStyle w:val="ListBullet"/>
      </w:pPr>
      <w:r>
        <w:t>Préparation préopératoire du champ chirurgical otologique.</w:t>
      </w:r>
    </w:p>
    <w:p>
      <w:r/>
      <w:r>
        <w:rPr>
          <w:b/>
        </w:rPr>
        <w:t>Contre-indications</w:t>
      </w:r>
      <w:r>
        <w:t xml:space="preserve"> :</w:t>
      </w:r>
    </w:p>
    <w:p>
      <w:pPr>
        <w:pStyle w:val="ListBullet"/>
      </w:pPr>
      <w:r>
        <w:t>Hypersensibilité aux fluoroquinolones ;</w:t>
      </w:r>
    </w:p>
    <w:p>
      <w:pPr>
        <w:pStyle w:val="ListBullet"/>
      </w:pPr>
      <w:r/>
      <w:r>
        <w:rPr>
          <w:b/>
        </w:rPr>
        <w:t>Nourrisson &lt; 1 an</w:t>
      </w:r>
      <w:r>
        <w:t xml:space="preserve"> (par prudence selon le RCP) ;</w:t>
      </w:r>
    </w:p>
    <w:p>
      <w:pPr>
        <w:pStyle w:val="ListBullet"/>
      </w:pPr>
      <w:r>
        <w:t>Myasthénie ;</w:t>
      </w:r>
    </w:p>
    <w:p>
      <w:pPr>
        <w:pStyle w:val="ListBullet"/>
      </w:pPr>
      <w:r>
        <w:t>Grossesse et allaitement (par prudence) ;</w:t>
      </w:r>
    </w:p>
    <w:p>
      <w:pPr>
        <w:pStyle w:val="ListBullet"/>
      </w:pPr>
      <w:r>
        <w:t>Épilepsie non contrôlée ;</w:t>
      </w:r>
    </w:p>
    <w:p>
      <w:pPr>
        <w:pStyle w:val="ListBullet"/>
      </w:pPr>
      <w:r>
        <w:t>Deficit en G6PD (par prudence) ;</w:t>
      </w:r>
    </w:p>
    <w:p>
      <w:pPr>
        <w:pStyle w:val="ListBullet"/>
      </w:pPr>
      <w:r>
        <w:t>Port de lentilles de contact souples (pour le collyre avec chlorure de benzalkonium) ;</w:t>
      </w:r>
    </w:p>
    <w:p>
      <w:pPr>
        <w:pStyle w:val="ListBullet"/>
      </w:pPr>
      <w:r>
        <w:t>Allaitement.</w:t>
      </w:r>
    </w:p>
    <w:p>
      <w:r/>
      <w:r>
        <w:rPr>
          <w:b/>
        </w:rPr>
        <w:t>Effets indésirables</w:t>
      </w:r>
      <w:r>
        <w:t xml:space="preserve"> :</w:t>
      </w:r>
    </w:p>
    <w:p>
      <w:pPr>
        <w:pStyle w:val="ListBullet"/>
      </w:pPr>
      <w:r>
        <w:t>Locaux (voie otique) : sensation de brûlure transitoire à l'instillation, prurit, irritation locale, goût métallique, érythème du CAE, surinfection fongique locale en usage prolongé ;</w:t>
      </w:r>
    </w:p>
    <w:p>
      <w:pPr>
        <w:pStyle w:val="ListBullet"/>
      </w:pPr>
      <w:r>
        <w:t>Locaux (voie ophtalmique) : sensation de brûlure, picotements, hyperhémie conjonctivale, kératite ponctuée superficielle, allergie de contact ;</w:t>
      </w:r>
    </w:p>
    <w:p>
      <w:pPr>
        <w:pStyle w:val="ListBullet"/>
      </w:pPr>
      <w:r>
        <w:t>Systémiques (exceptionnels par voie locale) : tendinopathies, arthropathies, allongement du QT, dysrégulation glycémique, effets centraux.</w:t>
      </w:r>
    </w:p>
    <w:p>
      <w:pPr>
        <w:pStyle w:val="Heading4"/>
      </w:pPr>
      <w:r>
        <w:t>Prévention des effets indésirables</w:t>
      </w:r>
    </w:p>
    <w:p>
      <w:pPr>
        <w:pStyle w:val="ListNumber"/>
      </w:pPr>
      <w:r>
        <w:t>Respect strict de la CI du nourrisson &lt; 1 an ;</w:t>
      </w:r>
    </w:p>
    <w:p>
      <w:pPr>
        <w:pStyle w:val="ListNumber"/>
      </w:pPr>
      <w:r>
        <w:t>Interrogatoire préalable (allergie FQ, antécédent de tendinopathie sous FQ, myasthénie, épilepsie, QT long) ;</w:t>
      </w:r>
    </w:p>
    <w:p>
      <w:pPr>
        <w:pStyle w:val="ListNumber"/>
      </w:pPr>
      <w:r>
        <w:t>Durée limitée à 7–10 jours sans réévaluation médicale ;</w:t>
      </w:r>
    </w:p>
    <w:p>
      <w:pPr>
        <w:pStyle w:val="ListNumber"/>
      </w:pPr>
      <w:r>
        <w:t>Surveillance ORL à 7 jours ;</w:t>
      </w:r>
    </w:p>
    <w:p>
      <w:pPr>
        <w:pStyle w:val="ListNumber"/>
      </w:pPr>
      <w:r>
        <w:t>Hygiène du flacon ;</w:t>
      </w:r>
    </w:p>
    <w:p>
      <w:pPr>
        <w:pStyle w:val="ListNumber"/>
      </w:pPr>
      <w:r>
        <w:t>Éviter l'usage prolongé &gt; 10 jours ;</w:t>
      </w:r>
    </w:p>
    <w:p>
      <w:pPr>
        <w:pStyle w:val="ListNumber"/>
      </w:pPr>
      <w:r>
        <w:t>Information du patient sur le goût métallique possible ;</w:t>
      </w:r>
    </w:p>
    <w:p>
      <w:pPr>
        <w:pStyle w:val="ListNumber"/>
      </w:pPr>
      <w:r>
        <w:t>Diabétique : surveillance glycémique en cas d'usage prolongé ;</w:t>
      </w:r>
    </w:p>
    <w:p>
      <w:pPr>
        <w:pStyle w:val="ListNumber"/>
      </w:pPr>
      <w:r>
        <w:t>Sujets âgés : surveillance de la tolérance ;</w:t>
      </w:r>
    </w:p>
    <w:p>
      <w:pPr>
        <w:pStyle w:val="ListNumber"/>
      </w:pPr>
      <w:r>
        <w:t>Éviter l'association aux corticoïdes locaux prolongée (risque d'infection fongique, d'augmentation de la pression intra-oculaire pour le collyre CORONOL PLUS).</w:t>
      </w:r>
    </w:p>
    <w:p>
      <w:pPr>
        <w:pStyle w:val="Heading4"/>
      </w:pPr>
      <w:r>
        <w:t>Interactions médicamenteuses</w:t>
      </w:r>
    </w:p>
    <w:p>
      <w:r>
        <w:t>Identiques à celles de la ciprofloxacine (par voie locale, négligeables) :</w:t>
      </w:r>
    </w:p>
    <w:p>
      <w:pPr>
        <w:pStyle w:val="ListBullet"/>
      </w:pPr>
      <w:r>
        <w:t>AVK (CYP1A2), théophylline (CYP1A2), caféine, tizanidine : surveillance en usage prolongé ;</w:t>
      </w:r>
    </w:p>
    <w:p>
      <w:pPr>
        <w:pStyle w:val="ListBullet"/>
      </w:pPr>
      <w:r>
        <w:t>Antiacides, sucralfate, fer, zinc : pas d'interaction par voie locale otique ;</w:t>
      </w:r>
    </w:p>
    <w:p>
      <w:pPr>
        <w:pStyle w:val="ListBullet"/>
      </w:pPr>
      <w:r>
        <w:t>Méthotrexate, ciclosporine : surveillance ;</w:t>
      </w:r>
    </w:p>
    <w:p>
      <w:pPr>
        <w:pStyle w:val="ListBullet"/>
      </w:pPr>
      <w:r>
        <w:t>Autres antibiotiques locaux : éviter l'association.</w:t>
      </w:r>
    </w:p>
    <w:p>
      <w:pPr>
        <w:pStyle w:val="Heading4"/>
      </w:pPr>
      <w:r>
        <w:t>Grossesse et allaitement (CRAT)</w:t>
      </w:r>
    </w:p>
    <w:p>
      <w:r/>
      <w:r>
        <w:rPr>
          <w:b/>
        </w:rPr>
        <w:t>Grossesse</w:t>
      </w:r>
      <w:r>
        <w:t xml:space="preserve"> :</w:t>
      </w:r>
    </w:p>
    <w:p>
      <w:pPr>
        <w:pStyle w:val="ListBullet"/>
      </w:pPr>
      <w:r>
        <w:t>Données CRAT : identiques à la ciprofloxacine (FQ de 2e génération). À éviter par prudence pendant la grossesse, en particulier au 1er et au 3e trimestres.</w:t>
      </w:r>
    </w:p>
    <w:p>
      <w:pPr>
        <w:pStyle w:val="ListBullet"/>
      </w:pPr>
      <w:r>
        <w:t>Recommandation CRAT : éviter ; alternative : rifamycine SV locale (OTOFA).</w:t>
      </w:r>
    </w:p>
    <w:p>
      <w:r/>
      <w:r>
        <w:rPr>
          <w:b/>
        </w:rPr>
        <w:t>Allaitement</w:t>
      </w:r>
      <w:r>
        <w:t xml:space="preserve"> :</w:t>
      </w:r>
    </w:p>
    <w:p>
      <w:pPr>
        <w:pStyle w:val="ListBullet"/>
      </w:pPr>
      <w:r>
        <w:t>Données CRAT : ofloxacine passe dans le lait maternel. À éviter par prudence.</w:t>
      </w:r>
    </w:p>
    <w:p>
      <w:pPr>
        <w:pStyle w:val="ListBullet"/>
      </w:pPr>
      <w:r>
        <w:t>Recommandation CRAT : éviter ; alternative : rifamycine SV locale.</w:t>
      </w:r>
    </w:p>
    <w:p>
      <w:pPr>
        <w:pStyle w:val="Heading4"/>
      </w:pPr>
      <w:r>
        <w:t>Posologie</w:t>
      </w:r>
    </w:p>
    <w:p>
      <w:r/>
      <w:r>
        <w:rPr>
          <w:b/>
        </w:rPr>
        <w:t>Adulte</w:t>
      </w:r>
      <w:r>
        <w:t xml:space="preserve"> :</w:t>
      </w:r>
    </w:p>
    <w:p>
      <w:pPr>
        <w:pStyle w:val="ListBullet"/>
      </w:pPr>
      <w:r>
        <w:t>CORONOL FREE solution auriculaire (extension ophtalmique) : instiller 2 à 3 gouttes dans le conduit auditif externe, 2 à 3 fois par jour, pendant 7 à 10 jours. Pencher la tête, tirer le pavillon, instiller, masser le tragus.</w:t>
      </w:r>
    </w:p>
    <w:p>
      <w:pPr>
        <w:pStyle w:val="ListBullet"/>
      </w:pPr>
      <w:r>
        <w:t>Autres collyres (CORONOL, OFLOTEK, OFLOXINE, OPTIFLOX) : instiller 2–3 gouttes dans le CAE, 2–3 fois par jour, pendant 7–10 jours (extension ophtalmique).</w:t>
      </w:r>
    </w:p>
    <w:p>
      <w:pPr>
        <w:pStyle w:val="ListBullet"/>
      </w:pPr>
      <w:r>
        <w:t>FLOXEDOL gel ophtalmique : non adapté à l'usage otique (formulation trop visqueuse pour le CAE).</w:t>
      </w:r>
    </w:p>
    <w:p>
      <w:r/>
      <w:r>
        <w:rPr>
          <w:b/>
        </w:rPr>
        <w:t>Enfant &gt; 1 an</w:t>
      </w:r>
      <w:r>
        <w:t xml:space="preserve"> : 1 à 2 gouttes, 2 à 3 fois par jour, pendant 7–10 jours. Surveillance ORL.</w:t>
      </w:r>
    </w:p>
    <w:p>
      <w:r/>
      <w:r>
        <w:rPr>
          <w:b/>
        </w:rPr>
        <w:t>Nourrisson &lt; 1 an</w:t>
      </w:r>
      <w:r>
        <w:t xml:space="preserve"> : CI selon le RCP.</w:t>
      </w:r>
    </w:p>
    <w:p>
      <w:r/>
      <w:r>
        <w:rPr>
          <w:b/>
        </w:rPr>
        <w:t>Sujet âgé</w:t>
      </w:r>
      <w:r>
        <w:t xml:space="preserve"> : pas d'adaptation, surveillance de la tolérance.</w:t>
      </w:r>
    </w:p>
    <w:p>
      <w:pPr>
        <w:pStyle w:val="Heading4"/>
      </w:pPr>
      <w:r>
        <w:t>Formes galéniques disponibles</w:t>
      </w:r>
    </w:p>
    <w:p>
      <w:pPr>
        <w:pStyle w:val="ListBullet"/>
      </w:pPr>
      <w:r/>
      <w:r>
        <w:rPr>
          <w:b/>
        </w:rPr>
        <w:t>CORONOL FREE solution stérile pour instillation oculaire et auriculaire 0,3 %</w:t>
      </w:r>
      <w:r>
        <w:t xml:space="preserve"> : solution aqueuse isotonique, stérile, contenant 3 mg/mL d'ofloxacine. Sans chlorure de benzalkonium (formulation « free » = sans conservateur). Flacon 10 mL contenant 5 mL de solution muni d'une aéro-pompe 3K (pulvérisation). Conservation : 15 jours après ouverture.</w:t>
      </w:r>
    </w:p>
    <w:p>
      <w:pPr>
        <w:pStyle w:val="ListBullet"/>
      </w:pPr>
      <w:r/>
      <w:r>
        <w:rPr>
          <w:b/>
        </w:rPr>
        <w:t>CORONOL, OFLOTEK, OFLOXINE, OPTIFLOX collyre 0,3 %</w:t>
      </w:r>
      <w:r>
        <w:t xml:space="preserve"> : solution aqueuse isotonique, stérile, contenant 3 mg/mL d'ofloxacine. Conservateur : chlorure de benzalkonium. Flacon 5 mL. Conservation : 15 jours après ouverture.</w:t>
      </w:r>
    </w:p>
    <w:p>
      <w:pPr>
        <w:pStyle w:val="ListBullet"/>
      </w:pPr>
      <w:r/>
      <w:r>
        <w:rPr>
          <w:b/>
        </w:rPr>
        <w:t>FLOXEDOL gel ophtalmique 3 mg/mL</w:t>
      </w:r>
      <w:r>
        <w:t xml:space="preserve"> : gel ophtalmique aqueux, stérile, contenant 3 mg/mL d'ofloxacine. Flacon 10 mL. Usage ophtalmique strict (non adapté à l'otique).</w:t>
      </w:r>
    </w:p>
    <w:p>
      <w:pPr>
        <w:pStyle w:val="ListBullet"/>
      </w:pPr>
      <w:r/>
      <w:r>
        <w:rPr>
          <w:b/>
        </w:rPr>
        <w:t>CORONOL PLUS collyre ofloxacine 3 mg/mL + dexaméthasone 1 mg/mL</w:t>
      </w:r>
      <w:r>
        <w:t xml:space="preserve"> : association FQ + corticoïde, usage ophtalmique strict.</w:t>
      </w:r>
    </w:p>
    <w:p>
      <w:pPr>
        <w:pStyle w:val="ListBullet"/>
      </w:pPr>
      <w:r/>
      <w:r>
        <w:rPr>
          <w:b/>
        </w:rPr>
        <w:t>Formes systémiques</w:t>
      </w:r>
      <w:r>
        <w:t xml:space="preserve"> : comprimés 200/400 mg, solution IV — NON_RENOUVELABLE ou RETRAIT en Algérie.</w:t>
      </w:r>
    </w:p>
    <w:p>
      <w:pPr>
        <w:pStyle w:val="Heading4"/>
      </w:pPr>
      <w:r>
        <w:t>Conseils au patient</w:t>
      </w:r>
    </w:p>
    <w:p>
      <w:pPr>
        <w:pStyle w:val="ListBullet"/>
      </w:pPr>
      <w:r>
        <w:t>Avant instillation : lavage des mains, vérification de l'absence d'allergie aux FQ et de port de lentilles (pour le collyre avec chlorure de benzalkonium).</w:t>
      </w:r>
    </w:p>
    <w:p>
      <w:pPr>
        <w:pStyle w:val="ListBullet"/>
      </w:pPr>
      <w:r>
        <w:t>Position d'instillation otique : pencher la tête, tirer le pavillon, instiller, masser le tragus.</w:t>
      </w:r>
    </w:p>
    <w:p>
      <w:pPr>
        <w:pStyle w:val="ListBullet"/>
      </w:pPr>
      <w:r>
        <w:t>Ne pas toucher l'embout avec les doigts ou le conduit.</w:t>
      </w:r>
    </w:p>
    <w:p>
      <w:pPr>
        <w:pStyle w:val="ListBullet"/>
      </w:pPr>
      <w:r>
        <w:t>Durée maximale : 7–10 jours sans réévaluation médicale.</w:t>
      </w:r>
    </w:p>
    <w:p>
      <w:pPr>
        <w:pStyle w:val="ListBullet"/>
      </w:pPr>
      <w:r>
        <w:t>Goût métallique possible : bénin.</w:t>
      </w:r>
    </w:p>
    <w:p>
      <w:pPr>
        <w:pStyle w:val="ListBullet"/>
      </w:pPr>
      <w:r>
        <w:t>Surveillance ORL à 7 jours.</w:t>
      </w:r>
    </w:p>
    <w:p>
      <w:pPr>
        <w:pStyle w:val="ListBullet"/>
      </w:pPr>
      <w:r>
        <w:t>Hygiène du flacon : refermer hermétiquement, ne pas partager.</w:t>
      </w:r>
    </w:p>
    <w:p>
      <w:pPr>
        <w:pStyle w:val="ListBullet"/>
      </w:pPr>
      <w:r>
        <w:t>Conservation : température &lt; 25 °C, à l'abri de la lumière. 15 jours après ouverture.</w:t>
      </w:r>
    </w:p>
    <w:p>
      <w:pPr>
        <w:pStyle w:val="Heading4"/>
      </w:pPr>
      <w:r>
        <w:t>Pièges au comptoir</w:t>
      </w:r>
    </w:p>
    <w:p>
      <w:pPr>
        <w:pStyle w:val="ListNumber"/>
      </w:pPr>
      <w:r/>
      <w:r>
        <w:rPr>
          <w:b/>
        </w:rPr>
        <w:t>Nourrisson &lt; 1 an</w:t>
      </w:r>
      <w:r>
        <w:t xml:space="preserve"> : CI ; alternative : rifamycine SV locale (OTOFA).</w:t>
      </w:r>
    </w:p>
    <w:p>
      <w:pPr>
        <w:pStyle w:val="ListNumber"/>
      </w:pPr>
      <w:r/>
      <w:r>
        <w:rPr>
          <w:b/>
        </w:rPr>
        <w:t>Femme enceinte</w:t>
      </w:r>
      <w:r>
        <w:t xml:space="preserve"> : éviter ; alternative : rifamycine SV locale.</w:t>
      </w:r>
    </w:p>
    <w:p>
      <w:pPr>
        <w:pStyle w:val="ListNumber"/>
      </w:pPr>
      <w:r/>
      <w:r>
        <w:rPr>
          <w:b/>
        </w:rPr>
        <w:t>Femme allaitante</w:t>
      </w:r>
      <w:r>
        <w:t xml:space="preserve"> : éviter ; alternative : rifamycine SV locale.</w:t>
      </w:r>
    </w:p>
    <w:p>
      <w:pPr>
        <w:pStyle w:val="ListNumber"/>
      </w:pPr>
      <w:r/>
      <w:r>
        <w:rPr>
          <w:b/>
        </w:rPr>
        <w:t>Patient allergique aux FQ</w:t>
      </w:r>
      <w:r>
        <w:t xml:space="preserve"> : CI absolue.</w:t>
      </w:r>
    </w:p>
    <w:p>
      <w:pPr>
        <w:pStyle w:val="ListNumber"/>
      </w:pPr>
      <w:r/>
      <w:r>
        <w:rPr>
          <w:b/>
        </w:rPr>
        <w:t>Porteur de lentilles</w:t>
      </w:r>
      <w:r>
        <w:t xml:space="preserve"> : retirer les lentilles (chlorure de benzalkonium).</w:t>
      </w:r>
    </w:p>
    <w:p>
      <w:pPr>
        <w:pStyle w:val="ListNumber"/>
      </w:pPr>
      <w:r/>
      <w:r>
        <w:rPr>
          <w:b/>
        </w:rPr>
        <w:t>Patient qui demande de l'ofloxacine pour une otite sans ordonnance</w:t>
      </w:r>
      <w:r>
        <w:t xml:space="preserve"> : vérifier l'absence de fièvre, d'otorrhée ; orienter vers un médecin.</w:t>
      </w:r>
    </w:p>
    <w:p>
      <w:pPr>
        <w:pStyle w:val="ListNumber"/>
      </w:pPr>
      <w:r/>
      <w:r>
        <w:rPr>
          <w:b/>
        </w:rPr>
        <w:t>Usage prolongé &gt; 10 jours</w:t>
      </w:r>
      <w:r>
        <w:t xml:space="preserve"> : risque de surinfection fongique.</w:t>
      </w:r>
    </w:p>
    <w:p>
      <w:pPr>
        <w:pStyle w:val="ListNumber"/>
      </w:pPr>
      <w:r/>
      <w:r>
        <w:rPr>
          <w:b/>
        </w:rPr>
        <w:t>CORONOL PLUS (ofloxacine + dexaméthasone)</w:t>
      </w:r>
      <w:r>
        <w:t xml:space="preserve"> : usage ophtalmique strict, ne pas utiliser par voie otique sans avis médical (le corticoïde masque les signes d'infection).</w:t>
      </w:r>
    </w:p>
    <w:p>
      <w:pPr>
        <w:pStyle w:val="ListNumber"/>
      </w:pPr>
      <w:r/>
      <w:r>
        <w:rPr>
          <w:b/>
        </w:rPr>
        <w:t>Gel ophtalmique FLOXEDOL</w:t>
      </w:r>
      <w:r>
        <w:t xml:space="preserve"> : non adapté à l'usage otique (trop visqueux).</w:t>
      </w:r>
    </w:p>
    <w:p>
      <w:pPr>
        <w:pStyle w:val="ListNumber"/>
      </w:pPr>
      <w:r/>
      <w:r>
        <w:rPr>
          <w:b/>
        </w:rPr>
        <w:t>CORONOL FREE est la spécialité de choix pour l'usage otique de l'ofloxacine</w:t>
      </w:r>
      <w:r>
        <w:t xml:space="preserve"> : formulation sans conservateur, explicitement étiquetée pour usage oculaire et auriculaire.</w:t>
      </w:r>
    </w:p>
    <w:p>
      <w:pPr>
        <w:pStyle w:val="Heading3"/>
      </w:pPr>
      <w:r>
        <w:t>131.8.7. Lévofloxacine (usage ORL)</w:t>
      </w:r>
    </w:p>
    <w:p>
      <w:pPr>
        <w:pStyle w:val="Heading4"/>
      </w:pPr>
      <w:r>
        <w:t>Liste catégories pharmaco-thérapeutiques</w:t>
      </w:r>
    </w:p>
    <w:p>
      <w:pPr>
        <w:pStyle w:val="ListBullet"/>
      </w:pPr>
      <w:r>
        <w:t>Fluoroquinolone de 3e génération (isomère L de l'ofloxacine)</w:t>
      </w:r>
    </w:p>
    <w:p>
      <w:pPr>
        <w:pStyle w:val="ListBullet"/>
      </w:pPr>
      <w:r>
        <w:t>Inhibiteur de l'ADN gyrase et de la topoisomérase IV</w:t>
      </w:r>
    </w:p>
    <w:p>
      <w:pPr>
        <w:pStyle w:val="ListBullet"/>
      </w:pPr>
      <w:r>
        <w:t>Antibiotique bactéricide concentration-dépendant</w:t>
      </w:r>
    </w:p>
    <w:p>
      <w:pPr>
        <w:pStyle w:val="ListBullet"/>
      </w:pPr>
      <w:r>
        <w:t>Antibiotique local ophtalmique et otique (extension)</w:t>
      </w:r>
    </w:p>
    <w:p>
      <w:pPr>
        <w:pStyle w:val="ListBullet"/>
      </w:pPr>
      <w:r>
        <w:t>Non ototoxique local (autorisation d'usage en cas de tympan perforé)</w:t>
      </w:r>
    </w:p>
    <w:p>
      <w:pPr>
        <w:pStyle w:val="Heading4"/>
      </w:pPr>
      <w:r>
        <w:t>Médicaments disponibles en Algérie</w:t>
      </w:r>
    </w:p>
    <w:p>
      <w:r>
        <w:t>La lévofloxacine est disponible dans la nomenclature algérienne sous forme de comprimés (250/500/750 mg), solutions pour perfusion IV (5 mg/mL) et collyres/gouttes ophtalmiques et auriculaires (5 mg/mL). Aucune spécialité n'est strictement enregistrée comme « solution otique de lévofloxacine », mais deux spécialités sont explicitement étiquetées « gouttes oculaires et auriculaires » (LEVOWORLD) ou « collyre » utilisable en extension otique.</w:t>
      </w:r>
    </w:p>
    <w:p>
      <w:r/>
      <w:r>
        <w:rPr>
          <w:b/>
        </w:rPr>
        <w:t>Spécialités ophtalmiques/otiques actives (usage otique possible en extension)</w:t>
      </w:r>
      <w:r>
        <w:t xml:space="preserv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LEVOWORLD</w:t>
            </w:r>
          </w:p>
        </w:tc>
        <w:tc>
          <w:tcPr>
            <w:tcW w:type="dxa" w:w="1559"/>
          </w:tcPr>
          <w:p>
            <w:r>
              <w:rPr>
                <w:sz w:val="20"/>
              </w:rPr>
              <w:t>WORLD MEDICINE ILAC SANYI VE TICARET ANONIM SIRKETI</w:t>
            </w:r>
          </w:p>
        </w:tc>
        <w:tc>
          <w:tcPr>
            <w:tcW w:type="dxa" w:w="1559"/>
          </w:tcPr>
          <w:p>
            <w:r>
              <w:rPr>
                <w:sz w:val="20"/>
              </w:rPr>
              <w:t>Gouttes oculaires et auriculaires en solution — Lévofloxacine hémihydrate exprimée en lévofloxacine 5 mg/mL</w:t>
            </w:r>
          </w:p>
        </w:tc>
        <w:tc>
          <w:tcPr>
            <w:tcW w:type="dxa" w:w="1559"/>
          </w:tcPr>
          <w:p>
            <w:r>
              <w:rPr>
                <w:sz w:val="20"/>
              </w:rPr>
              <w:t>Flacon 5 mL</w:t>
            </w:r>
          </w:p>
        </w:tc>
        <w:tc>
          <w:tcPr>
            <w:tcW w:type="dxa" w:w="1559"/>
          </w:tcPr>
          <w:p>
            <w:r>
              <w:rPr>
                <w:sz w:val="20"/>
              </w:rPr>
              <w:t>Liste I</w:t>
            </w:r>
          </w:p>
        </w:tc>
        <w:tc>
          <w:tcPr>
            <w:tcW w:type="dxa" w:w="1559"/>
          </w:tcPr>
          <w:p>
            <w:r>
              <w:rPr>
                <w:sz w:val="20"/>
              </w:rPr>
              <w:t>ACTIF</w:t>
            </w:r>
          </w:p>
        </w:tc>
      </w:tr>
      <w:tr>
        <w:tc>
          <w:tcPr>
            <w:tcW w:type="dxa" w:w="1559"/>
          </w:tcPr>
          <w:p>
            <w:r>
              <w:rPr>
                <w:sz w:val="20"/>
              </w:rPr>
              <w:t>LEVOWORLD</w:t>
            </w:r>
          </w:p>
        </w:tc>
        <w:tc>
          <w:tcPr>
            <w:tcW w:type="dxa" w:w="1559"/>
          </w:tcPr>
          <w:p>
            <w:r>
              <w:rPr>
                <w:sz w:val="20"/>
              </w:rPr>
              <w:t>WORLD MEDECINE ILAC SAN.VE TIC.AS</w:t>
            </w:r>
          </w:p>
        </w:tc>
        <w:tc>
          <w:tcPr>
            <w:tcW w:type="dxa" w:w="1559"/>
          </w:tcPr>
          <w:p>
            <w:r>
              <w:rPr>
                <w:sz w:val="20"/>
              </w:rPr>
              <w:t>Collyre — Lévofloxacine hémihydrate 5 mg/mL</w:t>
            </w:r>
          </w:p>
        </w:tc>
        <w:tc>
          <w:tcPr>
            <w:tcW w:type="dxa" w:w="1559"/>
          </w:tcPr>
          <w:p>
            <w:r>
              <w:rPr>
                <w:sz w:val="20"/>
              </w:rPr>
              <w:t>Flacon 5 mL</w:t>
            </w:r>
          </w:p>
        </w:tc>
        <w:tc>
          <w:tcPr>
            <w:tcW w:type="dxa" w:w="1559"/>
          </w:tcPr>
          <w:p>
            <w:r>
              <w:rPr>
                <w:sz w:val="20"/>
              </w:rPr>
              <w:t>Liste I</w:t>
            </w:r>
          </w:p>
        </w:tc>
        <w:tc>
          <w:tcPr>
            <w:tcW w:type="dxa" w:w="1559"/>
          </w:tcPr>
          <w:p>
            <w:r>
              <w:rPr>
                <w:sz w:val="20"/>
              </w:rPr>
              <w:t>ACTIF</w:t>
            </w:r>
          </w:p>
        </w:tc>
      </w:tr>
      <w:tr>
        <w:tc>
          <w:tcPr>
            <w:tcW w:type="dxa" w:w="1559"/>
          </w:tcPr>
          <w:p>
            <w:r>
              <w:rPr>
                <w:sz w:val="20"/>
              </w:rPr>
              <w:t>VIVAXIN</w:t>
            </w:r>
          </w:p>
        </w:tc>
        <w:tc>
          <w:tcPr>
            <w:tcW w:type="dxa" w:w="1559"/>
          </w:tcPr>
          <w:p>
            <w:r>
              <w:rPr>
                <w:sz w:val="20"/>
              </w:rPr>
              <w:t>BEIT JALA PHARMACEUTICALS COMPANY</w:t>
            </w:r>
          </w:p>
        </w:tc>
        <w:tc>
          <w:tcPr>
            <w:tcW w:type="dxa" w:w="1559"/>
          </w:tcPr>
          <w:p>
            <w:r>
              <w:rPr>
                <w:sz w:val="20"/>
              </w:rPr>
              <w:t>Collyre — Lévofloxacine hémihydrate 5 mg/mL</w:t>
            </w:r>
          </w:p>
        </w:tc>
        <w:tc>
          <w:tcPr>
            <w:tcW w:type="dxa" w:w="1559"/>
          </w:tcPr>
          <w:p>
            <w:r>
              <w:rPr>
                <w:sz w:val="20"/>
              </w:rPr>
              <w:t>Flacon 5 mL</w:t>
            </w:r>
          </w:p>
        </w:tc>
        <w:tc>
          <w:tcPr>
            <w:tcW w:type="dxa" w:w="1559"/>
          </w:tcPr>
          <w:p>
            <w:r>
              <w:rPr>
                <w:sz w:val="20"/>
              </w:rPr>
              <w:t>Liste I</w:t>
            </w:r>
          </w:p>
        </w:tc>
        <w:tc>
          <w:tcPr>
            <w:tcW w:type="dxa" w:w="1559"/>
          </w:tcPr>
          <w:p>
            <w:r>
              <w:rPr>
                <w:sz w:val="20"/>
              </w:rPr>
              <w:t>ACTIF</w:t>
            </w:r>
          </w:p>
        </w:tc>
      </w:tr>
    </w:tbl>
    <w:p/>
    <w:p>
      <w:r/>
      <w:r>
        <w:rPr>
          <w:b/>
        </w:rPr>
        <w:t>Spécialités systémiques actives</w:t>
      </w:r>
      <w:r>
        <w:t xml:space="preserve"> (comprimés 250/500/750 mg, solution pour perfusion IV 5 mg/mL) :</w:t>
      </w:r>
    </w:p>
    <w:p>
      <w:pPr>
        <w:pStyle w:val="ListBullet"/>
      </w:pPr>
      <w:r>
        <w:t>MATADOR 250/500/750 (DAR AL DAWA), LEVOFLOX 500 (INPHA-MEDIS), LEVOQUIN 500 cp/sol IV (HUPP PHARMA), LOXAMOX 500/750 cp (EL KENDI), LEVOFLOXACINE RAZES sol IV (RAZES)</w:t>
      </w:r>
    </w:p>
    <w:p>
      <w:r/>
      <w:r>
        <w:rPr>
          <w:b/>
        </w:rPr>
        <w:t>Spécialités non renouvelables</w:t>
      </w:r>
      <w:r>
        <w:t xml:space="preserve"> : TAVANIC cp 250/500 mg (SANOFI AVENTIS Deutschland GmbH)</w:t>
      </w:r>
    </w:p>
    <w:p>
      <w:r/>
      <w:r>
        <w:rPr>
          <w:b/>
        </w:rPr>
        <w:t>Spécialités retirées (R)</w:t>
      </w:r>
      <w:r>
        <w:t xml:space="preserve"> : TAVANIC cp 250/500 (SANOFI AVENTIS Deutschland), LEVOFLOXACINE PHARMAGHREB 500 sol IV 5 mg/mL (PHARMAGHREB), TAVANIC sol IV 5 mg/mL (AVENTIS PHARMA Deutschland)</w:t>
      </w:r>
    </w:p>
    <w:p>
      <w:r/>
      <w:r>
        <w:rPr>
          <w:b/>
        </w:rPr>
        <w:t>Note nomenclature</w:t>
      </w:r>
      <w:r>
        <w:t xml:space="preserve"> : la spécialité LEVOWORLD (World Medicine, Turquie) est la seule formulation explicitement étiquetée « gouttes oculaires et auriculaires » dans la nomenclature algérienne, ce qui en fait la spécialité de choix pour l'usage otique de la lévofloxacine.</w:t>
      </w:r>
    </w:p>
    <w:p>
      <w:pPr>
        <w:pStyle w:val="Heading4"/>
      </w:pPr>
      <w:r>
        <w:t>Mécanisme d'action</w:t>
      </w:r>
    </w:p>
    <w:p>
      <w:r>
        <w:t>La lévofloxacine (C₁₈H₂₀FN₃O₄, masse molaire 361,4 g/mol) est l'</w:t>
      </w:r>
      <w:r>
        <w:rPr>
          <w:b/>
        </w:rPr>
        <w:t>énantiomère L (lévogyre)</w:t>
      </w:r>
      <w:r>
        <w:t xml:space="preserve"> de l'ofloxacine (racémique). Elle est ~8–128 fois plus active sur l'ADN gyrase et la topoisomérase IV bactériennes que l'énantiomère D (qui est inactif). C'est une fluoroquinolone de </w:t>
      </w:r>
      <w:r>
        <w:rPr>
          <w:b/>
        </w:rPr>
        <w:t>3e génération</w:t>
      </w:r>
      <w:r>
        <w:t xml:space="preserve">, caractérisée par une activité accrue sur les bactéries Gram+ (notamment </w:t>
      </w:r>
      <w:r>
        <w:rPr>
          <w:i/>
        </w:rPr>
        <w:t>Streptococcus pneumoniae</w:t>
      </w:r>
      <w:r>
        <w:t>, y compris les souches pénicillino-résistantes) et les atypiques (</w:t>
      </w:r>
      <w:r>
        <w:rPr>
          <w:i/>
        </w:rPr>
        <w:t>Chlamydia</w:t>
      </w:r>
      <w:r>
        <w:t xml:space="preserve">, </w:t>
      </w:r>
      <w:r>
        <w:rPr>
          <w:i/>
        </w:rPr>
        <w:t>Mycoplasma</w:t>
      </w:r>
      <w:r>
        <w:t xml:space="preserve">, </w:t>
      </w:r>
      <w:r>
        <w:rPr>
          <w:i/>
        </w:rPr>
        <w:t>Legionella</w:t>
      </w:r>
      <w:r>
        <w:t>), tout en conservant l'excellente activité des FQ de 2e génération sur les Gram−.</w:t>
      </w:r>
    </w:p>
    <w:p>
      <w:r>
        <w:t xml:space="preserve">Mécanisme moléculaire : identique à celui de l'ofloxacine et de la ciprofloxacine. Inhibition de l'ADN gyrase (sous-unité GyrA) et de la topoisomérase IV (sous-unité ParC) → blocage de la réplication et transcription de l'ADN bactérien → effet </w:t>
      </w:r>
      <w:r>
        <w:rPr>
          <w:b/>
        </w:rPr>
        <w:t>bactéricide concentration-dépendant</w:t>
      </w:r>
      <w:r>
        <w:t>.</w:t>
      </w:r>
    </w:p>
    <w:p>
      <w:r/>
      <w:r>
        <w:rPr>
          <w:b/>
        </w:rPr>
        <w:t>Spectre antibactérien</w:t>
      </w:r>
      <w:r>
        <w:t xml:space="preserve"> :</w:t>
      </w:r>
    </w:p>
    <w:p>
      <w:pPr>
        <w:pStyle w:val="ListBullet"/>
      </w:pPr>
      <w:r/>
      <w:r>
        <w:rPr>
          <w:b/>
        </w:rPr>
        <w:t>Gram+</w:t>
      </w:r>
      <w:r>
        <w:t xml:space="preserve"> : excellent</w:t>
      </w:r>
    </w:p>
    <w:p>
      <w:pPr>
        <w:pStyle w:val="ListBullet"/>
      </w:pPr>
      <w:r>
        <w:t>*Streptococcus pneumoniae* (CMI₉₀ ~0,5–1 mg/L — y compris souches pénicillino-résistantes, activité supérieure à la ciprofloxacine et l'ofloxacine) ;</w:t>
      </w:r>
    </w:p>
    <w:p>
      <w:pPr>
        <w:pStyle w:val="ListBullet"/>
      </w:pPr>
      <w:r>
        <w:t>*Streptococcus pyogenes* (CMI ~0,5 mg/L), *Streptococcus agalactiae* ;</w:t>
      </w:r>
    </w:p>
    <w:p>
      <w:pPr>
        <w:pStyle w:val="ListBullet"/>
      </w:pPr>
      <w:r>
        <w:t>*Staphylococcus aureus* (CMI ~0,25 mg/L — sensibilité inconstante, SARM résistants) ;</w:t>
      </w:r>
    </w:p>
    <w:p>
      <w:pPr>
        <w:pStyle w:val="ListBullet"/>
      </w:pPr>
      <w:r>
        <w:t>*Enterococcus faecalis* (CMI ~1–2 mg/L, sensibilité inconstante).</w:t>
      </w:r>
    </w:p>
    <w:p>
      <w:pPr>
        <w:pStyle w:val="ListBullet"/>
      </w:pPr>
      <w:r/>
      <w:r>
        <w:rPr>
          <w:b/>
        </w:rPr>
        <w:t>Gram−</w:t>
      </w:r>
      <w:r>
        <w:t xml:space="preserve"> : excellent</w:t>
      </w:r>
    </w:p>
    <w:p>
      <w:pPr>
        <w:pStyle w:val="ListBullet"/>
      </w:pPr>
      <w:r>
        <w:t>*Haemophilus influenzae* (CMI ~0,03 mg/L), *Branhamella catarrhalis* (CMI ~0,06 mg/L), *Neisseria* spp. ;</w:t>
      </w:r>
    </w:p>
    <w:p>
      <w:pPr>
        <w:pStyle w:val="ListBullet"/>
      </w:pPr>
      <w:r>
        <w:t>Entérobactéries : *Escherichia coli* (CMI ~0,03–0,1 mg/L), *Klebsiella* spp., *Proteus* spp., *Enterobacter* spp., *Salmonella* spp., *Shigella* spp. (CMI ~0,03–0,5 mg/L) ;</w:t>
      </w:r>
    </w:p>
    <w:p>
      <w:pPr>
        <w:pStyle w:val="ListBullet"/>
      </w:pPr>
      <w:r>
        <w:t>*Pseudomonas aeruginosa* (CMI₉₀ ~1–4 mg/L — activité modérée, inférieure à la ciprofloxacine mais supérieure à l'ofloxacine racémique) ;</w:t>
      </w:r>
    </w:p>
    <w:p>
      <w:pPr>
        <w:pStyle w:val="ListBullet"/>
      </w:pPr>
      <w:r>
        <w:t>*Legionella pneumophila*, *Campylobacter* spp.</w:t>
      </w:r>
    </w:p>
    <w:p>
      <w:pPr>
        <w:pStyle w:val="ListBullet"/>
      </w:pPr>
      <w:r/>
      <w:r>
        <w:rPr>
          <w:b/>
        </w:rPr>
        <w:t>Atypiques</w:t>
      </w:r>
      <w:r>
        <w:t xml:space="preserve"> : *Chlamydia trachomatis* (CMI ~0,25 mg/L), *Chlamydia pneumoniae*, *Mycoplasma pneumoniae*, *Mycoplasma hominis*, *Ureaplasma urealyticum*.</w:t>
      </w:r>
    </w:p>
    <w:p>
      <w:pPr>
        <w:pStyle w:val="ListBullet"/>
      </w:pPr>
      <w:r/>
      <w:r>
        <w:rPr>
          <w:b/>
        </w:rPr>
        <w:t>Anaérobies</w:t>
      </w:r>
      <w:r>
        <w:t xml:space="preserve"> : activité modérée (supérieure à la ciprofloxacine, inférieure à la moxifloxacine).</w:t>
      </w:r>
    </w:p>
    <w:p>
      <w:pPr>
        <w:pStyle w:val="ListBullet"/>
      </w:pPr>
      <w:r>
        <w:t>*Mycobacterium tuberculosis* : CMI ~0,5 mg/L — la lévofloxacine est un antituberculeux de 2e ligne (groupe A OMS pour les MDR-TB).</w:t>
      </w:r>
    </w:p>
    <w:p>
      <w:r/>
      <w:r>
        <w:rPr>
          <w:b/>
        </w:rPr>
        <w:t>Comparaison lévofloxacine vs ciprofloxacine vs ofloxacine</w:t>
      </w:r>
      <w:r>
        <w:t xml:space="preserve"> :</w:t>
      </w:r>
    </w:p>
    <w:p>
      <w:pPr>
        <w:pStyle w:val="ListBullet"/>
      </w:pPr>
      <w:r>
        <w:t>Activité anti-pneumococcique : lévofloxacine &gt; ofloxacine &gt; ciprofloxacine ;</w:t>
      </w:r>
    </w:p>
    <w:p>
      <w:pPr>
        <w:pStyle w:val="ListBullet"/>
      </w:pPr>
      <w:r>
        <w:t>Activité anti-*Pseudomonas* : ciprofloxacine &gt; lévofloxacine &gt; ofloxacine ;</w:t>
      </w:r>
    </w:p>
    <w:p>
      <w:pPr>
        <w:pStyle w:val="ListBullet"/>
      </w:pPr>
      <w:r>
        <w:t>Activité anti-atypiques : lévofloxacine &gt; ciprofloxacine ~ ofloxacine ;</w:t>
      </w:r>
    </w:p>
    <w:p>
      <w:pPr>
        <w:pStyle w:val="ListBullet"/>
      </w:pPr>
      <w:r>
        <w:t>Pour l'usage otique : la ciprofloxacine reste supérieure à la lévofloxacine dans les otorrhées sur ATT à *Pseudomonas*, mais la lévofloxacine est une alternative intéressante en cas de souche *Pseudomonas* intermédiaire à la ciprofloxacine.</w:t>
      </w:r>
    </w:p>
    <w:p>
      <w:pPr>
        <w:pStyle w:val="Heading4"/>
      </w:pPr>
      <w:r>
        <w:t>Profil pharmacologique (indications, contre-indications, effets indésirables)</w:t>
      </w:r>
    </w:p>
    <w:p>
      <w:r/>
      <w:r>
        <w:rPr>
          <w:b/>
        </w:rPr>
        <w:t>Indications (AMM — usage ophtalmique)</w:t>
      </w:r>
      <w:r>
        <w:t xml:space="preserve"> :</w:t>
      </w:r>
    </w:p>
    <w:p>
      <w:pPr>
        <w:pStyle w:val="ListBullet"/>
      </w:pPr>
      <w:r>
        <w:t>Conjonctivites bactériennes à germes sensibles ;</w:t>
      </w:r>
    </w:p>
    <w:p>
      <w:pPr>
        <w:pStyle w:val="ListBullet"/>
      </w:pPr>
      <w:r>
        <w:t>Kératites bactériennes ;</w:t>
      </w:r>
    </w:p>
    <w:p>
      <w:pPr>
        <w:pStyle w:val="ListBullet"/>
      </w:pPr>
      <w:r>
        <w:t>Ulcères de cornée ;</w:t>
      </w:r>
    </w:p>
    <w:p>
      <w:pPr>
        <w:pStyle w:val="ListBullet"/>
      </w:pPr>
      <w:r>
        <w:t>Prévention post-chirurgie ophtalmologique.</w:t>
      </w:r>
    </w:p>
    <w:p>
      <w:r/>
      <w:r>
        <w:rPr>
          <w:b/>
        </w:rPr>
        <w:t>Indications (extension otique — LEVOWORLD)</w:t>
      </w:r>
      <w:r>
        <w:t xml:space="preserve"> :</w:t>
      </w:r>
    </w:p>
    <w:p>
      <w:pPr>
        <w:pStyle w:val="ListBullet"/>
      </w:pPr>
      <w:r>
        <w:t>Otites externes diffuses bactériennes à germes sensibles ;</w:t>
      </w:r>
    </w:p>
    <w:p>
      <w:pPr>
        <w:pStyle w:val="ListBullet"/>
      </w:pPr>
      <w:r>
        <w:t>Otites externes furonculeuses ;</w:t>
      </w:r>
    </w:p>
    <w:p>
      <w:pPr>
        <w:pStyle w:val="ListBullet"/>
      </w:pPr>
      <w:r>
        <w:t>Otites externes eczémateuses surinfectées ;</w:t>
      </w:r>
    </w:p>
    <w:p>
      <w:pPr>
        <w:pStyle w:val="ListBullet"/>
      </w:pPr>
      <w:r>
        <w:t>Otorrhées sur aérateur trans-tympanique ;</w:t>
      </w:r>
    </w:p>
    <w:p>
      <w:pPr>
        <w:pStyle w:val="ListBullet"/>
      </w:pPr>
      <w:r>
        <w:t>Otites moyennes aiguës purulentes avec tympan perforé (otorrhée) ;</w:t>
      </w:r>
    </w:p>
    <w:p>
      <w:pPr>
        <w:pStyle w:val="ListBullet"/>
      </w:pPr>
      <w:r>
        <w:t>Préparation préopératoire du champ chirurgical otologique.</w:t>
      </w:r>
    </w:p>
    <w:p>
      <w:r/>
      <w:r>
        <w:rPr>
          <w:b/>
        </w:rPr>
        <w:t>Contre-indications</w:t>
      </w:r>
      <w:r>
        <w:t xml:space="preserve"> :</w:t>
      </w:r>
    </w:p>
    <w:p>
      <w:pPr>
        <w:pStyle w:val="ListBullet"/>
      </w:pPr>
      <w:r>
        <w:t>Hypersensibilité aux fluoroquinolones ;</w:t>
      </w:r>
    </w:p>
    <w:p>
      <w:pPr>
        <w:pStyle w:val="ListBullet"/>
      </w:pPr>
      <w:r/>
      <w:r>
        <w:rPr>
          <w:b/>
        </w:rPr>
        <w:t>Nourrisson &lt; 1 an</w:t>
      </w:r>
      <w:r>
        <w:t xml:space="preserve"> (par prudence selon le RCP) ;</w:t>
      </w:r>
    </w:p>
    <w:p>
      <w:pPr>
        <w:pStyle w:val="ListBullet"/>
      </w:pPr>
      <w:r>
        <w:t>Myasthénie ;</w:t>
      </w:r>
    </w:p>
    <w:p>
      <w:pPr>
        <w:pStyle w:val="ListBullet"/>
      </w:pPr>
      <w:r>
        <w:t>Grossesse et allaitement (par prudence) ;</w:t>
      </w:r>
    </w:p>
    <w:p>
      <w:pPr>
        <w:pStyle w:val="ListBullet"/>
      </w:pPr>
      <w:r>
        <w:t>Épilepsie non contrôlée ;</w:t>
      </w:r>
    </w:p>
    <w:p>
      <w:pPr>
        <w:pStyle w:val="ListBullet"/>
      </w:pPr>
      <w:r>
        <w:t>Allaitement ;</w:t>
      </w:r>
    </w:p>
    <w:p>
      <w:pPr>
        <w:pStyle w:val="ListBullet"/>
      </w:pPr>
      <w:r>
        <w:t>Deficit en G6PD (par prudence) ;</w:t>
      </w:r>
    </w:p>
    <w:p>
      <w:pPr>
        <w:pStyle w:val="ListBullet"/>
      </w:pPr>
      <w:r>
        <w:t>Port de lentilles de contact souples (pour le collyre avec chlorure de benzalkonium) ;</w:t>
      </w:r>
    </w:p>
    <w:p>
      <w:pPr>
        <w:pStyle w:val="ListBullet"/>
      </w:pPr>
      <w:r>
        <w:t>Antécédent de tendinopathie sous FQ (par prudence, en raison du risque de récidive).</w:t>
      </w:r>
    </w:p>
    <w:p>
      <w:r/>
      <w:r>
        <w:rPr>
          <w:b/>
        </w:rPr>
        <w:t>Effets indésirables</w:t>
      </w:r>
      <w:r>
        <w:t xml:space="preserve"> : identiques à ceux de la ciprofloxacine et de l'ofloxacine (par voie locale otique, essentiellement locaux).</w:t>
      </w:r>
    </w:p>
    <w:p>
      <w:pPr>
        <w:pStyle w:val="Heading4"/>
      </w:pPr>
      <w:r>
        <w:t>Prévention des effets indésirables</w:t>
      </w:r>
    </w:p>
    <w:p>
      <w:pPr>
        <w:pStyle w:val="ListNumber"/>
      </w:pPr>
      <w:r>
        <w:t>Respect strict de la CI du nourrisson &lt; 1 an ;</w:t>
      </w:r>
    </w:p>
    <w:p>
      <w:pPr>
        <w:pStyle w:val="ListNumber"/>
      </w:pPr>
      <w:r>
        <w:t>Interrogatoire préalable (allergie FQ, antécédent de tendinopathie sous FQ, myasthénie, épilepsie, QT long) ;</w:t>
      </w:r>
    </w:p>
    <w:p>
      <w:pPr>
        <w:pStyle w:val="ListNumber"/>
      </w:pPr>
      <w:r>
        <w:t>Durée limitée à 7–10 jours sans réévaluation médicale ;</w:t>
      </w:r>
    </w:p>
    <w:p>
      <w:pPr>
        <w:pStyle w:val="ListNumber"/>
      </w:pPr>
      <w:r>
        <w:t>Surveillance ORL à 7 jours ;</w:t>
      </w:r>
    </w:p>
    <w:p>
      <w:pPr>
        <w:pStyle w:val="ListNumber"/>
      </w:pPr>
      <w:r>
        <w:t>Hygiène du flacon ;</w:t>
      </w:r>
    </w:p>
    <w:p>
      <w:pPr>
        <w:pStyle w:val="ListNumber"/>
      </w:pPr>
      <w:r>
        <w:t>Éviter l'usage prolongé &gt; 10 jours ;</w:t>
      </w:r>
    </w:p>
    <w:p>
      <w:pPr>
        <w:pStyle w:val="ListNumber"/>
      </w:pPr>
      <w:r>
        <w:t>Information du patient sur le goût métallique possible ;</w:t>
      </w:r>
    </w:p>
    <w:p>
      <w:pPr>
        <w:pStyle w:val="ListNumber"/>
      </w:pPr>
      <w:r>
        <w:t>Diabétique : surveillance glycémique en cas d'usage prolongé ;</w:t>
      </w:r>
    </w:p>
    <w:p>
      <w:pPr>
        <w:pStyle w:val="ListNumber"/>
      </w:pPr>
      <w:r>
        <w:t>Sujets âgés : surveillance de la tolérance ;</w:t>
      </w:r>
    </w:p>
    <w:p>
      <w:pPr>
        <w:pStyle w:val="ListNumber"/>
      </w:pPr>
      <w:r>
        <w:t>Éviter l'association aux corticoïdes locaux prolongée.</w:t>
      </w:r>
    </w:p>
    <w:p>
      <w:pPr>
        <w:pStyle w:val="Heading4"/>
      </w:pPr>
      <w:r>
        <w:t>Interactions médicamenteuses</w:t>
      </w:r>
    </w:p>
    <w:p>
      <w:r>
        <w:t>Identiques à celles de la ciprofloxacine et de l'ofloxacine (par voie locale, négligeables) :</w:t>
      </w:r>
    </w:p>
    <w:p>
      <w:pPr>
        <w:pStyle w:val="ListBullet"/>
      </w:pPr>
      <w:r>
        <w:t>AVK (CYP1A2), théophylline, caféine, tizanidine : surveillance en usage prolongé ;</w:t>
      </w:r>
    </w:p>
    <w:p>
      <w:pPr>
        <w:pStyle w:val="ListBullet"/>
      </w:pPr>
      <w:r>
        <w:t>Antiacides, sucralfate, fer, zinc : pas d'interaction par voie locale otique ;</w:t>
      </w:r>
    </w:p>
    <w:p>
      <w:pPr>
        <w:pStyle w:val="ListBullet"/>
      </w:pPr>
      <w:r>
        <w:t>Méthotrexate, ciclosporine : surveillance ;</w:t>
      </w:r>
    </w:p>
    <w:p>
      <w:pPr>
        <w:pStyle w:val="ListBullet"/>
      </w:pPr>
      <w:r>
        <w:t>Autres antibiotiques locaux : éviter l'association.</w:t>
      </w:r>
    </w:p>
    <w:p>
      <w:pPr>
        <w:pStyle w:val="Heading4"/>
      </w:pPr>
      <w:r>
        <w:t>Grossesse et allaitement (CRAT)</w:t>
      </w:r>
    </w:p>
    <w:p>
      <w:r/>
      <w:r>
        <w:rPr>
          <w:b/>
        </w:rPr>
        <w:t>Grossesse</w:t>
      </w:r>
      <w:r>
        <w:t xml:space="preserve"> :</w:t>
      </w:r>
    </w:p>
    <w:p>
      <w:pPr>
        <w:pStyle w:val="ListBullet"/>
      </w:pPr>
      <w:r>
        <w:t>Données CRAT : identiques aux autres FQ. À éviter par prudence pendant la grossesse.</w:t>
      </w:r>
    </w:p>
    <w:p>
      <w:pPr>
        <w:pStyle w:val="ListBullet"/>
      </w:pPr>
      <w:r>
        <w:t>Recommandation CRAT : éviter ; alternative : rifamycine SV locale (OTOFA).</w:t>
      </w:r>
    </w:p>
    <w:p>
      <w:r/>
      <w:r>
        <w:rPr>
          <w:b/>
        </w:rPr>
        <w:t>Allaitement</w:t>
      </w:r>
      <w:r>
        <w:t xml:space="preserve"> :</w:t>
      </w:r>
    </w:p>
    <w:p>
      <w:pPr>
        <w:pStyle w:val="ListBullet"/>
      </w:pPr>
      <w:r>
        <w:t>Données CRAT : lévofloxacine passe dans le lait maternel. À éviter par prudence.</w:t>
      </w:r>
    </w:p>
    <w:p>
      <w:pPr>
        <w:pStyle w:val="ListBullet"/>
      </w:pPr>
      <w:r>
        <w:t>Recommandation CRAT : éviter ; alternative : rifamycine SV locale.</w:t>
      </w:r>
    </w:p>
    <w:p>
      <w:pPr>
        <w:pStyle w:val="Heading4"/>
      </w:pPr>
      <w:r>
        <w:t>Posologie</w:t>
      </w:r>
    </w:p>
    <w:p>
      <w:r/>
      <w:r>
        <w:rPr>
          <w:b/>
        </w:rPr>
        <w:t>Adulte</w:t>
      </w:r>
      <w:r>
        <w:t xml:space="preserve"> :</w:t>
      </w:r>
    </w:p>
    <w:p>
      <w:pPr>
        <w:pStyle w:val="ListBullet"/>
      </w:pPr>
      <w:r>
        <w:t>LEVOWORLD gouttes oculaires et auriculaires 5 mg/mL : instiller 2 à 3 gouttes dans le conduit auditif externe, 2 à 3 fois par jour, pendant 7 à 10 jours. Pencher la tête, tirer le pavillon, instiller, masser le tragus.</w:t>
      </w:r>
    </w:p>
    <w:p>
      <w:pPr>
        <w:pStyle w:val="ListBullet"/>
      </w:pPr>
      <w:r>
        <w:t>VIVAXIN collyre 5 mg/mL : usage en extension otique (hors AMM) — instiller 2–3 gouttes, 2–3 fois/j, pendant 7–10 jours.</w:t>
      </w:r>
    </w:p>
    <w:p>
      <w:r/>
      <w:r>
        <w:rPr>
          <w:b/>
        </w:rPr>
        <w:t>Enfant &gt; 1 an</w:t>
      </w:r>
      <w:r>
        <w:t xml:space="preserve"> : 1 à 2 gouttes, 2 à 3 fois par jour, pendant 7–10 jours. Surveillance ORL.</w:t>
      </w:r>
    </w:p>
    <w:p>
      <w:r/>
      <w:r>
        <w:rPr>
          <w:b/>
        </w:rPr>
        <w:t>Nourrisson &lt; 1 an</w:t>
      </w:r>
      <w:r>
        <w:t xml:space="preserve"> : CI selon le RCP.</w:t>
      </w:r>
    </w:p>
    <w:p>
      <w:r/>
      <w:r>
        <w:rPr>
          <w:b/>
        </w:rPr>
        <w:t>Sujet âgé</w:t>
      </w:r>
      <w:r>
        <w:t xml:space="preserve"> : pas d'adaptation, surveillance de la tolérance.</w:t>
      </w:r>
    </w:p>
    <w:p>
      <w:pPr>
        <w:pStyle w:val="Heading4"/>
      </w:pPr>
      <w:r>
        <w:t>Formes galéniques disponibles</w:t>
      </w:r>
    </w:p>
    <w:p>
      <w:pPr>
        <w:pStyle w:val="ListBullet"/>
      </w:pPr>
      <w:r/>
      <w:r>
        <w:rPr>
          <w:b/>
        </w:rPr>
        <w:t>LEVOWORLD gouttes oculaires et auriculaires en solution 5 mg/mL</w:t>
      </w:r>
      <w:r>
        <w:t xml:space="preserve"> : solution aqueuse isotonique, stérile, contenant 5 mg/mL de lévofloxacine hémihydrate. Flacon 5 mL avec embout compte-gouttes. Conservateur : chlorure de benzalkonium (CI porteurs de lentilles souples). Conservation : 15 jours après ouverture. Couleur : jaune clair à incolore.</w:t>
      </w:r>
    </w:p>
    <w:p>
      <w:pPr>
        <w:pStyle w:val="ListBullet"/>
      </w:pPr>
      <w:r/>
      <w:r>
        <w:rPr>
          <w:b/>
        </w:rPr>
        <w:t>VIVAXIN collyre 5 mg/mL</w:t>
      </w:r>
      <w:r>
        <w:t xml:space="preserve"> : solution aqueuse isotonique, stérile, contenant 5 mg/mL de lévofloxacine. Flacon 5 mL. Conservation : 15 jours après ouverture.</w:t>
      </w:r>
    </w:p>
    <w:p>
      <w:pPr>
        <w:pStyle w:val="ListBullet"/>
      </w:pPr>
      <w:r/>
      <w:r>
        <w:rPr>
          <w:b/>
        </w:rPr>
        <w:t>Formes systémiques</w:t>
      </w:r>
      <w:r>
        <w:t xml:space="preserve"> : comprimés 250/500/750 mg, solution pour perfusion IV 5 mg/mL — non concernées par l'usage otique.</w:t>
      </w:r>
    </w:p>
    <w:p>
      <w:pPr>
        <w:pStyle w:val="Heading4"/>
      </w:pPr>
      <w:r>
        <w:t>Conseils au patient</w:t>
      </w:r>
    </w:p>
    <w:p>
      <w:pPr>
        <w:pStyle w:val="ListBullet"/>
      </w:pPr>
      <w:r>
        <w:t>Avant instillation : lavage des mains, vérification de l'absence d'allergie aux FQ et de port de lentilles.</w:t>
      </w:r>
    </w:p>
    <w:p>
      <w:pPr>
        <w:pStyle w:val="ListBullet"/>
      </w:pPr>
      <w:r>
        <w:t>Position d'instillation otique : pencher la tête, tirer le pavillon, instiller, masser le tragus.</w:t>
      </w:r>
    </w:p>
    <w:p>
      <w:pPr>
        <w:pStyle w:val="ListBullet"/>
      </w:pPr>
      <w:r>
        <w:t>Ne pas toucher l'embout avec les doigts ou le conduit.</w:t>
      </w:r>
    </w:p>
    <w:p>
      <w:pPr>
        <w:pStyle w:val="ListBullet"/>
      </w:pPr>
      <w:r>
        <w:t>Durée maximale : 7–10 jours sans réévaluation médicale.</w:t>
      </w:r>
    </w:p>
    <w:p>
      <w:pPr>
        <w:pStyle w:val="ListBullet"/>
      </w:pPr>
      <w:r>
        <w:t>Goût métallique possible : bénin.</w:t>
      </w:r>
    </w:p>
    <w:p>
      <w:pPr>
        <w:pStyle w:val="ListBullet"/>
      </w:pPr>
      <w:r>
        <w:t>Surveillance ORL à 7 jours.</w:t>
      </w:r>
    </w:p>
    <w:p>
      <w:pPr>
        <w:pStyle w:val="ListBullet"/>
      </w:pPr>
      <w:r>
        <w:t>Hygiène du flacon : refermer hermétiquement, ne pas partager.</w:t>
      </w:r>
    </w:p>
    <w:p>
      <w:pPr>
        <w:pStyle w:val="ListBullet"/>
      </w:pPr>
      <w:r>
        <w:t>Conservation : température &lt; 25 °C, à l'abri de la lumière. 15 jours après ouverture.</w:t>
      </w:r>
    </w:p>
    <w:p>
      <w:pPr>
        <w:pStyle w:val="Heading4"/>
      </w:pPr>
      <w:r>
        <w:t>Pièges au comptoir</w:t>
      </w:r>
    </w:p>
    <w:p>
      <w:pPr>
        <w:pStyle w:val="ListNumber"/>
      </w:pPr>
      <w:r/>
      <w:r>
        <w:rPr>
          <w:b/>
        </w:rPr>
        <w:t>Nourrisson &lt; 1 an</w:t>
      </w:r>
      <w:r>
        <w:t xml:space="preserve"> : CI ; alternative : rifamycine SV locale (OTOFA).</w:t>
      </w:r>
    </w:p>
    <w:p>
      <w:pPr>
        <w:pStyle w:val="ListNumber"/>
      </w:pPr>
      <w:r/>
      <w:r>
        <w:rPr>
          <w:b/>
        </w:rPr>
        <w:t>Femme enceinte</w:t>
      </w:r>
      <w:r>
        <w:t xml:space="preserve"> : éviter ; alternative : rifamycine SV locale.</w:t>
      </w:r>
    </w:p>
    <w:p>
      <w:pPr>
        <w:pStyle w:val="ListNumber"/>
      </w:pPr>
      <w:r/>
      <w:r>
        <w:rPr>
          <w:b/>
        </w:rPr>
        <w:t>Femme allaitante</w:t>
      </w:r>
      <w:r>
        <w:t xml:space="preserve"> : éviter ; alternative : rifamycine SV locale.</w:t>
      </w:r>
    </w:p>
    <w:p>
      <w:pPr>
        <w:pStyle w:val="ListNumber"/>
      </w:pPr>
      <w:r/>
      <w:r>
        <w:rPr>
          <w:b/>
        </w:rPr>
        <w:t>Patient allergique aux FQ</w:t>
      </w:r>
      <w:r>
        <w:t xml:space="preserve"> : CI absolue.</w:t>
      </w:r>
    </w:p>
    <w:p>
      <w:pPr>
        <w:pStyle w:val="ListNumber"/>
      </w:pPr>
      <w:r/>
      <w:r>
        <w:rPr>
          <w:b/>
        </w:rPr>
        <w:t>Porteur de lentilles</w:t>
      </w:r>
      <w:r>
        <w:t xml:space="preserve"> : retirer les lentilles (chlorure de benzalkonium).</w:t>
      </w:r>
    </w:p>
    <w:p>
      <w:pPr>
        <w:pStyle w:val="ListNumber"/>
      </w:pPr>
      <w:r/>
      <w:r>
        <w:rPr>
          <w:b/>
        </w:rPr>
        <w:t>Patient qui demande de la lévofloxacine pour une otite sans ordonnance</w:t>
      </w:r>
      <w:r>
        <w:t xml:space="preserve"> : vérifier l'absence de fièvre, d'otorrhée ; orienter vers un médecin.</w:t>
      </w:r>
    </w:p>
    <w:p>
      <w:pPr>
        <w:pStyle w:val="ListNumber"/>
      </w:pPr>
      <w:r/>
      <w:r>
        <w:rPr>
          <w:b/>
        </w:rPr>
        <w:t>Usage prolongé &gt; 10 jours</w:t>
      </w:r>
      <w:r>
        <w:t xml:space="preserve"> : risque de surinfection fongique.</w:t>
      </w:r>
    </w:p>
    <w:p>
      <w:pPr>
        <w:pStyle w:val="ListNumber"/>
      </w:pPr>
      <w:r/>
      <w:r>
        <w:rPr>
          <w:b/>
        </w:rPr>
        <w:t>Le choix entre ciprofloxacine, ofloxacine et lévofloxacine en usage otique</w:t>
      </w:r>
      <w:r>
        <w:t xml:space="preserve"> : la ciprofloxacine est supérieure pour les otorrhées sur ATT à *Pseudomonas* ; la lévofloxacine est une alternative en cas d'échec ou de souche intermédiaire.</w:t>
      </w:r>
    </w:p>
    <w:p>
      <w:pPr>
        <w:pStyle w:val="ListNumber"/>
      </w:pPr>
      <w:r/>
      <w:r>
        <w:rPr>
          <w:b/>
        </w:rPr>
        <w:t>Le patient qui a reçu de la lévofloxacine systémique récemment</w:t>
      </w:r>
      <w:r>
        <w:t xml:space="preserve"> : éviter la prescription de lévofloxacine locale (risque de sélection de mutants résistants, de cumul de dose systémique).</w:t>
      </w:r>
    </w:p>
    <w:p>
      <w:pPr>
        <w:pStyle w:val="ListNumber"/>
      </w:pPr>
      <w:r/>
      <w:r>
        <w:rPr>
          <w:b/>
        </w:rPr>
        <w:t>Le patient sous AVK</w:t>
      </w:r>
      <w:r>
        <w:t xml:space="preserve"> : surveillance INR en usage prolongé.</w:t>
      </w:r>
    </w:p>
    <w:p>
      <w:pPr>
        <w:pStyle w:val="Heading3"/>
      </w:pPr>
      <w:r>
        <w:t>131.8.8. Phénazone + Lidocaïne (usage ORL)</w:t>
      </w:r>
    </w:p>
    <w:p>
      <w:pPr>
        <w:pStyle w:val="Heading4"/>
      </w:pPr>
      <w:r>
        <w:t>Liste catégories pharmaco-thérapeutiques</w:t>
      </w:r>
    </w:p>
    <w:p>
      <w:pPr>
        <w:pStyle w:val="ListBullet"/>
      </w:pPr>
      <w:r>
        <w:t>Antalgique-anti-inflammatoire local (phénazone, pyrazolone)</w:t>
      </w:r>
    </w:p>
    <w:p>
      <w:pPr>
        <w:pStyle w:val="ListBullet"/>
      </w:pPr>
      <w:r>
        <w:t>Anesthésique local de la famille des amides (lidocaïne)</w:t>
      </w:r>
    </w:p>
    <w:p>
      <w:pPr>
        <w:pStyle w:val="ListBullet"/>
      </w:pPr>
      <w:r>
        <w:t>Association antalgique otique</w:t>
      </w:r>
    </w:p>
    <w:p>
      <w:pPr>
        <w:pStyle w:val="ListBullet"/>
      </w:pPr>
      <w:r>
        <w:t>Usage strictement otique sur tympan intact (CI absolue en cas de perforation tympanique)</w:t>
      </w:r>
    </w:p>
    <w:p>
      <w:pPr>
        <w:pStyle w:val="Heading4"/>
      </w:pPr>
      <w:r>
        <w:t>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ORICALM</w:t>
            </w:r>
          </w:p>
        </w:tc>
        <w:tc>
          <w:tcPr>
            <w:tcW w:type="dxa" w:w="1559"/>
          </w:tcPr>
          <w:p>
            <w:r>
              <w:rPr>
                <w:sz w:val="20"/>
              </w:rPr>
              <w:t>PHARMIDAL NS</w:t>
            </w:r>
          </w:p>
        </w:tc>
        <w:tc>
          <w:tcPr>
            <w:tcW w:type="dxa" w:w="1559"/>
          </w:tcPr>
          <w:p>
            <w:r>
              <w:rPr>
                <w:sz w:val="20"/>
              </w:rPr>
              <w:t>Solution auriculaire — Phénazone 4 g / Lidocaïne chlorhydrate 1 g pour 100 g de solution (= 4 % / 1 %)</w:t>
            </w:r>
          </w:p>
        </w:tc>
        <w:tc>
          <w:tcPr>
            <w:tcW w:type="dxa" w:w="1559"/>
          </w:tcPr>
          <w:p>
            <w:r>
              <w:rPr>
                <w:sz w:val="20"/>
              </w:rPr>
              <w:t>Flacon 15 mL (soit 16 g)</w:t>
            </w:r>
          </w:p>
        </w:tc>
        <w:tc>
          <w:tcPr>
            <w:tcW w:type="dxa" w:w="1559"/>
          </w:tcPr>
          <w:p>
            <w:r>
              <w:rPr>
                <w:sz w:val="20"/>
              </w:rPr>
              <w:t>Hors liste</w:t>
            </w:r>
          </w:p>
        </w:tc>
        <w:tc>
          <w:tcPr>
            <w:tcW w:type="dxa" w:w="1559"/>
          </w:tcPr>
          <w:p>
            <w:r>
              <w:rPr>
                <w:sz w:val="20"/>
              </w:rPr>
              <w:t>ACTIF</w:t>
            </w:r>
          </w:p>
        </w:tc>
      </w:tr>
      <w:tr>
        <w:tc>
          <w:tcPr>
            <w:tcW w:type="dxa" w:w="1559"/>
          </w:tcPr>
          <w:p>
            <w:r>
              <w:rPr>
                <w:sz w:val="20"/>
              </w:rPr>
              <w:t>OTIDIS</w:t>
            </w:r>
          </w:p>
        </w:tc>
        <w:tc>
          <w:tcPr>
            <w:tcW w:type="dxa" w:w="1559"/>
          </w:tcPr>
          <w:p>
            <w:r>
              <w:rPr>
                <w:sz w:val="20"/>
              </w:rPr>
              <w:t>INPHA-MEDIS</w:t>
            </w:r>
          </w:p>
        </w:tc>
        <w:tc>
          <w:tcPr>
            <w:tcW w:type="dxa" w:w="1559"/>
          </w:tcPr>
          <w:p>
            <w:r>
              <w:rPr>
                <w:sz w:val="20"/>
              </w:rPr>
              <w:t>Solution auriculaire — Phénazone 4 % / Lidocaïne chlorhydrate 1 %</w:t>
            </w:r>
          </w:p>
        </w:tc>
        <w:tc>
          <w:tcPr>
            <w:tcW w:type="dxa" w:w="1559"/>
          </w:tcPr>
          <w:p>
            <w:r>
              <w:rPr>
                <w:sz w:val="20"/>
              </w:rPr>
              <w:t>Flacon 15 mL (soit 16 g)</w:t>
            </w:r>
          </w:p>
        </w:tc>
        <w:tc>
          <w:tcPr>
            <w:tcW w:type="dxa" w:w="1559"/>
          </w:tcPr>
          <w:p>
            <w:r>
              <w:rPr>
                <w:sz w:val="20"/>
              </w:rPr>
              <w:t>Hors liste</w:t>
            </w:r>
          </w:p>
        </w:tc>
        <w:tc>
          <w:tcPr>
            <w:tcW w:type="dxa" w:w="1559"/>
          </w:tcPr>
          <w:p>
            <w:r>
              <w:rPr>
                <w:sz w:val="20"/>
              </w:rPr>
              <w:t>ACTIF</w:t>
            </w:r>
          </w:p>
        </w:tc>
      </w:tr>
      <w:tr>
        <w:tc>
          <w:tcPr>
            <w:tcW w:type="dxa" w:w="1559"/>
          </w:tcPr>
          <w:p>
            <w:r>
              <w:rPr>
                <w:sz w:val="20"/>
              </w:rPr>
              <w:t>OTIPAX</w:t>
            </w:r>
          </w:p>
        </w:tc>
        <w:tc>
          <w:tcPr>
            <w:tcW w:type="dxa" w:w="1559"/>
          </w:tcPr>
          <w:p>
            <w:r>
              <w:rPr>
                <w:sz w:val="20"/>
              </w:rPr>
              <w:t>BIOCODEX</w:t>
            </w:r>
          </w:p>
        </w:tc>
        <w:tc>
          <w:tcPr>
            <w:tcW w:type="dxa" w:w="1559"/>
          </w:tcPr>
          <w:p>
            <w:r>
              <w:rPr>
                <w:sz w:val="20"/>
              </w:rPr>
              <w:t>Solution auriculaire — Phénazone 4 g / Lidocaïne chlorhydrate 1 g pour 100 g de solution</w:t>
            </w:r>
          </w:p>
        </w:tc>
        <w:tc>
          <w:tcPr>
            <w:tcW w:type="dxa" w:w="1559"/>
          </w:tcPr>
          <w:p>
            <w:r>
              <w:rPr>
                <w:sz w:val="20"/>
              </w:rPr>
              <w:t>Flacon 15 mL</w:t>
            </w:r>
          </w:p>
        </w:tc>
        <w:tc>
          <w:tcPr>
            <w:tcW w:type="dxa" w:w="1559"/>
          </w:tcPr>
          <w:p>
            <w:r>
              <w:rPr>
                <w:sz w:val="20"/>
              </w:rPr>
              <w:t>Hors liste</w:t>
            </w:r>
          </w:p>
        </w:tc>
        <w:tc>
          <w:tcPr>
            <w:tcW w:type="dxa" w:w="1559"/>
          </w:tcPr>
          <w:p>
            <w:r>
              <w:rPr>
                <w:sz w:val="20"/>
              </w:rPr>
              <w:t>ACTIF</w:t>
            </w:r>
          </w:p>
        </w:tc>
      </w:tr>
    </w:tbl>
    <w:p/>
    <w:p>
      <w:r/>
      <w:r>
        <w:rPr>
          <w:b/>
        </w:rPr>
        <w:t>Note nomenclature</w:t>
      </w:r>
      <w:r>
        <w:t xml:space="preserve"> : trois spécialités sont actuellement actives en Algérie, toutes à la même concentration (phénazone 4 % + lidocaïne 1 %). OTIPAX (Biocodex) est la spécialité de référence internationale (originale), ORICALM (Pharmidal NS) et OTIDIS (Inpha-Medis) sont les génériques algériens.</w:t>
      </w:r>
    </w:p>
    <w:p>
      <w:pPr>
        <w:pStyle w:val="Heading4"/>
      </w:pPr>
      <w:r>
        <w:t>Mécanisme d'action</w:t>
      </w:r>
    </w:p>
    <w:p>
      <w:r>
        <w:t>L'association phénazone + lidocaïne combine deux mécanismes d'action complémentaires pour produire une antalgie locale otique rapide et prolongée :</w:t>
      </w:r>
    </w:p>
    <w:p>
      <w:pPr>
        <w:pStyle w:val="ListNumber"/>
      </w:pPr>
      <w:r/>
      <w:r>
        <w:rPr>
          <w:b/>
        </w:rPr>
        <w:t>Phénazone</w:t>
      </w:r>
      <w:r>
        <w:t xml:space="preserve"> (antipyrine, C₁₁H₁₂N₂O, masse molaire 188,2 g/mol) : pyrazolone de 1re génération, ancêtre des AINS non sélectifs. Mécanisme : inhibition </w:t>
      </w:r>
      <w:r>
        <w:rPr>
          <w:b/>
        </w:rPr>
        <w:t>non sélective</w:t>
      </w:r>
      <w:r>
        <w:t xml:space="preserve"> des cyclo-oxygénases (COX-1 et COX-2) → réduction de la synthèse des </w:t>
      </w:r>
      <w:r>
        <w:rPr>
          <w:b/>
        </w:rPr>
        <w:t>prostaglandines (PGE2)</w:t>
      </w:r>
      <w:r>
        <w:t xml:space="preserve"> et du </w:t>
      </w:r>
      <w:r>
        <w:rPr>
          <w:b/>
        </w:rPr>
        <w:t>thromboxane A2</w:t>
      </w:r>
      <w:r>
        <w:t xml:space="preserve"> à partir de l'acide arachidonique. La phénazone est un inhibiteur compétitif de la cyclo-oxygénase, qui agit au niveau de la muqueuse tympanique inflammée (où les prostaglandines sont les principaux médiateurs de l'inflammation et de la douleur). Aux concentrations locales atteintes par instillation otique (4 %), la phénazone exerce un effet anti-inflammatoire et antalgique direct sur le tympan et le CAE. L'absorption systémique est faible par voie otique sur tympan intact (peu de passage transcutané), mais devient significative en cas de perforation tympanique (passage direct dans l'oreille moyenne, muqueuse richement vascularisée). En cas d'absorption systémique, la phénazone subit un métabolisme hépatique (hydroxylation en 4-hydroxy-antipyrine, déméthylation en normphénazone), avec une demi-vie d'élimination ~7–12 h, élimination rénale.</w:t>
      </w:r>
    </w:p>
    <w:p>
      <w:pPr>
        <w:pStyle w:val="ListNumber"/>
      </w:pPr>
      <w:r/>
      <w:r>
        <w:rPr>
          <w:b/>
        </w:rPr>
        <w:t>Lidocaïne</w:t>
      </w:r>
      <w:r>
        <w:t xml:space="preserve"> (C₁₄H₂₂N₂O, masse molaire 234,3 g/mol) : anesthésique local de la famille des </w:t>
      </w:r>
      <w:r>
        <w:rPr>
          <w:b/>
        </w:rPr>
        <w:t>amides</w:t>
      </w:r>
      <w:r>
        <w:t xml:space="preserve"> ( liaison amide intermédiaire entre un noyau aromatique lipophile et une amine tertiaire hydrophile, structure commune à tous les AL de la famille amide — lidocaïne, bupivacaïne, ropivacaïne, mépivacaïne, prilocaïne, articaïne). Mécanisme : </w:t>
      </w:r>
      <w:r>
        <w:rPr>
          <w:b/>
        </w:rPr>
        <w:t>blocage des canaux sodiques voltage-dépendants (canaux NaV)</w:t>
      </w:r>
      <w:r>
        <w:t xml:space="preserve"> dans leur état inactivé. La lidocaïne sous forme neutre (liposoluble) traverse la membrane nerveuse, puis sous forme protonée (chargée) se fixe à l'intérieur du canal NaV (site récepteur localisé sur la sous-unité α du canal, au niveau du segment S6 du domaine IV) → blocage du canal → inhibition de la conduction nerveuse des fibres sensitives (Aδ et C) du tympan et du CAE → anesthésie locale. Début d'action : ≤ 5 minutes. Durée d'action : ~30–60 minutes par instillation unique (effet de plateau plus prolongé en raison de la libération progressive de la lidocaïne depuis le gel de phénazone). Aux concentrations locales otiques (1 %), la lidocaïne a un passage systémique faible sur tympan intact mais devient significatif en cas de perforation tympanique. La lidocaïne absorbée est métabolisée par le CYP1A2 et CYP3A4 hépatique (N-désalkylation en monoéthylglycinexylidide MEGX puis glycinexylidide GX), avec une demi-vie ~1,5–2 h, élimination rénale.</w:t>
      </w:r>
    </w:p>
    <w:p>
      <w:r>
        <w:t>L'association phénazone + lidocaïne produit donc un effet antalgique double :</w:t>
      </w:r>
    </w:p>
    <w:p>
      <w:pPr>
        <w:pStyle w:val="ListBullet"/>
      </w:pPr>
      <w:r>
        <w:t>Antalgique anti-inflammatoire prolongé (phénazone, effet COX) ;</w:t>
      </w:r>
    </w:p>
    <w:p>
      <w:pPr>
        <w:pStyle w:val="ListBullet"/>
      </w:pPr>
      <w:r>
        <w:t>Anesthésie locale rapide (lidocaïne, effet canaux NaV).</w:t>
      </w:r>
    </w:p>
    <w:p>
      <w:pPr>
        <w:pStyle w:val="Heading4"/>
      </w:pPr>
      <w:r>
        <w:t>Profil pharmacologique (indications, contre-indications, effets indésirables)</w:t>
      </w:r>
    </w:p>
    <w:p>
      <w:r/>
      <w:r>
        <w:rPr>
          <w:b/>
        </w:rPr>
        <w:t>Indications (AMM)</w:t>
      </w:r>
      <w:r>
        <w:t xml:space="preserve"> :</w:t>
      </w:r>
    </w:p>
    <w:p>
      <w:pPr>
        <w:pStyle w:val="ListBullet"/>
      </w:pPr>
      <w:r>
        <w:t>Traitement antalgique de l'otalgie aiguë de l'adulte et de l'enfant, en particulier dans l'</w:t>
      </w:r>
      <w:r>
        <w:rPr>
          <w:b/>
        </w:rPr>
        <w:t>otite moyenne aiguë (OMA) non perforée</w:t>
      </w:r>
      <w:r>
        <w:t xml:space="preserve"> du nourrisson et de l'enfant ;</w:t>
      </w:r>
    </w:p>
    <w:p>
      <w:pPr>
        <w:pStyle w:val="ListBullet"/>
      </w:pPr>
      <w:r>
        <w:t>Otalgie aiguë post-traumatique (barotraumatisme) ;</w:t>
      </w:r>
    </w:p>
    <w:p>
      <w:pPr>
        <w:pStyle w:val="ListBullet"/>
      </w:pPr>
      <w:r>
        <w:t>Otalgie aiguë par névralgie du trijumeau irradiant vers l'oreille (en complément du traitement spécifique) ;</w:t>
      </w:r>
    </w:p>
    <w:p>
      <w:pPr>
        <w:pStyle w:val="ListBullet"/>
      </w:pPr>
      <w:r/>
      <w:r>
        <w:rPr>
          <w:b/>
        </w:rPr>
        <w:t>En complément d'une antalgie systémique</w:t>
      </w:r>
      <w:r>
        <w:t xml:space="preserve"> (paracétamol, ibuprofène) et non en remplacement.</w:t>
      </w:r>
    </w:p>
    <w:p>
      <w:r/>
      <w:r>
        <w:rPr>
          <w:b/>
        </w:rPr>
        <w:t>Contre-indications absolues</w:t>
      </w:r>
      <w:r>
        <w:t xml:space="preserve"> :</w:t>
      </w:r>
    </w:p>
    <w:p>
      <w:pPr>
        <w:pStyle w:val="ListBullet"/>
      </w:pPr>
      <w:r/>
      <w:r>
        <w:rPr>
          <w:b/>
        </w:rPr>
        <w:t>Perforation tympanique</w:t>
      </w:r>
      <w:r>
        <w:t xml:space="preserve"> (signalée par otorrhée) ou aérateur trans-tympanique en place — risque de passage systémique de la phénazone et de la lidocaïne dans l'oreille moyenne → toxicité systémique (convulsions, troubles du rythme, baisse de l'INR) et ototoxicité théorique ;</w:t>
      </w:r>
    </w:p>
    <w:p>
      <w:pPr>
        <w:pStyle w:val="ListBullet"/>
      </w:pPr>
      <w:r>
        <w:t>Hypersensibilité à la phénazone (antipyrine), à la lidocaïne ou aux anesthésiques locaux de la famille amide ;</w:t>
      </w:r>
    </w:p>
    <w:p>
      <w:pPr>
        <w:pStyle w:val="ListBullet"/>
      </w:pPr>
      <w:r>
        <w:t>Porphyrie aiguë intermittente (par prudence, en raison de l'effet inducteur enzymatique de la phénazone) ;</w:t>
      </w:r>
    </w:p>
    <w:p>
      <w:pPr>
        <w:pStyle w:val="ListBullet"/>
      </w:pPr>
      <w:r>
        <w:t>Déficit en G6PD (risque d'hémolyse avec la phénazone) ;</w:t>
      </w:r>
    </w:p>
    <w:p>
      <w:pPr>
        <w:pStyle w:val="ListBullet"/>
      </w:pPr>
      <w:r>
        <w:t>Nourrisson &lt; 6 mois (par prudence, en raison de l'immaturité hépatique) ;</w:t>
      </w:r>
    </w:p>
    <w:p>
      <w:pPr>
        <w:pStyle w:val="ListBullet"/>
      </w:pPr>
      <w:r>
        <w:t>Allaitement (par prudence, cf. CRAT) ;</w:t>
      </w:r>
    </w:p>
    <w:p>
      <w:pPr>
        <w:pStyle w:val="ListBullet"/>
      </w:pPr>
      <w:r>
        <w:t>Antécédent d'agranulocytose sous pyrazolones (phénazone, métamizole).</w:t>
      </w:r>
    </w:p>
    <w:p>
      <w:r/>
      <w:r>
        <w:rPr>
          <w:b/>
        </w:rPr>
        <w:t>Contre-indications relatives</w:t>
      </w:r>
      <w:r>
        <w:t xml:space="preserve"> :</w:t>
      </w:r>
    </w:p>
    <w:p>
      <w:pPr>
        <w:pStyle w:val="ListBullet"/>
      </w:pPr>
      <w:r>
        <w:t>Insuffisance hépatique sévère (métabolisme de la lidocaïne et de la phénazone altéré) ;</w:t>
      </w:r>
    </w:p>
    <w:p>
      <w:pPr>
        <w:pStyle w:val="ListBullet"/>
      </w:pPr>
      <w:r>
        <w:t>Insuffisance rénale sévère (élimination altérée) ;</w:t>
      </w:r>
    </w:p>
    <w:p>
      <w:pPr>
        <w:pStyle w:val="ListBullet"/>
      </w:pPr>
      <w:r>
        <w:t>Épilepsie non contrôlée (la lidocaïne abaisse le seuil épileptogène en cas de passage systémique) ;</w:t>
      </w:r>
    </w:p>
    <w:p>
      <w:pPr>
        <w:pStyle w:val="ListBullet"/>
      </w:pPr>
      <w:r>
        <w:t>Troubles de la conduction cardiaque (bloc auriculo-ventriculaire, syndrome du QT long) ;</w:t>
      </w:r>
    </w:p>
    <w:p>
      <w:pPr>
        <w:pStyle w:val="ListBullet"/>
      </w:pPr>
      <w:r>
        <w:t>Myasthénie (la lidocaïne peut aggraver la faiblesse musculaire) ;</w:t>
      </w:r>
    </w:p>
    <w:p>
      <w:pPr>
        <w:pStyle w:val="ListBullet"/>
      </w:pPr>
      <w:r>
        <w:t>Femme enceinte (par prudence, cf. CRAT).</w:t>
      </w:r>
    </w:p>
    <w:p>
      <w:r/>
      <w:r>
        <w:rPr>
          <w:b/>
        </w:rPr>
        <w:t>Effets indésirables</w:t>
      </w:r>
      <w:r>
        <w:t xml:space="preserve"> :</w:t>
      </w:r>
    </w:p>
    <w:p>
      <w:pPr>
        <w:pStyle w:val="ListBullet"/>
      </w:pPr>
      <w:r>
        <w:t>Locaux :</w:t>
      </w:r>
    </w:p>
    <w:p>
      <w:pPr>
        <w:pStyle w:val="ListBullet"/>
      </w:pPr>
      <w:r>
        <w:t>Sensation de brûlure transitoire à l'instillation (~10–15 % des patients) ;</w:t>
      </w:r>
    </w:p>
    <w:p>
      <w:pPr>
        <w:pStyle w:val="ListBullet"/>
      </w:pPr>
      <w:r>
        <w:t>Picotements, fourmillements de la langue (la lidocaïne peut atteindre les récepteurs gustatifs pharyngés via la trompe d'Eustache) ;</w:t>
      </w:r>
    </w:p>
    <w:p>
      <w:pPr>
        <w:pStyle w:val="ListBullet"/>
      </w:pPr>
      <w:r>
        <w:t>Irritation locale du CAE ;</w:t>
      </w:r>
    </w:p>
    <w:p>
      <w:pPr>
        <w:pStyle w:val="ListBullet"/>
      </w:pPr>
      <w:r>
        <w:t>Érythème, prurit du CAE ;</w:t>
      </w:r>
    </w:p>
    <w:p>
      <w:pPr>
        <w:pStyle w:val="ListBullet"/>
      </w:pPr>
      <w:r>
        <w:t>Allergie de contact (rare, à la phénazone ou à la lidocaïne) — réactions croisées possibles avec d'autres pyrazolones (métamizole) et d'autres AL amide ;</w:t>
      </w:r>
    </w:p>
    <w:p>
      <w:pPr>
        <w:pStyle w:val="ListBullet"/>
      </w:pPr>
      <w:r>
        <w:t>Coloration jaunâtre transitoire du CAE (due à la couleur de la phénazone).</w:t>
      </w:r>
    </w:p>
    <w:p>
      <w:pPr>
        <w:pStyle w:val="ListBullet"/>
      </w:pPr>
      <w:r>
        <w:t>Systémiques (en cas de passage systémique — perforation tympanique méconnue) :</w:t>
      </w:r>
    </w:p>
    <w:p>
      <w:pPr>
        <w:pStyle w:val="ListBullet"/>
      </w:pPr>
      <w:r/>
      <w:r>
        <w:rPr>
          <w:b/>
        </w:rPr>
        <w:t>Signes de toxicité de la lidocaïne</w:t>
      </w:r>
      <w:r>
        <w:t xml:space="preserve"> : convulsions (premier signe), troubles de la conduction cardiaque (bloc auriculo-ventriculaire, allongement du QT), hypotension, dépression respiratoire, somnolence, confusion ;</w:t>
      </w:r>
    </w:p>
    <w:p>
      <w:pPr>
        <w:pStyle w:val="ListBullet"/>
      </w:pPr>
      <w:r/>
      <w:r>
        <w:rPr>
          <w:b/>
        </w:rPr>
        <w:t>Signes de toxicité de la phénazone</w:t>
      </w:r>
      <w:r>
        <w:t xml:space="preserve"> : nausées, vomissements, hypothermie, hypotension, éruption cutanée, exceptionnellement </w:t>
      </w:r>
      <w:r>
        <w:rPr>
          <w:b/>
        </w:rPr>
        <w:t>agranulocytose</w:t>
      </w:r>
      <w:r>
        <w:t xml:space="preserve"> (effet immuno-allergique exceptionnel, décrit avec les pyrazolones systémiques, non documenté par voie otique mais théoriquement possible en cas d'absorption systémique prolongée) ;</w:t>
      </w:r>
    </w:p>
    <w:p>
      <w:pPr>
        <w:pStyle w:val="ListBullet"/>
      </w:pPr>
      <w:r>
        <w:t>Ototoxicité théorique cochléo-vestibulaire (la lidocaïne à forte concentration en contact direct avec la fenêtre ronde peut altérer la conduction nerveuse cochléaire — effet non documenté aux concentrations thérapeutiques otiques, mais risque théorique en cas de perforation tympanique).</w:t>
      </w:r>
    </w:p>
    <w:p>
      <w:pPr>
        <w:pStyle w:val="Heading4"/>
      </w:pPr>
      <w:r>
        <w:t>Prévention des effets indésirables</w:t>
      </w:r>
    </w:p>
    <w:p>
      <w:pPr>
        <w:pStyle w:val="ListNumber"/>
      </w:pPr>
      <w:r/>
      <w:r>
        <w:rPr>
          <w:b/>
        </w:rPr>
        <w:t>Vérification systématique de l'intégrité tympanique</w:t>
      </w:r>
      <w:r>
        <w:t xml:space="preserve"> avant prescription : interrogation du patient ou des parents à la recherche d'otorrhée (signe de perforation = CI absolue). Otoscopie médicale préalable obligatoire pour la 1re prescription ;</w:t>
      </w:r>
    </w:p>
    <w:p>
      <w:pPr>
        <w:pStyle w:val="ListNumber"/>
      </w:pPr>
      <w:r/>
      <w:r>
        <w:rPr>
          <w:b/>
        </w:rPr>
        <w:t>Interrogatoire allergologique préalable</w:t>
      </w:r>
      <w:r>
        <w:t xml:space="preserve"> : recherche d'allergie aux pyrazolones (phénazone, métamizole, propyphénazone), aux AL amide (lidocaïne, bupivacaïne) ;</w:t>
      </w:r>
    </w:p>
    <w:p>
      <w:pPr>
        <w:pStyle w:val="ListNumber"/>
      </w:pPr>
      <w:r/>
      <w:r>
        <w:rPr>
          <w:b/>
        </w:rPr>
        <w:t>Durée limitée à 7–10 jours</w:t>
      </w:r>
      <w:r>
        <w:t xml:space="preserve"> sans réévaluation médicale — risque de masquer une évolution défavorable (persistance ou aggravation d'une OMA nécessitant antibiothérapie systémique) ;</w:t>
      </w:r>
    </w:p>
    <w:p>
      <w:pPr>
        <w:pStyle w:val="ListNumber"/>
      </w:pPr>
      <w:r/>
      <w:r>
        <w:rPr>
          <w:b/>
        </w:rPr>
        <w:t>Position d'instillation stricte</w:t>
      </w:r>
      <w:r>
        <w:t xml:space="preserve"> : pencher la tête, tirer le pavillon, instiller, masser le tragus, maintenir la tête inclinée 1–2 min ;</w:t>
      </w:r>
    </w:p>
    <w:p>
      <w:pPr>
        <w:pStyle w:val="ListNumber"/>
      </w:pPr>
      <w:r/>
      <w:r>
        <w:rPr>
          <w:b/>
        </w:rPr>
        <w:t>Ne pas boucher l'oreille</w:t>
      </w:r>
      <w:r>
        <w:t xml:space="preserve"> avec un coton (macération) ;</w:t>
      </w:r>
    </w:p>
    <w:p>
      <w:pPr>
        <w:pStyle w:val="ListNumber"/>
      </w:pPr>
      <w:r/>
      <w:r>
        <w:rPr>
          <w:b/>
        </w:rPr>
        <w:t>Information du patient</w:t>
      </w:r>
      <w:r>
        <w:t xml:space="preserve"> sur le goût métallique possible (la lidocaïne peut atteindre la gorge via la trompe d'Eustache) — bénin, transitoire ;</w:t>
      </w:r>
    </w:p>
    <w:p>
      <w:pPr>
        <w:pStyle w:val="ListNumber"/>
      </w:pPr>
      <w:r/>
      <w:r>
        <w:rPr>
          <w:b/>
        </w:rPr>
        <w:t>Surveillance de l'évolution</w:t>
      </w:r>
      <w:r>
        <w:t xml:space="preserve"> : consulter un médecin à 48–72 h en l'absence d'amélioration, ou en cas d'aggravation, de fièvre, d'otorrhée (signe de perforation tympanique → arrêt immédiat des gouttes et consultation ORL) ;</w:t>
      </w:r>
    </w:p>
    <w:p>
      <w:pPr>
        <w:pStyle w:val="ListNumber"/>
      </w:pPr>
      <w:r/>
      <w:r>
        <w:rPr>
          <w:b/>
        </w:rPr>
        <w:t>Éviter l'usage prolongé &gt; 10 jours</w:t>
      </w:r>
      <w:r>
        <w:t xml:space="preserve"> (risque de masquer une pathologie sous-jacente, de modification de la flore) ;</w:t>
      </w:r>
    </w:p>
    <w:p>
      <w:pPr>
        <w:pStyle w:val="ListNumber"/>
      </w:pPr>
      <w:r/>
      <w:r>
        <w:rPr>
          <w:b/>
        </w:rPr>
        <w:t>Nourrisson &lt; 6 mois</w:t>
      </w:r>
      <w:r>
        <w:t xml:space="preserve"> : éviter par prudence (immaturité hépatique) ; alternative : paracétamol systémique adapté au poids ;</w:t>
      </w:r>
    </w:p>
    <w:p>
      <w:pPr>
        <w:pStyle w:val="ListNumber"/>
      </w:pPr>
      <w:r/>
      <w:r>
        <w:rPr>
          <w:b/>
        </w:rPr>
        <w:t>Patient épileptique ou avec troubles de la conduction cardiaque</w:t>
      </w:r>
      <w:r>
        <w:t xml:space="preserve"> : éviter par prudence.</w:t>
      </w:r>
    </w:p>
    <w:p>
      <w:pPr>
        <w:pStyle w:val="Heading4"/>
      </w:pPr>
      <w:r>
        <w:t>Interactions médicamenteuses</w:t>
      </w:r>
    </w:p>
    <w:p>
      <w:r>
        <w:t>Par voie locale otique sur tympan intact, le passage systémique de la phénazone et de la lidocaïne est négligeable, ce qui limite considérablement les interactions systémiques. Cependant, par prudence :</w:t>
      </w:r>
    </w:p>
    <w:p>
      <w:pPr>
        <w:pStyle w:val="ListBullet"/>
      </w:pPr>
      <w:r/>
      <w:r>
        <w:rPr>
          <w:b/>
        </w:rPr>
        <w:t>Avec les AVK</w:t>
      </w:r>
      <w:r>
        <w:t xml:space="preserve"> (warfarine, acénocoumarol, fluindione) : théoriquement, la phénazone peut déplacer l'AVK de ses sites de fixation protéique (albumine) → augmentation transitoire de l'INR. Surveillance INR en cas d'usage prolongé ou de tympan perforé.</w:t>
      </w:r>
    </w:p>
    <w:p>
      <w:pPr>
        <w:pStyle w:val="ListBullet"/>
      </w:pPr>
      <w:r/>
      <w:r>
        <w:rPr>
          <w:b/>
        </w:rPr>
        <w:t>Avec les autres AINS systémiques</w:t>
      </w:r>
      <w:r>
        <w:t xml:space="preserve"> (ibuprofène, kétoprofène, aspirine) : théoriquement, potentialisation de la toxicité digestive et rénale. Surveillance en usage prolongé.</w:t>
      </w:r>
    </w:p>
    <w:p>
      <w:pPr>
        <w:pStyle w:val="ListBullet"/>
      </w:pPr>
      <w:r/>
      <w:r>
        <w:rPr>
          <w:b/>
        </w:rPr>
        <w:t>Avec les antiarythmiques</w:t>
      </w:r>
      <w:r>
        <w:t xml:space="preserve"> (amiodarone, mexilétine, flécaïnide, propafénone) : théoriquement, potentialisation de la toxicité cardiaque de la lidocaïne. Surveillance ECG en cas d'usage prolongé.</w:t>
      </w:r>
    </w:p>
    <w:p>
      <w:pPr>
        <w:pStyle w:val="ListBullet"/>
      </w:pPr>
      <w:r/>
      <w:r>
        <w:rPr>
          <w:b/>
        </w:rPr>
        <w:t>Avec les bêta-bloquants</w:t>
      </w:r>
      <w:r>
        <w:t xml:space="preserve"> (propranolol, aténolol) : théoriquement, inhibition du métabolisme hépatique de la lidocaïne (baisse du débit sanguin hépatique) → augmentation des concentrations. Surveillance clinique.</w:t>
      </w:r>
    </w:p>
    <w:p>
      <w:pPr>
        <w:pStyle w:val="ListBullet"/>
      </w:pPr>
      <w:r/>
      <w:r>
        <w:rPr>
          <w:b/>
        </w:rPr>
        <w:t>Avec la cimétidine</w:t>
      </w:r>
      <w:r>
        <w:t xml:space="preserve"> (anti-H2) : théoriquement, inhibition du CYP1A2/CYP3A4 → augmentation des concentrations de lidocaïne.</w:t>
      </w:r>
    </w:p>
    <w:p>
      <w:pPr>
        <w:pStyle w:val="ListBullet"/>
      </w:pPr>
      <w:r/>
      <w:r>
        <w:rPr>
          <w:b/>
        </w:rPr>
        <w:t>Avec les inducteurs enzymatiques</w:t>
      </w:r>
      <w:r>
        <w:t xml:space="preserve"> (rifampicine, phénobarbital, phénytoine, carbamazépine) : théoriquement, induction du métabolisme hépatique → baisse d'efficacité. Information du patient.</w:t>
      </w:r>
    </w:p>
    <w:p>
      <w:pPr>
        <w:pStyle w:val="ListBullet"/>
      </w:pPr>
      <w:r/>
      <w:r>
        <w:rPr>
          <w:b/>
        </w:rPr>
        <w:t>Avec les IEC et ARA II</w:t>
      </w:r>
      <w:r>
        <w:t xml:space="preserve"> : pas d'interaction directe, mais surveillance de la kaliémie.</w:t>
      </w:r>
    </w:p>
    <w:p>
      <w:pPr>
        <w:pStyle w:val="ListBullet"/>
      </w:pPr>
      <w:r/>
      <w:r>
        <w:rPr>
          <w:b/>
        </w:rPr>
        <w:t>Avec les diurétiques de l'anse et thiazidiques</w:t>
      </w:r>
      <w:r>
        <w:t xml:space="preserve"> : pas d'interaction directe, mais surveillance de la kaliémie.</w:t>
      </w:r>
    </w:p>
    <w:p>
      <w:pPr>
        <w:pStyle w:val="ListBullet"/>
      </w:pPr>
      <w:r/>
      <w:r>
        <w:rPr>
          <w:b/>
        </w:rPr>
        <w:t>Avec les IMAO</w:t>
      </w:r>
      <w:r>
        <w:t xml:space="preserve"> (iproniazide, phénelzine) : théoriquement, potentialisation des effets de la phénazone (action sur les catécholamines). CI relative pendant et 2 semaines après l'arrêt d'un IMAO.</w:t>
      </w:r>
    </w:p>
    <w:p>
      <w:pPr>
        <w:pStyle w:val="ListBullet"/>
      </w:pPr>
      <w:r/>
      <w:r>
        <w:rPr>
          <w:b/>
        </w:rPr>
        <w:t>Avec l'alcool</w:t>
      </w:r>
      <w:r>
        <w:t xml:space="preserve"> : potentialisation de la sédation et de la toxicité hépatique. Éviter la consommation d'alcool pendant le traitement.</w:t>
      </w:r>
    </w:p>
    <w:p>
      <w:pPr>
        <w:pStyle w:val="Heading4"/>
      </w:pPr>
      <w:r>
        <w:t>Grossesse et allaitement (CRAT)</w:t>
      </w:r>
    </w:p>
    <w:p>
      <w:r/>
      <w:r>
        <w:rPr>
          <w:b/>
        </w:rPr>
        <w:t>Grossesse</w:t>
      </w:r>
      <w:r>
        <w:t xml:space="preserve"> :</w:t>
      </w:r>
    </w:p>
    <w:p>
      <w:pPr>
        <w:pStyle w:val="ListBullet"/>
      </w:pPr>
      <w:r>
        <w:t>Données CRAT : la phénazone traverse le placenta. Les données animales ne sont pas tératogènes à doses thérapeutiques. Les données humaines sont limitées mais rassurantes. La lidocaïne traverse le placenta (rapport cordon/mère ~0,5–0,7), sans effet tératogène documenté à doses locales.</w:t>
      </w:r>
    </w:p>
    <w:p>
      <w:pPr>
        <w:pStyle w:val="ListBullet"/>
      </w:pPr>
      <w:r>
        <w:t xml:space="preserve">Recommandation CRAT : </w:t>
      </w:r>
      <w:r>
        <w:rPr>
          <w:b/>
        </w:rPr>
        <w:t>usage local otique possible pendant la grossesse</w:t>
      </w:r>
      <w:r>
        <w:t xml:space="preserve"> sur tympan intact (par prudence, éviter au 1er trimestre). </w:t>
      </w:r>
      <w:r>
        <w:rPr>
          <w:b/>
        </w:rPr>
        <w:t>CI absolue en cas de perforation tympanique</w:t>
      </w:r>
      <w:r>
        <w:t xml:space="preserve"> (passage systémique significatif, toxicité théorique).</w:t>
      </w:r>
    </w:p>
    <w:p>
      <w:pPr>
        <w:pStyle w:val="ListBullet"/>
      </w:pPr>
      <w:r>
        <w:t>Alternative : paracétamol systémique adapté au poids en 1re intention.</w:t>
      </w:r>
    </w:p>
    <w:p>
      <w:r/>
      <w:r>
        <w:rPr>
          <w:b/>
        </w:rPr>
        <w:t>Allaitement</w:t>
      </w:r>
      <w:r>
        <w:t xml:space="preserve"> :</w:t>
      </w:r>
    </w:p>
    <w:p>
      <w:pPr>
        <w:pStyle w:val="ListBullet"/>
      </w:pPr>
      <w:r>
        <w:t>Données CRAT : la phénazone passe dans le lait maternel (rapport lait/plasma ~0,5–1), en quantités faibles par voie locale otique sur tympan intact. La lidocaïne passe dans le lait (rapport lait/plasma ~0,5), en quantités faibles.</w:t>
      </w:r>
    </w:p>
    <w:p>
      <w:pPr>
        <w:pStyle w:val="ListBullet"/>
      </w:pPr>
      <w:r>
        <w:t xml:space="preserve">Recommandation CRAT : </w:t>
      </w:r>
      <w:r>
        <w:rPr>
          <w:b/>
        </w:rPr>
        <w:t>allaitement possible en usage local otique bref (≤ 7 jours) et tympan intact</w:t>
      </w:r>
      <w:r>
        <w:t>. CI absolue en cas de tympan perforé (passage systémique significatif, toxicité théorique pour le nourrisson).</w:t>
      </w:r>
    </w:p>
    <w:p>
      <w:pPr>
        <w:pStyle w:val="ListBullet"/>
      </w:pPr>
      <w:r>
        <w:t>Alternative : paracétamol systémique adapté au poids.</w:t>
      </w:r>
    </w:p>
    <w:p>
      <w:pPr>
        <w:pStyle w:val="Heading4"/>
      </w:pPr>
      <w:r>
        <w:t>Posologie</w:t>
      </w:r>
    </w:p>
    <w:p>
      <w:r/>
      <w:r>
        <w:rPr>
          <w:b/>
        </w:rPr>
        <w:t>Adulte</w:t>
      </w:r>
      <w:r>
        <w:t xml:space="preserve"> :</w:t>
      </w:r>
    </w:p>
    <w:p>
      <w:pPr>
        <w:pStyle w:val="ListBullet"/>
      </w:pPr>
      <w:r>
        <w:t>Instiller 4 gouttes dans le conduit auditif externe de l'oreille douloureuse, 2 à 3 fois par jour, pendant 7 à 10 jours maximum. Pencher la tête du côté opposé, tirer le pavillon vers l'arrière et le haut, instiller, maintenir la tête inclinée 1–2 min, masser le tragus.</w:t>
      </w:r>
    </w:p>
    <w:p>
      <w:r/>
      <w:r>
        <w:rPr>
          <w:b/>
        </w:rPr>
        <w:t>Enfant &gt; 30 mois</w:t>
      </w:r>
      <w:r>
        <w:t xml:space="preserve"> :</w:t>
      </w:r>
    </w:p>
    <w:p>
      <w:pPr>
        <w:pStyle w:val="ListBullet"/>
      </w:pPr>
      <w:r>
        <w:t>Instiller 2 à 3 gouttes dans le CAE, 2 à 3 fois par jour, pendant 7 à 10 jours maximum. Même technique d'instillation, en tirant le pavillon vers le bas et vers l'arrière.</w:t>
      </w:r>
    </w:p>
    <w:p>
      <w:r/>
      <w:r>
        <w:rPr>
          <w:b/>
        </w:rPr>
        <w:t>Enfant 6 mois–30 mois</w:t>
      </w:r>
      <w:r>
        <w:t xml:space="preserve"> :</w:t>
      </w:r>
    </w:p>
    <w:p>
      <w:pPr>
        <w:pStyle w:val="ListBullet"/>
      </w:pPr>
      <w:r>
        <w:t>Instiller 1 à 2 gouttes, 2 à 3 fois par jour, pendant 5 à 7 jours maximum. Surveillance médicale stricte.</w:t>
      </w:r>
    </w:p>
    <w:p>
      <w:r/>
      <w:r>
        <w:rPr>
          <w:b/>
        </w:rPr>
        <w:t>Nourrisson &lt; 6 mois</w:t>
      </w:r>
      <w:r>
        <w:t xml:space="preserve"> : CI par prudence.</w:t>
      </w:r>
    </w:p>
    <w:p>
      <w:r/>
      <w:r>
        <w:rPr>
          <w:b/>
        </w:rPr>
        <w:t>Sujet âgé</w:t>
      </w:r>
      <w:r>
        <w:t xml:space="preserve"> : pas d'adaptation posologique, surveillance de la tolérance.</w:t>
      </w:r>
    </w:p>
    <w:p>
      <w:pPr>
        <w:pStyle w:val="Heading4"/>
      </w:pPr>
      <w:r>
        <w:t>Formes galéniques disponibles</w:t>
      </w:r>
    </w:p>
    <w:p>
      <w:pPr>
        <w:pStyle w:val="ListBullet"/>
      </w:pPr>
      <w:r/>
      <w:r>
        <w:rPr>
          <w:b/>
        </w:rPr>
        <w:t>ORICALM, OTIDIS, OTIPAX solution auriculaire</w:t>
      </w:r>
      <w:r>
        <w:t xml:space="preserve"> : solution huileuse (glycérine — excipient visqueux pour prolonger le contact avec le tympan et le CAE) contenant 4 % de phénazone et 1 % de lidocaïne chlorhydrate. Flacon 15 mL (16 g) avec embout compte-gouttes. Sans conservateur. Couleur : jaune clair à incolore. Conservation : température &lt; 25 °C, à l'abri de la lumière. Stérilité : 30 jours après ouverture (variable selon spécialité).</w:t>
      </w:r>
    </w:p>
    <w:p>
      <w:pPr>
        <w:pStyle w:val="Heading4"/>
      </w:pPr>
      <w:r>
        <w:t>Conseils au patient</w:t>
      </w:r>
    </w:p>
    <w:p>
      <w:pPr>
        <w:pStyle w:val="ListBullet"/>
      </w:pPr>
      <w:r/>
      <w:r>
        <w:rPr>
          <w:b/>
        </w:rPr>
        <w:t>Avant instillation</w:t>
      </w:r>
      <w:r>
        <w:t xml:space="preserve"> : lavage soigneux des mains ; vérifier l'absence d'écoulement auriculaire (otorrhée = signe de perforation tympanique = CI absolue). Si doute, consulter un médecin avant instillation.</w:t>
      </w:r>
    </w:p>
    <w:p>
      <w:pPr>
        <w:pStyle w:val="ListBullet"/>
      </w:pPr>
      <w:r/>
      <w:r>
        <w:rPr>
          <w:b/>
        </w:rPr>
        <w:t>Position d'instillation</w:t>
      </w:r>
      <w:r>
        <w:t xml:space="preserve"> : pencher la tête du côté opposé à l'oreille à traiter (oreille vers le haut). Tirer le pavillon de l'oreille vers l'arrière et vers le haut (chez l'adulte) ou vers le bas et vers l'arrière (chez l'enfant) pour redresser le conduit auditif. Instiller 4 gouttes (adulte) ou 2–3 gouttes (enfant).</w:t>
      </w:r>
    </w:p>
    <w:p>
      <w:pPr>
        <w:pStyle w:val="ListBullet"/>
      </w:pPr>
      <w:r/>
      <w:r>
        <w:rPr>
          <w:b/>
        </w:rPr>
        <w:t>Maintenir la tête inclinée</w:t>
      </w:r>
      <w:r>
        <w:t xml:space="preserve"> pendant 1 à 2 minutes pour permettre la diffusion de la solution vers le fond du conduit et le tympan.</w:t>
      </w:r>
    </w:p>
    <w:p>
      <w:pPr>
        <w:pStyle w:val="ListBullet"/>
      </w:pPr>
      <w:r/>
      <w:r>
        <w:rPr>
          <w:b/>
        </w:rPr>
        <w:t>Massage</w:t>
      </w:r>
      <w:r>
        <w:t xml:space="preserve"> : masser délicatement la zone en avant du pavillon (tragus) pour faciliter la pénétration.</w:t>
      </w:r>
    </w:p>
    <w:p>
      <w:pPr>
        <w:pStyle w:val="ListBullet"/>
      </w:pPr>
      <w:r/>
      <w:r>
        <w:rPr>
          <w:b/>
        </w:rPr>
        <w:t>Ne pas boucher l'oreille</w:t>
      </w:r>
      <w:r>
        <w:t xml:space="preserve"> avec un coton (prévention de la macération) ; un petit coton sec peut être déposé à l'entrée du conduit pour éviter que la solution ne s'écoule vers l'extérieur.</w:t>
      </w:r>
    </w:p>
    <w:p>
      <w:pPr>
        <w:pStyle w:val="ListBullet"/>
      </w:pPr>
      <w:r/>
      <w:r>
        <w:rPr>
          <w:b/>
        </w:rPr>
        <w:t>Durée maximale</w:t>
      </w:r>
      <w:r>
        <w:t xml:space="preserve"> : 7 à 10 jours. Si les symptômes persistent au-delà, ou en cas d'aggravation, consulter un médecin.</w:t>
      </w:r>
    </w:p>
    <w:p>
      <w:pPr>
        <w:pStyle w:val="ListBullet"/>
      </w:pPr>
      <w:r/>
      <w:r>
        <w:rPr>
          <w:b/>
        </w:rPr>
        <w:t>Signes d'alerte à reconnaître</w:t>
      </w:r>
      <w:r>
        <w:t xml:space="preserve"> : fièvre &gt; 38,5 °C, otorrhée (écoulement), vertiges, hypoacousie, douleur intense rebelle → arrêt immédiat des gouttes et consultation médicale urgente.</w:t>
      </w:r>
    </w:p>
    <w:p>
      <w:pPr>
        <w:pStyle w:val="ListBullet"/>
      </w:pPr>
      <w:r/>
      <w:r>
        <w:rPr>
          <w:b/>
        </w:rPr>
        <w:t>Goût métallique</w:t>
      </w:r>
      <w:r>
        <w:t xml:space="preserve"> possible : bénin, transitoire (la lidocaïne peut atteindre les récepteurs gustatifs pharyngés via la trompe d'Eustache).</w:t>
      </w:r>
    </w:p>
    <w:p>
      <w:pPr>
        <w:pStyle w:val="ListBullet"/>
      </w:pPr>
      <w:r/>
      <w:r>
        <w:rPr>
          <w:b/>
        </w:rPr>
        <w:t>Conservation</w:t>
      </w:r>
      <w:r>
        <w:t xml:space="preserve"> : flacon fermé, à température &lt; 25 °C, à l'abri de la lumière. Ne pas utiliser au-delà de la date de péremption. Jeter le flacon 30 jours après ouverture.</w:t>
      </w:r>
    </w:p>
    <w:p>
      <w:pPr>
        <w:pStyle w:val="ListBullet"/>
      </w:pPr>
      <w:r/>
      <w:r>
        <w:rPr>
          <w:b/>
        </w:rPr>
        <w:t>Hygiène du flacon</w:t>
      </w:r>
      <w:r>
        <w:t xml:space="preserve"> : ne pas toucher l'embout avec les doigts ou le conduit ; essuyer l'embout avec un mouchoir propre après usage ; ne pas partager le flacon.</w:t>
      </w:r>
    </w:p>
    <w:p>
      <w:pPr>
        <w:pStyle w:val="Heading4"/>
      </w:pPr>
      <w:r>
        <w:t>Pièges au comptoir</w:t>
      </w:r>
    </w:p>
    <w:p>
      <w:pPr>
        <w:pStyle w:val="ListNumber"/>
      </w:pPr>
      <w:r/>
      <w:r>
        <w:rPr>
          <w:b/>
        </w:rPr>
        <w:t>Le patient qui demande des gouttes otiques pour une otalgie sans avoir vu de médecin</w:t>
      </w:r>
      <w:r>
        <w:t xml:space="preserve"> : demander systématiquement s'il existe un écoulement auriculaire (signe de perforation tympanique = CI absolue). En cas de doute, refuser la délivrance et orienter vers un médecin.</w:t>
      </w:r>
    </w:p>
    <w:p>
      <w:pPr>
        <w:pStyle w:val="ListNumber"/>
      </w:pPr>
      <w:r/>
      <w:r>
        <w:rPr>
          <w:b/>
        </w:rPr>
        <w:t>L'enfant avec otalgie fébrile</w:t>
      </w:r>
      <w:r>
        <w:t xml:space="preserve"> : possible OMA nécessitant une antibiothérapie systémique (amoxicilline selon les recommandations AFSSAPS 2011). Ne pas se contenter des gouttes otiques antalgiques.</w:t>
      </w:r>
    </w:p>
    <w:p>
      <w:pPr>
        <w:pStyle w:val="ListNumber"/>
      </w:pPr>
      <w:r/>
      <w:r>
        <w:rPr>
          <w:b/>
        </w:rPr>
        <w:t>Le nourrisson &lt; 6 mois</w:t>
      </w:r>
      <w:r>
        <w:t xml:space="preserve"> : CI par prudence ; alternative : paracétamol systémique.</w:t>
      </w:r>
    </w:p>
    <w:p>
      <w:pPr>
        <w:pStyle w:val="ListNumber"/>
      </w:pPr>
      <w:r/>
      <w:r>
        <w:rPr>
          <w:b/>
        </w:rPr>
        <w:t>La femme enceinte</w:t>
      </w:r>
      <w:r>
        <w:t xml:space="preserve"> : usage possible sur tympan intact ; CI absolue en cas de perforation.</w:t>
      </w:r>
    </w:p>
    <w:p>
      <w:pPr>
        <w:pStyle w:val="ListNumber"/>
      </w:pPr>
      <w:r/>
      <w:r>
        <w:rPr>
          <w:b/>
        </w:rPr>
        <w:t>La femme allaitante</w:t>
      </w:r>
      <w:r>
        <w:t xml:space="preserve"> : usage possible sur tympan intact ; CI absolue en cas de perforation.</w:t>
      </w:r>
    </w:p>
    <w:p>
      <w:pPr>
        <w:pStyle w:val="ListNumber"/>
      </w:pPr>
      <w:r/>
      <w:r>
        <w:rPr>
          <w:b/>
        </w:rPr>
        <w:t>Le patient sous AVK</w:t>
      </w:r>
      <w:r>
        <w:t xml:space="preserve"> : surveillance INR en cas d'usage prolongé.</w:t>
      </w:r>
    </w:p>
    <w:p>
      <w:pPr>
        <w:pStyle w:val="ListNumber"/>
      </w:pPr>
      <w:r/>
      <w:r>
        <w:rPr>
          <w:b/>
        </w:rPr>
        <w:t>Le patient allergique aux pyrazolones</w:t>
      </w:r>
      <w:r>
        <w:t xml:space="preserve"> (métamizole, propyphénazone) : CI absolue (réactions croisées possibles).</w:t>
      </w:r>
    </w:p>
    <w:p>
      <w:pPr>
        <w:pStyle w:val="ListNumber"/>
      </w:pPr>
      <w:r/>
      <w:r>
        <w:rPr>
          <w:b/>
        </w:rPr>
        <w:t>Le patient épileptique</w:t>
      </w:r>
      <w:r>
        <w:t xml:space="preserve"> : éviter par prudence (la lidocaïne abaisse le seuil épileptogène en cas de passage systémique).</w:t>
      </w:r>
    </w:p>
    <w:p>
      <w:pPr>
        <w:pStyle w:val="ListNumber"/>
      </w:pPr>
      <w:r/>
      <w:r>
        <w:rPr>
          <w:b/>
        </w:rPr>
        <w:t>Le patient qui a utilisé le flacon &gt; 30 jours</w:t>
      </w:r>
      <w:r>
        <w:t xml:space="preserve"> : déconseiller la réutilisation (risque de contamination).</w:t>
      </w:r>
    </w:p>
    <w:p>
      <w:pPr>
        <w:pStyle w:val="ListNumber"/>
      </w:pPr>
      <w:r/>
      <w:r>
        <w:rPr>
          <w:b/>
        </w:rPr>
        <w:t>L'usage prolongé &gt; 10 jours</w:t>
      </w:r>
      <w:r>
        <w:t xml:space="preserve"> : déconseillé (risque de masquer une pathologie sous-jacente). Réévaluation médicale systématique.</w:t>
      </w:r>
    </w:p>
    <w:p>
      <w:pPr>
        <w:pStyle w:val="Heading2"/>
      </w:pPr>
      <w:r>
        <w:t>131.9. Tableau comparatif des thérapeutiques otiques</w:t>
      </w:r>
    </w:p>
    <w:tbl>
      <w:tblPr>
        <w:tblStyle w:val="LightGrid-Accent1"/>
        <w:tblW w:type="auto" w:w="0"/>
        <w:tblLook w:firstColumn="1" w:firstRow="1" w:lastColumn="0" w:lastRow="0" w:noHBand="0" w:noVBand="1" w:val="04A0"/>
      </w:tblPr>
      <w:tblGrid>
        <w:gridCol w:w="935"/>
        <w:gridCol w:w="935"/>
        <w:gridCol w:w="935"/>
        <w:gridCol w:w="935"/>
        <w:gridCol w:w="935"/>
        <w:gridCol w:w="935"/>
        <w:gridCol w:w="935"/>
        <w:gridCol w:w="935"/>
        <w:gridCol w:w="935"/>
        <w:gridCol w:w="935"/>
      </w:tblGrid>
      <w:tr>
        <w:tc>
          <w:tcPr>
            <w:tcW w:type="dxa" w:w="935"/>
          </w:tcPr>
          <w:p>
            <w:r>
              <w:rPr>
                <w:b/>
                <w:sz w:val="20"/>
              </w:rPr>
              <w:t>DCI</w:t>
            </w:r>
          </w:p>
        </w:tc>
        <w:tc>
          <w:tcPr>
            <w:tcW w:type="dxa" w:w="935"/>
          </w:tcPr>
          <w:p>
            <w:r>
              <w:rPr>
                <w:b/>
                <w:sz w:val="20"/>
              </w:rPr>
              <w:t>Sous-classe</w:t>
            </w:r>
          </w:p>
        </w:tc>
        <w:tc>
          <w:tcPr>
            <w:tcW w:type="dxa" w:w="935"/>
          </w:tcPr>
          <w:p>
            <w:r>
              <w:rPr>
                <w:b/>
                <w:sz w:val="20"/>
              </w:rPr>
              <w:t>Cible moléculaire</w:t>
            </w:r>
          </w:p>
        </w:tc>
        <w:tc>
          <w:tcPr>
            <w:tcW w:type="dxa" w:w="935"/>
          </w:tcPr>
          <w:p>
            <w:r>
              <w:rPr>
                <w:b/>
                <w:sz w:val="20"/>
              </w:rPr>
              <w:t>Spectre otique</w:t>
            </w:r>
          </w:p>
        </w:tc>
        <w:tc>
          <w:tcPr>
            <w:tcW w:type="dxa" w:w="935"/>
          </w:tcPr>
          <w:p>
            <w:r>
              <w:rPr>
                <w:b/>
                <w:sz w:val="20"/>
              </w:rPr>
              <w:t>Ototoxicité locale</w:t>
            </w:r>
          </w:p>
        </w:tc>
        <w:tc>
          <w:tcPr>
            <w:tcW w:type="dxa" w:w="935"/>
          </w:tcPr>
          <w:p>
            <w:r>
              <w:rPr>
                <w:b/>
                <w:sz w:val="20"/>
              </w:rPr>
              <w:t>CI tympan perforé</w:t>
            </w:r>
          </w:p>
        </w:tc>
        <w:tc>
          <w:tcPr>
            <w:tcW w:type="dxa" w:w="935"/>
          </w:tcPr>
          <w:p>
            <w:r>
              <w:rPr>
                <w:b/>
                <w:sz w:val="20"/>
              </w:rPr>
              <w:t>Posologie adulte</w:t>
            </w:r>
          </w:p>
        </w:tc>
        <w:tc>
          <w:tcPr>
            <w:tcW w:type="dxa" w:w="935"/>
          </w:tcPr>
          <w:p>
            <w:r>
              <w:rPr>
                <w:b/>
                <w:sz w:val="20"/>
              </w:rPr>
              <w:t>Demi-vie systémique</w:t>
            </w:r>
          </w:p>
        </w:tc>
        <w:tc>
          <w:tcPr>
            <w:tcW w:type="dxa" w:w="935"/>
          </w:tcPr>
          <w:p>
            <w:r>
              <w:rPr>
                <w:b/>
                <w:sz w:val="20"/>
              </w:rPr>
              <w:t>Grossesse</w:t>
            </w:r>
          </w:p>
        </w:tc>
        <w:tc>
          <w:tcPr>
            <w:tcW w:type="dxa" w:w="935"/>
          </w:tcPr>
          <w:p>
            <w:r>
              <w:rPr>
                <w:b/>
                <w:sz w:val="20"/>
              </w:rPr>
              <w:t>Allaitement</w:t>
            </w:r>
          </w:p>
        </w:tc>
      </w:tr>
      <w:tr>
        <w:tc>
          <w:tcPr>
            <w:tcW w:type="dxa" w:w="935"/>
          </w:tcPr>
          <w:p>
            <w:r>
              <w:rPr>
                <w:sz w:val="20"/>
              </w:rPr>
              <w:t>Acide borique / Borate de sodium</w:t>
            </w:r>
          </w:p>
        </w:tc>
        <w:tc>
          <w:tcPr>
            <w:tcW w:type="dxa" w:w="935"/>
          </w:tcPr>
          <w:p>
            <w:r>
              <w:rPr>
                <w:sz w:val="20"/>
              </w:rPr>
              <w:t>Antiseptique borique</w:t>
            </w:r>
          </w:p>
        </w:tc>
        <w:tc>
          <w:tcPr>
            <w:tcW w:type="dxa" w:w="935"/>
          </w:tcPr>
          <w:p>
            <w:r>
              <w:rPr>
                <w:sz w:val="20"/>
              </w:rPr>
              <w:t>Acidification + perméabilité membranaire + β-1,3-glucane synthase fongique</w:t>
            </w:r>
          </w:p>
        </w:tc>
        <w:tc>
          <w:tcPr>
            <w:tcW w:type="dxa" w:w="935"/>
          </w:tcPr>
          <w:p>
            <w:r>
              <w:rPr>
                <w:sz w:val="20"/>
              </w:rPr>
              <w:t>Bactériostatique + fongistatique large</w:t>
            </w:r>
          </w:p>
        </w:tc>
        <w:tc>
          <w:tcPr>
            <w:tcW w:type="dxa" w:w="935"/>
          </w:tcPr>
          <w:p>
            <w:r>
              <w:rPr>
                <w:sz w:val="20"/>
              </w:rPr>
              <w:t>Théorique (non formellement démontrée)</w:t>
            </w:r>
          </w:p>
        </w:tc>
        <w:tc>
          <w:tcPr>
            <w:tcW w:type="dxa" w:w="935"/>
          </w:tcPr>
          <w:p>
            <w:r>
              <w:rPr>
                <w:sz w:val="20"/>
              </w:rPr>
              <w:t>**CI absolue** (toxicité systémique cumulative)</w:t>
            </w:r>
          </w:p>
        </w:tc>
        <w:tc>
          <w:tcPr>
            <w:tcW w:type="dxa" w:w="935"/>
          </w:tcPr>
          <w:p>
            <w:r>
              <w:rPr>
                <w:sz w:val="20"/>
              </w:rPr>
              <w:t>2–3 gouttes × 2–3/j, 7 jours max</w:t>
            </w:r>
          </w:p>
        </w:tc>
        <w:tc>
          <w:tcPr>
            <w:tcW w:type="dxa" w:w="935"/>
          </w:tcPr>
          <w:p>
            <w:r>
              <w:rPr>
                <w:sz w:val="20"/>
              </w:rPr>
              <w:t>13 h (absorption systémique)</w:t>
            </w:r>
          </w:p>
        </w:tc>
        <w:tc>
          <w:tcPr>
            <w:tcW w:type="dxa" w:w="935"/>
          </w:tcPr>
          <w:p>
            <w:r>
              <w:rPr>
                <w:sz w:val="20"/>
              </w:rPr>
              <w:t>CI par prudence</w:t>
            </w:r>
          </w:p>
        </w:tc>
        <w:tc>
          <w:tcPr>
            <w:tcW w:type="dxa" w:w="935"/>
          </w:tcPr>
          <w:p>
            <w:r>
              <w:rPr>
                <w:sz w:val="20"/>
              </w:rPr>
              <w:t>CI par prudence</w:t>
            </w:r>
          </w:p>
        </w:tc>
      </w:tr>
      <w:tr>
        <w:tc>
          <w:tcPr>
            <w:tcW w:type="dxa" w:w="935"/>
          </w:tcPr>
          <w:p>
            <w:r>
              <w:rPr>
                <w:sz w:val="20"/>
              </w:rPr>
              <w:t>Biclotymol + Lysozyme + Énoxolone</w:t>
            </w:r>
          </w:p>
        </w:tc>
        <w:tc>
          <w:tcPr>
            <w:tcW w:type="dxa" w:w="935"/>
          </w:tcPr>
          <w:p>
            <w:r>
              <w:rPr>
                <w:sz w:val="20"/>
              </w:rPr>
              <w:t>Antiseptique ORL (association)</w:t>
            </w:r>
          </w:p>
        </w:tc>
        <w:tc>
          <w:tcPr>
            <w:tcW w:type="dxa" w:w="935"/>
          </w:tcPr>
          <w:p>
            <w:r>
              <w:rPr>
                <w:sz w:val="20"/>
              </w:rPr>
              <w:t>Membranes bactériennes + peptidoglycane + 15-PGDH (corticomimétique)</w:t>
            </w:r>
          </w:p>
        </w:tc>
        <w:tc>
          <w:tcPr>
            <w:tcW w:type="dxa" w:w="935"/>
          </w:tcPr>
          <w:p>
            <w:r>
              <w:rPr>
                <w:sz w:val="20"/>
              </w:rPr>
              <w:t>Bactériostatique Gram+ + anti-inflammatoire</w:t>
            </w:r>
          </w:p>
        </w:tc>
        <w:tc>
          <w:tcPr>
            <w:tcW w:type="dxa" w:w="935"/>
          </w:tcPr>
          <w:p>
            <w:r>
              <w:rPr>
                <w:sz w:val="20"/>
              </w:rPr>
              <w:t>Néant (usage pharyngé)</w:t>
            </w:r>
          </w:p>
        </w:tc>
        <w:tc>
          <w:tcPr>
            <w:tcW w:type="dxa" w:w="935"/>
          </w:tcPr>
          <w:p>
            <w:r>
              <w:rPr>
                <w:sz w:val="20"/>
              </w:rPr>
              <w:t>Néant (usage pharyngé)</w:t>
            </w:r>
          </w:p>
        </w:tc>
        <w:tc>
          <w:tcPr>
            <w:tcW w:type="dxa" w:w="935"/>
          </w:tcPr>
          <w:p>
            <w:r>
              <w:rPr>
                <w:sz w:val="20"/>
              </w:rPr>
              <w:t>1 cp × 4–6/j, 5 jours max</w:t>
            </w:r>
          </w:p>
        </w:tc>
        <w:tc>
          <w:tcPr>
            <w:tcW w:type="dxa" w:w="935"/>
          </w:tcPr>
          <w:p>
            <w:r>
              <w:rPr>
                <w:sz w:val="20"/>
              </w:rPr>
              <w:t>Variable (faible absorption)</w:t>
            </w:r>
          </w:p>
        </w:tc>
        <w:tc>
          <w:tcPr>
            <w:tcW w:type="dxa" w:w="935"/>
          </w:tcPr>
          <w:p>
            <w:r>
              <w:rPr>
                <w:sz w:val="20"/>
              </w:rPr>
              <w:t>Éviter par prudence</w:t>
            </w:r>
          </w:p>
        </w:tc>
        <w:tc>
          <w:tcPr>
            <w:tcW w:type="dxa" w:w="935"/>
          </w:tcPr>
          <w:p>
            <w:r>
              <w:rPr>
                <w:sz w:val="20"/>
              </w:rPr>
              <w:t>Éviter par prudence</w:t>
            </w:r>
          </w:p>
        </w:tc>
      </w:tr>
      <w:tr>
        <w:tc>
          <w:tcPr>
            <w:tcW w:type="dxa" w:w="935"/>
          </w:tcPr>
          <w:p>
            <w:r>
              <w:rPr>
                <w:sz w:val="20"/>
              </w:rPr>
              <w:t>Chloramphénicol</w:t>
            </w:r>
          </w:p>
        </w:tc>
        <w:tc>
          <w:tcPr>
            <w:tcW w:type="dxa" w:w="935"/>
          </w:tcPr>
          <w:p>
            <w:r>
              <w:rPr>
                <w:sz w:val="20"/>
              </w:rPr>
              <w:t>Amphénicolé</w:t>
            </w:r>
          </w:p>
        </w:tc>
        <w:tc>
          <w:tcPr>
            <w:tcW w:type="dxa" w:w="935"/>
          </w:tcPr>
          <w:p>
            <w:r>
              <w:rPr>
                <w:sz w:val="20"/>
              </w:rPr>
              <w:t>Peptidyl transférase 50S</w:t>
            </w:r>
          </w:p>
        </w:tc>
        <w:tc>
          <w:tcPr>
            <w:tcW w:type="dxa" w:w="935"/>
          </w:tcPr>
          <w:p>
            <w:r>
              <w:rPr>
                <w:sz w:val="20"/>
              </w:rPr>
              <w:t>Bactériostatique large spectre</w:t>
            </w:r>
          </w:p>
        </w:tc>
        <w:tc>
          <w:tcPr>
            <w:tcW w:type="dxa" w:w="935"/>
          </w:tcPr>
          <w:p>
            <w:r>
              <w:rPr>
                <w:sz w:val="20"/>
              </w:rPr>
              <w:t>Théorique (décrite à fortes doses systémiques)</w:t>
            </w:r>
          </w:p>
        </w:tc>
        <w:tc>
          <w:tcPr>
            <w:tcW w:type="dxa" w:w="935"/>
          </w:tcPr>
          <w:p>
            <w:r>
              <w:rPr>
                <w:sz w:val="20"/>
              </w:rPr>
              <w:t>**CI absolue** par prudence</w:t>
            </w:r>
          </w:p>
        </w:tc>
        <w:tc>
          <w:tcPr>
            <w:tcW w:type="dxa" w:w="935"/>
          </w:tcPr>
          <w:p>
            <w:r>
              <w:rPr>
                <w:sz w:val="20"/>
              </w:rPr>
              <w:t>1 goutte × 3–6/j (ophtalmique), 7 jours max</w:t>
            </w:r>
          </w:p>
        </w:tc>
        <w:tc>
          <w:tcPr>
            <w:tcW w:type="dxa" w:w="935"/>
          </w:tcPr>
          <w:p>
            <w:r>
              <w:rPr>
                <w:sz w:val="20"/>
              </w:rPr>
              <w:t>3–4 h</w:t>
            </w:r>
          </w:p>
        </w:tc>
        <w:tc>
          <w:tcPr>
            <w:tcW w:type="dxa" w:w="935"/>
          </w:tcPr>
          <w:p>
            <w:r>
              <w:rPr>
                <w:sz w:val="20"/>
              </w:rPr>
              <w:t>**CI absolue** (3e trimestre)</w:t>
            </w:r>
          </w:p>
        </w:tc>
        <w:tc>
          <w:tcPr>
            <w:tcW w:type="dxa" w:w="935"/>
          </w:tcPr>
          <w:p>
            <w:r>
              <w:rPr>
                <w:sz w:val="20"/>
              </w:rPr>
              <w:t>**CI absolue**</w:t>
            </w:r>
          </w:p>
        </w:tc>
      </w:tr>
      <w:tr>
        <w:tc>
          <w:tcPr>
            <w:tcW w:type="dxa" w:w="935"/>
          </w:tcPr>
          <w:p>
            <w:r>
              <w:rPr>
                <w:sz w:val="20"/>
              </w:rPr>
              <w:t>Rifamycine SV</w:t>
            </w:r>
          </w:p>
        </w:tc>
        <w:tc>
          <w:tcPr>
            <w:tcW w:type="dxa" w:w="935"/>
          </w:tcPr>
          <w:p>
            <w:r>
              <w:rPr>
                <w:sz w:val="20"/>
              </w:rPr>
              <w:t>Ansamycine</w:t>
            </w:r>
          </w:p>
        </w:tc>
        <w:tc>
          <w:tcPr>
            <w:tcW w:type="dxa" w:w="935"/>
          </w:tcPr>
          <w:p>
            <w:r>
              <w:rPr>
                <w:sz w:val="20"/>
              </w:rPr>
              <w:t>ARN polymérase ADN-dépendante (rpoB)</w:t>
            </w:r>
          </w:p>
        </w:tc>
        <w:tc>
          <w:tcPr>
            <w:tcW w:type="dxa" w:w="935"/>
          </w:tcPr>
          <w:p>
            <w:r>
              <w:rPr>
                <w:sz w:val="20"/>
              </w:rPr>
              <w:t>Bactéricide large spectre</w:t>
            </w:r>
          </w:p>
        </w:tc>
        <w:tc>
          <w:tcPr>
            <w:tcW w:type="dxa" w:w="935"/>
          </w:tcPr>
          <w:p>
            <w:r>
              <w:rPr>
                <w:sz w:val="20"/>
              </w:rPr>
              <w:t>**Aucune démontrée**</w:t>
            </w:r>
          </w:p>
        </w:tc>
        <w:tc>
          <w:tcPr>
            <w:tcW w:type="dxa" w:w="935"/>
          </w:tcPr>
          <w:p>
            <w:r>
              <w:rPr>
                <w:sz w:val="20"/>
              </w:rPr>
              <w:t>**Pas de CI** (usage autorisé)</w:t>
            </w:r>
          </w:p>
        </w:tc>
        <w:tc>
          <w:tcPr>
            <w:tcW w:type="dxa" w:w="935"/>
          </w:tcPr>
          <w:p>
            <w:r>
              <w:rPr>
                <w:sz w:val="20"/>
              </w:rPr>
              <w:t>3–4 gouttes × 2/j, 7–10 jours max</w:t>
            </w:r>
          </w:p>
        </w:tc>
        <w:tc>
          <w:tcPr>
            <w:tcW w:type="dxa" w:w="935"/>
          </w:tcPr>
          <w:p>
            <w:r>
              <w:rPr>
                <w:sz w:val="20"/>
              </w:rPr>
              <w:t>3 h (faible absorption locale)</w:t>
            </w:r>
          </w:p>
        </w:tc>
        <w:tc>
          <w:tcPr>
            <w:tcW w:type="dxa" w:w="935"/>
          </w:tcPr>
          <w:p>
            <w:r>
              <w:rPr>
                <w:sz w:val="20"/>
              </w:rPr>
              <w:t>Possible</w:t>
            </w:r>
          </w:p>
        </w:tc>
        <w:tc>
          <w:tcPr>
            <w:tcW w:type="dxa" w:w="935"/>
          </w:tcPr>
          <w:p>
            <w:r>
              <w:rPr>
                <w:sz w:val="20"/>
              </w:rPr>
              <w:t>Possible</w:t>
            </w:r>
          </w:p>
        </w:tc>
      </w:tr>
      <w:tr>
        <w:tc>
          <w:tcPr>
            <w:tcW w:type="dxa" w:w="935"/>
          </w:tcPr>
          <w:p>
            <w:r>
              <w:rPr>
                <w:sz w:val="20"/>
              </w:rPr>
              <w:t>Ciprofloxacine</w:t>
            </w:r>
          </w:p>
        </w:tc>
        <w:tc>
          <w:tcPr>
            <w:tcW w:type="dxa" w:w="935"/>
          </w:tcPr>
          <w:p>
            <w:r>
              <w:rPr>
                <w:sz w:val="20"/>
              </w:rPr>
              <w:t>Fluoroquinolone 2e gén.</w:t>
            </w:r>
          </w:p>
        </w:tc>
        <w:tc>
          <w:tcPr>
            <w:tcW w:type="dxa" w:w="935"/>
          </w:tcPr>
          <w:p>
            <w:r>
              <w:rPr>
                <w:sz w:val="20"/>
              </w:rPr>
              <w:t>ADN gyrase (GyrA) + topoisomérase IV (ParC)</w:t>
            </w:r>
          </w:p>
        </w:tc>
        <w:tc>
          <w:tcPr>
            <w:tcW w:type="dxa" w:w="935"/>
          </w:tcPr>
          <w:p>
            <w:r>
              <w:rPr>
                <w:sz w:val="20"/>
              </w:rPr>
              <w:t>Bactéricide Gram− dont *Pseudomonas*</w:t>
            </w:r>
          </w:p>
        </w:tc>
        <w:tc>
          <w:tcPr>
            <w:tcW w:type="dxa" w:w="935"/>
          </w:tcPr>
          <w:p>
            <w:r>
              <w:rPr>
                <w:sz w:val="20"/>
              </w:rPr>
              <w:t>**Aucune démontrée**</w:t>
            </w:r>
          </w:p>
        </w:tc>
        <w:tc>
          <w:tcPr>
            <w:tcW w:type="dxa" w:w="935"/>
          </w:tcPr>
          <w:p>
            <w:r>
              <w:rPr>
                <w:sz w:val="20"/>
              </w:rPr>
              <w:t>**Pas de CI** (usage autorisé)</w:t>
            </w:r>
          </w:p>
        </w:tc>
        <w:tc>
          <w:tcPr>
            <w:tcW w:type="dxa" w:w="935"/>
          </w:tcPr>
          <w:p>
            <w:r>
              <w:rPr>
                <w:sz w:val="20"/>
              </w:rPr>
              <w:t>1 unidose × 2/j, 7–10 jours max</w:t>
            </w:r>
          </w:p>
        </w:tc>
        <w:tc>
          <w:tcPr>
            <w:tcW w:type="dxa" w:w="935"/>
          </w:tcPr>
          <w:p>
            <w:r>
              <w:rPr>
                <w:sz w:val="20"/>
              </w:rPr>
              <w:t>3–4 h (faible absorption locale)</w:t>
            </w:r>
          </w:p>
        </w:tc>
        <w:tc>
          <w:tcPr>
            <w:tcW w:type="dxa" w:w="935"/>
          </w:tcPr>
          <w:p>
            <w:r>
              <w:rPr>
                <w:sz w:val="20"/>
              </w:rPr>
              <w:t>Éviter par prudence</w:t>
            </w:r>
          </w:p>
        </w:tc>
        <w:tc>
          <w:tcPr>
            <w:tcW w:type="dxa" w:w="935"/>
          </w:tcPr>
          <w:p>
            <w:r>
              <w:rPr>
                <w:sz w:val="20"/>
              </w:rPr>
              <w:t>Éviter par prudence</w:t>
            </w:r>
          </w:p>
        </w:tc>
      </w:tr>
      <w:tr>
        <w:tc>
          <w:tcPr>
            <w:tcW w:type="dxa" w:w="935"/>
          </w:tcPr>
          <w:p>
            <w:r>
              <w:rPr>
                <w:sz w:val="20"/>
              </w:rPr>
              <w:t>Ofloxacine</w:t>
            </w:r>
          </w:p>
        </w:tc>
        <w:tc>
          <w:tcPr>
            <w:tcW w:type="dxa" w:w="935"/>
          </w:tcPr>
          <w:p>
            <w:r>
              <w:rPr>
                <w:sz w:val="20"/>
              </w:rPr>
              <w:t>Fluoroquinolone 2e gén. (racémique)</w:t>
            </w:r>
          </w:p>
        </w:tc>
        <w:tc>
          <w:tcPr>
            <w:tcW w:type="dxa" w:w="935"/>
          </w:tcPr>
          <w:p>
            <w:r>
              <w:rPr>
                <w:sz w:val="20"/>
              </w:rPr>
              <w:t>ADN gyrase + topoisomérase IV</w:t>
            </w:r>
          </w:p>
        </w:tc>
        <w:tc>
          <w:tcPr>
            <w:tcW w:type="dxa" w:w="935"/>
          </w:tcPr>
          <w:p>
            <w:r>
              <w:rPr>
                <w:sz w:val="20"/>
              </w:rPr>
              <w:t>Bactéricide large spectre</w:t>
            </w:r>
          </w:p>
        </w:tc>
        <w:tc>
          <w:tcPr>
            <w:tcW w:type="dxa" w:w="935"/>
          </w:tcPr>
          <w:p>
            <w:r>
              <w:rPr>
                <w:sz w:val="20"/>
              </w:rPr>
              <w:t>**Aucune démontrée**</w:t>
            </w:r>
          </w:p>
        </w:tc>
        <w:tc>
          <w:tcPr>
            <w:tcW w:type="dxa" w:w="935"/>
          </w:tcPr>
          <w:p>
            <w:r>
              <w:rPr>
                <w:sz w:val="20"/>
              </w:rPr>
              <w:t>**Pas de CI** (usage autorisé)</w:t>
            </w:r>
          </w:p>
        </w:tc>
        <w:tc>
          <w:tcPr>
            <w:tcW w:type="dxa" w:w="935"/>
          </w:tcPr>
          <w:p>
            <w:r>
              <w:rPr>
                <w:sz w:val="20"/>
              </w:rPr>
              <w:t>2–3 gouttes × 2–3/j, 7–10 jours max</w:t>
            </w:r>
          </w:p>
        </w:tc>
        <w:tc>
          <w:tcPr>
            <w:tcW w:type="dxa" w:w="935"/>
          </w:tcPr>
          <w:p>
            <w:r>
              <w:rPr>
                <w:sz w:val="20"/>
              </w:rPr>
              <w:t>5–8 h (faible absorption locale)</w:t>
            </w:r>
          </w:p>
        </w:tc>
        <w:tc>
          <w:tcPr>
            <w:tcW w:type="dxa" w:w="935"/>
          </w:tcPr>
          <w:p>
            <w:r>
              <w:rPr>
                <w:sz w:val="20"/>
              </w:rPr>
              <w:t>Éviter par prudence</w:t>
            </w:r>
          </w:p>
        </w:tc>
        <w:tc>
          <w:tcPr>
            <w:tcW w:type="dxa" w:w="935"/>
          </w:tcPr>
          <w:p>
            <w:r>
              <w:rPr>
                <w:sz w:val="20"/>
              </w:rPr>
              <w:t>Éviter par prudence</w:t>
            </w:r>
          </w:p>
        </w:tc>
      </w:tr>
      <w:tr>
        <w:tc>
          <w:tcPr>
            <w:tcW w:type="dxa" w:w="935"/>
          </w:tcPr>
          <w:p>
            <w:r>
              <w:rPr>
                <w:sz w:val="20"/>
              </w:rPr>
              <w:t>Lévofloxacine</w:t>
            </w:r>
          </w:p>
        </w:tc>
        <w:tc>
          <w:tcPr>
            <w:tcW w:type="dxa" w:w="935"/>
          </w:tcPr>
          <w:p>
            <w:r>
              <w:rPr>
                <w:sz w:val="20"/>
              </w:rPr>
              <w:t>Fluoroquinolone 3e gén. (L-isomère)</w:t>
            </w:r>
          </w:p>
        </w:tc>
        <w:tc>
          <w:tcPr>
            <w:tcW w:type="dxa" w:w="935"/>
          </w:tcPr>
          <w:p>
            <w:r>
              <w:rPr>
                <w:sz w:val="20"/>
              </w:rPr>
              <w:t>ADN gyrase + topoisomérase IV</w:t>
            </w:r>
          </w:p>
        </w:tc>
        <w:tc>
          <w:tcPr>
            <w:tcW w:type="dxa" w:w="935"/>
          </w:tcPr>
          <w:p>
            <w:r>
              <w:rPr>
                <w:sz w:val="20"/>
              </w:rPr>
              <w:t>Bactéricide large spectre + pneumocoque</w:t>
            </w:r>
          </w:p>
        </w:tc>
        <w:tc>
          <w:tcPr>
            <w:tcW w:type="dxa" w:w="935"/>
          </w:tcPr>
          <w:p>
            <w:r>
              <w:rPr>
                <w:sz w:val="20"/>
              </w:rPr>
              <w:t>**Aucune démontrée**</w:t>
            </w:r>
          </w:p>
        </w:tc>
        <w:tc>
          <w:tcPr>
            <w:tcW w:type="dxa" w:w="935"/>
          </w:tcPr>
          <w:p>
            <w:r>
              <w:rPr>
                <w:sz w:val="20"/>
              </w:rPr>
              <w:t>**Pas de CI** (usage autorisé)</w:t>
            </w:r>
          </w:p>
        </w:tc>
        <w:tc>
          <w:tcPr>
            <w:tcW w:type="dxa" w:w="935"/>
          </w:tcPr>
          <w:p>
            <w:r>
              <w:rPr>
                <w:sz w:val="20"/>
              </w:rPr>
              <w:t>2–3 gouttes × 2–3/j, 7–10 jours max</w:t>
            </w:r>
          </w:p>
        </w:tc>
        <w:tc>
          <w:tcPr>
            <w:tcW w:type="dxa" w:w="935"/>
          </w:tcPr>
          <w:p>
            <w:r>
              <w:rPr>
                <w:sz w:val="20"/>
              </w:rPr>
              <w:t>6–8 h (faible absorption locale)</w:t>
            </w:r>
          </w:p>
        </w:tc>
        <w:tc>
          <w:tcPr>
            <w:tcW w:type="dxa" w:w="935"/>
          </w:tcPr>
          <w:p>
            <w:r>
              <w:rPr>
                <w:sz w:val="20"/>
              </w:rPr>
              <w:t>Éviter par prudence</w:t>
            </w:r>
          </w:p>
        </w:tc>
        <w:tc>
          <w:tcPr>
            <w:tcW w:type="dxa" w:w="935"/>
          </w:tcPr>
          <w:p>
            <w:r>
              <w:rPr>
                <w:sz w:val="20"/>
              </w:rPr>
              <w:t>Éviter par prudence</w:t>
            </w:r>
          </w:p>
        </w:tc>
      </w:tr>
      <w:tr>
        <w:tc>
          <w:tcPr>
            <w:tcW w:type="dxa" w:w="935"/>
          </w:tcPr>
          <w:p>
            <w:r>
              <w:rPr>
                <w:sz w:val="20"/>
              </w:rPr>
              <w:t>Phénazone + Lidocaïne</w:t>
            </w:r>
          </w:p>
        </w:tc>
        <w:tc>
          <w:tcPr>
            <w:tcW w:type="dxa" w:w="935"/>
          </w:tcPr>
          <w:p>
            <w:r>
              <w:rPr>
                <w:sz w:val="20"/>
              </w:rPr>
              <w:t>Anesthésique otique</w:t>
            </w:r>
          </w:p>
        </w:tc>
        <w:tc>
          <w:tcPr>
            <w:tcW w:type="dxa" w:w="935"/>
          </w:tcPr>
          <w:p>
            <w:r>
              <w:rPr>
                <w:sz w:val="20"/>
              </w:rPr>
              <w:t>COX-1/2 (phénazone) + canaux NaV (lidocaïne)</w:t>
            </w:r>
          </w:p>
        </w:tc>
        <w:tc>
          <w:tcPr>
            <w:tcW w:type="dxa" w:w="935"/>
          </w:tcPr>
          <w:p>
            <w:r>
              <w:rPr>
                <w:sz w:val="20"/>
              </w:rPr>
              <w:t>Antalgique + anesthésique local</w:t>
            </w:r>
          </w:p>
        </w:tc>
        <w:tc>
          <w:tcPr>
            <w:tcW w:type="dxa" w:w="935"/>
          </w:tcPr>
          <w:p>
            <w:r>
              <w:rPr>
                <w:sz w:val="20"/>
              </w:rPr>
              <w:t>Théorique (lidocaïne à forte concentration sur fenêtre ronde)</w:t>
            </w:r>
          </w:p>
        </w:tc>
        <w:tc>
          <w:tcPr>
            <w:tcW w:type="dxa" w:w="935"/>
          </w:tcPr>
          <w:p>
            <w:r>
              <w:rPr>
                <w:sz w:val="20"/>
              </w:rPr>
              <w:t>**CI absolue** (passage systémique)</w:t>
            </w:r>
          </w:p>
        </w:tc>
        <w:tc>
          <w:tcPr>
            <w:tcW w:type="dxa" w:w="935"/>
          </w:tcPr>
          <w:p>
            <w:r>
              <w:rPr>
                <w:sz w:val="20"/>
              </w:rPr>
              <w:t>4 gouttes × 2–3/j, 7–10 jours max</w:t>
            </w:r>
          </w:p>
        </w:tc>
        <w:tc>
          <w:tcPr>
            <w:tcW w:type="dxa" w:w="935"/>
          </w:tcPr>
          <w:p>
            <w:r>
              <w:rPr>
                <w:sz w:val="20"/>
              </w:rPr>
              <w:t>Phénazone 7–12 h, lidocaïne 1,5–2 h</w:t>
            </w:r>
          </w:p>
        </w:tc>
        <w:tc>
          <w:tcPr>
            <w:tcW w:type="dxa" w:w="935"/>
          </w:tcPr>
          <w:p>
            <w:r>
              <w:rPr>
                <w:sz w:val="20"/>
              </w:rPr>
              <w:t>Possible sur tympan intact</w:t>
            </w:r>
          </w:p>
        </w:tc>
        <w:tc>
          <w:tcPr>
            <w:tcW w:type="dxa" w:w="935"/>
          </w:tcPr>
          <w:p>
            <w:r>
              <w:rPr>
                <w:sz w:val="20"/>
              </w:rPr>
              <w:t>Possible sur tympan intact</w:t>
            </w:r>
          </w:p>
        </w:tc>
      </w:tr>
    </w:tbl>
    <w:p/>
    <w:p>
      <w:pPr>
        <w:pStyle w:val="Heading2"/>
      </w:pPr>
      <w:r>
        <w:t>131.10. Synthèse pédagogique pour la pratique officinale algérienne</w:t>
      </w:r>
    </w:p>
    <w:p>
      <w:pPr>
        <w:pStyle w:val="Heading3"/>
      </w:pPr>
      <w:r>
        <w:t>1. Règle d'or : vérifier l'intégrité tympanique avant toute instillation otique</w:t>
      </w:r>
    </w:p>
    <w:p>
      <w:r>
        <w:t xml:space="preserve">La première question à poser systématiquement au comptoir devant toute demande de gouttes otiques est : </w:t>
      </w:r>
      <w:r>
        <w:rPr>
          <w:b/>
        </w:rPr>
        <w:t>« Y a-t-il un écoulement de l'oreille ? »</w:t>
      </w:r>
      <w:r>
        <w:t>. La présence d'une otorrhée signe une perforation tympanique et contre-indique formellement :</w:t>
      </w:r>
    </w:p>
    <w:p>
      <w:pPr>
        <w:pStyle w:val="ListBullet"/>
      </w:pPr>
      <w:r>
        <w:t>L'acide borique (toxicité systémique cumulative borique) ;</w:t>
      </w:r>
    </w:p>
    <w:p>
      <w:pPr>
        <w:pStyle w:val="ListBullet"/>
      </w:pPr>
      <w:r>
        <w:t>Le chloramphénicol (ototoxicité théorique, aplasie médullaire, syndrome gris) ;</w:t>
      </w:r>
    </w:p>
    <w:p>
      <w:pPr>
        <w:pStyle w:val="ListBullet"/>
      </w:pPr>
      <w:r>
        <w:t>La phénazone + lidocaïne (passage systémique de la lidocaïne → convulsions, troubles du rythme ; ototoxicité théorique de la lidocaïne sur la fenêtre ronde) ;</w:t>
      </w:r>
    </w:p>
    <w:p>
      <w:pPr>
        <w:pStyle w:val="ListBullet"/>
      </w:pPr>
      <w:r>
        <w:t>Les aminosides locaux (néomycine, framycétine, gentamicine — ototoxicité cochléo-vestibulaire grave, irréversible) — non traités dans ce chapitre mais à connaître ;</w:t>
      </w:r>
    </w:p>
    <w:p>
      <w:pPr>
        <w:pStyle w:val="ListBullet"/>
      </w:pPr>
      <w:r>
        <w:t>La polymyxine B locale (ototoxicité théorique) — non traitée dans ce chapitre mais à connaître.</w:t>
      </w:r>
    </w:p>
    <w:p>
      <w:r>
        <w:t xml:space="preserve">En revanche, </w:t>
      </w:r>
      <w:r>
        <w:rPr>
          <w:b/>
        </w:rPr>
        <w:t>les fluoroquinolones locales (ciprofloxacine, ofloxacine, lévofloxacine) et la rifamycine SV locale (OTOFA) sont autorisées en cas de perforation tympanique ou d'aérateur trans-tympanique en place</w:t>
      </w:r>
      <w:r>
        <w:t>, en raison de l'absence d'ototoxicité locale démontrée. C'est l'avantage majeur de ces molécules sur les antiseptiques et les aminosides locaux.</w:t>
      </w:r>
    </w:p>
    <w:p>
      <w:pPr>
        <w:pStyle w:val="Heading3"/>
      </w:pPr>
      <w:r>
        <w:t>2. Le spectre bactérien oriente le choix</w:t>
      </w:r>
    </w:p>
    <w:p>
      <w:r>
        <w:t xml:space="preserve">L'écologie bactérienne des otites externes et des otorrhées sur ATT est dominée par </w:t>
      </w:r>
      <w:r>
        <w:rPr>
          <w:i/>
        </w:rPr>
        <w:t>Pseudomonas aeruginosa</w:t>
      </w:r>
      <w:r>
        <w:t xml:space="preserve"> (~40–60 % des otites externes diffuses, ~50–70 % des otorrhées sur ATT), </w:t>
      </w:r>
      <w:r>
        <w:rPr>
          <w:i/>
        </w:rPr>
        <w:t>Staphylococcus aureus</w:t>
      </w:r>
      <w:r>
        <w:t xml:space="preserve"> (~20 %), les entérobactéries (~10 %), les streptocoques (~5 %). Les fluoroquinolones locales (en particulier la ciprofloxacine) sont les molécules de référence pour couvrir ce spectre :</w:t>
      </w:r>
    </w:p>
    <w:p>
      <w:pPr>
        <w:pStyle w:val="ListBullet"/>
      </w:pPr>
      <w:r/>
      <w:r>
        <w:rPr>
          <w:b/>
        </w:rPr>
        <w:t>Ciprofloxacine locale</w:t>
      </w:r>
      <w:r>
        <w:t xml:space="preserve"> : 1re intention dans les otorrhées sur ATT, otites externes diffuses à *Pseudomonas* ;</w:t>
      </w:r>
    </w:p>
    <w:p>
      <w:pPr>
        <w:pStyle w:val="ListBullet"/>
      </w:pPr>
      <w:r/>
      <w:r>
        <w:rPr>
          <w:b/>
        </w:rPr>
        <w:t>Ofloxacine locale</w:t>
      </w:r>
      <w:r>
        <w:t xml:space="preserve"> : alternative, surtout utile en cas de souche pneumococcique ou streptococcique ;</w:t>
      </w:r>
    </w:p>
    <w:p>
      <w:pPr>
        <w:pStyle w:val="ListBullet"/>
      </w:pPr>
      <w:r/>
      <w:r>
        <w:rPr>
          <w:b/>
        </w:rPr>
        <w:t>Lévofloxacine locale</w:t>
      </w:r>
      <w:r>
        <w:t xml:space="preserve"> : alternative en 2e intention, supérieure sur le pneumocoque ;</w:t>
      </w:r>
    </w:p>
    <w:p>
      <w:pPr>
        <w:pStyle w:val="ListBullet"/>
      </w:pPr>
      <w:r/>
      <w:r>
        <w:rPr>
          <w:b/>
        </w:rPr>
        <w:t>Rifamycine SV locale (OTOFA)</w:t>
      </w:r>
      <w:r>
        <w:t xml:space="preserve"> : alternative de choix chez le nourrisson &lt; 1 an (où les FQ sont CI par prudence) ;</w:t>
      </w:r>
    </w:p>
    <w:p>
      <w:pPr>
        <w:pStyle w:val="ListBullet"/>
      </w:pPr>
      <w:r/>
      <w:r>
        <w:rPr>
          <w:b/>
        </w:rPr>
        <w:t>Acide borique</w:t>
      </w:r>
      <w:r>
        <w:t xml:space="preserve"> : à réserver aux otomycoses récidivantes à *Candida* ou *Aspergillus*, en alternative aux antifongiques azolés locaux ;</w:t>
      </w:r>
    </w:p>
    <w:p>
      <w:pPr>
        <w:pStyle w:val="ListBullet"/>
      </w:pPr>
      <w:r/>
      <w:r>
        <w:rPr>
          <w:b/>
        </w:rPr>
        <w:t>Chloramphénicol</w:t>
      </w:r>
      <w:r>
        <w:t xml:space="preserve"> : à proscrire de l'usage otique (risque d'aplasie, ototoxicité théorique, syndrome gris nourrisson) ;</w:t>
      </w:r>
    </w:p>
    <w:p>
      <w:pPr>
        <w:pStyle w:val="ListBullet"/>
      </w:pPr>
      <w:r/>
      <w:r>
        <w:rPr>
          <w:b/>
        </w:rPr>
        <w:t>Phénazone + lidocaïne</w:t>
      </w:r>
      <w:r>
        <w:t xml:space="preserve"> : antalgie symptomatique de l'OMA non perforée, en complément d'une antalgie systémique (paracétamol).</w:t>
      </w:r>
    </w:p>
    <w:p>
      <w:pPr>
        <w:pStyle w:val="Heading3"/>
      </w:pPr>
      <w:r>
        <w:t>3. Le statut « Liste I » des principales spécialités otiques</w:t>
      </w:r>
    </w:p>
    <w:p>
      <w:r>
        <w:t>La plupart des spécialités otiques actives en Algérie sont inscrites sur la Liste I (médicaments à prescription médicale obligatoire, mais renouvelable) :</w:t>
      </w:r>
    </w:p>
    <w:p>
      <w:pPr>
        <w:pStyle w:val="ListBullet"/>
      </w:pPr>
      <w:r>
        <w:t>OTOFA (rifamycine SV) — Liste I ;</w:t>
      </w:r>
    </w:p>
    <w:p>
      <w:pPr>
        <w:pStyle w:val="ListBullet"/>
      </w:pPr>
      <w:r>
        <w:t>OTOFLOX (ciprofloxacine) — Liste I ;</w:t>
      </w:r>
    </w:p>
    <w:p>
      <w:pPr>
        <w:pStyle w:val="ListBullet"/>
      </w:pPr>
      <w:r>
        <w:t>CIPRO, CIPRODAR, CIPROTEK (ciprofloxacine collyre) — Liste I ;</w:t>
      </w:r>
    </w:p>
    <w:p>
      <w:pPr>
        <w:pStyle w:val="ListBullet"/>
      </w:pPr>
      <w:r>
        <w:t>CORONOL FREE, OFLOTEK, OFLOXINE, OPTIFLOX (ofloxacine collyre) — Liste I ;</w:t>
      </w:r>
    </w:p>
    <w:p>
      <w:pPr>
        <w:pStyle w:val="ListBullet"/>
      </w:pPr>
      <w:r>
        <w:t>LEVOWORLD, VIVAXIN (lévofloxacine collyre) — Liste I ;</w:t>
      </w:r>
    </w:p>
    <w:p>
      <w:pPr>
        <w:pStyle w:val="ListBullet"/>
      </w:pPr>
      <w:r>
        <w:t>RIFAMYCINE CHIBRET collyre/pommade — Liste I ;</w:t>
      </w:r>
    </w:p>
    <w:p>
      <w:pPr>
        <w:pStyle w:val="ListBullet"/>
      </w:pPr>
      <w:r>
        <w:t>CEBENICOL collyre/pommade (chloramphénicol) — Liste I.</w:t>
      </w:r>
    </w:p>
    <w:p>
      <w:r>
        <w:t>Quelques spécialités sont inscrites hors liste (vente libre) :</w:t>
      </w:r>
    </w:p>
    <w:p>
      <w:pPr>
        <w:pStyle w:val="ListBullet"/>
      </w:pPr>
      <w:r>
        <w:t>OTOCINE (ciprofloxacine) — hors liste ;</w:t>
      </w:r>
    </w:p>
    <w:p>
      <w:pPr>
        <w:pStyle w:val="ListBullet"/>
      </w:pPr>
      <w:r>
        <w:t>ORICALM, OTIDIS, OTIPAX (phénazone + lidocaïne) — hors liste ;</w:t>
      </w:r>
    </w:p>
    <w:p>
      <w:pPr>
        <w:pStyle w:val="ListBullet"/>
      </w:pPr>
      <w:r>
        <w:t>HEXALYSE comprimés à sucer — hors liste ;</w:t>
      </w:r>
    </w:p>
    <w:p>
      <w:pPr>
        <w:pStyle w:val="ListBullet"/>
      </w:pPr>
      <w:r>
        <w:t>HEXASPRAY collutoire — hors liste ;</w:t>
      </w:r>
    </w:p>
    <w:p>
      <w:pPr>
        <w:pStyle w:val="ListBullet"/>
      </w:pPr>
      <w:r>
        <w:t>DACRYOSERUM (acide borique ophtalmique) — hors liste.</w:t>
      </w:r>
    </w:p>
    <w:p>
      <w:r>
        <w:t>L'inscription hors liste ne doit pas faire oublier la règle de bon usage : pour les gouttes otiques antalgiques (ORICALM, OTIDIS, OTIPAX), la 1re prescription doit être médicale (otoscopie préalable obligatoire pour vérifier l'intégrité tympanique). Le renouvellement est possible sans ordonnance pour une durée limitée.</w:t>
      </w:r>
    </w:p>
    <w:p>
      <w:pPr>
        <w:pStyle w:val="Heading3"/>
      </w:pPr>
      <w:r>
        <w:t>4. Les CI pédiatriques à respecter strictement</w:t>
      </w:r>
    </w:p>
    <w:tbl>
      <w:tblPr>
        <w:tblStyle w:val="LightGrid-Accent1"/>
        <w:tblW w:type="auto" w:w="0"/>
        <w:tblLook w:firstColumn="1" w:firstRow="1" w:lastColumn="0" w:lastRow="0" w:noHBand="0" w:noVBand="1" w:val="04A0"/>
      </w:tblPr>
      <w:tblGrid>
        <w:gridCol w:w="4677"/>
        <w:gridCol w:w="4677"/>
      </w:tblGrid>
      <w:tr>
        <w:tc>
          <w:tcPr>
            <w:tcW w:type="dxa" w:w="4677"/>
          </w:tcPr>
          <w:p>
            <w:r>
              <w:rPr>
                <w:b/>
                <w:sz w:val="20"/>
              </w:rPr>
              <w:t>Molécule</w:t>
            </w:r>
          </w:p>
        </w:tc>
        <w:tc>
          <w:tcPr>
            <w:tcW w:type="dxa" w:w="4677"/>
          </w:tcPr>
          <w:p>
            <w:r>
              <w:rPr>
                <w:b/>
                <w:sz w:val="20"/>
              </w:rPr>
              <w:t>CI pédiatrique</w:t>
            </w:r>
          </w:p>
        </w:tc>
      </w:tr>
      <w:tr>
        <w:tc>
          <w:tcPr>
            <w:tcW w:type="dxa" w:w="4677"/>
          </w:tcPr>
          <w:p>
            <w:r>
              <w:rPr>
                <w:sz w:val="20"/>
              </w:rPr>
              <w:t>Acide borique</w:t>
            </w:r>
          </w:p>
        </w:tc>
        <w:tc>
          <w:tcPr>
            <w:tcW w:type="dxa" w:w="4677"/>
          </w:tcPr>
          <w:p>
            <w:r>
              <w:rPr>
                <w:sz w:val="20"/>
              </w:rPr>
              <w:t>&lt; 2 ans (par prudence, peau fine, résorption systémique)</w:t>
            </w:r>
          </w:p>
        </w:tc>
      </w:tr>
      <w:tr>
        <w:tc>
          <w:tcPr>
            <w:tcW w:type="dxa" w:w="4677"/>
          </w:tcPr>
          <w:p>
            <w:r>
              <w:rPr>
                <w:sz w:val="20"/>
              </w:rPr>
              <w:t>Chloramphénicol</w:t>
            </w:r>
          </w:p>
        </w:tc>
        <w:tc>
          <w:tcPr>
            <w:tcW w:type="dxa" w:w="4677"/>
          </w:tcPr>
          <w:p>
            <w:r>
              <w:rPr>
                <w:sz w:val="20"/>
              </w:rPr>
              <w:t>&lt; 1 mois (syndrome gris) ; &lt; 6 mois (par prudence)</w:t>
            </w:r>
          </w:p>
        </w:tc>
      </w:tr>
      <w:tr>
        <w:tc>
          <w:tcPr>
            <w:tcW w:type="dxa" w:w="4677"/>
          </w:tcPr>
          <w:p>
            <w:r>
              <w:rPr>
                <w:sz w:val="20"/>
              </w:rPr>
              <w:t>Phénazone + lidocaïne</w:t>
            </w:r>
          </w:p>
        </w:tc>
        <w:tc>
          <w:tcPr>
            <w:tcW w:type="dxa" w:w="4677"/>
          </w:tcPr>
          <w:p>
            <w:r>
              <w:rPr>
                <w:sz w:val="20"/>
              </w:rPr>
              <w:t>&lt; 6 mois (par prudence, immaturité hépatique)</w:t>
            </w:r>
          </w:p>
        </w:tc>
      </w:tr>
      <w:tr>
        <w:tc>
          <w:tcPr>
            <w:tcW w:type="dxa" w:w="4677"/>
          </w:tcPr>
          <w:p>
            <w:r>
              <w:rPr>
                <w:sz w:val="20"/>
              </w:rPr>
              <w:t>Biclotymol + Lysozyme + Énoxolone (comprimé à sucer)</w:t>
            </w:r>
          </w:p>
        </w:tc>
        <w:tc>
          <w:tcPr>
            <w:tcW w:type="dxa" w:w="4677"/>
          </w:tcPr>
          <w:p>
            <w:r>
              <w:rPr>
                <w:sz w:val="20"/>
              </w:rPr>
              <w:t>&lt; 6 ans (risque de fausse route)</w:t>
            </w:r>
          </w:p>
        </w:tc>
      </w:tr>
      <w:tr>
        <w:tc>
          <w:tcPr>
            <w:tcW w:type="dxa" w:w="4677"/>
          </w:tcPr>
          <w:p>
            <w:r>
              <w:rPr>
                <w:sz w:val="20"/>
              </w:rPr>
              <w:t>Biclotymol (collutoire)</w:t>
            </w:r>
          </w:p>
        </w:tc>
        <w:tc>
          <w:tcPr>
            <w:tcW w:type="dxa" w:w="4677"/>
          </w:tcPr>
          <w:p>
            <w:r>
              <w:rPr>
                <w:sz w:val="20"/>
              </w:rPr>
              <w:t>&lt; 30 mois (risque de laryngospasme)</w:t>
            </w:r>
          </w:p>
        </w:tc>
      </w:tr>
      <w:tr>
        <w:tc>
          <w:tcPr>
            <w:tcW w:type="dxa" w:w="4677"/>
          </w:tcPr>
          <w:p>
            <w:r>
              <w:rPr>
                <w:sz w:val="20"/>
              </w:rPr>
              <w:t>Ciprofloxacine locale</w:t>
            </w:r>
          </w:p>
        </w:tc>
        <w:tc>
          <w:tcPr>
            <w:tcW w:type="dxa" w:w="4677"/>
          </w:tcPr>
          <w:p>
            <w:r>
              <w:rPr>
                <w:sz w:val="20"/>
              </w:rPr>
              <w:t>&lt; 1 an (par prudence selon RCP)</w:t>
            </w:r>
          </w:p>
        </w:tc>
      </w:tr>
      <w:tr>
        <w:tc>
          <w:tcPr>
            <w:tcW w:type="dxa" w:w="4677"/>
          </w:tcPr>
          <w:p>
            <w:r>
              <w:rPr>
                <w:sz w:val="20"/>
              </w:rPr>
              <w:t>Ofloxacine locale</w:t>
            </w:r>
          </w:p>
        </w:tc>
        <w:tc>
          <w:tcPr>
            <w:tcW w:type="dxa" w:w="4677"/>
          </w:tcPr>
          <w:p>
            <w:r>
              <w:rPr>
                <w:sz w:val="20"/>
              </w:rPr>
              <w:t>&lt; 1 an (par prudence selon RCP)</w:t>
            </w:r>
          </w:p>
        </w:tc>
      </w:tr>
      <w:tr>
        <w:tc>
          <w:tcPr>
            <w:tcW w:type="dxa" w:w="4677"/>
          </w:tcPr>
          <w:p>
            <w:r>
              <w:rPr>
                <w:sz w:val="20"/>
              </w:rPr>
              <w:t>Lévofloxacine locale</w:t>
            </w:r>
          </w:p>
        </w:tc>
        <w:tc>
          <w:tcPr>
            <w:tcW w:type="dxa" w:w="4677"/>
          </w:tcPr>
          <w:p>
            <w:r>
              <w:rPr>
                <w:sz w:val="20"/>
              </w:rPr>
              <w:t>&lt; 1 an (par prudence selon RCP)</w:t>
            </w:r>
          </w:p>
        </w:tc>
      </w:tr>
      <w:tr>
        <w:tc>
          <w:tcPr>
            <w:tcW w:type="dxa" w:w="4677"/>
          </w:tcPr>
          <w:p>
            <w:r>
              <w:rPr>
                <w:sz w:val="20"/>
              </w:rPr>
              <w:t>Rifamycine SV locale</w:t>
            </w:r>
          </w:p>
        </w:tc>
        <w:tc>
          <w:tcPr>
            <w:tcW w:type="dxa" w:w="4677"/>
          </w:tcPr>
          <w:p>
            <w:r>
              <w:rPr>
                <w:sz w:val="20"/>
              </w:rPr>
              <w:t>Pas de CI (alternative de choix chez le nourrisson)</w:t>
            </w:r>
          </w:p>
        </w:tc>
      </w:tr>
    </w:tbl>
    <w:p/>
    <w:p>
      <w:pPr>
        <w:pStyle w:val="Heading3"/>
      </w:pPr>
      <w:r>
        <w:t>5. Les interactions médicamenteuses à connaître</w:t>
      </w:r>
    </w:p>
    <w:p>
      <w:r>
        <w:t>Par voie locale otique, le passage systémique est négligeable, ce qui limite considérablement les interactions systémiques. Cependant, par prudence :</w:t>
      </w:r>
    </w:p>
    <w:p>
      <w:pPr>
        <w:pStyle w:val="ListBullet"/>
      </w:pPr>
      <w:r/>
      <w:r>
        <w:rPr>
          <w:b/>
        </w:rPr>
        <w:t>Acide borique</w:t>
      </w:r>
      <w:r>
        <w:t xml:space="preserve"> : surveillance INR chez le patient sous AVK (en cas d'absorption systémique — tympan perforé) ;</w:t>
      </w:r>
    </w:p>
    <w:p>
      <w:pPr>
        <w:pStyle w:val="ListBullet"/>
      </w:pPr>
      <w:r/>
      <w:r>
        <w:rPr>
          <w:b/>
        </w:rPr>
        <w:t>Chloramphénicol</w:t>
      </w:r>
      <w:r>
        <w:t xml:space="preserve"> : interaction majeure avec les AVK (CYP2C9), la phénytoïne, les sulfamides hypoglycémiants, les immunosuppresseurs (ciclosporine, tacrolimus) ;</w:t>
      </w:r>
    </w:p>
    <w:p>
      <w:pPr>
        <w:pStyle w:val="ListBullet"/>
      </w:pPr>
      <w:r/>
      <w:r>
        <w:rPr>
          <w:b/>
        </w:rPr>
        <w:t>Rifamycine SV locale</w:t>
      </w:r>
      <w:r>
        <w:t xml:space="preserve"> : pas d'interaction significative (à la différence de la rifampicine systémique qui est un inducteur pan-CYP puissant) ;</w:t>
      </w:r>
    </w:p>
    <w:p>
      <w:pPr>
        <w:pStyle w:val="ListBullet"/>
      </w:pPr>
      <w:r/>
      <w:r>
        <w:rPr>
          <w:b/>
        </w:rPr>
        <w:t>Fluoroquinolones locales</w:t>
      </w:r>
      <w:r>
        <w:t xml:space="preserve"> : interactions théoriques avec les AVK (CYP1A2), la théophylline, la caféine, la tizanidine — surveillance en usage prolongé ;</w:t>
      </w:r>
    </w:p>
    <w:p>
      <w:pPr>
        <w:pStyle w:val="ListBullet"/>
      </w:pPr>
      <w:r/>
      <w:r>
        <w:rPr>
          <w:b/>
        </w:rPr>
        <w:t>Phénazone + lidocaïne</w:t>
      </w:r>
      <w:r>
        <w:t xml:space="preserve"> : interactions théoriques avec les AVK (déplacement de la fixation protéique), les AINS systémiques (potentialisation digestive), les antiarythmiques (potentialisation cardiaque de la lidocaïne), les bêta-bloquants (baisse du métabolisme hépatique de la lidocaïne).</w:t>
      </w:r>
    </w:p>
    <w:p>
      <w:pPr>
        <w:pStyle w:val="Heading3"/>
      </w:pPr>
      <w:r>
        <w:t>6. Les durées maximales de traitement à respecter</w:t>
      </w:r>
    </w:p>
    <w:tbl>
      <w:tblPr>
        <w:tblStyle w:val="LightGrid-Accent1"/>
        <w:tblW w:type="auto" w:w="0"/>
        <w:tblLook w:firstColumn="1" w:firstRow="1" w:lastColumn="0" w:lastRow="0" w:noHBand="0" w:noVBand="1" w:val="04A0"/>
      </w:tblPr>
      <w:tblGrid>
        <w:gridCol w:w="4677"/>
        <w:gridCol w:w="4677"/>
      </w:tblGrid>
      <w:tr>
        <w:tc>
          <w:tcPr>
            <w:tcW w:type="dxa" w:w="4677"/>
          </w:tcPr>
          <w:p>
            <w:r>
              <w:rPr>
                <w:b/>
                <w:sz w:val="20"/>
              </w:rPr>
              <w:t>Molécule</w:t>
            </w:r>
          </w:p>
        </w:tc>
        <w:tc>
          <w:tcPr>
            <w:tcW w:type="dxa" w:w="4677"/>
          </w:tcPr>
          <w:p>
            <w:r>
              <w:rPr>
                <w:b/>
                <w:sz w:val="20"/>
              </w:rPr>
              <w:t>Durée maximale sans réévaluation médicale</w:t>
            </w:r>
          </w:p>
        </w:tc>
      </w:tr>
      <w:tr>
        <w:tc>
          <w:tcPr>
            <w:tcW w:type="dxa" w:w="4677"/>
          </w:tcPr>
          <w:p>
            <w:r>
              <w:rPr>
                <w:sz w:val="20"/>
              </w:rPr>
              <w:t>Acide borique</w:t>
            </w:r>
          </w:p>
        </w:tc>
        <w:tc>
          <w:tcPr>
            <w:tcW w:type="dxa" w:w="4677"/>
          </w:tcPr>
          <w:p>
            <w:r>
              <w:rPr>
                <w:sz w:val="20"/>
              </w:rPr>
              <w:t>7 jours</w:t>
            </w:r>
          </w:p>
        </w:tc>
      </w:tr>
      <w:tr>
        <w:tc>
          <w:tcPr>
            <w:tcW w:type="dxa" w:w="4677"/>
          </w:tcPr>
          <w:p>
            <w:r>
              <w:rPr>
                <w:sz w:val="20"/>
              </w:rPr>
              <w:t>Biclotymol + Lysozyme + Énoxolone</w:t>
            </w:r>
          </w:p>
        </w:tc>
        <w:tc>
          <w:tcPr>
            <w:tcW w:type="dxa" w:w="4677"/>
          </w:tcPr>
          <w:p>
            <w:r>
              <w:rPr>
                <w:sz w:val="20"/>
              </w:rPr>
              <w:t>5 jours</w:t>
            </w:r>
          </w:p>
        </w:tc>
      </w:tr>
      <w:tr>
        <w:tc>
          <w:tcPr>
            <w:tcW w:type="dxa" w:w="4677"/>
          </w:tcPr>
          <w:p>
            <w:r>
              <w:rPr>
                <w:sz w:val="20"/>
              </w:rPr>
              <w:t>Chloramphénicol ophtalmique</w:t>
            </w:r>
          </w:p>
        </w:tc>
        <w:tc>
          <w:tcPr>
            <w:tcW w:type="dxa" w:w="4677"/>
          </w:tcPr>
          <w:p>
            <w:r>
              <w:rPr>
                <w:sz w:val="20"/>
              </w:rPr>
              <w:t>7 jours</w:t>
            </w:r>
          </w:p>
        </w:tc>
      </w:tr>
      <w:tr>
        <w:tc>
          <w:tcPr>
            <w:tcW w:type="dxa" w:w="4677"/>
          </w:tcPr>
          <w:p>
            <w:r>
              <w:rPr>
                <w:sz w:val="20"/>
              </w:rPr>
              <w:t>Rifamycine SV otique (OTOFA)</w:t>
            </w:r>
          </w:p>
        </w:tc>
        <w:tc>
          <w:tcPr>
            <w:tcW w:type="dxa" w:w="4677"/>
          </w:tcPr>
          <w:p>
            <w:r>
              <w:rPr>
                <w:sz w:val="20"/>
              </w:rPr>
              <w:t>7–10 jours</w:t>
            </w:r>
          </w:p>
        </w:tc>
      </w:tr>
      <w:tr>
        <w:tc>
          <w:tcPr>
            <w:tcW w:type="dxa" w:w="4677"/>
          </w:tcPr>
          <w:p>
            <w:r>
              <w:rPr>
                <w:sz w:val="20"/>
              </w:rPr>
              <w:t>Ciprofloxacine otique</w:t>
            </w:r>
          </w:p>
        </w:tc>
        <w:tc>
          <w:tcPr>
            <w:tcW w:type="dxa" w:w="4677"/>
          </w:tcPr>
          <w:p>
            <w:r>
              <w:rPr>
                <w:sz w:val="20"/>
              </w:rPr>
              <w:t>7–10 jours</w:t>
            </w:r>
          </w:p>
        </w:tc>
      </w:tr>
      <w:tr>
        <w:tc>
          <w:tcPr>
            <w:tcW w:type="dxa" w:w="4677"/>
          </w:tcPr>
          <w:p>
            <w:r>
              <w:rPr>
                <w:sz w:val="20"/>
              </w:rPr>
              <w:t>Ofloxacine otique</w:t>
            </w:r>
          </w:p>
        </w:tc>
        <w:tc>
          <w:tcPr>
            <w:tcW w:type="dxa" w:w="4677"/>
          </w:tcPr>
          <w:p>
            <w:r>
              <w:rPr>
                <w:sz w:val="20"/>
              </w:rPr>
              <w:t>7–10 jours</w:t>
            </w:r>
          </w:p>
        </w:tc>
      </w:tr>
      <w:tr>
        <w:tc>
          <w:tcPr>
            <w:tcW w:type="dxa" w:w="4677"/>
          </w:tcPr>
          <w:p>
            <w:r>
              <w:rPr>
                <w:sz w:val="20"/>
              </w:rPr>
              <w:t>Lévofloxacine otique</w:t>
            </w:r>
          </w:p>
        </w:tc>
        <w:tc>
          <w:tcPr>
            <w:tcW w:type="dxa" w:w="4677"/>
          </w:tcPr>
          <w:p>
            <w:r>
              <w:rPr>
                <w:sz w:val="20"/>
              </w:rPr>
              <w:t>7–10 jours</w:t>
            </w:r>
          </w:p>
        </w:tc>
      </w:tr>
      <w:tr>
        <w:tc>
          <w:tcPr>
            <w:tcW w:type="dxa" w:w="4677"/>
          </w:tcPr>
          <w:p>
            <w:r>
              <w:rPr>
                <w:sz w:val="20"/>
              </w:rPr>
              <w:t>Phénazone + lidocaïne</w:t>
            </w:r>
          </w:p>
        </w:tc>
        <w:tc>
          <w:tcPr>
            <w:tcW w:type="dxa" w:w="4677"/>
          </w:tcPr>
          <w:p>
            <w:r>
              <w:rPr>
                <w:sz w:val="20"/>
              </w:rPr>
              <w:t>7–10 jours</w:t>
            </w:r>
          </w:p>
        </w:tc>
      </w:tr>
    </w:tbl>
    <w:p/>
    <w:p>
      <w:pPr>
        <w:pStyle w:val="Heading3"/>
      </w:pPr>
      <w:r>
        <w:t>7. Les messages-clés à transmettre au patient</w:t>
      </w:r>
    </w:p>
    <w:p>
      <w:pPr>
        <w:pStyle w:val="ListNumber"/>
      </w:pPr>
      <w:r/>
      <w:r>
        <w:rPr>
          <w:b/>
        </w:rPr>
        <w:t>Vérifier l'absence d'écoulement auriculaire</w:t>
      </w:r>
      <w:r>
        <w:t xml:space="preserve"> avant toute instillation de gouttes otiques — en cas de doute, consulter un médecin.</w:t>
      </w:r>
    </w:p>
    <w:p>
      <w:pPr>
        <w:pStyle w:val="ListNumber"/>
      </w:pPr>
      <w:r/>
      <w:r>
        <w:rPr>
          <w:b/>
        </w:rPr>
        <w:t>Position d'instillation correcte</w:t>
      </w:r>
      <w:r>
        <w:t xml:space="preserve"> : tête penchée du côté opposé, tirer le pavillon vers l'arrière et le haut (adulte) ou vers le bas et vers l'arrière (enfant), instiller, masser le tragus, maintenir la tête inclinée 1–2 min.</w:t>
      </w:r>
    </w:p>
    <w:p>
      <w:pPr>
        <w:pStyle w:val="ListNumber"/>
      </w:pPr>
      <w:r/>
      <w:r>
        <w:rPr>
          <w:b/>
        </w:rPr>
        <w:t>Ne pas boucher l'oreille avec un coton</w:t>
      </w:r>
      <w:r>
        <w:t xml:space="preserve"> (macération).</w:t>
      </w:r>
    </w:p>
    <w:p>
      <w:pPr>
        <w:pStyle w:val="ListNumber"/>
      </w:pPr>
      <w:r/>
      <w:r>
        <w:rPr>
          <w:b/>
        </w:rPr>
        <w:t>Durée maximale de traitement</w:t>
      </w:r>
      <w:r>
        <w:t xml:space="preserve"> à respecter strictement (5–10 jours selon la molécule).</w:t>
      </w:r>
    </w:p>
    <w:p>
      <w:pPr>
        <w:pStyle w:val="ListNumber"/>
      </w:pPr>
      <w:r/>
      <w:r>
        <w:rPr>
          <w:b/>
        </w:rPr>
        <w:t>Consultation médicale en urgence</w:t>
      </w:r>
      <w:r>
        <w:t xml:space="preserve"> en cas de fièvre, d'aggravation, d'otorrhée, de vertiges, de hypoacousie.</w:t>
      </w:r>
    </w:p>
    <w:p>
      <w:pPr>
        <w:pStyle w:val="ListNumber"/>
      </w:pPr>
      <w:r/>
      <w:r>
        <w:rPr>
          <w:b/>
        </w:rPr>
        <w:t>Conservation du flacon</w:t>
      </w:r>
      <w:r>
        <w:t xml:space="preserve"> : température &lt; 25 °C, à l'abri de la lumière, ne pas utiliser au-delà de 15–30 jours après ouverture selon la spécialité.</w:t>
      </w:r>
    </w:p>
    <w:p>
      <w:pPr>
        <w:pStyle w:val="ListNumber"/>
      </w:pPr>
      <w:r/>
      <w:r>
        <w:rPr>
          <w:b/>
        </w:rPr>
        <w:t>Ne pas partager le flacon</w:t>
      </w:r>
      <w:r>
        <w:t xml:space="preserve"> (risque de contamination croisée).</w:t>
      </w:r>
    </w:p>
    <w:p>
      <w:pPr>
        <w:pStyle w:val="ListNumber"/>
      </w:pPr>
      <w:r/>
      <w:r>
        <w:rPr>
          <w:b/>
        </w:rPr>
        <w:t>Pour les collyres</w:t>
      </w:r>
      <w:r>
        <w:t xml:space="preserve"> : retirer les lentilles de contact souples avant instillation (chlorure de benzalkonium).</w:t>
      </w:r>
    </w:p>
    <w:p>
      <w:pPr>
        <w:pStyle w:val="Heading3"/>
      </w:pPr>
      <w:r>
        <w:t>8. Les points à intégrer pour la pratique algérienne</w:t>
      </w:r>
    </w:p>
    <w:p>
      <w:pPr>
        <w:pStyle w:val="ListNumber"/>
      </w:pPr>
      <w:r/>
      <w:r>
        <w:rPr>
          <w:b/>
        </w:rPr>
        <w:t>L'accès libre aux gouttes otiques en Algérie</w:t>
      </w:r>
      <w:r>
        <w:t xml:space="preserve"> expose à un mésusage fréquent. Le pharmacien d'officina joue un rôle crucial de tri au comptoir et d'éducation du patient.</w:t>
      </w:r>
    </w:p>
    <w:p>
      <w:pPr>
        <w:pStyle w:val="ListNumber"/>
      </w:pPr>
      <w:r/>
      <w:r>
        <w:rPr>
          <w:b/>
        </w:rPr>
        <w:t>La prescription initiale doit être médicale</w:t>
      </w:r>
      <w:r>
        <w:t xml:space="preserve"> pour les gouttes otiques antalgiques (ORICALM, OTIDIS, OTIPAX) en raison de la nécessité d'une otoscopie préalable.</w:t>
      </w:r>
    </w:p>
    <w:p>
      <w:pPr>
        <w:pStyle w:val="ListNumber"/>
      </w:pPr>
      <w:r/>
      <w:r>
        <w:rPr>
          <w:b/>
        </w:rPr>
        <w:t>Les fluoroquinolones locales sont les molécules de référence</w:t>
      </w:r>
      <w:r>
        <w:t xml:space="preserve"> dans les otites externes diffuses et les otorrhées sur ATT, en raison de leur spectre adapté à l'écologie bactérienne otique (*Pseudomonas aeruginosa*) et de leur absence d'ototoxicité locale.</w:t>
      </w:r>
    </w:p>
    <w:p>
      <w:pPr>
        <w:pStyle w:val="ListNumber"/>
      </w:pPr>
      <w:r/>
      <w:r>
        <w:rPr>
          <w:b/>
        </w:rPr>
        <w:t>La rifamycine SV locale (OTOFA)</w:t>
      </w:r>
      <w:r>
        <w:t xml:space="preserve"> conserve une place de choix en alternative aux FQ locales chez le nourrisson &lt; 1 an.</w:t>
      </w:r>
    </w:p>
    <w:p>
      <w:pPr>
        <w:pStyle w:val="ListNumber"/>
      </w:pPr>
      <w:r/>
      <w:r>
        <w:rPr>
          <w:b/>
        </w:rPr>
        <w:t>L'acide borique</w:t>
      </w:r>
      <w:r>
        <w:t xml:space="preserve"> est aujourd'hui très peu utilisé en pratique courante, supplanté par les fluoroquinolones locales ; il subsiste dans la nomenclature algérienne principalement sous forme de solutions ophtalmiques (DACRYOSERUM, LACRYMASEPTINE).</w:t>
      </w:r>
    </w:p>
    <w:p>
      <w:pPr>
        <w:pStyle w:val="ListNumber"/>
      </w:pPr>
      <w:r/>
      <w:r>
        <w:rPr>
          <w:b/>
        </w:rPr>
        <w:t>Le chloramphénicol</w:t>
      </w:r>
      <w:r>
        <w:t xml:space="preserve"> doit être proscrit de l'usage otique en raison de la disponibilité d'alternatives plus sûres (FQ locales, rifamycine SV locale) et du risque exceptionnel mais grave d'aplasie médullaire et de syndrome gris du nourrisson.</w:t>
      </w:r>
    </w:p>
    <w:p>
      <w:pPr>
        <w:pStyle w:val="ListNumber"/>
      </w:pPr>
      <w:r/>
      <w:r>
        <w:rPr>
          <w:b/>
        </w:rPr>
        <w:t>Les phénazone + lidocaïne</w:t>
      </w:r>
      <w:r>
        <w:t xml:space="preserve"> sont utiles en complément antalgique de l'OMA non perforée, mais ne doivent pas se substituer à l'antalgie systémique (paracétamol, ibuprofène) ni retarder la mise en route d'une antibiothérapie systémique nécessaire.</w:t>
      </w:r>
    </w:p>
    <w:p>
      <w:pPr>
        <w:pStyle w:val="ListNumber"/>
      </w:pPr>
      <w:r/>
      <w:r>
        <w:rPr>
          <w:b/>
        </w:rPr>
        <w:t>La spécialité CORONOL FREE</w:t>
      </w:r>
      <w:r>
        <w:t xml:space="preserve"> (ofloxacine solution ophtalmique et auriculaire, Generic Lab) est la seule spécialité algérienne explicitement étiquetée pour usage oculaire et auriculaire, ce qui en fait la formulation de choix pour l'usage otique de l'ofloxacine.</w:t>
      </w:r>
    </w:p>
    <w:p>
      <w:pPr>
        <w:pStyle w:val="ListNumber"/>
      </w:pPr>
      <w:r/>
      <w:r>
        <w:rPr>
          <w:b/>
        </w:rPr>
        <w:t>La spécialité LEVOWORLD</w:t>
      </w:r>
      <w:r>
        <w:t xml:space="preserve"> (lévofloxacine gouttes oculaires et auriculaires, World Medicine Turquie) est la seule spécialité algérienne explicitement étiquetée pour usage oculaire et auriculaire, ce qui en fait la formulation de choix pour l'usage otique de la lévofloxacine.</w:t>
      </w:r>
    </w:p>
    <w:p>
      <w:pPr>
        <w:pStyle w:val="ListNumber"/>
      </w:pPr>
      <w:r/>
      <w:r>
        <w:rPr>
          <w:b/>
        </w:rPr>
        <w:t>L'éducation thérapeutique du patient</w:t>
      </w:r>
      <w:r>
        <w:t xml:space="preserve"> est essentielle pour prévenir les mésusages, les erreurs d'instillation, les surdosages et l'automédication prolongée. Le pharmacien d'officina algérien est en première ligne pour cette éducation.</w:t>
      </w:r>
    </w:p>
    <w:p>
      <w:pPr>
        <w:pStyle w:val="Heading3"/>
      </w:pPr>
      <w:r>
        <w:t>9. Les références bibliographiques mobilisées</w:t>
      </w:r>
    </w:p>
    <w:p>
      <w:pPr>
        <w:pStyle w:val="ListBullet"/>
      </w:pPr>
      <w:r>
        <w:t>VIDAL 2024 (spécialités françaises et algériennes)</w:t>
      </w:r>
    </w:p>
    <w:p>
      <w:pPr>
        <w:pStyle w:val="ListBullet"/>
      </w:pPr>
      <w:r>
        <w:t>ANSM (Résumés des Caractéristiques du Produit — RCP)</w:t>
      </w:r>
    </w:p>
    <w:p>
      <w:pPr>
        <w:pStyle w:val="ListBullet"/>
      </w:pPr>
      <w:r>
        <w:t>Thériaque (interactions médicamenteuses)</w:t>
      </w:r>
    </w:p>
    <w:p>
      <w:pPr>
        <w:pStyle w:val="ListBullet"/>
      </w:pPr>
      <w:r>
        <w:t>CRAT (Centre Renseignements Agents Tératogènes — grossesse/allaitement)</w:t>
      </w:r>
    </w:p>
    <w:p>
      <w:pPr>
        <w:pStyle w:val="ListBullet"/>
      </w:pPr>
      <w:r>
        <w:t>UpToDate (recommandations internationales otites externes, OMA enfant, otorrhée sur ATT)</w:t>
      </w:r>
    </w:p>
    <w:p>
      <w:pPr>
        <w:pStyle w:val="ListBullet"/>
      </w:pPr>
      <w:r>
        <w:t>SFORL (Société Française d'Oto-Rhino-Laryngologie — recommandations otites externes 2017, OMA enfant 2020)</w:t>
      </w:r>
    </w:p>
    <w:p>
      <w:pPr>
        <w:pStyle w:val="ListBullet"/>
      </w:pPr>
      <w:r>
        <w:t>HAS (Haute Autorité de Santé — recommandations OMA enfant 2019)</w:t>
      </w:r>
    </w:p>
    <w:p>
      <w:pPr>
        <w:pStyle w:val="ListBullet"/>
      </w:pPr>
      <w:r>
        <w:t>AFSSAPS (recommandations OMA enfant 2011)</w:t>
      </w:r>
    </w:p>
    <w:p>
      <w:pPr>
        <w:pStyle w:val="ListBullet"/>
      </w:pPr>
      <w:r>
        <w:t>AAO-HNS (American Academy of Otolaryngology — Head and Neck Surgery — clinical practice guidelines)</w:t>
      </w:r>
    </w:p>
    <w:p>
      <w:pPr>
        <w:pStyle w:val="ListBullet"/>
      </w:pPr>
      <w:r>
        <w:t>Nomenclature algérienne des médicaments (Avril 2026)</w:t>
      </w:r>
    </w:p>
    <w:p>
      <w:pPr>
        <w:pStyle w:val="Heading3"/>
      </w:pPr>
      <w:r>
        <w:t>10. Conclusion</w:t>
      </w:r>
    </w:p>
    <w:p>
      <w:r>
        <w:t>La pharmacologie otique est un domaine où le pharmacien d'officina algérien joue un rôle stratégique de tri, de conseil et d'éducation thérapeutique. La connaissance précise des molécules, de leurs indications, de leurs contre-indications (en particulier l'ototoxicité locale), de leurs interactions et de leurs précautions d'emploi est essentielle pour prévenir les mésusages et optimiser la prise en charge des patients souffrant de pathologies otiques. Les fluoroquinolones locales et la rifamycine SV locale constituent aujourd'hui les traitements de référence des otites externes et des otorrhées sur ATT, tandis que l'acide borique, le chloramphénicol et les anciennes spécialités à base d'aminosides ototoxiques doivent être proscrits ou limités à des indications résiduelles. Les gouttes otiques antalgiques (phénazone + lidocaïne) ont leur place dans le traitement symptomatique de l'OMA non perforée, en complément d'une antalgie systémique adaptée. Le respect strict des contre-indications, des durées maximales de traitement et des règles d'hygiène locale conditionne l'efficacité et la sécurité d'emploi de ces thérapeutiques.</w:t>
      </w:r>
    </w:p>
    <w:p>
      <w:r/>
      <w:r>
        <w:rPr>
          <w:b/>
        </w:rPr>
        <w:t>Fin du chapitre 131 — Otologie : Antiseptiques, antibiotiques et anesthésiques otiques.</w:t>
      </w:r>
      <w:r/>
    </w:p>
    <w:p>
      <w:pPr>
        <w:pStyle w:val="Heading1"/>
      </w:pPr>
      <w:r>
        <w:t>Chapitre 132 — Rhinologie : Vasoconstricteurs et anticholinergiques nasaux</w:t>
      </w:r>
    </w:p>
    <w:p>
      <w:pPr>
        <w:pStyle w:val="Heading2"/>
      </w:pPr>
      <w:r>
        <w:t>132.1 Introduction générale</w:t>
      </w:r>
    </w:p>
    <w:p>
      <w:r>
        <w:t xml:space="preserve">La rhinologie clinique repose sur un petit nombre de classes pharmacologiques qui, malgré leur ancienneté, conservent une place majeure dans la prise en charge symptomatique des pathologies nasales courantes : rhinites aiguës virales, rhinites allergiques, rhinites vasomotrices, sinusites aiguës et congestion nasale d'étiologies variées. Le présent chapitre traite spécifiquement de trois sous-classes de médicaments à action nasale locale : (1) les vasoconstricteurs nasaux de la famille des </w:t>
      </w:r>
      <w:r>
        <w:rPr>
          <w:b/>
        </w:rPr>
        <w:t>imidazolines</w:t>
      </w:r>
      <w:r>
        <w:t xml:space="preserve"> (oxymétazoline, naphazoline, tuaminoheptane), (2) les vasoconstricteurs nasaux de la famille des </w:t>
      </w:r>
      <w:r>
        <w:rPr>
          <w:b/>
        </w:rPr>
        <w:t>sympathomimétiques non imidazolinés</w:t>
      </w:r>
      <w:r>
        <w:t xml:space="preserve"> (phényléphrine et éphédrine), et (3) les </w:t>
      </w:r>
      <w:r>
        <w:rPr>
          <w:b/>
        </w:rPr>
        <w:t>anticholinergiques nasaux</w:t>
      </w:r>
      <w:r>
        <w:t xml:space="preserve"> représentés principalement par l'ipratropium bromure. Ces trois sous-classes couvrent l'essentiel de la palette pharmacologique disponible en Algérie pour le traitement local de la congestion et de la rhinorrhée, symptômes cardinaux des pathologies nasales les plus fréquentes.</w:t>
      </w:r>
    </w:p>
    <w:p>
      <w:r>
        <w:t>La nomenclature algérienne des médicaments (Avril 2026) recense six DCIs effectivement commercialisées ou ayant été commercialisées sur le territoire national pour ces trois sous-classes, réparties entre les imidazolines (trois molécules : oxymétazoline, naphazoline, tuaminoheptane), les sympathomimétiques non imidazolinés (deux molécules : phényléphrine et éphédrine, dont la dernière n'est disponible qu'en forme injectable) et les anticholinergiques nasaux (une seule molécule : l'ipratropium bromure, principal représentant disponible en pratique clinique courante). Ces molécules, bien que connues depuis plusieurs décennies (l'éphédrine est extraite des Éphédra depuis plus de 5 000 ans dans la médecine chinoise, l'oxymétazoline a été synthétisée en 1963 par la firme allemande Merck), restent largement prescrites et délivrées en officine et à l'hôpital. Leur simplicité d'administration, leur rapidité d'action et leur faible coût expliquent leur persistance dans l'arsenal thérapeutique malgré le développement de molécules plus modernes comme les corticoïdes nasaux ou les antihistaminiques topiques.</w:t>
      </w:r>
    </w:p>
    <w:p>
      <w:r>
        <w:t xml:space="preserve">Le mécanisme d'action commun aux deux premières sous-classes (imidazolines et sympathomimétiques) repose sur la </w:t>
      </w:r>
      <w:r>
        <w:rPr>
          <w:b/>
        </w:rPr>
        <w:t>stimulation des récepteurs adrénergiques α1-vasculaires</w:t>
      </w:r>
      <w:r>
        <w:t xml:space="preserve"> du muscle lisse des vaisseaux de la muqueuse nasale, entraînant une </w:t>
      </w:r>
      <w:r>
        <w:rPr>
          <w:b/>
        </w:rPr>
        <w:t>vasoconstriction</w:t>
      </w:r>
      <w:r>
        <w:t xml:space="preserve"> rapide et intense des sinusoides capacitifs sous-muqueux, une diminution de la pression hydrostatique locale, une réduction du volume de la muqueuse et donc une réouverture mécanique de la filière nasale. Ce mécanisme est particulièrement efficace sur la composante congestive de la rhinite, mais reste purement symptomatique et n'a aucun effet sur la cause sous-jacente (virale, allergique, vasomotrice). L'ipratropium bromure agit par un mécanisme radicalement différent : il s'agit d'un </w:t>
      </w:r>
      <w:r>
        <w:rPr>
          <w:b/>
        </w:rPr>
        <w:t>antagoniste compétitif des récepteurs muscariniques M3</w:t>
      </w:r>
      <w:r>
        <w:t xml:space="preserve"> des glandes séreuses et séromuqueuses de la muqueuse nasale, qui réduit spécifiquement la production de sécrétions nasales (rhinorrhée) sans effet sur la congestion. Son utilisation est donc particulièrement adaptée à la rhinite vasomotrice et à la rhinorrhée persistante du sujet âgé, où la composante parasympathique prédomine.</w:t>
      </w:r>
    </w:p>
    <w:p>
      <w:r>
        <w:t xml:space="preserve">La principale iatrogénicité de la classe des vasoconstricteurs est représentée par la </w:t>
      </w:r>
      <w:r>
        <w:rPr>
          <w:b/>
        </w:rPr>
        <w:t>rhinite médicamenteuse</w:t>
      </w:r>
      <w:r>
        <w:t>, complication quasi constante en cas d'usage prolongé au-delà de 5 à 7 jours, qui correspond à une down-régulation des récepteurs α1-adrénergiques vasculaires et à une hypertrophie réactionnelle de la muqueuse nasale. Ce phénomène, qui peut survenir même aux posologies recommandées, justifie l'interdiction stricte d'usage prolongé et constitue l'un des messages essentiels à transmettre au patient au comptoir. Les autres effets indésirables systémiques des vasoconstricteurs nasaux (hypertension artérielle, tachycardie, palpitations, céphalées, troubles du sommeil, anxiété) sont liés au passage systémique et imposent des contre-indications strictes : hypertension artérielle sévère non contrôlée, glaucome à angle fermé, hyperthyroïdie non traitée, coronaropathie évoluée, traitement par IMAO, et prudence particulière chez le nourrisson et le jeune enfant pour la naphazoline en raison de sa toxicité neurologique centrale (convulsions, dépression respiratoire). L'ipratropium a un profil de tolérance différent, dominé par les effets locaux : sécheresse nasale, irritation, épistaxis et exceptionnellement vision trouble en cas de projection oculaire accidentelle.</w:t>
      </w:r>
    </w:p>
    <w:p>
      <w:r>
        <w:t>La prescription et la délivrance de ces médicaments doivent intégrer plusieurs dimensions : (1) le choix de la molécule en fonction du symptôme prédominant (congestion vs rhinorrhée), (2) le respect strict de la durée maximale d'utilisation (5 jours pour les imidazolines et la phényléphrine nasale), (3) la sélection du dosage adapté à l'âge (pédiatrique vs adulte), (4) la vérification des contre-indications cardiovasculaires et ophtalmologiques, (5) l'information du patient sur les risques de rhinite médicamenteuse et de rebond, et (6) la surveillance particulière chez la femme enceinte, chez qui seules certaines molécules sont compatibles (oxymétazoline et phényléphrine en usage court, éphédrine à éviter). Ce chapitre développe successivement les trois sous-classes, avec une fiche détaillée par DCI couvrant l'ensemble des dimensions pharmacologiques, thérapeutiques et pratiques nécessaires à un usage rationnel et sécurisé.</w:t>
      </w:r>
    </w:p>
    <w:p>
      <w:pPr>
        <w:pStyle w:val="Heading2"/>
      </w:pPr>
      <w:r>
        <w:t>132.2 Sous-classe : Vasoconstricteurs nasaux — Imidazolines</w:t>
      </w:r>
    </w:p>
    <w:p>
      <w:pPr>
        <w:pStyle w:val="Heading3"/>
      </w:pPr>
      <w:r>
        <w:t>132.2.1 Généralités de la sous-classe</w:t>
      </w:r>
    </w:p>
    <w:p>
      <w:r>
        <w:t>Les imidazolines nasales représentent la classe historique et dominante des vasoconstricteurs topiques de la muqueuse nasale. Elles partagent une structure chimique commune : un noyau imidazoline (cycle à cinq atomes contenant deux atomes d'azote) relié à un substituant aromatique ou aliphatique. Cette structure commune leur confère une activité agoniste mixte sur les récepteurs α1-adrénergiques (vasoconstriction) et α2-adrénergiques (en particulier au niveau central pour certaines molécules), responsable à la fois de leur efficacité clinique et de leur profil de toxicité neurologique centrale lorsqu'elles sont absorbées en quantité excessive. Les trois représentants disponibles en Algérie sont l'</w:t>
      </w:r>
      <w:r>
        <w:rPr>
          <w:b/>
        </w:rPr>
        <w:t>oxymétazoline</w:t>
      </w:r>
      <w:r>
        <w:t xml:space="preserve"> (le plus prescrit et le plus étudié), la </w:t>
      </w:r>
      <w:r>
        <w:rPr>
          <w:b/>
        </w:rPr>
        <w:t>naphazoline</w:t>
      </w:r>
      <w:r>
        <w:t xml:space="preserve"> (souvent associée à l'antazoline dans les collyres ophtalmiques) et le </w:t>
      </w:r>
      <w:r>
        <w:rPr>
          <w:b/>
        </w:rPr>
        <w:t>tuaminoheptane</w:t>
      </w:r>
      <w:r>
        <w:t xml:space="preserve"> (associé à l'acétylcystéine dans le Rhino-Fluimucil®). L'xylométazoline, molécule voisine historiquement très présente sur le marché international, n'est pas disponible en Algérie dans la nomenclature de 2026.</w:t>
      </w:r>
    </w:p>
    <w:p>
      <w:r>
        <w:t>Le mécanisme d'action commun aux imidazolines repose sur la stimulation directe des récepteurs α1-adrénergiques postsynaptiques du muscle lisse vasculaire des sinusoides capacitifs sous-muqueux de la muqueuse nasale. Cette stimulation déclenche une cascade intracellulaire : activation de la phospholipase C, production d'inositol triphosphate (IP3), libération de calcium intracellulaire depuis le réticulum sarcoplasmique, contraction des cellules musculaires lisses, vasoconstriction intense. L'effet est perceptible en quelques minutes (5 à 10 minutes après administration nasale), atteint son maximum en 15 à 30 minutes et persiste pendant 6 à 12 heures selon la molécule (oxymétazoline : 10 à 12 heures ; naphazoline : 4 à 6 heures ; tuaminoheptane : 4 à 6 heures). Cette durée d'action prolongée, particulièrement marquée pour l'oxymétazoline, permet une administration bidirectionnelle (matin et soir) qui améliore l'observance.</w:t>
      </w:r>
    </w:p>
    <w:p>
      <w:r>
        <w:t>L'efficacité clinique des imidazolines est remarquable sur la composante congestive des rhinites aiguës : la levée de l'obstruction nasale est obtenue chez 80 à 90 % des patients à la première administration, avec une amélioration significative du débit nasal inspiratoire mesuré par rhinomanométrie antérieure (passage moyen de 250 à 600 cm³/s chez l'adulte sain). Cette efficacité supérieure à celle des corticoïdes nasaux (qui nécessitent plusieurs jours pour atteindre leur plein effet) explique leur place de choix dans la prise en charge symptomatique immédiate des rhinites aiguës virales (rhume banal), des sinusites aiguës congestives et de la phase initiale des rhinites allergiques en attendant l'effet des corticoïdes nasaux. Elles sont également utilisées en ORL pour faciliter l'examen endoscopique des fosses nasales et préparer certains gestes (réduction de fracture de cloison, méatotomie, etc.).</w:t>
      </w:r>
    </w:p>
    <w:p>
      <w:r>
        <w:t xml:space="preserve">La principale iatrogénicité de la classe des imidazolines est la </w:t>
      </w:r>
      <w:r>
        <w:rPr>
          <w:b/>
        </w:rPr>
        <w:t>rhinite médicamenteuse</w:t>
      </w:r>
      <w:r>
        <w:t>, qui correspond à une dépendance pharmacologique à la molécule vasoconstrictrice avec tolérance (tachyphylaxie) et rebond à l'arrêt. Le mécanisme physiopathologique implique une down-régulation des récepteurs α1-adrénergiques vasculaires par exposition prolongée, une hypertrophie réactionnelle de la muqueuse nasale par augmentation du flux sanguin et de la perméabilité capillaire lors de la phase de rebond, et un réflexe vasomoteur parasympathique de compensation. Cliniquement, le patient présente une obstruction nasale permanente, aggravée à l'arrêt du vasoconstricteur, nécessitant des administrations de plus en plus fréquentes et rapprochées. Le traitement repose sur le sevrage progressif sous couvert d'un corticoïde nasal (fluticasone, mométasone) et d'une lavage nasal régulier au sérum physiologique. La prévention passe par le respect strict de la durée maximale de 5 jours pour l'oxymétazoline et 3 à 5 jours pour la naphazoline et le tuaminoheptane.</w:t>
      </w:r>
    </w:p>
    <w:p>
      <w:r>
        <w:t>Outre la rhinite médicamenteuse, les imidazolines exposent à des effets indésirables systémiques liés au passage systémique (variable selon la molécule) : hypertension artérielle transitoire, tachycardie réflexe, palpitations, céphalées, tremulations, anxiété, insomnie, et exceptionnellement dépression respiratoire ou convulsions (surtout avec la naphazoline chez le nourrisson et le jeune enfant). Les contre-indications communes à toutes les imidazolines sont : hypertension artérielle sévère non contrôlée, coronaropathie évoluée, hyperthyroïdie non traitée, glaucome à angle fermé, traitement en cours par IMAO (risque de crise hypertensive par potentialisation), hypertrophie prostatique sévère, et âge inférieur à un seuil propre à chaque molécule (12 ans pour l'oxymétazoline adulte, 7 ans pour la naphazoline, 12 ans pour le tuaminoheptane). La grossesse requiert une analyse molécule par molécule, avec une certaine compatibilité pour l'oxymétazoline en usage court (CRAT : « le cas échéant ») et une prudence de principe pour les autres.</w:t>
      </w:r>
    </w:p>
    <w:p>
      <w:r>
        <w:t>Le marché algérien des imidazolines nasales est dominé par l'oxymétazoline, disponible en spray nasal 0,05 % sous les noms RESPIBIEN (Cinfa) et RESPINHAL (Biogalenic), tous deux en Liste II. La naphazoline n'est disponible en Algérie qu'en association avec l'antazoline dans le collyre OPHTAZOLIN (Joras Pharmaceutical), qui n'est pas stricto sensu un vasoconstricteur nasal mais ophtalmologique. Le tuaminoheptane n'est disponible qu'en association avec l'acétylcystéine et le chlorure de benzalkonium dans le RHINOFLUIMUCIL (Zambon), spray nasal combinant un vasoconstricteur et un fluidifiant des sécrétions. Cette diversité limitée reflète une certaine contraction du marché algérien pour cette classe thérapeutique, qui s'explique à la fois par l'âge des molécules (princeps des années 1960) et par les recommandations de bon usage qui limitent l'usage prolongé et donc la consommation annuelle par patient.</w:t>
      </w:r>
    </w:p>
    <w:p>
      <w:pPr>
        <w:pStyle w:val="Heading3"/>
      </w:pPr>
      <w:r>
        <w:t>132.2.2 DCI : Oxymétazoline</w:t>
      </w:r>
    </w:p>
    <w:p>
      <w:r/>
      <w:r>
        <w:rPr>
          <w:b/>
        </w:rPr>
        <w:t>Liste des Catégories :</w:t>
      </w:r>
      <w:r>
        <w:t xml:space="preserve"> Liste II (préparation nasale).</w:t>
      </w:r>
    </w:p>
    <w:p>
      <w:r>
        <w:t>L'oxymétazoline est un dérivé imidazolinique de synthèse, commercialisé internationalement depuis 1963 (première autorisation par la firme allemande Merck sous le nom d'Afrin® aux États-Unis et d'Aturgyl® en France). Sa structure chimique correspond au 2-(4,5-dihydro-1H-imidazol-2-ylméthyl)-3,4-diméthoxy-6-(1-méthyléthyl)phénol, avec une substitution par deux groupes méthoxy et un groupe isopropyle sur le noyau aromatique. Cette structure particulière lui confère une affinité élevée pour les récepteurs α1-adrénergiques vasculaires (supérieure à celle de la naphazoline et du tuaminoheptane) et une longue durée d'action (10 à 12 heures), autorisant une administration bidirectionnelle matin-soir. L'oxymétazoline est considérée comme la molécule de référence de la classe des imidazolines nasales, en raison de son profil efficacy-tolérance favorable et de ses données pharmacologiques étendues.</w:t>
      </w:r>
    </w:p>
    <w:p>
      <w:r/>
      <w:r>
        <w:rPr>
          <w:b/>
        </w:rPr>
        <w:t>Médicaments disponibles en Algérie (tableau commercial) :</w:t>
      </w:r>
      <w:r/>
    </w:p>
    <w:p>
      <w:r>
        <w:t>Formes nasales actives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RESPIBIEN</w:t>
            </w:r>
          </w:p>
        </w:tc>
        <w:tc>
          <w:tcPr>
            <w:tcW w:type="dxa" w:w="1559"/>
          </w:tcPr>
          <w:p>
            <w:r>
              <w:rPr>
                <w:sz w:val="20"/>
              </w:rPr>
              <w:t>CINFA S.A.</w:t>
            </w:r>
          </w:p>
        </w:tc>
        <w:tc>
          <w:tcPr>
            <w:tcW w:type="dxa" w:w="1559"/>
          </w:tcPr>
          <w:p>
            <w:r>
              <w:rPr>
                <w:sz w:val="20"/>
              </w:rPr>
              <w:t>Solution pour pulvérisation nasale 0,5 mg/mL (0,05 %) chlorhydrate d'oxymétazoline</w:t>
            </w:r>
          </w:p>
        </w:tc>
        <w:tc>
          <w:tcPr>
            <w:tcW w:type="dxa" w:w="1559"/>
          </w:tcPr>
          <w:p>
            <w:r>
              <w:rPr>
                <w:sz w:val="20"/>
              </w:rPr>
              <w:t>Flacon 15 mL</w:t>
            </w:r>
          </w:p>
        </w:tc>
        <w:tc>
          <w:tcPr>
            <w:tcW w:type="dxa" w:w="1559"/>
          </w:tcPr>
          <w:p>
            <w:r>
              <w:rPr>
                <w:sz w:val="20"/>
              </w:rPr>
              <w:t>Liste II</w:t>
            </w:r>
          </w:p>
        </w:tc>
        <w:tc>
          <w:tcPr>
            <w:tcW w:type="dxa" w:w="1559"/>
          </w:tcPr>
          <w:p>
            <w:r>
              <w:rPr>
                <w:sz w:val="20"/>
              </w:rPr>
              <w:t>Actif</w:t>
            </w:r>
          </w:p>
        </w:tc>
      </w:tr>
      <w:tr>
        <w:tc>
          <w:tcPr>
            <w:tcW w:type="dxa" w:w="1559"/>
          </w:tcPr>
          <w:p>
            <w:r>
              <w:rPr>
                <w:sz w:val="20"/>
              </w:rPr>
              <w:t>RESPINHAL</w:t>
            </w:r>
          </w:p>
        </w:tc>
        <w:tc>
          <w:tcPr>
            <w:tcW w:type="dxa" w:w="1559"/>
          </w:tcPr>
          <w:p>
            <w:r>
              <w:rPr>
                <w:sz w:val="20"/>
              </w:rPr>
              <w:t>BIOGALENIC</w:t>
            </w:r>
          </w:p>
        </w:tc>
        <w:tc>
          <w:tcPr>
            <w:tcW w:type="dxa" w:w="1559"/>
          </w:tcPr>
          <w:p>
            <w:r>
              <w:rPr>
                <w:sz w:val="20"/>
              </w:rPr>
              <w:t>Solution pour pulvérisation nasale 0,5 mg/mL (0,05 %) chlorhydrate d'oxymétazoline</w:t>
            </w:r>
          </w:p>
        </w:tc>
        <w:tc>
          <w:tcPr>
            <w:tcW w:type="dxa" w:w="1559"/>
          </w:tcPr>
          <w:p>
            <w:r>
              <w:rPr>
                <w:sz w:val="20"/>
              </w:rPr>
              <w:t>Flacon 15 mL</w:t>
            </w:r>
          </w:p>
        </w:tc>
        <w:tc>
          <w:tcPr>
            <w:tcW w:type="dxa" w:w="1559"/>
          </w:tcPr>
          <w:p>
            <w:r>
              <w:rPr>
                <w:sz w:val="20"/>
              </w:rPr>
              <w:t>Liste II</w:t>
            </w:r>
          </w:p>
        </w:tc>
        <w:tc>
          <w:tcPr>
            <w:tcW w:type="dxa" w:w="1559"/>
          </w:tcPr>
          <w:p>
            <w:r>
              <w:rPr>
                <w:sz w:val="20"/>
              </w:rPr>
              <w:t>Actif</w:t>
            </w:r>
          </w:p>
        </w:tc>
      </w:tr>
    </w:tbl>
    <w:p/>
    <w:p>
      <w:r>
        <w:t>Forme nasale retirée (incluse pour mémoire)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RINERGE</w:t>
            </w:r>
          </w:p>
        </w:tc>
        <w:tc>
          <w:tcPr>
            <w:tcW w:type="dxa" w:w="1559"/>
          </w:tcPr>
          <w:p>
            <w:r>
              <w:rPr>
                <w:sz w:val="20"/>
              </w:rPr>
              <w:t>ATRAL S.A.</w:t>
            </w:r>
          </w:p>
        </w:tc>
        <w:tc>
          <w:tcPr>
            <w:tcW w:type="dxa" w:w="1559"/>
          </w:tcPr>
          <w:p>
            <w:r>
              <w:rPr>
                <w:sz w:val="20"/>
              </w:rPr>
              <w:t>Pulvérisation nasale 0,5 mg/mL chlorhydrate d'oxymétazoline</w:t>
            </w:r>
          </w:p>
        </w:tc>
        <w:tc>
          <w:tcPr>
            <w:tcW w:type="dxa" w:w="1559"/>
          </w:tcPr>
          <w:p>
            <w:r>
              <w:rPr>
                <w:sz w:val="20"/>
              </w:rPr>
              <w:t>Flacon 10 mL</w:t>
            </w:r>
          </w:p>
        </w:tc>
        <w:tc>
          <w:tcPr>
            <w:tcW w:type="dxa" w:w="1559"/>
          </w:tcPr>
          <w:p>
            <w:r>
              <w:rPr>
                <w:sz w:val="20"/>
              </w:rPr>
              <w:t>Liste II</w:t>
            </w:r>
          </w:p>
        </w:tc>
        <w:tc>
          <w:tcPr>
            <w:tcW w:type="dxa" w:w="1559"/>
          </w:tcPr>
          <w:p>
            <w:r>
              <w:rPr>
                <w:sz w:val="20"/>
              </w:rPr>
              <w:t>Retrait</w:t>
            </w:r>
          </w:p>
        </w:tc>
      </w:tr>
    </w:tbl>
    <w:p/>
    <w:p>
      <w:r>
        <w:t>L'oxymétazoline est donc disponible en Algérie sous deux spécialités strictement équivalentes en termes de dosage (0,05 %), de conditionnement (flacon de 15 mL) et de statut réglementaire (Liste II). Les deux spécialités, RESPIBIEN (Cinfa, laboratoire espagnol) et RESPINHAL (Biogalenic, laboratoire algérien), sont substituables entre elles. La spécialité historique RINERGE (Atral, laboratoire portugais) a été retirée du marché. Le pharmacien d'officine doit être attentif à la concentration : la concentration 0,05 % est réservée à l'adulte et à l'enfant de plus de 12 ans ; la concentration pédiatrique (0,025 %) pour l'enfant de 6 à 12 ans n'est pas disponible en Algérie dans la nomenclature de 2026, ce qui justifie une vigilance particulière en pédiatrie et l'orientation éventuelle vers d'autres alternatives (sérum physiologique, lavage nasal). L'usage chez l'enfant de moins de 6 ans est contre-indiqué.</w:t>
      </w:r>
    </w:p>
    <w:p>
      <w:r/>
      <w:r>
        <w:rPr>
          <w:b/>
        </w:rPr>
        <w:t>Sous-classe et Mécanisme d'action :</w:t>
      </w:r>
      <w:r/>
    </w:p>
    <w:p>
      <w:pPr>
        <w:pStyle w:val="ListBullet"/>
      </w:pPr>
      <w:r>
        <w:t>Sous-classe : Vasoconstricteur nasal imidazoliné de synthèse, agoniste α1-adrénergique prédominant (activité α2 accessoire).</w:t>
      </w:r>
    </w:p>
    <w:p>
      <w:pPr>
        <w:pStyle w:val="ListBullet"/>
      </w:pPr>
      <w:r>
        <w:t>Mécanisme d'action : L'oxymétazoline se fixe aux récepteurs α1-adrénergiques postsynaptiques du muscle lisse vasculaire des sinusoides capacitifs sous-muqueux de la muqueuse nasale. Cette liaison active la phospholipase C membranaire via la protéine Gq, ce qui catalyse l'hydrolyse du phosphatidylinositol diphosphate (PIP2) en inositol triphosphate (IP3) et diacylglycérol (DAG). L'IP3 libère le calcium du réticulum sarcoplasmique, le DAG active la protéine kinase C qui phosphoryle les chaînes légères de myosine, déclenchant la contraction des cellules musculaires lisses vasculaires. La vasoconstriction intense des sinusoides capacitifs réduit le volume sanguin nasal, diminue la pression hydrostatique locale, réduit l'œdème muqueux et rouvre la filière nasale. L'effet est perceptible en 5 à 10 minutes, maximal en 15 à 30 minutes et persiste 10 à 12 heures. Une activité accessoire sur les récepteurs α2-adrénergiques présynaptiques (qui réduisent la libération de noradrénaline endogène) est probablement responsable d'une partie de la durée prolongée d'action, mais aussi de la tolérance (down-régulation des récepteurs à l'usage prolongé). L'activité anti-inflammatoire accessoire de l'oxymétazoline (démontrée in vitro par inhibition de la production d'IL-6 et d'IL-8 par les cellules épithéliales nasales) explique un effet symptomatique au-delà de la simple vasoconstriction, mais reste d'ampleur clinique modeste.</w:t>
      </w:r>
    </w:p>
    <w:p>
      <w:r/>
      <w:r>
        <w:rPr>
          <w:b/>
        </w:rPr>
        <w:t>Profil Pharmacologique :</w:t>
      </w:r>
      <w:r/>
    </w:p>
    <w:p>
      <w:pPr>
        <w:pStyle w:val="ListBullet"/>
      </w:pPr>
      <w:r>
        <w:t>Indications : Traitement symptomatique de la congestion nasale au cours des rhinites aiguës (rhume banal viral, rhinite allergique en phase aiguë congestive, sinusite aiguë), pendant une durée maximale de 5 jours. Utilisation possible pour faciliter l'examen endoscopique des fosses nasales en ORL et préparer certains gestes (cathétérisme naso-trachéal, intubation naso-trachéale en anesthésie-réanimation). Utilisation ponctuelle dans la congestion nasale de la rhinite vasomotrice (à manier avec prudence en raison du risque de dépendance).</w:t>
      </w:r>
    </w:p>
    <w:p>
      <w:pPr>
        <w:pStyle w:val="ListBullet"/>
      </w:pPr>
      <w:r>
        <w:t>Contre-indications : Hypersensibilité à l'oxymétazoline ou à l'un des excipients (chlorure de benzalkonium, phosphate disodique, etc.) ; hypertension artérielle sévère non contrôlée ; coronaropathie évoluée ; hyperthyroïdie non traitée ; glaucome à angle fermé ; traitement en cours par inhibiteurs de la monoamine oxydase (IMAO) ou dans les 15 jours suivant l'arrêt d'un IMAO ; hypertrophie prostatique sévère avec rétention urinaire ; enfant de moins de 12 ans (pour la concentration 0,05 %) ; enfant de moins de 6 ans (toute forme) ; antécédent d'accident vasculaire cérébral récent ; insuffisance rénale sévère (clairance &lt; 30 mL/min).</w:t>
      </w:r>
    </w:p>
    <w:p>
      <w:pPr>
        <w:pStyle w:val="ListBullet"/>
      </w:pPr>
      <w:r>
        <w:t>Spectre d'action : Pas d'activité antivirale, antibactérienne, antifongique ou antiallergique propre. L'action est purement symptomatique sur la composante congestive de la rhinite. L'absence d'effet sur la cause sous-jacente (virale le plus souvent) justifie l'association à d'autres traitements étiologiques ou symptomatiques (antalgiques, antihistaminiques oraux, lavage nasal au sérum physiologique).</w:t>
      </w:r>
    </w:p>
    <w:p>
      <w:r/>
      <w:r>
        <w:rPr>
          <w:b/>
        </w:rPr>
        <w:t>Effets Indésirables :</w:t>
      </w:r>
      <w:r/>
    </w:p>
    <w:p>
      <w:pPr>
        <w:pStyle w:val="ListBullet"/>
      </w:pPr>
      <w:r/>
      <w:r>
        <w:rPr>
          <w:b/>
        </w:rPr>
        <w:t>Locaux précoces</w:t>
      </w:r>
      <w:r>
        <w:t xml:space="preserve"> : picotements nasaux, sensation de brûlure transitoire, éternuements paradoxaux dans les minutes suivant l'administration, sécheresse nasale, irritation pharyngée par écoulement postérieur.</w:t>
      </w:r>
    </w:p>
    <w:p>
      <w:pPr>
        <w:pStyle w:val="ListBullet"/>
      </w:pPr>
      <w:r/>
      <w:r>
        <w:rPr>
          <w:b/>
        </w:rPr>
        <w:t>Locaux tardifs</w:t>
      </w:r>
      <w:r>
        <w:t xml:space="preserve"> (au-delà de 5 jours d'usage) : rhinite médicamenteuse (rebond, tolérance, dépendance), épistaxis par fragilisation de la muqueuse, altération ciliaire (réduction de la fréquence de battement ciliaire de 30 à 50 % mesurée in vitro), atrophie muqueuse en cas d'usage très prolongé (semaines à mois).</w:t>
      </w:r>
    </w:p>
    <w:p>
      <w:pPr>
        <w:pStyle w:val="ListBullet"/>
      </w:pPr>
      <w:r/>
      <w:r>
        <w:rPr>
          <w:b/>
        </w:rPr>
        <w:t>Systémiques</w:t>
      </w:r>
      <w:r>
        <w:t xml:space="preserve"> (liés au passage systémique, estimé à 30 à 50 % de la dose administrée) : hypertension artérielle transitoire, tachycardie réflexe, palpitations, céphalées, tremulations, anxiété, irritabilité, insomnie, sueurs. Plus rarement : troubles du rythme supraventriculaire, angor.</w:t>
      </w:r>
    </w:p>
    <w:p>
      <w:pPr>
        <w:pStyle w:val="ListBullet"/>
      </w:pPr>
      <w:r/>
      <w:r>
        <w:rPr>
          <w:b/>
        </w:rPr>
        <w:t>Oculaires</w:t>
      </w:r>
      <w:r>
        <w:t xml:space="preserve"> : mydriase transitoire en cas de projection accidentelle dans l'œil (risque de crise aiguë de glaucome chez le patient prédisposé à angle fermé).</w:t>
      </w:r>
    </w:p>
    <w:p>
      <w:pPr>
        <w:pStyle w:val="ListBullet"/>
      </w:pPr>
      <w:r/>
      <w:r>
        <w:rPr>
          <w:b/>
        </w:rPr>
        <w:t>Neurologiques</w:t>
      </w:r>
      <w:r>
        <w:t xml:space="preserve"> : exceptionnels chez l'adulte aux posologies recommandées, mais décrits en cas de surdosage ou chez le nourrisson : convulsions, dépression respiratoire, hypothermie, hypotension, bradycardie (effets centraux par agonisme α2 médullaire, proches de la clonidine).</w:t>
      </w:r>
    </w:p>
    <w:p>
      <w:pPr>
        <w:pStyle w:val="ListBullet"/>
      </w:pPr>
      <w:r/>
      <w:r>
        <w:rPr>
          <w:b/>
        </w:rPr>
        <w:t>Allergiques</w:t>
      </w:r>
      <w:r>
        <w:t xml:space="preserve"> : très rares cas de dermatite de contact nasale, d'urticaire, d'œdème de Quincke.</w:t>
      </w:r>
    </w:p>
    <w:p>
      <w:r/>
      <w:r>
        <w:rPr>
          <w:b/>
        </w:rPr>
        <w:t>Prévention et Gestion des Effets Indésirables :</w:t>
      </w:r>
      <w:r/>
    </w:p>
    <w:p>
      <w:pPr>
        <w:pStyle w:val="ListBullet"/>
      </w:pPr>
      <w:r>
        <w:t>Mesures préventives : Respect strict de la durée maximale de 5 jours d'utilisation continue, sans renouvellement automatique ; respect de la posologie maximale de 2 administrations par jour à 12 heures d'intervalle ; information claire du patient sur le risque de rhinite médicamenteuse dès la première délivrance ; sélection du dosage adapté à l'âge (interdiction absolue de la concentration adulte 0,05 % chez l'enfant de moins de 12 ans) ; vérification systématique des contre-indications cardiovasculaires et ophtalmologiques au comptoir ; conseil d'éviter la projection oculaire accidentelle et de se laver les mains après administration.</w:t>
      </w:r>
    </w:p>
    <w:p>
      <w:pPr>
        <w:pStyle w:val="ListBullet"/>
      </w:pPr>
      <w:r>
        <w:t>Conduite à tenir en cas de rhinite médicamenteuse : arrêt immédiat de l'oxymétazoline ; substitution par un corticoïde nasal (fluticasone propionate 50 µg/dose : 2 pulvérisations par narine une fois par jour pendant 4 à 8 semaines ; ou mométasone furoate 50 µg/dose selon le même schéma) ; lavage nasal abondant au sérum physiologique 3 à 6 fois par jour ; en cas d'échec à 8 semaines, consultation ORL spécialisée pour avis (parfois nécessité de courte cure de corticothérapie orale).</w:t>
      </w:r>
    </w:p>
    <w:p>
      <w:pPr>
        <w:pStyle w:val="ListBullet"/>
      </w:pPr>
      <w:r>
        <w:t>Conduite à tenir en cas d'effets systémiques : arrêt immédiat de l'oxymétazoline en cas d'hypertension artérielle symptomatique, de palpitations, de céphalées sévères, de troubles du rythme ; consultation médicale urgente en cas de douleur thoracique, de dyspnée, de troubles neurologiques (convulsions, confusion) ; surveillance tensionnelle et ECG en cas de surdosage massif.</w:t>
      </w:r>
    </w:p>
    <w:p>
      <w:pPr>
        <w:pStyle w:val="ListBullet"/>
      </w:pPr>
      <w:r>
        <w:t>Conduite à tenir en cas de projection oculaire : lavage abondant à l'eau ou au sérum physiologique pendant 5 minutes, surveillance ophtalmologique en cas de vision trouble ou de douleur oculaire (risque de crise aiguë de glaucome).</w:t>
      </w:r>
    </w:p>
    <w:p>
      <w:r/>
      <w:r>
        <w:rPr>
          <w:b/>
        </w:rPr>
        <w:t>Interactions Importantes :</w:t>
      </w:r>
      <w:r/>
    </w:p>
    <w:p>
      <w:pPr>
        <w:pStyle w:val="ListBullet"/>
      </w:pPr>
      <w:r>
        <w:t>IMAO (iproniazide, phénelzine, tranylcypromine, moclobémide) : contre-indication absolue, risque de crise hypertensive par potentialisation (l'oxymétazoline libère de la noradrénaline qui ne peut être dégradée en raison de l'inhibition de la MAO).</w:t>
      </w:r>
    </w:p>
    <w:p>
      <w:pPr>
        <w:pStyle w:val="ListBullet"/>
      </w:pPr>
      <w:r>
        <w:t>Antidépresseurs tricycliques (amitriptyline, clomipramine, imipramine) et inhibiteurs de la recapture de la sérotonine et noradrénaline (venlafaxine, duloxétine) : majoration du risque d'hypertension et de troubles du rythme.</w:t>
      </w:r>
    </w:p>
    <w:p>
      <w:pPr>
        <w:pStyle w:val="ListBullet"/>
      </w:pPr>
      <w:r>
        <w:t>Sympathomimétiques d'action systémique (pseudoéphédrine, phényléphrine orale, éphédrine) : risque d'effets additifs cardiotoxiques et hypertensifs, contre-indication de l'association.</w:t>
      </w:r>
    </w:p>
    <w:p>
      <w:pPr>
        <w:pStyle w:val="ListBullet"/>
      </w:pPr>
      <w:r>
        <w:t>Anesthésiques volatils halogénés (halothane, isoflurane, sévoflurane) : majoration du risque d'arythmies ventriculaires par sensibilisation myocardique aux catécholamines, à prendre en compte en anesthésie.</w:t>
      </w:r>
    </w:p>
    <w:p>
      <w:pPr>
        <w:pStyle w:val="ListBullet"/>
      </w:pPr>
      <w:r>
        <w:t>Digitaliques : majoration du risque d'arythmie.</w:t>
      </w:r>
    </w:p>
    <w:p>
      <w:pPr>
        <w:pStyle w:val="ListBullet"/>
      </w:pPr>
      <w:r>
        <w:t>Bêtabloquants : risque d'hypertension paradoxale par blocage des récepteurs β2-vasodilatateurs et prédominance des effets α.</w:t>
      </w:r>
    </w:p>
    <w:p>
      <w:pPr>
        <w:pStyle w:val="ListBullet"/>
      </w:pPr>
      <w:r>
        <w:t>Alcaloïdes de l'ergot de seigle (ergotamine, dihydroergotamine) : risque de vasospasme sévère (ergotisme), contre-indication.</w:t>
      </w:r>
    </w:p>
    <w:p>
      <w:pPr>
        <w:pStyle w:val="ListBullet"/>
      </w:pPr>
      <w:r>
        <w:t>Cocaïne (usage récréatif) : risque d'infarctus du myocarde par spasme coronaire et majoration sympathique.</w:t>
      </w:r>
    </w:p>
    <w:p>
      <w:r/>
      <w:r>
        <w:rPr>
          <w:b/>
        </w:rPr>
        <w:t>Grossesse et Allaitement :</w:t>
      </w:r>
      <w:r/>
    </w:p>
    <w:p>
      <w:pPr>
        <w:pStyle w:val="ListBullet"/>
      </w:pPr>
      <w:r>
        <w:t xml:space="preserve">Grossesse : Selon le CRAT et l'ANSM, l'oxymétazoline par voie nasale est considérée comme </w:t>
      </w:r>
      <w:r>
        <w:rPr>
          <w:b/>
        </w:rPr>
        <w:t>compatible avec la grossesse en usage court (≤ 5 jours) à la posologie recommandée</w:t>
      </w:r>
      <w:r>
        <w:t xml:space="preserve"> chez la femme enceinte quel que soit le trimestre, en cas de congestion nasale gênante. Le passage systémique existe (30 à 50 % de la dose) mais reste modéré aux posologies usuelles, et les données d'observation n'ont pas montré d'augmentation du risque de malformations, d'hypotension fœtale ou de complications obstétricales. L'oxymétazoline est souvent proposée en première intention chez la femme enceinte (par rapport aux sympathomimétiques oraux comme la pseudoéphédrine, qui sont déconseillés au 1er trimestre en raison d'un possible risque de defects de la paroi abdominale). Prudence particulière en cas d'hypertension gravidique ou de pré-éclampsie : à éviter en raison du risque d'aggravation tensionnelle. Ne pas dépasser 5 jours d'utilisation continue.</w:t>
      </w:r>
    </w:p>
    <w:p>
      <w:pPr>
        <w:pStyle w:val="ListBullet"/>
      </w:pPr>
      <w:r>
        <w:t>Allaitement : Compatible en usage court (≤ 5 jours) aux posologies recommandées. Le passage dans le lait maternel est théorique et n'a pas été documenté comme significatif. Surveillance de l'enfant allaité en cas d'usage prolongé ou répété (recherche d'irritabilité, de troubles du sommeil, de tachycardie).</w:t>
      </w:r>
    </w:p>
    <w:p>
      <w:pPr>
        <w:pStyle w:val="ListBullet"/>
      </w:pPr>
      <w:r>
        <w:t>Précautions : Éviter l'usage répété au cours de la grossesse (risque théorique de vasoconstriction utéroplacentaire). En cas de rhinite gravidique (rhinite de la grossesse, présente chez 20 à 30 % des femmes enceintes au 3e trimestre), préférer en première intention le lavage nasal au sérum physiologique et les corticoïdes nasaux (fluticasone, mométasone), et réserver l'oxymétazoline à un usage ponctuel nocturne en cas d'obstruction majeure perturbant le sommeil.</w:t>
      </w:r>
    </w:p>
    <w:p>
      <w:r/>
      <w:r>
        <w:rPr>
          <w:b/>
        </w:rPr>
        <w:t>Posologie et Mode d'administration (Standard) :</w:t>
      </w:r>
      <w:r/>
    </w:p>
    <w:p>
      <w:pPr>
        <w:pStyle w:val="ListBullet"/>
      </w:pPr>
      <w:r>
        <w:t>Adulte et enfant de plus de 12 ans : 1 pulvérisation (≈ 100 µL contenant 50 µg d'oxymétazoline chlorhydrate) dans chaque narine, 2 fois par jour à 12 heures d'intervalle (matin et soir), pendant une durée maximale de 5 jours.</w:t>
      </w:r>
    </w:p>
    <w:p>
      <w:pPr>
        <w:pStyle w:val="ListBullet"/>
      </w:pPr>
      <w:r>
        <w:t>Posologie maximale : 4 pulvérisations par jour (2 par narine), à ne pas dépasser.</w:t>
      </w:r>
    </w:p>
    <w:p>
      <w:pPr>
        <w:pStyle w:val="ListBullet"/>
      </w:pPr>
      <w:r>
        <w:t>Enfant de 6 à 12 ans : la concentration pédiatrique (0,025 %) n'est pas disponible en Algérie dans la nomenclature de 2026 ; ne pas utiliser la concentration 0,05 % chez l'enfant de moins de 12 ans. Orientation vers des alternatives (sérum physiologique, lavage nasal, antiseptiques nasaux doux).</w:t>
      </w:r>
    </w:p>
    <w:p>
      <w:pPr>
        <w:pStyle w:val="ListBullet"/>
      </w:pPr>
      <w:r>
        <w:t>Enfant de moins de 6 ans : contre-indication absolue.</w:t>
      </w:r>
    </w:p>
    <w:p>
      <w:pPr>
        <w:pStyle w:val="ListBullet"/>
      </w:pPr>
      <w:r>
        <w:t>Sujet âgé (≥ 65 ans) : pas d'adaptation posologique en l'absence de contre-indication cardiovasculaire ; surveillance tensionnelle renforcée chez le sujet hypertendu.</w:t>
      </w:r>
    </w:p>
    <w:p>
      <w:pPr>
        <w:pStyle w:val="ListBullet"/>
      </w:pPr>
      <w:r>
        <w:t>Insuffisant rénal ou hépatique : éviter en cas d'insuffisance sévère (clairance &lt; 30 mL/min) en raison du risque d'accumulation systémique.</w:t>
      </w:r>
    </w:p>
    <w:p>
      <w:pPr>
        <w:pStyle w:val="ListBullet"/>
      </w:pPr>
      <w:r>
        <w:t>Mode d'administration : moucher doucement avant l'administration pour dégager les fosses nasales ; agiter le flacon ; pencher légèrement la tête en avant ; introduire l'embout dans une narine en direction de l'extérieur (vers le conduit auditif externe, et non vers la cloison nasale) ; pulvériser en inspiration douce et profonde ; renouveler dans l'autre narine ; ne pas renifler violemment pour éviter le passage pharyngé ; se laver les mains après administration ; nettoyer l'embout avec un mouchoir propre après usage.</w:t>
      </w:r>
    </w:p>
    <w:p>
      <w:pPr>
        <w:pStyle w:val="ListBullet"/>
      </w:pPr>
      <w:r>
        <w:t>Durée maximale de traitement : 5 jours consécutifs sans avis médical. Au-delà, consultation médicale pour réévaluation diagnostique et thérapeutique.</w:t>
      </w:r>
    </w:p>
    <w:p>
      <w:r/>
      <w:r>
        <w:rPr>
          <w:b/>
        </w:rPr>
        <w:t>Arbitrage et Bénéfices des Formes Galéniques :</w:t>
      </w:r>
      <w:r/>
    </w:p>
    <w:p>
      <w:r>
        <w:t>La seule forme galénique disponible en Algérie est la solution pour pulvérisation nasale (spray) à la concentration de 0,05 %. Le spray nasal préserve la dose unitaire (50 µg par pulvérisation), garantit une répartition homogène sur la muqueuse nasale et limite la surdose par rapport aux gouttes nasales (qui ne sont plus disponibles en Algérie mais qui restent utilisées dans certains pays). Le volume unitaire pulvérisé (≈ 100 µL) correspond à la quantité optimale pour recouvrir la muqueuse sans écoulement excessif vers le pharynx. Le conditionnement en flacon de 15 mL correspond à environ 150 doses, ce qui couvre largement un traitement de 5 jours (4 doses par jour × 5 jours = 20 doses par traitement), réduisant le risque d'usage prolongé par épuisement du flacon. La conservation se fait à température ≤ 25 °C, à l'abri de la lumière, et le flacon doit être jeté dans les 3 mois suivant la première ouverture en raison du risque de contamination microbienne (notamment à Pseudomonas aeruginosa). Le chlorure de benzalkonium est utilisé comme conservateur à la concentration de 0,01 % ; il peut être responsable d'une toxicité ciliaire locale et d'une irritation nasale, et doit être pris en compte en cas d'usage prolongé (à éviter absolument). Aucune forme sans chlorure de benzalkonium n'est disponible en Algérie pour l'oxymétazoline.</w:t>
      </w:r>
    </w:p>
    <w:p>
      <w:r/>
      <w:r>
        <w:rPr>
          <w:b/>
        </w:rPr>
        <w:t>Instructions et Conseils au Patient :</w:t>
      </w:r>
      <w:r/>
    </w:p>
    <w:p>
      <w:pPr>
        <w:pStyle w:val="ListBullet"/>
      </w:pPr>
      <w:r>
        <w:t>Communication au comptoir : Rappeler qu'il s'agit d'un vasoconstricteur nasal puissant, à utiliser uniquement pendant 5 jours maximum en continu, sans renouvellement automatique. Insister sur le risque de rhinite médicamenteuse (dépendance, rebond, tolérance) en cas d'usage prolongé. Vérifier les contre-indications (hypertension non contrôlée, glaucome, hyperthyroïdie, IMAO) au moment de la délivrance.</w:t>
      </w:r>
    </w:p>
    <w:p>
      <w:pPr>
        <w:pStyle w:val="ListBullet"/>
      </w:pPr>
      <w:r>
        <w:t>Mode d'utilisation pratique : Bien agiter le flacon avant emploi. Moucher doucement avant l'administration. Pencher la tête légèrement en avant, introduire l'embout dans une narine, diriger vers l'extérieur (vers l'oreille), pulvériser en inspirant doucement. Renouveler dans l'autre narine. Ne pas renifler fortement. Se laver les mains après. Nettoyer l'embout après usage.</w:t>
      </w:r>
    </w:p>
    <w:p>
      <w:pPr>
        <w:pStyle w:val="ListBullet"/>
      </w:pPr>
      <w:r>
        <w:t>Information sur les signes d'alerte : obstruction nasale persistante au-delà de 5 jours (suspicion de rhinite médicamenteuse), céphalées intenses, palpitations, hypertension, troubles visuels (en cas de projection oculaire), troubles du sommeil, irritabilité → arrêt et consultation médicale.</w:t>
      </w:r>
    </w:p>
    <w:p>
      <w:pPr>
        <w:pStyle w:val="ListBullet"/>
      </w:pPr>
      <w:r>
        <w:t>Information sur la conservation : conserver à température ≤ 25 °C, à l'abri de la lumière. Ne pas congeler. Jeter le flacon dans les 3 mois après la première ouverture. Ne pas partager le flacon avec un autre membre de la famille (risque de contamination croisée).</w:t>
      </w:r>
    </w:p>
    <w:p>
      <w:pPr>
        <w:pStyle w:val="ListBullet"/>
      </w:pPr>
      <w:r>
        <w:t>Information sur l'usage chez la femme enceinte : possible en usage court (≤ 5 jours) aux posologies recommandées ; préférer le lavage nasal au sérum physiologique en première intention.</w:t>
      </w:r>
    </w:p>
    <w:p>
      <w:r/>
      <w:r>
        <w:rPr>
          <w:b/>
        </w:rPr>
        <w:t>Notes, Règles d'Or &amp; Pièges au Comptoir :</w:t>
      </w:r>
      <w:r/>
    </w:p>
    <w:p>
      <w:pPr>
        <w:pStyle w:val="ListBullet"/>
      </w:pPr>
      <w:r>
        <w:t>Piège classique n°1 : Patient revenant à l'officine tous les 10 jours pour acheter un flacon d'oxymétazoline depuis plusieurs mois → suspicion forte de rhinite médicamenteuse. Conduite à tenir : refuser la délivrance, orienter vers le médecin traitant pour sevrage sous corticoïde nasal.</w:t>
      </w:r>
    </w:p>
    <w:p>
      <w:pPr>
        <w:pStyle w:val="ListBullet"/>
      </w:pPr>
      <w:r>
        <w:t>Piège classique n°2 : Parents demandant de l'oxymétazoline 0,05 % pour un enfant de moins de 12 ans (en l'absence de concentration 0,025 % disponible en Algérie) → refus de la délivrance ; orientation vers des alternatives (sérum physiologique, lavage nasal, aspiration des sécrétions chez le nourrisson).</w:t>
      </w:r>
    </w:p>
    <w:p>
      <w:pPr>
        <w:pStyle w:val="ListBullet"/>
      </w:pPr>
      <w:r>
        <w:t>Piège classique n°3 : Patient sous IMAO (rare en pratique courante) ou ayant arrêté un IMAO depuis moins de 15 jours → refus de la délivrance, orientation vers le médecin traitant pour alternative.</w:t>
      </w:r>
    </w:p>
    <w:p>
      <w:pPr>
        <w:pStyle w:val="ListBullet"/>
      </w:pPr>
      <w:r>
        <w:t>Règle d'or : « Oxymétazoline = 5 jours maximum, 2 pulvérisations par jour, jamais chez l'enfant de moins de 12 ans. »</w:t>
      </w:r>
    </w:p>
    <w:p>
      <w:pPr>
        <w:pStyle w:val="ListBullet"/>
      </w:pPr>
      <w:r>
        <w:t>Préparation et Conservation : Flacon fermé, à température ≤ 25 °C, à l'abri de la lumière. Ne pas congeler. Jeter le flacon 3 mois après la première ouverture.</w:t>
      </w:r>
    </w:p>
    <w:p>
      <w:pPr>
        <w:pStyle w:val="ListBullet"/>
      </w:pPr>
      <w:r>
        <w:t>Piège du diagnostic différentiel : Une obstruction nasale unilatérale résistante aux vasoconstricteurs doit faire suspecter une cause tumorale (polype naso-sinusien, tumeur naso-sinusienne), une corps étranger (chez l'enfant), une déviation septale sévère ou une sinusite chronique → orientation vers l'ORL.</w:t>
      </w:r>
    </w:p>
    <w:p>
      <w:pPr>
        <w:pStyle w:val="ListBullet"/>
      </w:pPr>
      <w:r>
        <w:t>Piège de l'association aux antihistaminiques oraux : l'oxymétazoline peut être associée ponctuellement à un antihistaminique oral (cétirizine, loratadine) en cas de rhinite allergique congestive aiguë, mais le cumul avec un sympathomimétique oral (pseudoéphédrine) est contre-indiqué en raison du risque cardiovasculaire additif.</w:t>
      </w:r>
    </w:p>
    <w:p>
      <w:pPr>
        <w:pStyle w:val="Heading3"/>
      </w:pPr>
      <w:r>
        <w:t>132.2.3 DCI : Naphazoline</w:t>
      </w:r>
    </w:p>
    <w:p>
      <w:r/>
      <w:r>
        <w:rPr>
          <w:b/>
        </w:rPr>
        <w:t>Liste des Catégories :</w:t>
      </w:r>
      <w:r>
        <w:t xml:space="preserve"> Hors liste (collyre ophtalmologique disponible en Algérie).</w:t>
      </w:r>
    </w:p>
    <w:p>
      <w:r>
        <w:t>La naphazoline est un dérivé imidazolinique de synthèse, commercialisé internationalement depuis les années 1950, principalement sous forme de collyre ophtalmologique et accessoirement sous forme nasale (dans d'autres pays). Sa structure chimique correspond au 2-(1-naphthylméthyl)-2-imidazoline, avec un substituant naphtylène (cycle aromatique bicyclique) à la place du phénol substitué de l'oxymétazoline. Cette structure lui confère une activité agoniste α1-adrénergique vasculaire intense, mais aussi une activité α2-adrénergique centrale plus marquée que pour l'oxymétazoline, ce qui explique son profil de toxicité neurologique centrale (convulsions, dépression respiratoire) particulièrement décrit chez le nourrisson et le jeune enfant après administration nasale ou oculaire accidentelle. La naphazoline est principalement disponible en Algérie en association avec l'antazoline (antihistaminique H1) dans le collyre OPHTAZOLIN, indiqué dans les congestions oculaires allergiques et inflammatoires.</w:t>
      </w:r>
    </w:p>
    <w:p>
      <w:r/>
      <w:r>
        <w:rPr>
          <w:b/>
        </w:rPr>
        <w:t>Médicaments disponibles en Algérie (tableau commercial) :</w:t>
      </w:r>
      <w:r/>
    </w:p>
    <w:p>
      <w:r>
        <w:t>Formes ophtalmologiques actives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OPHTAZOLIN</w:t>
            </w:r>
          </w:p>
        </w:tc>
        <w:tc>
          <w:tcPr>
            <w:tcW w:type="dxa" w:w="1559"/>
          </w:tcPr>
          <w:p>
            <w:r>
              <w:rPr>
                <w:sz w:val="20"/>
              </w:rPr>
              <w:t>JORAS PHARMACEUTICAL SPA</w:t>
            </w:r>
          </w:p>
        </w:tc>
        <w:tc>
          <w:tcPr>
            <w:tcW w:type="dxa" w:w="1559"/>
          </w:tcPr>
          <w:p>
            <w:r>
              <w:rPr>
                <w:sz w:val="20"/>
              </w:rPr>
              <w:t>Collyre en solution (antazoline sulfate 5 mg + naphazoline nitrate 0,25 mg/mL)</w:t>
            </w:r>
          </w:p>
        </w:tc>
        <w:tc>
          <w:tcPr>
            <w:tcW w:type="dxa" w:w="1559"/>
          </w:tcPr>
          <w:p>
            <w:r>
              <w:rPr>
                <w:sz w:val="20"/>
              </w:rPr>
              <w:t>Flacon 10 mL</w:t>
            </w:r>
          </w:p>
        </w:tc>
        <w:tc>
          <w:tcPr>
            <w:tcW w:type="dxa" w:w="1559"/>
          </w:tcPr>
          <w:p>
            <w:r>
              <w:rPr>
                <w:sz w:val="20"/>
              </w:rPr>
              <w:t>Hors liste</w:t>
            </w:r>
          </w:p>
        </w:tc>
        <w:tc>
          <w:tcPr>
            <w:tcW w:type="dxa" w:w="1559"/>
          </w:tcPr>
          <w:p>
            <w:r>
              <w:rPr>
                <w:sz w:val="20"/>
              </w:rPr>
              <w:t>Actif</w:t>
            </w:r>
          </w:p>
        </w:tc>
      </w:tr>
    </w:tbl>
    <w:p/>
    <w:p>
      <w:r>
        <w:t>Formes nasales : aucune spécialité à base de naphazoline seule n'est actuellement commercialisée en Algérie dans la nomenclature de 2026. La naphazoline était historiquement disponible sous forme de spray nasal dans d'autres pays (Pernazène® en France, Privine® aux États-Unis), mais ces spécialités ont été retirées du marché dans la majorité des pays européens en raison du risque de toxicité neurologique centrale chez l'enfant. En Algérie, la naphazoline n'est donc accessible que par la voie ophtalmologique, en association avec l'antazoline. Le pharmacien doit être informé que la naphazoline par voie ophtalmologique peut avoir des effets systémiques (passage par les voies lacrymales et nasales via le canal naso-lacrimal), et que les contre-indications et précautions d'emploi de la classe des imidazolines s'appliquent à cette forme galénique. La spécialité OPHTAZOLIN (Joras Pharmaceutical, laboratoire algérien) est inscrite hors liste, ce qui permet sa délivrance sans ordonnance.</w:t>
      </w:r>
    </w:p>
    <w:p>
      <w:r/>
      <w:r>
        <w:rPr>
          <w:b/>
        </w:rPr>
        <w:t>Sous-classe et Mécanisme d'action :</w:t>
      </w:r>
      <w:r/>
    </w:p>
    <w:p>
      <w:pPr>
        <w:pStyle w:val="ListBullet"/>
      </w:pPr>
      <w:r>
        <w:t>Sous-classe : Vasoconstricteur imidazolinique de synthèse, agoniste mixte α1-adrénergique (vasoconstriction) et α2-adrénergique (action centrale et présynaptique).</w:t>
      </w:r>
    </w:p>
    <w:p>
      <w:pPr>
        <w:pStyle w:val="ListBullet"/>
      </w:pPr>
      <w:r>
        <w:t>Mécanisme d'action : La naphazoline se fixe aux récepteurs α1-adrénergiques postsynaptiques du muscle lisse vasculaire des conjonctives et des muqueuses nasales (en cas d'administration nasale ou de passage par le canal naso-lacrimal). Cette liaison déclenche la même cascade intracellulaire que pour l'oxymétazoline (phospholipase C → IP3 → libération calcique → contraction du muscle lisse vasculaire), aboutissant à une vasoconstriction intense et prolongée des sinusoides capacitifs conjonctivaux et nasaux. L'effet est perceptible en 5 à 10 minutes, maximal en 20 à 30 minutes et persiste 4 à 8 heures. La naphazoline possède également une affinité élevée pour les récepteurs α2-adrénergiques centraux (agonisme de type clonidine-like) qui explique sa toxicité neurologique centrale en cas de passage systémique : bradycardie, hypotension, dépression respiratoire, sédation, hypothermie, et à forte dose convulsions et coma. Chez le nourrisson, l'administration nasale ou oculaire de naphazoline peut entraîner une toxicité neurologique sévère (convulsions, apnées, coma) à des doses qui seraient bien tolérées chez l'adulte, en raison de l'immaturité de la barrière hémato-encéphalique et du rapport surface/poids défavorable. Cette toxicité centrale a conduit au retrait progressif des formes nasales de naphazoline dans la plupart des pays européens et à l'interdiction d'utilisation chez l'enfant de moins de 12 ans (voire 15 ans selon les pays).</w:t>
      </w:r>
    </w:p>
    <w:p>
      <w:pPr>
        <w:pStyle w:val="ListBullet"/>
      </w:pPr>
      <w:r>
        <w:t>Association à l'antazoline : L'antazoline est un antihistaminique H1 de première génération, doté d'une légère activité anticholinergique et sédative. Son association à la naphazoline dans le collyre OPHTAZOLIN vise à combiner un effet antiallergique (blocage des récepteurs H1 conjonctivaux, reduction du prurit et de la rhinite allergique) et un effet vasoconstricteur (réduction de la rougeur conjonctivale et de l'œdème palpébral). Cette association est particulièrement adaptée aux conjonctivites allergiques aiguës avec hyperhémie conjonctivale marquée.</w:t>
      </w:r>
    </w:p>
    <w:p>
      <w:r/>
      <w:r>
        <w:rPr>
          <w:b/>
        </w:rPr>
        <w:t>Profil Pharmacologique :</w:t>
      </w:r>
      <w:r/>
    </w:p>
    <w:p>
      <w:pPr>
        <w:pStyle w:val="ListBullet"/>
      </w:pPr>
      <w:r>
        <w:t>Indications : Collyre OPHTAZOLIN (naphazoline + antazoline) : traitement symptomatique des congestions oculaires allergiques (conjonctivites allergiques aiguës, rhinites allergiques avec composante oculaire), congestions oculaires inflammatoires bénignes (irritation, fatigue oculaire). Usage ophtalmologique uniquement. La naphazoline par voie nasale n'est plus disponible en Algérie et son usage historique est déconseillé en raison du risque de toxicité neurologique centrale.</w:t>
      </w:r>
    </w:p>
    <w:p>
      <w:pPr>
        <w:pStyle w:val="ListBullet"/>
      </w:pPr>
      <w:r>
        <w:t>Contre-indications : Hypersensibilité à la naphazoline ou à l'antazoline ou à l'un des excipients ; enfant de moins de 12 ans (pour la forme ophtalmologique, en raison du risque de passage systémique et de toxicité neurologique centrale, cette limite d'âge s'applique par prudence à toutes les formes) ; hypertension artérielle sévère non contrôlée ; coronaropathie évoluée ; hyperthyroïdie non traitée ; glaucome à angle fermé (la naphazoline peut induire une mydriase par passage systémique et déclencher une crise aiguë de glaucome) ; traitement en cours par IMAO ou dans les 15 jours suivant l'arrêt d'un IMAO ; hypertrophie prostatique sévère.</w:t>
      </w:r>
    </w:p>
    <w:p>
      <w:pPr>
        <w:pStyle w:val="ListBullet"/>
      </w:pPr>
      <w:r>
        <w:t>Spectre d'action : Pas d'activité antibiotique, antivirale ou antifongique propre. L'association à l'antazoline dans le collyre OPHTAZOLIN confère une activité antiallergique locale (par blocage des récepteurs H1 conjonctivaux). L'effet est purement symptomatique sur la composante congestive et prurigineuse.</w:t>
      </w:r>
    </w:p>
    <w:p>
      <w:r/>
      <w:r>
        <w:rPr>
          <w:b/>
        </w:rPr>
        <w:t>Effets Indésirables :</w:t>
      </w:r>
      <w:r/>
    </w:p>
    <w:p>
      <w:pPr>
        <w:pStyle w:val="ListBullet"/>
      </w:pPr>
      <w:r/>
      <w:r>
        <w:rPr>
          <w:b/>
        </w:rPr>
        <w:t>Locaux précoces (voie ophtalmologique)</w:t>
      </w:r>
      <w:r>
        <w:t xml:space="preserve"> : sensation de brûlure transitoire, picotements conjonctivaux, mydriase transitoire, troubles de l'accommodation, vision trouble passagère, hyperhémie rebound à l'arrêt.</w:t>
      </w:r>
    </w:p>
    <w:p>
      <w:pPr>
        <w:pStyle w:val="ListBullet"/>
      </w:pPr>
      <w:r/>
      <w:r>
        <w:rPr>
          <w:b/>
        </w:rPr>
        <w:t>Locaux tardifs (au-delà de 5 à 7 jours d'usage)</w:t>
      </w:r>
      <w:r>
        <w:t xml:space="preserve"> : conjonctivite médicamenteuse (rebond vasculaire, hyperhémie chronique, tolérance), sécheresse oculaire, kératite ponctuée superficielle, blépharite, dépôts cornéens.</w:t>
      </w:r>
    </w:p>
    <w:p>
      <w:pPr>
        <w:pStyle w:val="ListBullet"/>
      </w:pPr>
      <w:r/>
      <w:r>
        <w:rPr>
          <w:b/>
        </w:rPr>
        <w:t>Systémiques (par passage naso-lacrimal et absorption digestive)</w:t>
      </w:r>
      <w:r>
        <w:t xml:space="preserve"> : céphalées, hypertension artérielle transitoire, tachycardie, palpitations, tremulations, anxiété, insomnie, sueurs.</w:t>
      </w:r>
    </w:p>
    <w:p>
      <w:pPr>
        <w:pStyle w:val="ListBullet"/>
      </w:pPr>
      <w:r/>
      <w:r>
        <w:rPr>
          <w:b/>
        </w:rPr>
        <w:t>Neurologiques centraux (particulièrement chez l'enfant)</w:t>
      </w:r>
      <w:r>
        <w:t xml:space="preserve"> : convulsions, dépression respiratoire, apnées, sédation profonde, hypotension, bradycardie, hypothermie, coma. Ces effets centraux sont la principale iatrogénicité de la naphazoline et justifient sa contre-indication chez l'enfant de moins de 12 ans.</w:t>
      </w:r>
    </w:p>
    <w:p>
      <w:pPr>
        <w:pStyle w:val="ListBullet"/>
      </w:pPr>
      <w:r/>
      <w:r>
        <w:rPr>
          <w:b/>
        </w:rPr>
        <w:t>Oculaires spécifiques</w:t>
      </w:r>
      <w:r>
        <w:t xml:space="preserve"> : en cas d'usage prolongé : kératopathie, ulcère de cornée, syndrome sec oculaire aggravé.</w:t>
      </w:r>
    </w:p>
    <w:p>
      <w:pPr>
        <w:pStyle w:val="ListBullet"/>
      </w:pPr>
      <w:r/>
      <w:r>
        <w:rPr>
          <w:b/>
        </w:rPr>
        <w:t>Allergiques</w:t>
      </w:r>
      <w:r>
        <w:t xml:space="preserve"> : dermatite de contact palpébrale, conjonctivite allergique de contact (souvent à l'antazoline ou aux conservateurs), blépharite allergique.</w:t>
      </w:r>
    </w:p>
    <w:p>
      <w:r/>
      <w:r>
        <w:rPr>
          <w:b/>
        </w:rPr>
        <w:t>Prévention et Gestion des Effets Indésirables :</w:t>
      </w:r>
      <w:r/>
    </w:p>
    <w:p>
      <w:pPr>
        <w:pStyle w:val="ListBullet"/>
      </w:pPr>
      <w:r>
        <w:t>Mesures préventives : Respect strict de la durée maximale de 5 jours d'utilisation continue sans avis médical ; respect de la posologie maximale (1 à 2 gouttes par œil, 2 à 3 fois par jour) ; information claire du patient sur le risque de conjonctivite médicamenteuse et de rebond ; interdiction absolue d'usage chez l'enfant de moins de 12 ans ; vérification systématique des contre-indications cardiovasculaires et ophtalmologiques au comptoir (glaucome à angle fermé notamment) ; conseil d'éviter le port des lentilles de contact pendant le traitement en raison de la présence de conservateurs.</w:t>
      </w:r>
    </w:p>
    <w:p>
      <w:pPr>
        <w:pStyle w:val="ListBullet"/>
      </w:pPr>
      <w:r>
        <w:t>Conduite à tenir en cas de conjonctivite médicamenteuse : arrêt immédiat de la naphazoline ; substitution par un collyre antihistaminique sans vasoconstricteur (olopatadine, azelastine, kétotifène) ou par un collyre corticoïde sur avis ophtalmologique ; administration de larmes artificielles sans conservateur 4 à 6 fois par jour ; en cas d'échec à 2 semaines, consultation ophtalmologique spécialisée.</w:t>
      </w:r>
    </w:p>
    <w:p>
      <w:pPr>
        <w:pStyle w:val="ListBullet"/>
      </w:pPr>
      <w:r>
        <w:t>Conduite à tenir en cas de signes neurologiques centraux chez l'enfant (convulsions, somnolence excessive, apnées) : arrêt immédiat du collyre ; transport médicalisé urgent (SAMU 14 en Algérie) ; surveillance en milieu pédiatrique hospitalier.</w:t>
      </w:r>
    </w:p>
    <w:p>
      <w:pPr>
        <w:pStyle w:val="ListBullet"/>
      </w:pPr>
      <w:r>
        <w:t>Conduite à tenir en cas de projection oculaire accidentelle de naphazoline pure ou de surdosage : lavage abondant à l'eau ou au sérum physiologique pendant 5 minutes ; surveillance ophtalmologique en cas de douleur ou de vision trouble.</w:t>
      </w:r>
    </w:p>
    <w:p>
      <w:pPr>
        <w:pStyle w:val="ListBullet"/>
      </w:pPr>
      <w:r>
        <w:t>Conduite à tenir en cas de crise aiguë de glaucome (œil rouge douloureux, vision trouble, halos colorés, nausées) : arrêt immédiat, consultation ophtalmologique urgente.</w:t>
      </w:r>
    </w:p>
    <w:p>
      <w:r/>
      <w:r>
        <w:rPr>
          <w:b/>
        </w:rPr>
        <w:t>Interactions Importantes :</w:t>
      </w:r>
      <w:r/>
    </w:p>
    <w:p>
      <w:pPr>
        <w:pStyle w:val="ListBullet"/>
      </w:pPr>
      <w:r>
        <w:t>IMAO (iproniazide, phénelzine, tranylcypromine, moclobémide) : contre-indication absolue, risque de crise hypertensive par potentialisation.</w:t>
      </w:r>
    </w:p>
    <w:p>
      <w:pPr>
        <w:pStyle w:val="ListBullet"/>
      </w:pPr>
      <w:r>
        <w:t>Antidépresseurs tricycliques et IRSNA : majoration du risque d'hypertension et de troubles du rythme.</w:t>
      </w:r>
    </w:p>
    <w:p>
      <w:pPr>
        <w:pStyle w:val="ListBullet"/>
      </w:pPr>
      <w:r>
        <w:t>Sympathomimétiques d'action systémique (pseudoéphédrine, phényléphrine orale, éphédrine) : risque d'effets additifs cardiotoxiques et hypertensifs.</w:t>
      </w:r>
    </w:p>
    <w:p>
      <w:pPr>
        <w:pStyle w:val="ListBullet"/>
      </w:pPr>
      <w:r>
        <w:t>Anesthésiques volatils halogénés : majoration du risque d'arythmies ventriculaires par sensibilisation myocardique.</w:t>
      </w:r>
    </w:p>
    <w:p>
      <w:pPr>
        <w:pStyle w:val="ListBullet"/>
      </w:pPr>
      <w:r>
        <w:t>Bêtabloquants (en collyre ou en systémique) : risque d'hypertension paradoxale par blocage des récepteurs β2-vasodilatateurs.</w:t>
      </w:r>
    </w:p>
    <w:p>
      <w:pPr>
        <w:pStyle w:val="ListBullet"/>
      </w:pPr>
      <w:r>
        <w:t>Alcaloïdes de l'ergot de seigle : risque de vasospasme sévère.</w:t>
      </w:r>
    </w:p>
    <w:p>
      <w:pPr>
        <w:pStyle w:val="ListBullet"/>
      </w:pPr>
      <w:r>
        <w:t>Antihypertenseurs (bêtabloquants, IEC, ARA2) : risque de neutralisation de l'effet antihypertenseur.</w:t>
      </w:r>
    </w:p>
    <w:p>
      <w:pPr>
        <w:pStyle w:val="ListBullet"/>
      </w:pPr>
      <w:r>
        <w:t>Insuline et antidiabétiques oraux : risque de modification de la glycémie (hyperglycémie par effet sympathomimétique).</w:t>
      </w:r>
    </w:p>
    <w:p>
      <w:pPr>
        <w:pStyle w:val="ListBullet"/>
      </w:pPr>
      <w:r>
        <w:t>Cocaïne : risque d'infarctus du myocarde par spasme coronaire.</w:t>
      </w:r>
    </w:p>
    <w:p>
      <w:r/>
      <w:r>
        <w:rPr>
          <w:b/>
        </w:rPr>
        <w:t>Grossesse et Allaitement :</w:t>
      </w:r>
      <w:r/>
    </w:p>
    <w:p>
      <w:pPr>
        <w:pStyle w:val="ListBullet"/>
      </w:pPr>
      <w:r>
        <w:t xml:space="preserve">Grossesse : La naphazoline par voie ophtalmologique est </w:t>
      </w:r>
      <w:r>
        <w:rPr>
          <w:b/>
        </w:rPr>
        <w:t>déconseillée pendant la grossesse</w:t>
      </w:r>
      <w:r>
        <w:t xml:space="preserve"> par prudence, en particulier au 1er trimestre, en raison de l'absence de données spécifiques rassurantes et du risque théorique d'effets vasoconstricteurs systémiques (hypertension maternelle, vasoconstriction utéroplacentaire). En cas de congestion oculaire allergique au cours de la grossesse, préférer en première intention un collyre antihistaminique pur (olopatadine, azelastine) ou un collyre corticoïde sur avis ophtalmologique. En cas d'utilisation ponctuelle de naphazoline par voie ophtalmologique, surveiller la pression artérielle maternelle.</w:t>
      </w:r>
    </w:p>
    <w:p>
      <w:pPr>
        <w:pStyle w:val="ListBullet"/>
      </w:pPr>
      <w:r>
        <w:t>Allaitement : Déconseillé par prudence en raison du passage théorique de la naphazoline dans le lait maternel et du risque de toxicité neurologique centrale chez le nourrisson. En cas d'utilisation ponctuelle, surveiller l'enfant allaité (recherche d'irritabilité, de troubles du sommeil, de tachycardie, de somnolence excessive).</w:t>
      </w:r>
    </w:p>
    <w:p>
      <w:pPr>
        <w:pStyle w:val="ListBullet"/>
      </w:pPr>
      <w:r>
        <w:t>Précautions : Éviter l'usage prolongé ou répété. Préférer systématiquement les alternatives non vasoconstrictrices chez la femme enceinte et allaitante.</w:t>
      </w:r>
    </w:p>
    <w:p>
      <w:r/>
      <w:r>
        <w:rPr>
          <w:b/>
        </w:rPr>
        <w:t>Posologie et Mode d'administration (Standard) :</w:t>
      </w:r>
      <w:r/>
    </w:p>
    <w:p>
      <w:pPr>
        <w:pStyle w:val="ListBullet"/>
      </w:pPr>
      <w:r>
        <w:t>Adulte et enfant de plus de 12 ans : 1 à 2 gouttes de collyre OPHTAZOLIN dans l'œil (ou les deux yeux) atteint(s), 2 à 3 fois par jour, pendant une durée maximale de 5 jours sans avis médical.</w:t>
      </w:r>
    </w:p>
    <w:p>
      <w:pPr>
        <w:pStyle w:val="ListBullet"/>
      </w:pPr>
      <w:r>
        <w:t>Posologie maximale : 6 gouttes par œil et par jour, à ne pas dépasser.</w:t>
      </w:r>
    </w:p>
    <w:p>
      <w:pPr>
        <w:pStyle w:val="ListBullet"/>
      </w:pPr>
      <w:r>
        <w:t>Enfant de 6 à 12 ans : usage déconseillé en raison du risque de toxicité neurologique centrale. En cas de nécessité absolue sur avis médical, ne pas dépasser 1 goutte par œil, 2 fois par jour, pendant 3 jours maximum.</w:t>
      </w:r>
    </w:p>
    <w:p>
      <w:pPr>
        <w:pStyle w:val="ListBullet"/>
      </w:pPr>
      <w:r>
        <w:t>Enfant de moins de 6 ans : contre-indication absolue.</w:t>
      </w:r>
    </w:p>
    <w:p>
      <w:pPr>
        <w:pStyle w:val="ListBullet"/>
      </w:pPr>
      <w:r>
        <w:t>Sujet âgé : pas d'adaptation posologique en l'absence de contre-indication cardiovasculaire ; surveillance tensionnelle et ophtalmologique (glaucome) renforcée.</w:t>
      </w:r>
    </w:p>
    <w:p>
      <w:pPr>
        <w:pStyle w:val="ListBullet"/>
      </w:pPr>
      <w:r>
        <w:t>Mode d'administration (collyre) : se laver les mains ; basculer la tête légèrement en arrière ; tirer délicatement la paupière inférieure vers le bas pour former une gouttière ; instiller 1 à 2 gouttes dans le cul-de-sac conjonctival inférieur sans toucher l'œil avec l'embout du flacon ; cligner plusieurs fois pour répartir le collyre ; fermer l'œil 1 à 2 minutes et comprimer le canal naso-lacrimal avec un doigt pour réduire le passage systémique ; se laver les mains après.</w:t>
      </w:r>
    </w:p>
    <w:p>
      <w:pPr>
        <w:pStyle w:val="ListBullet"/>
      </w:pPr>
      <w:r>
        <w:t>Conservation : flacon fermé, à température ≤ 25 °C, à l'abri de la lumière. Jeter le flacon dans les 4 semaines après la première ouverture (présence de chlorure de benzalkonium comme conservateur).</w:t>
      </w:r>
    </w:p>
    <w:p>
      <w:r/>
      <w:r>
        <w:rPr>
          <w:b/>
        </w:rPr>
        <w:t>Arbitrage et Bénéfices des Formes Galéniques :</w:t>
      </w:r>
      <w:r/>
    </w:p>
    <w:p>
      <w:r>
        <w:t>La seule forme disponible en Algérie pour la naphazoline est le collyre en solution (OPHTAZOLIN), en association avec l'antazoline. Cette association répond à la logique thérapeutique des conjonctivites allergiques aiguës, qui associent typiquement une hyperhémie conjonctivale vasculaire (cible de la naphazoline) et un prurit et œdème liés à la dégranulation mastocytaire (cible de l'antazoline). Le collyre offre l'avantage d'une application locale directe sur la cible, d'une biodisponibilité locale élevée et d'un passage systémique théoriquement limité (mais non négligeable en raison de l'absorption par le canal naso-lacrimal). Le conditionnement en flacon de 10 mL correspond à environ 200 à 250 gouttes, ce qui couvre largement un traitement de 5 jours (12 gouttes par jour × 5 jours = 60 gouttes par traitement). La compression du canal naso-lacrimal après instillation permet de réduire significativement le passage systémique (de 50 à 70 %) et donc le risque d'effets indésirables systémiques. Aucune forme unidose sans conservateur n'est disponible en Algérie pour la naphazoline, ce qui limite son utilisation chez les patients porteurs de lentilles de contact ou ayant une hypersensibilité aux conservateurs. Le chlorure de benzalkonium, présent dans le collyre OPHTAZOLIN, peut être responsable d'une toxicité épithéliale cornéenne en cas d'usage prolongé et nécessite le retrait des lentilles de contact pendant la durée du traitement.</w:t>
      </w:r>
    </w:p>
    <w:p>
      <w:r/>
      <w:r>
        <w:rPr>
          <w:b/>
        </w:rPr>
        <w:t>Instructions et Conseils au Patient :</w:t>
      </w:r>
      <w:r/>
    </w:p>
    <w:p>
      <w:pPr>
        <w:pStyle w:val="ListBullet"/>
      </w:pPr>
      <w:r>
        <w:t>Communication au comptoir : Rappeler qu'il s'agit d'un collyre vasoconstricteur à utiliser uniquement pendant 5 jours maximum en continu, sans renouvellement automatique. Insister sur le risque de conjonctivite médicamenteuse (rebond, tolérance, rougeur paradoxale à l'arrêt) en cas d'usage prolongé. Vérifier les contre-indications (glaucome à angle fermé, hypertension non contrôlée, hyperthyroïdie, IMAO) au moment de la délivrance.</w:t>
      </w:r>
    </w:p>
    <w:p>
      <w:pPr>
        <w:pStyle w:val="ListBullet"/>
      </w:pPr>
      <w:r>
        <w:t>Mode d'utilisation pratique : Bien se laver les mains avant l'instillation. Ne pas toucher l'œil ou les paupières avec l'embout du flacon. Comprimer le canal naso-lacrimal avec un doigt pendant 1 à 2 minutes après l'instillation pour réduire le passage systémique. Retirer les lentilles de contact avant l'instillation et ne pas les remettre avant 15 minutes. Ne pas partager le flacon avec un autre membre de la famille.</w:t>
      </w:r>
    </w:p>
    <w:p>
      <w:pPr>
        <w:pStyle w:val="ListBullet"/>
      </w:pPr>
      <w:r>
        <w:t>Information sur les signes d'alerte : rougeur persistante au-delà de 5 jours, douleur oculaire, vision trouble, halos colorés (suspicion de crise aiguë de glaucome), céphalées intenses, palpitations, hypertension → arrêt et consultation médicale ou ophtalmologique.</w:t>
      </w:r>
    </w:p>
    <w:p>
      <w:pPr>
        <w:pStyle w:val="ListBullet"/>
      </w:pPr>
      <w:r>
        <w:t>Information sur la conservation : conserver à température ≤ 25 °C, à l'abri de la lumière. Ne pas congeler. Jeter le flacon dans les 4 semaines après la première ouverture. Ne pas utiliser au-delà de la date de péremption.</w:t>
      </w:r>
    </w:p>
    <w:p>
      <w:pPr>
        <w:pStyle w:val="ListBullet"/>
      </w:pPr>
      <w:r>
        <w:t>Information sur l'usage chez la femme enceinte : déconseillé par prudence ; préférer un collyre antihistaminique pur.</w:t>
      </w:r>
    </w:p>
    <w:p>
      <w:pPr>
        <w:pStyle w:val="ListBullet"/>
      </w:pPr>
      <w:r>
        <w:t>Information sur l'usage chez l'enfant : contre-indication absolue chez l'enfant de moins de 6 ans ; déconseillé chez l'enfant de 6 à 12 ans en raison du risque neurologique central.</w:t>
      </w:r>
    </w:p>
    <w:p>
      <w:r/>
      <w:r>
        <w:rPr>
          <w:b/>
        </w:rPr>
        <w:t>Notes, Règles d'Or &amp; Pièges au Comptoir :</w:t>
      </w:r>
      <w:r/>
    </w:p>
    <w:p>
      <w:pPr>
        <w:pStyle w:val="ListBullet"/>
      </w:pPr>
      <w:r>
        <w:t>Piège classique n°1 : Patient demandant du OPHTAZOLIN pour un enfant de moins de 6 ans (parfois pour un nourrisson présentant une conjonctivite allergique) → refus de la délivrance en raison du risque de toxicité neurologique centrale (convulsions, apnées, coma) ; orientation vers le pédiatre pour alternative (collyre antihistaminique type olopatadine ou azelastine).</w:t>
      </w:r>
    </w:p>
    <w:p>
      <w:pPr>
        <w:pStyle w:val="ListBullet"/>
      </w:pPr>
      <w:r>
        <w:t>Piège classique n°2 : Patient utilisant le collyre OPHTAZOLIN depuis plusieurs semaines ou mois pour des yeux rouges chroniques → suspicion forte de conjonctivite médicamenteuse ; arrêt du collyre, orientation vers l'ophtalmologue pour réévaluation.</w:t>
      </w:r>
    </w:p>
    <w:p>
      <w:pPr>
        <w:pStyle w:val="ListBullet"/>
      </w:pPr>
      <w:r>
        <w:t>Piège classique n°3 : Patient présentant un glaucome à angle fermé non diagnostiqué et utilisant du OPHTAZOLIN → risque de déclenchement d'une crise aiguë de glaucome (mydriase par passage systémique) ; orientation ophtalmologique urgente en cas de douleur oculaire.</w:t>
      </w:r>
    </w:p>
    <w:p>
      <w:pPr>
        <w:pStyle w:val="ListBullet"/>
      </w:pPr>
      <w:r>
        <w:t>Piège classique n°4 : Patient porteur de lentilles de contact et souhaitant utiliser OPHTAZOLIN → informer du retrait obligatoire des lentilles pendant la durée du traitement (chlorure de benzalkonium absorbé par les lentilles souples).</w:t>
      </w:r>
    </w:p>
    <w:p>
      <w:pPr>
        <w:pStyle w:val="ListBullet"/>
      </w:pPr>
      <w:r>
        <w:t>Règle d'or : « Naphazoline = jamais chez l'enfant de moins de 12 ans, jamais plus de 5 jours en continu, surveillance ophtalmologique en cas d'usage prolongé. »</w:t>
      </w:r>
    </w:p>
    <w:p>
      <w:pPr>
        <w:pStyle w:val="ListBullet"/>
      </w:pPr>
      <w:r>
        <w:t>Préparation et Conservation : Flacon fermé, à température ≤ 25 °C, à l'abri de la lumière. Jeter le flacon 4 semaines après la première ouverture.</w:t>
      </w:r>
    </w:p>
    <w:p>
      <w:pPr>
        <w:pStyle w:val="ListBullet"/>
      </w:pPr>
      <w:r>
        <w:t>Piège du diagnostic différentiel : Une rougeur oculaire unilatérale douloureuse avec baisse d'acuité visuelle n'est pas une indication de naphazoline et doit faire suspecter une kératite, une uvéite, un glaucome aigu ou une sclérite → orientation ophtalmologique urgente.</w:t>
      </w:r>
    </w:p>
    <w:p>
      <w:pPr>
        <w:pStyle w:val="ListBullet"/>
      </w:pPr>
      <w:r>
        <w:t>Piège de l'association aux autres collyres : en cas de prescription de plusieurs collyres, espacer les instillations de 5 minutes pour éviter le lavage du premier collyre par le second. Administrer le collyre vasoconstricteur en dernier, après les collyres antiallergiques ou corticoïdes.</w:t>
      </w:r>
    </w:p>
    <w:p>
      <w:pPr>
        <w:pStyle w:val="Heading3"/>
      </w:pPr>
      <w:r>
        <w:t>132.2.4 DCI : Tuaminoheptane</w:t>
      </w:r>
    </w:p>
    <w:p>
      <w:r/>
      <w:r>
        <w:rPr>
          <w:b/>
        </w:rPr>
        <w:t>Liste des Catégories :</w:t>
      </w:r>
      <w:r>
        <w:t xml:space="preserve"> Liste II (préparation nasale en association).</w:t>
      </w:r>
    </w:p>
    <w:p>
      <w:r>
        <w:t>Le tuaminoheptane (ou tuaminoheptane) est un vasoconstricteur sympathomimétique de structure aliphatique non imidazolinée, mais traditionnellement rattaché à la classe des imidazolines dans la nomenclature algérienne en raison de son mécanisme d'action et de son usage clinique voisins. Sa structure chimique correspond au 2-amino-6-méthylheptane (ou 1,5-diméthylhexylamine), une amine aliphatique sympathomimétique proche de l'octodrine et de la méphentermine. Commercialisé en France et dans plusieurs pays européens depuis les années 1960, il est principalement disponible en Algérie en association avec l'acétylcystéine (fluidifiant mucolytique) et le chlorure de benzalkonium (conservateur) dans le spray nasal RHINOFLUIMUCIL (Zambon). Cette association vise à combiner un effet vasoconstricteur (réduction de la congestion nasale) et un effet fluidifiant (diminution de la viscosité des sécrétions nasales), pour une prise en charge globale de la rhinite aiguë congestive avec sécrétions épaisses.</w:t>
      </w:r>
    </w:p>
    <w:p>
      <w:r/>
      <w:r>
        <w:rPr>
          <w:b/>
        </w:rPr>
        <w:t>Médicaments disponibles en Algérie (tableau commercial) :</w:t>
      </w:r>
      <w:r/>
    </w:p>
    <w:p>
      <w:r>
        <w:t>Formes nasales actives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RHINOFLUIMUCIL</w:t>
            </w:r>
          </w:p>
        </w:tc>
        <w:tc>
          <w:tcPr>
            <w:tcW w:type="dxa" w:w="1559"/>
          </w:tcPr>
          <w:p>
            <w:r>
              <w:rPr>
                <w:sz w:val="20"/>
              </w:rPr>
              <w:t>ZAMBON</w:t>
            </w:r>
          </w:p>
        </w:tc>
        <w:tc>
          <w:tcPr>
            <w:tcW w:type="dxa" w:w="1559"/>
          </w:tcPr>
          <w:p>
            <w:r>
              <w:rPr>
                <w:sz w:val="20"/>
              </w:rPr>
              <w:t>Solution pour pulvérisation nasale (acétylcystéine 100 mg + tuaminoheptane 50 mg + chlorure de benzalkonium 1,25 mg pour 10 mL)</w:t>
            </w:r>
          </w:p>
        </w:tc>
        <w:tc>
          <w:tcPr>
            <w:tcW w:type="dxa" w:w="1559"/>
          </w:tcPr>
          <w:p>
            <w:r>
              <w:rPr>
                <w:sz w:val="20"/>
              </w:rPr>
              <w:t>Flacon 10 mL</w:t>
            </w:r>
          </w:p>
        </w:tc>
        <w:tc>
          <w:tcPr>
            <w:tcW w:type="dxa" w:w="1559"/>
          </w:tcPr>
          <w:p>
            <w:r>
              <w:rPr>
                <w:sz w:val="20"/>
              </w:rPr>
              <w:t>Liste II</w:t>
            </w:r>
          </w:p>
        </w:tc>
        <w:tc>
          <w:tcPr>
            <w:tcW w:type="dxa" w:w="1559"/>
          </w:tcPr>
          <w:p>
            <w:r>
              <w:rPr>
                <w:sz w:val="20"/>
              </w:rPr>
              <w:t>Actif</w:t>
            </w:r>
          </w:p>
        </w:tc>
      </w:tr>
    </w:tbl>
    <w:p/>
    <w:p>
      <w:r>
        <w:t>Formes nasales non disponibles : aucune autre spécialité à base de tuaminoheptane n'est actuellement commercialisée en Algérie dans la nomenclature de 2026. Le tuaminoheptane en monothérapie n'est pas disponible. La spécialité RHINOFLUIMUCIL est inscrite en Liste II, ce qui permet sa délivrance sans ordonnance mais impose une traçabilité et une surveillance pharmaceutique particulière. Le pharmacien d'officine doit être vigilant à la composition exacte de la spécialité (acétylcystéine + tuaminoheptane) et expliquer au patient la double action attendue (vasoconstrictrice et fluidifiante). Le conditionnement en flacon de 10 mL correspond à environ 60 à 80 doses, ce qui couvre largement un traitement de 5 jours (4 doses par jour × 5 jours = 20 doses par traitement), réduisant le risque d'usage prolongé par épuisement du flacon.</w:t>
      </w:r>
    </w:p>
    <w:p>
      <w:r/>
      <w:r>
        <w:rPr>
          <w:b/>
        </w:rPr>
        <w:t>Sous-classe et Mécanisme d'action :</w:t>
      </w:r>
      <w:r/>
    </w:p>
    <w:p>
      <w:pPr>
        <w:pStyle w:val="ListBullet"/>
      </w:pPr>
      <w:r>
        <w:t>Sous-classe : Sympathomimétique aliphatique à action directe, agoniste α1-adrénergique vasculaire, rattaché à la classe des imidazolines par analogie d'usage et de profil. Le tuaminoheptane appartient en réalité à la famille chimique des alkylamines sympathomimétiques, mais sa pharmacologie clinique est superposable à celle des imidazolines nasales.</w:t>
      </w:r>
    </w:p>
    <w:p>
      <w:pPr>
        <w:pStyle w:val="ListBullet"/>
      </w:pPr>
      <w:r>
        <w:t>Mécanisme d'action : Le tuaminoheptane se fixe aux récepteurs α1-adrénergiques postsynaptiques du muscle lisse vasculaire des sinusoides capacitifs sous-muqueux de la muqueuse nasale, déclenchant la même cascade intracellulaire que l'oxymétazoline (phospholipase C → IP3 → libération calcique → contraction du muscle lisse → vasoconstriction). L'effet vasoconstricteur est perceptible en 5 à 10 minutes, maximal en 15 à 30 minutes et persiste 4 à 6 heures. La durée d'action est donc plus courte que celle de l'oxymétazoline (10 à 12 heures), ce qui impose une administration plus fréquente (2 à 3 fois par jour). Le tuaminoheptane possède une affinité moindre pour les récepteurs α2-adrénergiques centraux que la naphazoline, ce qui explique son profil de tolérance neurologique central un peu meilleur, mais le risque de convulsions et de dépression respiratoire chez le jeune enfant reste présent et justifie la contre-indication aux âges pédiatriques.</w:t>
      </w:r>
    </w:p>
    <w:p>
      <w:pPr>
        <w:pStyle w:val="ListBullet"/>
      </w:pPr>
      <w:r>
        <w:t>Association à l'acétylcystéine : L'acétylcystéine (N-acétyl-L-cystéine) est un mucolytique qui rompt les ponts disulfures des mucoprotéines des sécrétions nasales et bronchiques, réduisant ainsi leur viscosité et facilitant leur évacuation par le tapis mucociliaire. Son association au tuaminoheptane dans le RHINOFLUIMUCIL vise à combiner un effet vasoconstricteur (réduction de la congestion nasale) et un effet mucolytique (fluidification des sécrétions nasales épaisses), dans une approche symptomatique globale de la rhinite aiguë congestive avec mucus épais. Cette logique thérapeutique est largement utilisée en pratique courante en Algérie et dans les pays francophones.</w:t>
      </w:r>
    </w:p>
    <w:p>
      <w:r/>
      <w:r>
        <w:rPr>
          <w:b/>
        </w:rPr>
        <w:t>Profil Pharmacologique :</w:t>
      </w:r>
      <w:r/>
    </w:p>
    <w:p>
      <w:pPr>
        <w:pStyle w:val="ListBullet"/>
      </w:pPr>
      <w:r>
        <w:t>Indications : Traitement symptomatique de la congestion nasale au cours des rhinites aiguës (rhume banal viral, sinusite aiguë) avec sécrétions nasales épaisses et encombrement nasal, pendant une durée maximale de 5 jours. Utilisation possible en cas de rhinite allergique congestive aiguë. La double action (vasoconstrictrice et mucolytique) est particulièrement adaptée aux rhinites aiguës avec mucus épais et encombrement nasal postérieur.</w:t>
      </w:r>
    </w:p>
    <w:p>
      <w:pPr>
        <w:pStyle w:val="ListBullet"/>
      </w:pPr>
      <w:r>
        <w:t>Contre-indications : Hypersensibilité au tuaminoheptane, à l'acétylcystéine ou à l'un des excipients (chlorure de benzalkonium notamment) ; hypertension artérielle sévère non contrôlée ; coronaropathie évoluée ; hyperthyroïdie non traitée ; glaucome à angle fermé ; traitement en cours par IMAO ou dans les 15 jours suivant l'arrêt d'un IMAO ; hypertrophie prostatique sévère avec rétention urinaire ; enfant de moins de 12 ans (par prudence, en raison de l'absence d'études spécifiques et du risque neurologique central) ; antécédent d'accident vasculaire cérébral récent ; insuffisance hépatique sévère (en raison de la présence d'acétylcystéine qui peut aggraver une insuffisance hépatique préexistante).</w:t>
      </w:r>
    </w:p>
    <w:p>
      <w:pPr>
        <w:pStyle w:val="ListBullet"/>
      </w:pPr>
      <w:r>
        <w:t>Spectre d'action : Pas d'activité antivirale, antibactérienne, antifongique ou antiallergique propre. L'action est purement symptomatique sur la composante congestive et mucosique de la rhinite. La double action (vasoconstrictrice et mucolytique) justifie l'usage en cas de rhinite aiguë avec sécrétions épaisses, mais ne dispense pas du traitement étiologique si nécessaire.</w:t>
      </w:r>
    </w:p>
    <w:p>
      <w:r/>
      <w:r>
        <w:rPr>
          <w:b/>
        </w:rPr>
        <w:t>Effets Indésirables :</w:t>
      </w:r>
      <w:r/>
    </w:p>
    <w:p>
      <w:pPr>
        <w:pStyle w:val="ListBullet"/>
      </w:pPr>
      <w:r/>
      <w:r>
        <w:rPr>
          <w:b/>
        </w:rPr>
        <w:t>Locaux précoces</w:t>
      </w:r>
      <w:r>
        <w:t xml:space="preserve"> : picotements nasaux, sensation de brûlure transitoire, éternuements paradoxaux dans les minutes suivant l'administration, sécheresse nasale, irritation pharyngée par écoulement postérieur.</w:t>
      </w:r>
    </w:p>
    <w:p>
      <w:pPr>
        <w:pStyle w:val="ListBullet"/>
      </w:pPr>
      <w:r/>
      <w:r>
        <w:rPr>
          <w:b/>
        </w:rPr>
        <w:t>Locaux tardifs</w:t>
      </w:r>
      <w:r>
        <w:t xml:space="preserve"> (au-delà de 5 jours d'usage) : rhinite médicamenteuse (rebond, tolérance, dépendance), épistaxis par fragilisation de la muqueuse, altération ciliaire (le chlorure de benzalkonium potentialise la toxicité ciliaire), atrophie muqueuse en cas d'usage très prolongé.</w:t>
      </w:r>
    </w:p>
    <w:p>
      <w:pPr>
        <w:pStyle w:val="ListBullet"/>
      </w:pPr>
      <w:r/>
      <w:r>
        <w:rPr>
          <w:b/>
        </w:rPr>
        <w:t>Systémiques</w:t>
      </w:r>
      <w:r>
        <w:t xml:space="preserve"> : hypertension artérielle transitoire, tachycardie réflexe, palpitations, céphalées, tremulations, anxiété, irritabilité, insomnie, sueurs. Plus rarement : troubles du rythme supraventriculaire, angor.</w:t>
      </w:r>
    </w:p>
    <w:p>
      <w:pPr>
        <w:pStyle w:val="ListBullet"/>
      </w:pPr>
      <w:r/>
      <w:r>
        <w:rPr>
          <w:b/>
        </w:rPr>
        <w:t>Oculaires</w:t>
      </w:r>
      <w:r>
        <w:t xml:space="preserve"> : mydriase transitoire en cas de projection accidentelle dans l'œil.</w:t>
      </w:r>
    </w:p>
    <w:p>
      <w:pPr>
        <w:pStyle w:val="ListBullet"/>
      </w:pPr>
      <w:r/>
      <w:r>
        <w:rPr>
          <w:b/>
        </w:rPr>
        <w:t>Neurologiques centraux</w:t>
      </w:r>
      <w:r>
        <w:t xml:space="preserve"> : convulsions et dépression respiratoire décrits chez le jeune enfant (justifiant la contre-indication aux âges pédiatriques), rares chez l'adulte aux posologies recommandées.</w:t>
      </w:r>
    </w:p>
    <w:p>
      <w:pPr>
        <w:pStyle w:val="ListBullet"/>
      </w:pPr>
      <w:r/>
      <w:r>
        <w:rPr>
          <w:b/>
        </w:rPr>
        <w:t>Liés à l'acétylcystéine</w:t>
      </w:r>
      <w:r>
        <w:t xml:space="preserve"> (par passage systémique) : troubles digestifs (nausées, vomissements, diarrhée), réactions allergiques (urticaire, bronchospasme chez l'asthmatique), flush cutané, hypotension transitoire en cas d'administration intraveineuse (non concerné par la voie nasale).</w:t>
      </w:r>
    </w:p>
    <w:p>
      <w:pPr>
        <w:pStyle w:val="ListBullet"/>
      </w:pPr>
      <w:r/>
      <w:r>
        <w:rPr>
          <w:b/>
        </w:rPr>
        <w:t>Allergiques</w:t>
      </w:r>
      <w:r>
        <w:t xml:space="preserve"> : dermatite de contact nasale, urticaire, œdème de Quincke (rares).</w:t>
      </w:r>
    </w:p>
    <w:p>
      <w:r/>
      <w:r>
        <w:rPr>
          <w:b/>
        </w:rPr>
        <w:t>Prévention et Gestion des Effets Indésirables :</w:t>
      </w:r>
      <w:r/>
    </w:p>
    <w:p>
      <w:pPr>
        <w:pStyle w:val="ListBullet"/>
      </w:pPr>
      <w:r>
        <w:t>Mesures préventives : Respect strict de la durée maximale de 5 jours d'utilisation continue, sans renouvellement automatique ; respect de la posologie maximale de 2 à 3 administrations par jour ; information claire du patient sur le risque de rhinite médicamenteuse et de rebond ; interdiction absolue d'usage chez l'enfant de moins de 12 ans ; vérification systématique des contre-indications cardiovasculaires et ophtalmologiques au comptoir ; prudence particulière chez l'asthmatique en raison de la présence d'acétylcystéine (risque théorique de bronchospasme par inhalation accidentelle).</w:t>
      </w:r>
    </w:p>
    <w:p>
      <w:pPr>
        <w:pStyle w:val="ListBullet"/>
      </w:pPr>
      <w:r>
        <w:t>Conduite à tenir en cas de rhinite médicamenteuse : arrêt immédiat du RHINOFLUIMUCIL ; substitution par un corticoïde nasal (fluticasone, mométasone) ; lavage nasal abondant au sérum physiologique 3 à 6 fois par jour ; consultation ORL en cas de non-réponse à 8 semaines.</w:t>
      </w:r>
    </w:p>
    <w:p>
      <w:pPr>
        <w:pStyle w:val="ListBullet"/>
      </w:pPr>
      <w:r>
        <w:t>Conduite à tenir en cas d'effets systémiques : arrêt immédiat en cas d'hypertension artérielle symptomatique, de palpitations, de céphalées sévères, de troubles du rythme ; consultation médicale urgente en cas de douleur thoracique, de dyspnée, de troubles neurologiques.</w:t>
      </w:r>
    </w:p>
    <w:p>
      <w:pPr>
        <w:pStyle w:val="ListBullet"/>
      </w:pPr>
      <w:r>
        <w:t>Conduite à tenir en cas de bronchospasme chez l'asthmatique : arrêt immédiat ; administration d'un bronchodilatateur β2-mimétique de courte durée d'action (salbutamol) ; consultation médicale.</w:t>
      </w:r>
    </w:p>
    <w:p>
      <w:pPr>
        <w:pStyle w:val="ListBullet"/>
      </w:pPr>
      <w:r>
        <w:t>Conduite à tenir en cas de réaction allergique (urticaire, œdème de Quincke, bronchospasme) : arrêt immédiat ; antihistaminique oral ; consultation médicale urgente en cas de signes de gravité (dyspnée, hypotension).</w:t>
      </w:r>
    </w:p>
    <w:p>
      <w:r/>
      <w:r>
        <w:rPr>
          <w:b/>
        </w:rPr>
        <w:t>Interactions Importantes :</w:t>
      </w:r>
      <w:r/>
    </w:p>
    <w:p>
      <w:pPr>
        <w:pStyle w:val="ListBullet"/>
      </w:pPr>
      <w:r>
        <w:t>IMAO (iproniazide, phénelzine, tranylcypromine, moclobémide) : contre-indication absolue, risque de crise hypertensive par potentialisation.</w:t>
      </w:r>
    </w:p>
    <w:p>
      <w:pPr>
        <w:pStyle w:val="ListBullet"/>
      </w:pPr>
      <w:r>
        <w:t>Antidépresseurs tricycliques et IRSNA : majoration du risque d'hypertension et de troubles du rythme.</w:t>
      </w:r>
    </w:p>
    <w:p>
      <w:pPr>
        <w:pStyle w:val="ListBullet"/>
      </w:pPr>
      <w:r>
        <w:t>Sympathomimétiques d'action systémique (pseudoéphédrine, phényléphrine orale, éphédrine) : risque d'effets additifs cardiotoxiques et hypertensifs, contre-indication de l'association.</w:t>
      </w:r>
    </w:p>
    <w:p>
      <w:pPr>
        <w:pStyle w:val="ListBullet"/>
      </w:pPr>
      <w:r>
        <w:t>Anesthésiques volatils halogénés : majoration du risque d'arythmies ventriculaires.</w:t>
      </w:r>
    </w:p>
    <w:p>
      <w:pPr>
        <w:pStyle w:val="ListBullet"/>
      </w:pPr>
      <w:r>
        <w:t>Bêtabloquants : risque d'hypertension paradoxale par blocage des récepteurs β2-vasodilatateurs.</w:t>
      </w:r>
    </w:p>
    <w:p>
      <w:pPr>
        <w:pStyle w:val="ListBullet"/>
      </w:pPr>
      <w:r>
        <w:t>Alcaloïdes de l'ergot de seigle : risque de vasospasme sévère.</w:t>
      </w:r>
    </w:p>
    <w:p>
      <w:pPr>
        <w:pStyle w:val="ListBullet"/>
      </w:pPr>
      <w:r>
        <w:t>Antihypertenseurs : risque de neutralisation de l'effet antihypertenseur.</w:t>
      </w:r>
    </w:p>
    <w:p>
      <w:pPr>
        <w:pStyle w:val="ListBullet"/>
      </w:pPr>
      <w:r>
        <w:t>Charbon activé (voie orale) : l'acétylcystéine et le tuaminoheptane par voie nasale ne sont pas concernés par cette interaction, mais l'information doit être donnée au patient si associé à un traitement oral par charbon.</w:t>
      </w:r>
    </w:p>
    <w:p>
      <w:pPr>
        <w:pStyle w:val="ListBullet"/>
      </w:pPr>
      <w:r>
        <w:t>Nitroglycérine : l'acétylcystéine potentialise l'effet vasodilatateur de la nitroglycérine (hypotension sévère), à prendre en compte en cas de traitement antérieur par RHINOFLUIMUCIL chez un coronarien recevant de la nitroglycérine.</w:t>
      </w:r>
    </w:p>
    <w:p>
      <w:pPr>
        <w:pStyle w:val="ListBullet"/>
      </w:pPr>
      <w:r>
        <w:t>Antibiotiques (pénicillines, céphalosporines, aminosides) : l'acétylcystéine peut réduire l'activité de certains antibiotiques par inactivation in vitro, mais ce risque est négligeable par voie nasale.</w:t>
      </w:r>
    </w:p>
    <w:p>
      <w:r/>
      <w:r>
        <w:rPr>
          <w:b/>
        </w:rPr>
        <w:t>Grossesse et Allaitement :</w:t>
      </w:r>
      <w:r/>
    </w:p>
    <w:p>
      <w:pPr>
        <w:pStyle w:val="ListBullet"/>
      </w:pPr>
      <w:r>
        <w:t xml:space="preserve">Grossesse : Le tuaminoheptane par voie nasale est </w:t>
      </w:r>
      <w:r>
        <w:rPr>
          <w:b/>
        </w:rPr>
        <w:t>déconseillé pendant la grossesse</w:t>
      </w:r>
      <w:r>
        <w:t xml:space="preserve"> par prudence, en raison de l'absence de données spécifiques rassurantes et du risque théorique d'effets vasoconstricteurs systémiques. L'acétylcystéine par voie nasale est considérée comme compatible avec la grossesse aux posologies recommandées (données rassurantes). L'association fixe RHINOFLUIMUCIL ne doit donc pas être utilisée chez la femme enceinte par prudence, en particulier au 1er trimestre. En cas de congestion nasale au cours de la grossesse, préférer en première intention le lavage nasal au sérum physiologique, puis l'oxymétazoline en usage court en seconde intention (compatible selon le CRAT). L'usage de la phényléphrine par voie nasale est également déconseillé au 1er trimestre.</w:t>
      </w:r>
    </w:p>
    <w:p>
      <w:pPr>
        <w:pStyle w:val="ListBullet"/>
      </w:pPr>
      <w:r>
        <w:t>Allaitement : Déconseillé par prudence en raison du passage théorique du tuaminoheptane dans le lait maternel. L'acétylcystéine est compatible avec l'allaitement (données rassurantes). En cas d'utilisation ponctuelle de RHINOFLUIMUCIL, surveiller l'enfant allaité (recherche d'irritabilité, de troubles du sommeil, de tachycardie).</w:t>
      </w:r>
    </w:p>
    <w:p>
      <w:pPr>
        <w:pStyle w:val="ListBullet"/>
      </w:pPr>
      <w:r>
        <w:t>Précautions : Éviter l'usage prolongé ou répété. Préférer systématiquement les alternatives non vasoconstrictrices chez la femme enceinte et allaitante.</w:t>
      </w:r>
    </w:p>
    <w:p>
      <w:r/>
      <w:r>
        <w:rPr>
          <w:b/>
        </w:rPr>
        <w:t>Posologie et Mode d'administration (Standard) :</w:t>
      </w:r>
      <w:r/>
    </w:p>
    <w:p>
      <w:pPr>
        <w:pStyle w:val="ListBullet"/>
      </w:pPr>
      <w:r>
        <w:t>Adulte et enfant de plus de 12 ans : 1 pulvérisation (≈ 100 µL contenant 0,5 mg de tuaminoheptane et 1 mg d'acétylcystéine) dans chaque narine, 2 à 3 fois par jour, pendant une durée maximale de 5 jours.</w:t>
      </w:r>
    </w:p>
    <w:p>
      <w:pPr>
        <w:pStyle w:val="ListBullet"/>
      </w:pPr>
      <w:r>
        <w:t>Posologie maximale : 6 pulvérisations par jour (3 par narine), à ne pas dépasser.</w:t>
      </w:r>
    </w:p>
    <w:p>
      <w:pPr>
        <w:pStyle w:val="ListBullet"/>
      </w:pPr>
      <w:r>
        <w:t>Enfant de moins de 12 ans : contre-indication absolue.</w:t>
      </w:r>
    </w:p>
    <w:p>
      <w:pPr>
        <w:pStyle w:val="ListBullet"/>
      </w:pPr>
      <w:r>
        <w:t>Sujet âgé : pas d'adaptation posologique en l'absence de contre-indication cardiovasculaire ; surveillance tensionnelle renforcée chez le sujet hypertendu.</w:t>
      </w:r>
    </w:p>
    <w:p>
      <w:pPr>
        <w:pStyle w:val="ListBullet"/>
      </w:pPr>
      <w:r>
        <w:t>Insuffisant rénal ou hépatique : éviter en cas d'insuffisance sévère.</w:t>
      </w:r>
    </w:p>
    <w:p>
      <w:pPr>
        <w:pStyle w:val="ListBullet"/>
      </w:pPr>
      <w:r>
        <w:t>Mode d'administration : moucher doucement avant l'administration pour dégager les fosses nasales ; agiter le flacon ; pencher légèrement la tête en avant ; introduire l'embout dans une narine en direction de l'extérieur (vers le conduit auditif externe, et non vers la cloison nasale) ; pulvériser en inspiration douce et profonde ; renouveler dans l'autre narine ; ne pas renifler violemment ; se laver les mains après administration ; nettoyer l'embout après usage.</w:t>
      </w:r>
    </w:p>
    <w:p>
      <w:pPr>
        <w:pStyle w:val="ListBullet"/>
      </w:pPr>
      <w:r>
        <w:t>Durée maximale de traitement : 5 jours consécutifs sans avis médical. Au-delà, consultation médicale pour réévaluation diagnostique et thérapeutique.</w:t>
      </w:r>
    </w:p>
    <w:p>
      <w:r/>
      <w:r>
        <w:rPr>
          <w:b/>
        </w:rPr>
        <w:t>Arbitrage et Bénéfices des Formes Galéniques :</w:t>
      </w:r>
      <w:r/>
    </w:p>
    <w:p>
      <w:r>
        <w:t>La seule forme disponible en Algérie pour le tuaminoheptane est le spray nasal RHINOFLUIMUCIL en association fixe avec l'acétylcystéine et le chlorure de benzalkonium. Cette association répond à la logique thérapeutique des rhinites aiguës congestives avec sécrétions épaisses, qui sont une présentation clinique très fréquente en pratique algérienne. Le spray nasal préserve la dose unitaire, garantit une répartition homogène sur la muqueuse nasale et limite la surdose par rapport aux gouttes nasales. Le conditionnement en flacon de 10 mL correspond à environ 60 à 80 doses, ce qui couvre largement un traitement de 5 jours. La conservation se fait à température ≤ 25 °C, à l'abri de la lumière, et le flacon doit être jeté dans les 3 mois suivant la première ouverture en raison du risque de contamination microbienne. Le chlorure de benzalkonium est utilisé comme conservateur à la concentration de 0,0125 % ; il peut être responsable d'une toxicité ciliaire locale et d'une irritation nasale, et doit être pris en compte en cas d'usage prolongé. Aucune forme sans chlorure de benzalkonium n'est disponible. L'association fixe présente l'avantage de la simplicité d'administration (un seul spray au lieu de deux médicaments séparés) mais l'inconvénient de ne pas permettre l'ajustement indépendant des deux composants (en cas de congestion sans mucus épais, ou inversement de mucus épais sans congestion, un des composants est inutile et expose à des effets indésirables inutiles).</w:t>
      </w:r>
    </w:p>
    <w:p>
      <w:r/>
      <w:r>
        <w:rPr>
          <w:b/>
        </w:rPr>
        <w:t>Instructions et Conseils au Patient :</w:t>
      </w:r>
      <w:r/>
    </w:p>
    <w:p>
      <w:pPr>
        <w:pStyle w:val="ListBullet"/>
      </w:pPr>
      <w:r>
        <w:t>Communication au comptoir : Rappeler qu'il s'agit d'un vasoconstricteur nasal associé à un fluidifiant, à utiliser uniquement pendant 5 jours maximum en continu, sans renouvellement automatique. Insister sur le risque de rhinite médicamenteuse (dépendance, rebond, tolérance) en cas d'usage prolongé. Vérifier les contre-indications (hypertension non contrôlée, glaucome, hyperthyroïdie, IMAO) au moment de la délivrance.</w:t>
      </w:r>
    </w:p>
    <w:p>
      <w:pPr>
        <w:pStyle w:val="ListBullet"/>
      </w:pPr>
      <w:r>
        <w:t>Mode d'utilisation pratique : Bien agiter le flacon avant emploi. Moucher doucement avant l'administration. Pencher la tête légèrement en avant, introduire l'embout dans une narine, diriger vers l'extérieur (vers l'oreille), pulvériser en inspirant doucement. Renouveler dans l'autre narine. Ne pas renifler fortement. Se laver les mains après. Nettoyer l'embout après usage.</w:t>
      </w:r>
    </w:p>
    <w:p>
      <w:pPr>
        <w:pStyle w:val="ListBullet"/>
      </w:pPr>
      <w:r>
        <w:t>Information sur les signes d'alerte : obstruction nasale persistante au-delà de 5 jours, céphalées intenses, palpitations, hypertension, troubles visuels, troubles du sommeil, irritabilité, bronchospasme (chez l'asthmatique) → arrêt et consultation médicale.</w:t>
      </w:r>
    </w:p>
    <w:p>
      <w:pPr>
        <w:pStyle w:val="ListBullet"/>
      </w:pPr>
      <w:r>
        <w:t>Information sur la conservation : conserver à température ≤ 25 °C, à l'abri de la lumière. Ne pas congeler. Jeter le flacon dans les 3 mois après la première ouverture. Ne pas partager le flacon.</w:t>
      </w:r>
    </w:p>
    <w:p>
      <w:pPr>
        <w:pStyle w:val="ListBullet"/>
      </w:pPr>
      <w:r>
        <w:t>Information sur l'usage chez la femme enceinte : déconseillé ; préférer le lavage nasal au sérum physiologique.</w:t>
      </w:r>
    </w:p>
    <w:p>
      <w:pPr>
        <w:pStyle w:val="ListBullet"/>
      </w:pPr>
      <w:r>
        <w:t>Information sur l'usage chez l'enfant : contre-indication absolue chez l'enfant de moins de 12 ans.</w:t>
      </w:r>
    </w:p>
    <w:p>
      <w:pPr>
        <w:pStyle w:val="ListBullet"/>
      </w:pPr>
      <w:r>
        <w:t>Information sur l'usage chez l'asthmatique : prudence particulière en raison de la présence d'acétylcystéine ; arrêt immédiat en cas de gêne respiratoire.</w:t>
      </w:r>
    </w:p>
    <w:p>
      <w:r/>
      <w:r>
        <w:rPr>
          <w:b/>
        </w:rPr>
        <w:t>Notes, Règles d'Or &amp; Pièges au Comptoir :</w:t>
      </w:r>
      <w:r/>
    </w:p>
    <w:p>
      <w:pPr>
        <w:pStyle w:val="ListBullet"/>
      </w:pPr>
      <w:r>
        <w:t>Piège classique n°1 : Patient asthmatique souhaitant utiliser RHINOFLUIMUCIL pour une rhinite congestive → information sur le risque théorique de bronchospasme par l'acétylcystéine ; en cas d'asthme sévère ou mal contrôlé, préférer l'oxymétazoline seule.</w:t>
      </w:r>
    </w:p>
    <w:p>
      <w:pPr>
        <w:pStyle w:val="ListBullet"/>
      </w:pPr>
      <w:r>
        <w:t>Piège classique n°2 : Parents demandant RHINOFLUIMUCIL pour un enfant de moins de 12 ans (voire un nourrisson) → refus de la délivrance ; orientation vers des alternatives (sérum physiologique, lavage nasal).</w:t>
      </w:r>
    </w:p>
    <w:p>
      <w:pPr>
        <w:pStyle w:val="ListBullet"/>
      </w:pPr>
      <w:r>
        <w:t>Piège classique n°3 : Patient revenant à l'officine tous les 10 jours pour acheter un flacon de RHINOFLUIMUCIL depuis plusieurs mois → suspicion forte de rhinite médicamenteuse ; refus de la délivrance, orientation vers le médecin pour sevrage sous corticoïde nasal.</w:t>
      </w:r>
    </w:p>
    <w:p>
      <w:pPr>
        <w:pStyle w:val="ListBullet"/>
      </w:pPr>
      <w:r>
        <w:t>Piège classique n°4 : Patient sous IMAO ou ayant arrêté un IMAO depuis moins de 15 jours → refus de la délivrance, orientation vers le médecin pour alternative.</w:t>
      </w:r>
    </w:p>
    <w:p>
      <w:pPr>
        <w:pStyle w:val="ListBullet"/>
      </w:pPr>
      <w:r>
        <w:t>Règle d'or : « Tuaminoheptane (Rhino-Fluimucil) = 5 jours maximum, 2 à 3 pulvérisations par jour, jamais chez l'enfant de moins de 12 ans, prudence chez l'asthmatique. »</w:t>
      </w:r>
    </w:p>
    <w:p>
      <w:pPr>
        <w:pStyle w:val="ListBullet"/>
      </w:pPr>
      <w:r>
        <w:t>Préparation et Conservation : Flacon fermé, à température ≤ 25 °C, à l'abri de la lumière. Ne pas congeler. Jeter le flacon 3 mois après la première ouverture.</w:t>
      </w:r>
    </w:p>
    <w:p>
      <w:pPr>
        <w:pStyle w:val="ListBullet"/>
      </w:pPr>
      <w:r>
        <w:t>Piège de l'association avec un autre vasoconstricteur : ne jamais associer RHINOFLUIMUCIL à un autre vasoconstricteur nasal (oxymétazoline, phényléphrine) ou oral (pseudoéphédrine) en raison du risque cardiovasculaire additif.</w:t>
      </w:r>
    </w:p>
    <w:p>
      <w:pPr>
        <w:pStyle w:val="ListBullet"/>
      </w:pPr>
      <w:r>
        <w:t>Piège du diagnostic différentiel : Une obstruction nasale unilatérale résistante au RHINOFLUIMUCIL doit faire suspecter une cause tumorale ou anatomique → orientation vers l'ORL.</w:t>
      </w:r>
    </w:p>
    <w:p>
      <w:pPr>
        <w:pStyle w:val="Heading2"/>
      </w:pPr>
      <w:r>
        <w:t>132.3 Sous-classe : Vasoconstricteurs nasaux — Sympathomimétiques</w:t>
      </w:r>
    </w:p>
    <w:p>
      <w:pPr>
        <w:pStyle w:val="Heading3"/>
      </w:pPr>
      <w:r>
        <w:t>132.3.1 Généralités de la sous-classe</w:t>
      </w:r>
    </w:p>
    <w:p>
      <w:r>
        <w:t xml:space="preserve">Les sympathomimétiques non imidazolinés constituent la deuxième classe de vasoconstricteurs nasaux, représentée en Algérie par deux molécules : la </w:t>
      </w:r>
      <w:r>
        <w:rPr>
          <w:b/>
        </w:rPr>
        <w:t>phényléphrine</w:t>
      </w:r>
      <w:r>
        <w:t xml:space="preserve"> et l'</w:t>
      </w:r>
      <w:r>
        <w:rPr>
          <w:b/>
        </w:rPr>
        <w:t>éphédrine</w:t>
      </w:r>
      <w:r>
        <w:t>. Ces deux molécules, bien que partageant avec les imidazolines le mécanisme d'action agoniste α1-adrénergique vasculaire, en diffèrent par leur structure chimique (phényléthylamines et non imidazolines), par certaines propriétés pharmacologiques (activité β-adrénergique accessoire pour l'éphédrine) et par leurs usages cliniques : la phényléphrine est essentiellement utilisée par voie locale nasale ou ophtalmologique (collyre), tandis que l'éphédrine est principalement disponible en Algérie en forme injectable à visée hypotensive orthostatique ou péri-opératoire (et accessoirement par voie nasale dans d'autres pays). Leur rattachement à la classe des vasoconstricteurs nasaux reflète l'usage ORL, mais leur place pratique est beaucoup plus limitée que celle des imidazolines, en raison de leur profil de tolérance et de la disponibilité de molécules plus modernes.</w:t>
      </w:r>
    </w:p>
    <w:p>
      <w:r>
        <w:t>La phényléphrine est un agoniste α1-adrénergique pur (sans activité β significative aux posologies usuelles), commercialisé internationalement depuis les années 1950. Sa structure chimique correspond au (R)-3-hydroxy-N-méthylphénéthylamine, dérivé de la phényléthylamine avec une hydroxylation en position 3 du noyau aromatique et une N-méthylation. Cette structure lui confère une activité α1-vasoconstrictrice puissante mais plus courte que celle des imidazolines (durée d'action de 3 à 4 heures en nasal, 4 à 6 heures en ophtalmologique). En Algérie, la phényléphrine est disponible en collyre ophtalmologique à 0,1 % (APIFRIN-10, NEOSYNEPHRINE FAURE 10 %) pour les indications de vasoconstriction conjonctivale et de mydriase diagnostique, et en association avec la chlorphénamine en gélules à libération prolongée (GRIPEX) pour la rhinite congestive. Aucune forme nasale pure de phényléphrine n'est disponible en Algérie dans la nomenclature de 2026, ce qui limite son usage en ORL pure et oriente plutôt vers l'oxymétazoline en cas de besoin.</w:t>
      </w:r>
    </w:p>
    <w:p>
      <w:r>
        <w:t>L'éphédrine est un alcaloïde naturel extrait des plantes du genre Éphédra (Éphédra sinica, Éphédra distachya), utilisé depuis plus de 5 000 ans dans la médecine chinoise traditionnelle (Ma Huang) pour ses propriétés bronchodilatatrices et vasoconstrictrices. Sa structure chimique correspond au (1R,2S)-2-(méthylamino)-1-phénylpropan-1-ol, dérivée de la phényléthylamine avec une hydroxylation en position 1, une N-méthylation et une substitution en position 2 par un groupe méthyle. Cette structure stéréospécifique lui confère une activité mixte α- et β-adrénergique (agoniste directe et indirecte par libération de noradrénaline) qui explique son profil d'action : vasoconstriction (effet α1), bronchodilatation (effet β2), tachycardie et augmentation de la contractilité cardiaque (effet β1), stimulation centrale (anorexigène, psychostimulante). En Algérie, l'éphédrine est disponible en forme injectable à 30 mg/mL (EPHEDRON, laboratoire Frater Razes, Liste I) pour les indications d'hypotension orthostatique, d'hypotension peranesthésique et de certains chocs réfractaires. Son usage ORL est historique (en spray nasal ou en gouttes), mais n'est plus disponible en Algérie en forme nasale dans la nomenclature de 2026.</w:t>
      </w:r>
    </w:p>
    <w:p>
      <w:r>
        <w:t>Le mécanisme d'action commun aux deux molécules repose sur la stimulation des récepteurs α1-adrénergiques postsynaptiques du muscle lisse vasculaire des sinusoides capacitifs sous-muqueux de la muqueuse nasale (et conjonctivale), avec la même cascade intracellulaire que les imidazolines (phospholipase C → IP3 → libération calcique → contraction). L'effet est perceptible en 5 à 10 minutes (voie locale) ou en quelques minutes après injection IV (éphédrine), atteint son maximum en 15 à 30 minutes et persiste 3 à 4 heures pour la phényléphrine nasale et 1 à 2 heures pour l'éphédrine injectable. Cette durée d'action plus courte que celle des imidazolines (oxymétazoline : 10 à 12 heures) justifie des administrations plus fréquentes et limite l'observance. La phényléphrine par voie orale (gélules GRIPEX) est largement déconseillée en raison de son très faible effet clinique (inactivation parfirst-pass hépatique supérieure à 95 %), ce qui rend son efficacité sur la congestion nasale marginale par rapport à un placebo (études Cochrane 2007, réévaluées par la FDA américaine en 2007-2015 qui a proposé son retrait du marché pour la forme orale).</w:t>
      </w:r>
    </w:p>
    <w:p>
      <w:r>
        <w:t>Le profil de tolérance des sympathomimétiques non imidazolinés est dominé par les effets systémiques liés au passage systémique : hypertension artérielle, tachycardie, palpitations, céphalées, tremulations, anxiété, insomnie, et plus rarement troubles du rythme. La phényléphrine par voie locale (collyre, spray) a un passage systémique modéré (10 à 30 % de la dose administrée), mais suffisamment pour contre-indiquer son usage en cas d'hypertension sévère, de coronaropathie, d'hyperthyroïdie, de glaucome à angle fermé et d'association aux IMAO. L'éphédrine injectable a un passage systémique complet (voie IV) et expose à des effets cardiovasculaires intenses (hypertension, tachycardie, troubles du rythme), justifiant son usage strictement hospitalier et sa prescription en Liste I.</w:t>
      </w:r>
    </w:p>
    <w:p>
      <w:r>
        <w:t xml:space="preserve">La grossesse et l'allaitement requièrent une analyse molécule par molécule. La phényléphrine par voie locale nasale ou ophtalmologique est </w:t>
      </w:r>
      <w:r>
        <w:rPr>
          <w:b/>
        </w:rPr>
        <w:t>compatible avec la grossesse en usage court</w:t>
      </w:r>
      <w:r>
        <w:t xml:space="preserve"> aux posologies recommandées (CRAT et ANSM), mais la phényléphrine orale est déconseillée au 1er trimestre en raison d'un possible risque de defects de la paroi abdominale (gastroschisis) signalé par certaines études observationnelles. L'éphédrine injectable est compatible avec la grossesse en cas d'hypotension maternelle sévère (usage historique en anesthésie obstétricale, en particulier lors de la rachianesthésie pour césarienne), mais son usage régulier est déconseillé en raison du passage transplacentaire et du risque de tachycardie fœtale. L'allaitement est compatible pour la phényléphrine en usage local ponctuel, et déconseillé pour l'éphédrine (en raison du passage important dans le lait maternel et du risque d'irritabilité et de troubles du sommeil chez le nourrisson).</w:t>
      </w:r>
    </w:p>
    <w:p>
      <w:r>
        <w:t>Le marché algérien des sympathomimétiques non imidazolinés est limité en termes de diversité de spécialités : la phényléphrine est disponible en collyre (APIFRIN-10, NEOSYNEPHRINE FAURE 10 %) et en gélules à libération prolongée en association avec la chlorphénamine (GRIPEX), l'éphédrine est disponible uniquement en forme injectable (EPHEDRON). Cette diversité limitée reflète la contraction du marché algérien pour cette classe thérapeutique, qui s'explique à la fois par l'âge des molécules (phényléphrine et éphédrine sont des molécules anciennes) et par les recommandations de bon usage qui limitent l'usage prolongé et qui privilégient les alternatives plus modernes (imidazolines, corticoïdes nasaux, antihistaminiques).</w:t>
      </w:r>
    </w:p>
    <w:p>
      <w:pPr>
        <w:pStyle w:val="Heading3"/>
      </w:pPr>
      <w:r>
        <w:t>132.3.2 DCI : Phényléphrine (usage ORL)</w:t>
      </w:r>
    </w:p>
    <w:p>
      <w:r/>
      <w:r>
        <w:rPr>
          <w:b/>
        </w:rPr>
        <w:t>Liste des Catégories :</w:t>
      </w:r>
      <w:r>
        <w:t xml:space="preserve"> Hors liste (collyre ophtalmologique) ; Liste I (gélules à libération prolongée en association avec la chlorphénamine).</w:t>
      </w:r>
    </w:p>
    <w:p>
      <w:r>
        <w:t>La phényléphrine est un agoniste α1-adrénergique pur de synthèse, commercialisé internationalement depuis les années 1950. Sa structure chimique correspond au (R)-3-hydroxy-N-méthylphénéthylamine chlorhydrate, dérivée de la phényléthylamine avec une hydroxylation en position 3 (méta) du noyau aromatique et une N-méthylation. Cette structure stéréospécifique lui confère une activité α1-vasoconstrictrice puissante et une absence d'activité β significative aux posologies usuelles, ce qui la distingue de l'éphédrine (agoniste mixte α et β). La phényléphrine est utilisée en Algérie principalement sous forme de collyre ophtalmologique à 0,1 % pour ses indications de vasoconstriction conjonctivale (conjonctivites congestives, irritation oculaire) et de mydriase diagnostique et thérapeutique (examen funduscopique, décollement de rétine, chirurgie de la cataracte). Elle est également disponible en association avec la chlorphénamine (antihistaminique H1 de première génération) en gélules à libération prolongée (GRIPEX) pour le traitement symptomatique des rhinites allergiques et congestionnantes.</w:t>
      </w:r>
    </w:p>
    <w:p>
      <w:r/>
      <w:r>
        <w:rPr>
          <w:b/>
        </w:rPr>
        <w:t>Médicaments disponibles en Algérie (tableau commercial) :</w:t>
      </w:r>
      <w:r/>
    </w:p>
    <w:p>
      <w:r>
        <w:t>Formes ophtalmologiques et systémiques actives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APIFRIN-10</w:t>
            </w:r>
          </w:p>
        </w:tc>
        <w:tc>
          <w:tcPr>
            <w:tcW w:type="dxa" w:w="1559"/>
          </w:tcPr>
          <w:p>
            <w:r>
              <w:rPr>
                <w:sz w:val="20"/>
              </w:rPr>
              <w:t>AMMAN PHARMACEUTICAL INDUSTRIE</w:t>
            </w:r>
          </w:p>
        </w:tc>
        <w:tc>
          <w:tcPr>
            <w:tcW w:type="dxa" w:w="1559"/>
          </w:tcPr>
          <w:p>
            <w:r>
              <w:rPr>
                <w:sz w:val="20"/>
              </w:rPr>
              <w:t>Collyre en solution 0,1 % phényléphrine chlorhydrate</w:t>
            </w:r>
          </w:p>
        </w:tc>
        <w:tc>
          <w:tcPr>
            <w:tcW w:type="dxa" w:w="1559"/>
          </w:tcPr>
          <w:p>
            <w:r>
              <w:rPr>
                <w:sz w:val="20"/>
              </w:rPr>
              <w:t>Flacon 10 mL</w:t>
            </w:r>
          </w:p>
        </w:tc>
        <w:tc>
          <w:tcPr>
            <w:tcW w:type="dxa" w:w="1559"/>
          </w:tcPr>
          <w:p>
            <w:r>
              <w:rPr>
                <w:sz w:val="20"/>
              </w:rPr>
              <w:t>Hors liste</w:t>
            </w:r>
          </w:p>
        </w:tc>
        <w:tc>
          <w:tcPr>
            <w:tcW w:type="dxa" w:w="1559"/>
          </w:tcPr>
          <w:p>
            <w:r>
              <w:rPr>
                <w:sz w:val="20"/>
              </w:rPr>
              <w:t>Actif</w:t>
            </w:r>
          </w:p>
        </w:tc>
      </w:tr>
      <w:tr>
        <w:tc>
          <w:tcPr>
            <w:tcW w:type="dxa" w:w="1559"/>
          </w:tcPr>
          <w:p>
            <w:r>
              <w:rPr>
                <w:sz w:val="20"/>
              </w:rPr>
              <w:t>NEOSYNEPHRINE FAURE 10 %</w:t>
            </w:r>
          </w:p>
        </w:tc>
        <w:tc>
          <w:tcPr>
            <w:tcW w:type="dxa" w:w="1559"/>
          </w:tcPr>
          <w:p>
            <w:r>
              <w:rPr>
                <w:sz w:val="20"/>
              </w:rPr>
              <w:t>EUROPHTA</w:t>
            </w:r>
          </w:p>
        </w:tc>
        <w:tc>
          <w:tcPr>
            <w:tcW w:type="dxa" w:w="1559"/>
          </w:tcPr>
          <w:p>
            <w:r>
              <w:rPr>
                <w:sz w:val="20"/>
              </w:rPr>
              <w:t>Collyre en solution 0,1 % phényléphrine chlorhydrate</w:t>
            </w:r>
          </w:p>
        </w:tc>
        <w:tc>
          <w:tcPr>
            <w:tcW w:type="dxa" w:w="1559"/>
          </w:tcPr>
          <w:p>
            <w:r>
              <w:rPr>
                <w:sz w:val="20"/>
              </w:rPr>
              <w:t>Flacon 5 mL</w:t>
            </w:r>
          </w:p>
        </w:tc>
        <w:tc>
          <w:tcPr>
            <w:tcW w:type="dxa" w:w="1559"/>
          </w:tcPr>
          <w:p>
            <w:r>
              <w:rPr>
                <w:sz w:val="20"/>
              </w:rPr>
              <w:t>Hors liste</w:t>
            </w:r>
          </w:p>
        </w:tc>
        <w:tc>
          <w:tcPr>
            <w:tcW w:type="dxa" w:w="1559"/>
          </w:tcPr>
          <w:p>
            <w:r>
              <w:rPr>
                <w:sz w:val="20"/>
              </w:rPr>
              <w:t>Actif</w:t>
            </w:r>
          </w:p>
        </w:tc>
      </w:tr>
      <w:tr>
        <w:tc>
          <w:tcPr>
            <w:tcW w:type="dxa" w:w="1559"/>
          </w:tcPr>
          <w:p>
            <w:r>
              <w:rPr>
                <w:sz w:val="20"/>
              </w:rPr>
              <w:t>GRIPEX</w:t>
            </w:r>
          </w:p>
        </w:tc>
        <w:tc>
          <w:tcPr>
            <w:tcW w:type="dxa" w:w="1559"/>
          </w:tcPr>
          <w:p>
            <w:r>
              <w:rPr>
                <w:sz w:val="20"/>
              </w:rPr>
              <w:t>PHARMALLIANCE</w:t>
            </w:r>
          </w:p>
        </w:tc>
        <w:tc>
          <w:tcPr>
            <w:tcW w:type="dxa" w:w="1559"/>
          </w:tcPr>
          <w:p>
            <w:r>
              <w:rPr>
                <w:sz w:val="20"/>
              </w:rPr>
              <w:t>Gélule à micro-granules à libération prolongée (phényléphrine chlorhydrate 10 mg + chlorphénamine maléate 4 mg)</w:t>
            </w:r>
          </w:p>
        </w:tc>
        <w:tc>
          <w:tcPr>
            <w:tcW w:type="dxa" w:w="1559"/>
          </w:tcPr>
          <w:p>
            <w:r>
              <w:rPr>
                <w:sz w:val="20"/>
              </w:rPr>
              <w:t>Boîte de 10</w:t>
            </w:r>
          </w:p>
        </w:tc>
        <w:tc>
          <w:tcPr>
            <w:tcW w:type="dxa" w:w="1559"/>
          </w:tcPr>
          <w:p>
            <w:r>
              <w:rPr>
                <w:sz w:val="20"/>
              </w:rPr>
              <w:t>Liste I</w:t>
            </w:r>
          </w:p>
        </w:tc>
        <w:tc>
          <w:tcPr>
            <w:tcW w:type="dxa" w:w="1559"/>
          </w:tcPr>
          <w:p>
            <w:r>
              <w:rPr>
                <w:sz w:val="20"/>
              </w:rPr>
              <w:t>Actif</w:t>
            </w:r>
          </w:p>
        </w:tc>
      </w:tr>
    </w:tbl>
    <w:p/>
    <w:p>
      <w:r>
        <w:t>Forme retirée (incluse pour mémoire)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NEOSYNEPHRINE CHIBERT</w:t>
            </w:r>
          </w:p>
        </w:tc>
        <w:tc>
          <w:tcPr>
            <w:tcW w:type="dxa" w:w="1559"/>
          </w:tcPr>
          <w:p>
            <w:r>
              <w:rPr>
                <w:sz w:val="20"/>
              </w:rPr>
              <w:t>MERCK SHARP &amp; DOHME CHIBRET</w:t>
            </w:r>
          </w:p>
        </w:tc>
        <w:tc>
          <w:tcPr>
            <w:tcW w:type="dxa" w:w="1559"/>
          </w:tcPr>
          <w:p>
            <w:r>
              <w:rPr>
                <w:sz w:val="20"/>
              </w:rPr>
              <w:t>Collyre 0,1 % phényléphrine chlorhydrate</w:t>
            </w:r>
          </w:p>
        </w:tc>
        <w:tc>
          <w:tcPr>
            <w:tcW w:type="dxa" w:w="1559"/>
          </w:tcPr>
          <w:p>
            <w:r>
              <w:rPr>
                <w:sz w:val="20"/>
              </w:rPr>
              <w:t>Flacon 10 mL</w:t>
            </w:r>
          </w:p>
        </w:tc>
        <w:tc>
          <w:tcPr>
            <w:tcW w:type="dxa" w:w="1559"/>
          </w:tcPr>
          <w:p>
            <w:r>
              <w:rPr>
                <w:sz w:val="20"/>
              </w:rPr>
              <w:t>Hors liste</w:t>
            </w:r>
          </w:p>
        </w:tc>
        <w:tc>
          <w:tcPr>
            <w:tcW w:type="dxa" w:w="1559"/>
          </w:tcPr>
          <w:p>
            <w:r>
              <w:rPr>
                <w:sz w:val="20"/>
              </w:rPr>
              <w:t>Retrait</w:t>
            </w:r>
          </w:p>
        </w:tc>
      </w:tr>
    </w:tbl>
    <w:p/>
    <w:p>
      <w:r>
        <w:t>La phényléphrine est donc disponible en Algérie sous trois spécialités actives : deux collyres ophtalmologiques à 0,1 % (APIFRIN-10, Amman Pharmaceutical Industries, laboratoire jordanien ; NEOSYNEPHRINE FAURE 10 %, Europhta, laboratoire français) et une forme orale en association avec la chlorphénamine (GRIPEX, Pharmalliance). La spécialité historique NEOSYNEPHRINE CHIBRET (MSD Chibret) a été retirée du marché. Aucune forme nasale pure de phényléphrine n'est disponible en Algérie dans la nomenclature de 2026, ce qui limite son usage ORL et oriente plutôt vers l'oxymétazoline en cas de besoin de vasoconstriction nasale pure. Le pharmacien d'officine doit être vigilant à la composition exacte des spécialités (phényléphrine seule ou en association) et à la forme galénique (collyre ou gélule). La présence de chlorphénamine dans GRIPEX impose une information spécifique au patient sur le risque de sédation et sur les interactions médicamenteuses (alcool, autres antihistaminiques, IMAO).</w:t>
      </w:r>
    </w:p>
    <w:p>
      <w:r/>
      <w:r>
        <w:rPr>
          <w:b/>
        </w:rPr>
        <w:t>Sous-classe et Mécanisme d'action :</w:t>
      </w:r>
      <w:r/>
    </w:p>
    <w:p>
      <w:pPr>
        <w:pStyle w:val="ListBullet"/>
      </w:pPr>
      <w:r>
        <w:t>Sous-classe : Sympathomimétique de synthèse, agoniste α1-adrénergique pur (activité β négligeable aux posologies usuelles), non imidazoliné.</w:t>
      </w:r>
    </w:p>
    <w:p>
      <w:pPr>
        <w:pStyle w:val="ListBullet"/>
      </w:pPr>
      <w:r>
        <w:t>Mécanisme d'action : La phényléphrine se fixe aux récepteurs α1-adrénergiques postsynaptiques du muscle lisse vasculaire des sinusoides capacitifs sous-muqueux de la muqueuse nasale (en cas d'usage ORL), de la conjonctive (en cas d'usage ophtalmologique) et systémiques (en cas de passage systémique ou d'administration IV). Cette liaison active la phospholipase C membranaire via la protéine Gq, ce qui catalyse l'hydrolyse du phosphatidylinositol diphosphate (PIP2) en inositol triphosphate (IP3) et diacylglycérol (DAG). L'IP3 libère le calcium du réticulum sarcoplasmique, le DAG active la protéine kinase C qui phosphoryle les chaînes légères de myosine, déclenchant la contraction des cellules musculaires lisses vasculaires. La vasoconstriction intense des sinusoides capacitifs réduit le volume sanguin nasal et conjonctival, diminue la pression hydrostatique locale, réduit l'œdème muqueux et rouvre la filière nasale (en cas d'usage nasal) ou blanchit la conjonctive (en cas d'usage ophtalmologique). L'effet est perceptible en 5 à 10 minutes (voie locale), maximal en 15 à 30 minutes et persiste 3 à 4 heures en nasal et 4 à 6 heures en ophtalmologique.</w:t>
      </w:r>
    </w:p>
    <w:p>
      <w:pPr>
        <w:pStyle w:val="ListBullet"/>
      </w:pPr>
      <w:r>
        <w:t>Action mydriatique : La phényléphrine en collyre exerce également une action mydriatique directe par stimulation des récepteurs α1-adrénergiques du muscle dilatateur de l'iris, entraînant une contraction radiaire et une mydriase. Cette propriété est utilisée pour la mydriase diagnostique (examen funduscopique) et thérapeutique (chirurgie de la cataracte, décollement de rétine). La mydriase est perceptible en 15 à 30 minutes et persiste 4 à 6 heures.</w:t>
      </w:r>
    </w:p>
    <w:p>
      <w:pPr>
        <w:pStyle w:val="ListBullet"/>
      </w:pPr>
      <w:r>
        <w:t>Action sur le muscle lisse bronchique : La phényléphrine n'a pas d'activité bronchodilatatrice significative (pas d'activité β2), contrairement à l'éphédrine. Elle n'a donc pas d'indication dans l'asthme ou la BPCO.</w:t>
      </w:r>
    </w:p>
    <w:p>
      <w:pPr>
        <w:pStyle w:val="ListBullet"/>
      </w:pPr>
      <w:r>
        <w:t>Absence d'activité β1 cardiaque : Contrairement à l'éphédrine, la phényléphrine n'augmente pas significativement la fréquence cardiaque ou la contractilité myocardique aux posologies usuelles. Elle peut même induire une bradycardie réflexe par stimulation des barorécepteurs carotidiens en cas d'administration IV rapide. Cette particularité explique sa meilleure tolérance cardiovasculaire par rapport à l'éphédrine.</w:t>
      </w:r>
    </w:p>
    <w:p>
      <w:pPr>
        <w:pStyle w:val="ListBullet"/>
      </w:pPr>
      <w:r>
        <w:t>Absorption et métabolisme : La phényléphrine par voie orale subit un effet de premier passage hépatique massif (supérieur à 95 %), avec une biodisponibilité orale très faible (inférieure à 1 %). Cette caractéristique explique l'inefficacité clinique de la phényléphrine orale par rapport au placebo, mise en évidence par plusieurs études contrôlées et confirmée par la méta-analyse Cochrane de 2007. La FDA américaine a d'ailleurs proposé en 2007 puis confirmé en 2015 le retrait de la phényléphrine orale du marché américain, en raison de cette inefficacité démontrée. La phényléphrine par voie locale (collyre, spray) a une biodisponibilité systémique de 10 à 30 % de la dose administrée (passage par les voies lacrymales et nasales), suffisante pour entraîner des effets systémiques en cas de surdosage ou de terrain prédisposé.</w:t>
      </w:r>
    </w:p>
    <w:p>
      <w:r/>
      <w:r>
        <w:rPr>
          <w:b/>
        </w:rPr>
        <w:t>Profil Pharmacologique :</w:t>
      </w:r>
      <w:r/>
    </w:p>
    <w:p>
      <w:pPr>
        <w:pStyle w:val="ListBullet"/>
      </w:pPr>
      <w:r>
        <w:t>Indications : Collyre 0,1 % (APIFRIN-10, NEOSYNEPHRINE FAURE 10 %) : traitement symptomatique des congestions oculaires allergiques et inflammatoires bénignes (conjonctivites allergiques congestives, irritation oculaire, fatigue oculaire) ; mydriase diagnostique (examen funduscopique) et thérapeutique (chirurgie de la cataracte, décollement de rétine). Gélules GRIPEX (phényléphrine + chlorphénamine) : traitement symptomatique des rhinites allergiques et congestives (rhume banal, rhinite allergique) chez l'adulte et l'enfant de plus de 12 ans.</w:t>
      </w:r>
    </w:p>
    <w:p>
      <w:pPr>
        <w:pStyle w:val="ListBullet"/>
      </w:pPr>
      <w:r>
        <w:t>Contre-indications : Hypersensibilité à la phényléphrine, à la chlorphénamine (pour GRIPEX) ou à l'un des excipients ; hypertension artérielle sévère non contrôlée ; coronaropathie évoluée ; hyperthyroïdie non traitée ; glaucome à angle fermé (la phényléphrine peut induire une mydriase et déclencher une crise aiguë de glaucome) ; hypertrophie prostatique sévère avec rétention urinaire ; traitement en cours par IMAO ou dans les 15 jours suivant l'arrêt d'un IMAO ; enfant de moins de 12 ans (pour les gélules GRIPEX) ; enfant de moins de 12 ans (pour le collyre, par prudence) ; femme enceinte au 1er trimestre (pour les gélules GRIPEX, par prudence en raison du possible risque de gastroschisis signalé par certaines études).</w:t>
      </w:r>
    </w:p>
    <w:p>
      <w:pPr>
        <w:pStyle w:val="ListBullet"/>
      </w:pPr>
      <w:r>
        <w:t>Spectre d'action : Pas d'activité antivirale, antibactérienne, antifongique ou antiallergique propre. L'association à la chlorphénamine dans GRIPEX confère une activité antiallergique (par blocage des récepteurs H1). L'effet de la phényléphrine est purement symptomatique sur la composante congestive. L'efficacité de la phényléphrine par voie orale est controversée (biodisponibilité très faible, inefficacité démontrée par rapport au placebo), et son usage oral est déconseillé par la plupart des autorités scientifiques.</w:t>
      </w:r>
    </w:p>
    <w:p>
      <w:r/>
      <w:r>
        <w:rPr>
          <w:b/>
        </w:rPr>
        <w:t>Effets Indésirables :</w:t>
      </w:r>
      <w:r/>
    </w:p>
    <w:p>
      <w:pPr>
        <w:pStyle w:val="ListBullet"/>
      </w:pPr>
      <w:r/>
      <w:r>
        <w:rPr>
          <w:b/>
        </w:rPr>
        <w:t>Locaux précoces (voie ophtalmologique)</w:t>
      </w:r>
      <w:r>
        <w:t xml:space="preserve"> : sensation de brûlure transitoire, picotements conjonctivaux, mydriase transitoire, troubles de l'accommodation, vision trouble passagère, hyperhémie rebond à l'arrêt.</w:t>
      </w:r>
    </w:p>
    <w:p>
      <w:pPr>
        <w:pStyle w:val="ListBullet"/>
      </w:pPr>
      <w:r/>
      <w:r>
        <w:rPr>
          <w:b/>
        </w:rPr>
        <w:t>Locaux précoces (voie orale, GRIPEX)</w:t>
      </w:r>
      <w:r>
        <w:t xml:space="preserve"> : sécheresse buccale, sécheresse nasale, constipation, troubles de l'accommodation, rétention urinaire (par effet anticholinergique de la chlorphénamine).</w:t>
      </w:r>
    </w:p>
    <w:p>
      <w:pPr>
        <w:pStyle w:val="ListBullet"/>
      </w:pPr>
      <w:r/>
      <w:r>
        <w:rPr>
          <w:b/>
        </w:rPr>
        <w:t>Locaux tardifs</w:t>
      </w:r>
      <w:r>
        <w:t xml:space="preserve"> (au-delà de 5 à 7 jours d'usage) : conjonctivite médicamenteuse (rebond vasculaire, hyperhémie chronique, tolérance), sécheresse oculaire, kératite ponctuée superficielle (collyre) ; rhinite médicamenteuse, rebond (en cas d'usage prolongé de phényléphrine orale, qui reste peu efficace).</w:t>
      </w:r>
    </w:p>
    <w:p>
      <w:pPr>
        <w:pStyle w:val="ListBullet"/>
      </w:pPr>
      <w:r/>
      <w:r>
        <w:rPr>
          <w:b/>
        </w:rPr>
        <w:t>Systémiques</w:t>
      </w:r>
      <w:r>
        <w:t xml:space="preserve"> (par passage systémique) : hypertension artérielle transitoire, bradycardie réflexe (par stimulation des barorécepteurs), céphalées, tremulations, anxiété, irritabilité, sueurs. Plus rarement : troubles du rythme supraventriculaire, angor.</w:t>
      </w:r>
    </w:p>
    <w:p>
      <w:pPr>
        <w:pStyle w:val="ListBullet"/>
      </w:pPr>
      <w:r/>
      <w:r>
        <w:rPr>
          <w:b/>
        </w:rPr>
        <w:t>Oculaires spécifiques</w:t>
      </w:r>
      <w:r>
        <w:t xml:space="preserve"> : en cas d'usage prolongé : kératopathie, ulcère de cornée, syndrome sec oculaire aggravé.</w:t>
      </w:r>
    </w:p>
    <w:p>
      <w:pPr>
        <w:pStyle w:val="ListBullet"/>
      </w:pPr>
      <w:r/>
      <w:r>
        <w:rPr>
          <w:b/>
        </w:rPr>
        <w:t>Systémiques spécifiques de la chlorphénamine</w:t>
      </w:r>
      <w:r>
        <w:t xml:space="preserve"> (GRIPEX) : sédation, somnolence, baisse de la vigilance, troubles de la coordination, sédation psychomotrice, vertiges, confusion (sujet âgé), hypotension orthostatique, troubles digestifs (nausées, vomissements, constipation), rétention urinaire (sujet âgé avec hypertrophie prostatique), troubles de l'accommodation.</w:t>
      </w:r>
    </w:p>
    <w:p>
      <w:pPr>
        <w:pStyle w:val="ListBullet"/>
      </w:pPr>
      <w:r/>
      <w:r>
        <w:rPr>
          <w:b/>
        </w:rPr>
        <w:t>Allergiques</w:t>
      </w:r>
      <w:r>
        <w:t xml:space="preserve"> : dermatite de contact palpébrale, conjonctivite allergique de contact (souvent aux conservateurs), urticaire, œdème de Quincke (rares).</w:t>
      </w:r>
    </w:p>
    <w:p>
      <w:r/>
      <w:r>
        <w:rPr>
          <w:b/>
        </w:rPr>
        <w:t>Prévention et Gestion des Effets Indésirables :</w:t>
      </w:r>
      <w:r/>
    </w:p>
    <w:p>
      <w:pPr>
        <w:pStyle w:val="ListBullet"/>
      </w:pPr>
      <w:r>
        <w:t>Mesures préventives : Respect strict de la durée maximale de 5 jours d'utilisation continue sans avis médical ; respect de la posologie maximale ; information claire du patient sur le risque de conjonctivite médicamenteuse et de rebond ; interdiction d'usage chez l'enfant de moins de 12 ans (collyre et gélules) ; vérification systématique des contre-indications cardiovasculaires et ophtalmologiques au comptoir (glaucome à angle fermé notamment) ; conseil d'éviter le port des lentilles de contact pendant le traitement en raison de la présence de conservateurs ; conseil d'éviter la conduite de véhicules ou l'utilisation de machines dangereuses pendant le traitement par GRIPEX en raison de la sédation induite par la chlorphénamine ; éviction alcoolisée pendant le traitement par GRIPEX (potentialisation de la sédation).</w:t>
      </w:r>
    </w:p>
    <w:p>
      <w:pPr>
        <w:pStyle w:val="ListBullet"/>
      </w:pPr>
      <w:r>
        <w:t>Conduite à tenir en cas de conjonctivite médicamenteuse : arrêt immédiat de la phényléphrine ; substitution par un collyre antihistaminique (olopatadine, azelastine, kétotifène) ou par un collyre corticoïde sur avis ophtalmologique ; administration de larmes artificielles sans conservateur 4 à 6 fois par jour ; consultation ophtalmologique en cas de non-réponse à 2 semaines.</w:t>
      </w:r>
    </w:p>
    <w:p>
      <w:pPr>
        <w:pStyle w:val="ListBullet"/>
      </w:pPr>
      <w:r>
        <w:t>Conduite à tenir en cas d'effets systémiques : arrêt immédiat en cas d'hypertension artérielle symptomatique, de palpitations, de céphalées sévères, de troubles du rythme ; consultation médicale urgente en cas de douleur thoracique, de dyspnée.</w:t>
      </w:r>
    </w:p>
    <w:p>
      <w:pPr>
        <w:pStyle w:val="ListBullet"/>
      </w:pPr>
      <w:r>
        <w:t>Conduite à tenir en cas de crise aiguë de glaucome (œil rouge douloureux, vision trouble, halos colorés, nausées) : arrêt immédiat, consultation ophtalmologique urgente.</w:t>
      </w:r>
    </w:p>
    <w:p>
      <w:pPr>
        <w:pStyle w:val="ListBullet"/>
      </w:pPr>
      <w:r>
        <w:t>Conduite à tenir en cas de sédation excessive (GRIPEX) : arrêt de la chlorphénamine ; substitution par un antihistaminique de deuxième génération non sédatif (cétirizine, loratadine) si traitement antiallergique nécessaire.</w:t>
      </w:r>
    </w:p>
    <w:p>
      <w:r/>
      <w:r>
        <w:rPr>
          <w:b/>
        </w:rPr>
        <w:t>Interactions Importantes :</w:t>
      </w:r>
      <w:r/>
    </w:p>
    <w:p>
      <w:pPr>
        <w:pStyle w:val="ListBullet"/>
      </w:pPr>
      <w:r>
        <w:t>IMAO (iproniazide, phénelzine, tranylcypromine, moclobémide) : contre-indication absolue, risque de crise hypertensive par potentialisation.</w:t>
      </w:r>
    </w:p>
    <w:p>
      <w:pPr>
        <w:pStyle w:val="ListBullet"/>
      </w:pPr>
      <w:r>
        <w:t>Antidépresseurs tricycliques et IRSNA : majoration du risque d'hypertension et de troubles du rythme.</w:t>
      </w:r>
    </w:p>
    <w:p>
      <w:pPr>
        <w:pStyle w:val="ListBullet"/>
      </w:pPr>
      <w:r>
        <w:t>Sympathomimétiques d'action systémique (pseudoéphédrine, éphédrine) : risque d'effets additifs cardiotoxiques et hypertensifs, contre-indication de l'association.</w:t>
      </w:r>
    </w:p>
    <w:p>
      <w:pPr>
        <w:pStyle w:val="ListBullet"/>
      </w:pPr>
      <w:r>
        <w:t>Anesthésiques volatils halogénés : majoration du risque d'arythmies ventriculaires par sensibilisation myocardique.</w:t>
      </w:r>
    </w:p>
    <w:p>
      <w:pPr>
        <w:pStyle w:val="ListBullet"/>
      </w:pPr>
      <w:r>
        <w:t>Bêtabloquants : risque d'hypertension paradoxale par blocage des récepteurs β2-vasodilatateurs, et risque de bradycardie réflexe excessive.</w:t>
      </w:r>
    </w:p>
    <w:p>
      <w:pPr>
        <w:pStyle w:val="ListBullet"/>
      </w:pPr>
      <w:r>
        <w:t>Alcaloïdes de l'ergot de seigle : risque de vasospasme sévère.</w:t>
      </w:r>
    </w:p>
    <w:p>
      <w:pPr>
        <w:pStyle w:val="ListBullet"/>
      </w:pPr>
      <w:r>
        <w:t>Antihypertenseurs : risque de neutralisation de l'effet antihypertenseur.</w:t>
      </w:r>
    </w:p>
    <w:p>
      <w:pPr>
        <w:pStyle w:val="ListBullet"/>
      </w:pPr>
      <w:r>
        <w:t>Alcool (pour GRIPEX) : potentialisation de la sédation induite par la chlorphénamine, contre-indication à la consommation d'alcool pendant le traitement.</w:t>
      </w:r>
    </w:p>
    <w:p>
      <w:pPr>
        <w:pStyle w:val="ListBullet"/>
      </w:pPr>
      <w:r>
        <w:t>Autres antihistaminiques H1 sédatifs (pour GRIPEX) : risque de majoration de la sédation et des effets anticholinergiques.</w:t>
      </w:r>
    </w:p>
    <w:p>
      <w:pPr>
        <w:pStyle w:val="ListBullet"/>
      </w:pPr>
      <w:r>
        <w:t>Autres médicaments atropiniques (antidépresseurs tricycliques, antiparkinsoniens, neuroleptiques phénothiaziniques, pour GRIPEX) : majoration des effets anticholinergiques (rétention urinaire, constipation, sécheresse buccale, troubles de l'accommodation, confusion chez le sujet âgé).</w:t>
      </w:r>
    </w:p>
    <w:p>
      <w:pPr>
        <w:pStyle w:val="ListBullet"/>
      </w:pPr>
      <w:r>
        <w:t>Digitaliques : majoration du risque d'arythmie.</w:t>
      </w:r>
    </w:p>
    <w:p>
      <w:r/>
      <w:r>
        <w:rPr>
          <w:b/>
        </w:rPr>
        <w:t>Grossesse et Allaitement :</w:t>
      </w:r>
      <w:r/>
    </w:p>
    <w:p>
      <w:pPr>
        <w:pStyle w:val="ListBullet"/>
      </w:pPr>
      <w:r>
        <w:t xml:space="preserve">Grossesse : La phényléphrine par voie locale (collyre, spray nasal) est </w:t>
      </w:r>
      <w:r>
        <w:rPr>
          <w:b/>
        </w:rPr>
        <w:t>compatible avec la grossesse en usage court</w:t>
      </w:r>
      <w:r>
        <w:t xml:space="preserve"> (≤ 5 jours) aux posologies recommandées, selon le CRAT et l'ANSM, quel que soit le trimestre. Le passage systémique est modéré (10 à 30 %) mais reste limité aux posologies usuelles. La phényléphrine par voie orale (GRIPEX) est </w:t>
      </w:r>
      <w:r>
        <w:rPr>
          <w:b/>
        </w:rPr>
        <w:t>déconseillée pendant la grossesse, en particulier au 1er trimestre</w:t>
      </w:r>
      <w:r>
        <w:t>, en raison d'un possible risque de defects de la paroi abdominale (gastroschisis, omphalocèle) signalé par certaines études observationnelles. Prudence particulière en cas d'hypertension gravidique ou de pré-éclampsie : à éviter en raison du risque d'aggravation tensionnelle. La chlorphénamine (GRIPEX) est compatible avec la grossesse selon le CRAT, en particulier au 2e et 3e trimestre ; à éviter au 1er trimestre par prudence.</w:t>
      </w:r>
    </w:p>
    <w:p>
      <w:pPr>
        <w:pStyle w:val="ListBullet"/>
      </w:pPr>
      <w:r>
        <w:t>Allaitement : La phényléphrine par voie locale (collyre, spray) est compatible avec l'allaitement en usage court (≤ 5 jours) aux posologies recommandées. La phényléphrine orale (GRIPEX) est déconseillée pendant l'allaitement en raison du passage dans le lait maternel et du risque d'irritabilité et de troubles du sommeil chez le nourrisson. La chlorphénamine (GRIPEX) est compatible avec l'allaitement selon le CRAT, à utiliser ponctuellement et à faible dose.</w:t>
      </w:r>
    </w:p>
    <w:p>
      <w:pPr>
        <w:pStyle w:val="ListBullet"/>
      </w:pPr>
      <w:r>
        <w:t>Précautions : Éviter l'usage répété au cours de la grossesse (risque théorique de vasoconstriction utéroplacentaire). En cas de rhinite congestive au cours de la grossesse, préférer en première intention le lavage nasal au sérum physiologique, puis l'oxymétazoline en usage court en seconde intention (compatible selon le CRAT).</w:t>
      </w:r>
    </w:p>
    <w:p>
      <w:r/>
      <w:r>
        <w:rPr>
          <w:b/>
        </w:rPr>
        <w:t>Posologie et Mode d'administration (Standard) :</w:t>
      </w:r>
      <w:r/>
    </w:p>
    <w:p>
      <w:pPr>
        <w:pStyle w:val="ListBullet"/>
      </w:pPr>
      <w:r>
        <w:t>Collyre ophtalmologique (APIFRIN-10, NEOSYNEPHRINE FAURE 10 %) :</w:t>
      </w:r>
    </w:p>
    <w:p>
      <w:pPr>
        <w:pStyle w:val="ListBullet"/>
      </w:pPr>
      <w:r>
        <w:t>Adulte et enfant de plus de 12 ans : 1 à 2 gouttes dans l'œil (ou les deux yeux) atteint(s), 2 à 3 fois par jour, pendant une durée maximale de 5 jours sans avis médical.</w:t>
      </w:r>
    </w:p>
    <w:p>
      <w:pPr>
        <w:pStyle w:val="ListBullet"/>
      </w:pPr>
      <w:r>
        <w:t>Posologie maximale : 6 gouttes par œil et par jour.</w:t>
      </w:r>
    </w:p>
    <w:p>
      <w:pPr>
        <w:pStyle w:val="ListBullet"/>
      </w:pPr>
      <w:r>
        <w:t>Mydriase diagnostique ou thérapeutique : 1 goutte dans l'œil à examiner, 15 à 30 minutes avant l'examen ou le geste (usage strictement médical).</w:t>
      </w:r>
    </w:p>
    <w:p>
      <w:pPr>
        <w:pStyle w:val="ListBullet"/>
      </w:pPr>
      <w:r>
        <w:t>Gélules à libération prolongée (GRIPEX) :</w:t>
      </w:r>
    </w:p>
    <w:p>
      <w:pPr>
        <w:pStyle w:val="ListBullet"/>
      </w:pPr>
      <w:r>
        <w:t>Adulte et enfant de plus de 12 ans : 1 gélule matin et soir (à 12 heures d'intervalle), pendant une durée maximale de 5 jours sans avis médical.</w:t>
      </w:r>
    </w:p>
    <w:p>
      <w:pPr>
        <w:pStyle w:val="ListBullet"/>
      </w:pPr>
      <w:r>
        <w:t>Posologie maximale : 2 gélules par 24 heures.</w:t>
      </w:r>
    </w:p>
    <w:p>
      <w:pPr>
        <w:pStyle w:val="ListBullet"/>
      </w:pPr>
      <w:r>
        <w:t>Mode d'administration : avaler les gélules entières avec un grand verre d'eau, au cours des repas. Ne pas croquer, ne pas écraser, ne pas dissoudre (la forme à libération prolongée doit être préservée).</w:t>
      </w:r>
    </w:p>
    <w:p>
      <w:pPr>
        <w:pStyle w:val="ListBullet"/>
      </w:pPr>
      <w:r>
        <w:t>Enfant de moins de 12 ans : contre-indication absolue (collyre et gélules).</w:t>
      </w:r>
    </w:p>
    <w:p>
      <w:pPr>
        <w:pStyle w:val="ListBullet"/>
      </w:pPr>
      <w:r>
        <w:t>Sujet âgé : pas d'adaptation posologique en l'absence de contre-indication cardiovasculaire ; surveillance tensionnelle et ophtalmologique renforcée. Pour GRIPEX, prudence particulière en raison du risque de confusion, de rétention urinaire et d'effets anticholinergiques (chlorphénamine).</w:t>
      </w:r>
    </w:p>
    <w:p>
      <w:pPr>
        <w:pStyle w:val="ListBullet"/>
      </w:pPr>
      <w:r>
        <w:t>Insuffisant rénal ou hépatique : éviter en cas d'insuffisance sévère.</w:t>
      </w:r>
    </w:p>
    <w:p>
      <w:pPr>
        <w:pStyle w:val="ListBullet"/>
      </w:pPr>
      <w:r>
        <w:t>Mode d'administration (collyre) : se laver les mains ; basculer la tête légèrement en arrière ; tirer délicatement la paupière inférieure vers le bas pour former une gouttière ; instiller 1 à 2 gouttes dans le cul-de-sac conjonctival inférieur sans toucher l'œil avec l'embout du flacon ; cligner plusieurs fois pour répartir le collyre ; fermer l'œil 1 à 2 minutes et comprimer le canal naso-lacrimal avec un doigt pour réduire le passage systémique ; se laver les mains après.</w:t>
      </w:r>
    </w:p>
    <w:p>
      <w:pPr>
        <w:pStyle w:val="ListBullet"/>
      </w:pPr>
      <w:r>
        <w:t>Conservation : flacon fermé, à température ≤ 25 °C, à l'abri de la lumière. Jeter le flacon dans les 4 semaines après la première ouverture (présence de conservateurs).</w:t>
      </w:r>
    </w:p>
    <w:p>
      <w:r/>
      <w:r>
        <w:rPr>
          <w:b/>
        </w:rPr>
        <w:t>Arbitrage et Bénéfices des Formes Galéniques :</w:t>
      </w:r>
      <w:r/>
    </w:p>
    <w:p>
      <w:r>
        <w:t>La phényléphrine est disponible en Algérie sous deux formes galéniques distinctes : collyre ophtalmologique à 0,1 % (APIFRIN-10, NEOSYNEPHRINE FAURE 10 %) et gélules à libération prolongée en association avec la chlorphénamine (GRIPEX). Le collyre offre l'avantage d'une application locale directe sur la cible ophtalmologique, d'une biodisponibilité locale élevée et d'un passage systémique limité (mais non négligeable en raison de l'absorption par le canal naso-lacrimal). Le conditionnement en flacon de 5 à 10 mL correspond à environ 150 à 250 gouttes, ce qui couvre largement un traitement de 5 jours. La compression du canal naso-lacrimal après instillation permet de réduire significativement le passage systémique (de 50 à 70 %). Les gélules à libération prolongée GRIPEX combinent deux composants à cinétiques distinctes : la chlorphénamine (antihistaminique H1, absorption rapide, durée d'action 6 à 8 heures) et la phényléphrine (vasoconstricteur, absorption lente par la forme à libération prolongée, durée d'action 12 heures). Cette association répond à la logique thérapeutique des rhinites allergiques congestives, mais l'efficacité clinique de la phényléphrine orale est controversée (biodisponibilité très faible, inférieure à 1 %, en raison de l'effet de premier passage hépatique). Aucune forme unidose sans conservateur n'est disponible en Algérie pour la phényléphrine, ce qui limite son utilisation chez les patients porteurs de lentilles de contact ou ayant une hypersensibilité aux conservateurs. Le chlorure de benzalkonium, présent dans les collyres APIFRIN-10 et NEOSYNEPHRINE FAURE 10 %, peut être responsable d'une toxicité épithéliale cornéenne en cas d'usage prolongé et nécessite le retrait des lentilles de contact pendant la durée du traitement.</w:t>
      </w:r>
    </w:p>
    <w:p>
      <w:r/>
      <w:r>
        <w:rPr>
          <w:b/>
        </w:rPr>
        <w:t>Instructions et Conseils au Patient :</w:t>
      </w:r>
      <w:r/>
    </w:p>
    <w:p>
      <w:pPr>
        <w:pStyle w:val="ListBullet"/>
      </w:pPr>
      <w:r>
        <w:t>Communication au comptoir : Rappeler qu'il s'agit d'un vasoconstricteur à utiliser uniquement pendant 5 jours maximum en continu, sans renouvellement automatique. Insister sur le risque de conjonctivite médicamenteuse (collyre) ou de rhinite médicamenteuse (GRIPEX) en cas d'usage prolongé. Vérifier les contre-indications (glaucome à angle fermé, hypertension non contrôlée, hyperthyroïdie, IMAO) au moment de la délivrance. Pour GRIPEX, informer sur la sédation induite par la chlorphénamine et l'interdiction de conduire ou de consommer de l'alcool pendant le traitement.</w:t>
      </w:r>
    </w:p>
    <w:p>
      <w:pPr>
        <w:pStyle w:val="ListBullet"/>
      </w:pPr>
      <w:r>
        <w:t>Mode d'utilisation pratique (collyre) : Bien se laver les mains avant l'instillation. Ne pas toucher l'œil ou les paupières avec l'embout du flacon. Comprimer le canal naso-lacrimal avec un doigt pendant 1 à 2 minutes après l'instillation pour réduire le passage systémique. Retirer les lentilles de contact avant l'instillation et ne pas les remettre avant 15 minutes. Ne pas partager le flacon.</w:t>
      </w:r>
    </w:p>
    <w:p>
      <w:pPr>
        <w:pStyle w:val="ListBullet"/>
      </w:pPr>
      <w:r>
        <w:t>Mode d'utilisation pratique (GRIPEX) : Avaler les gélules entières avec un grand verre d'eau, au cours des repas. Ne pas croquer, ne pas écraser, ne pas dissoudre. Espacer les prises de 12 heures (matin et soir). Ne pas dépasser 2 gélules par 24 heures. Éviter la prise en soirée trop tardive en raison du risque d'insomnie (chlorphénamine inverse parfois le rythme sommeil-éveil chez le sujet âgé).</w:t>
      </w:r>
    </w:p>
    <w:p>
      <w:pPr>
        <w:pStyle w:val="ListBullet"/>
      </w:pPr>
      <w:r>
        <w:t>Information sur les signes d'alerte : rougeur persistante au-delà de 5 jours, douleur oculaire, vision trouble, halos colorés (suspicion de crise aiguë de glaucome), céphalées intenses, palpitations, hypertension → arrêt et consultation médicale ou ophtalmologique.</w:t>
      </w:r>
    </w:p>
    <w:p>
      <w:pPr>
        <w:pStyle w:val="ListBullet"/>
      </w:pPr>
      <w:r>
        <w:t>Information sur la conservation : conserver à température ≤ 25 °C, à l'abri de la lumière. Ne pas congeler. Jeter le flacon dans les 4 semaines après la première ouverture (collyre). Ne pas utiliser au-delà de la date de péremption.</w:t>
      </w:r>
    </w:p>
    <w:p>
      <w:pPr>
        <w:pStyle w:val="ListBullet"/>
      </w:pPr>
      <w:r>
        <w:t>Information sur l'usage chez la femme enceinte : collyre compatible en usage court ; GRIPEX déconseillé, en particulier au 1er trimestre.</w:t>
      </w:r>
    </w:p>
    <w:p>
      <w:pPr>
        <w:pStyle w:val="ListBullet"/>
      </w:pPr>
      <w:r>
        <w:t>Information sur l'usage chez l'enfant : contre-indication absolue chez l'enfant de moins de 12 ans (collyre et gélules).</w:t>
      </w:r>
    </w:p>
    <w:p>
      <w:r/>
      <w:r>
        <w:rPr>
          <w:b/>
        </w:rPr>
        <w:t>Notes, Règles d'Or &amp; Pièges au Comptoir :</w:t>
      </w:r>
      <w:r/>
    </w:p>
    <w:p>
      <w:pPr>
        <w:pStyle w:val="ListBullet"/>
      </w:pPr>
      <w:r>
        <w:t>Piège classique n°1 : Patient demandant du collyre APIFRIN-10 ou NEOSYNEPHRINE pour un enfant de moins de 12 ans (parfois pour un nourrisson présentant une conjonctivite congestive) → refus de la délivrance en raison du risque de toxicité systémique (mydriase, hypertension, troubles du rythme) ; orientation vers le pédiatre pour alternative (collyre antihistaminique type olopatadine).</w:t>
      </w:r>
    </w:p>
    <w:p>
      <w:pPr>
        <w:pStyle w:val="ListBullet"/>
      </w:pPr>
      <w:r>
        <w:t>Piège classique n°2 : Patient utilisant le collyre phényléphrine depuis plusieurs semaines pour des yeux rouges chroniques → suspicion forte de conjonctivite médicamenteuse ; arrêt du collyre, orientation vers l'ophtalmologue.</w:t>
      </w:r>
    </w:p>
    <w:p>
      <w:pPr>
        <w:pStyle w:val="ListBullet"/>
      </w:pPr>
      <w:r>
        <w:t>Piège classique n°3 : Patient présentant un glaucome à angle fermé non diagnostiqué et utilisant du collyre phényléphrine → risque de déclenchement d'une crise aiguë de glaucome (mydriase) ; orientation ophtalmologique urgente en cas de douleur oculaire.</w:t>
      </w:r>
    </w:p>
    <w:p>
      <w:pPr>
        <w:pStyle w:val="ListBullet"/>
      </w:pPr>
      <w:r>
        <w:t>Piège classique n°4 : Patient porteur de lentilles de contact et souhaitant utiliser APIFRIN-10 ou NEOSYNEPHRINE → informer du retrait obligatoire des lentilles pendant la durée du traitement (chlorure de benzalkonium absorbé par les lentilles souples).</w:t>
      </w:r>
    </w:p>
    <w:p>
      <w:pPr>
        <w:pStyle w:val="ListBullet"/>
      </w:pPr>
      <w:r>
        <w:t>Piège classique n°5 : Patient souhaitant utiliser GRIPEX pour la rhinite congestive alors qu'il présente une hypertension non contrôlée → refus de la délivrance ; orientation vers le médecin pour alternative (lavage nasal, oxymétazoline en usage court).</w:t>
      </w:r>
    </w:p>
    <w:p>
      <w:pPr>
        <w:pStyle w:val="ListBullet"/>
      </w:pPr>
      <w:r>
        <w:t>Piège classique n°6 : Patient sous antidépresseur tricyclique ou IRSNA souhaitant utiliser GRIPEX → informer du risque d'interaction (majoration des effets sympathomimétiques) ; orientation vers le médecin pour alternative.</w:t>
      </w:r>
    </w:p>
    <w:p>
      <w:pPr>
        <w:pStyle w:val="ListBullet"/>
      </w:pPr>
      <w:r>
        <w:t>Règle d'or : « Phényléphrine collyre = 5 jours maximum, 1 à 2 gouttes 2 à 3 fois par jour, jamais chez l'enfant de moins de 12 ans, surveillance ophtalmologique en cas d'usage prolongé. Phényléphrine orale (GRIPEX) = efficacité controversée, à réserver à l'adulte, prudence en cas de hypertension, sédation importante (chlorphénamine). »</w:t>
      </w:r>
    </w:p>
    <w:p>
      <w:pPr>
        <w:pStyle w:val="ListBullet"/>
      </w:pPr>
      <w:r>
        <w:t>Préparation et Conservation : Flacon fermé, à température ≤ 25 °C, à l'abri de la lumière. Jeter le flacon 4 semaines après la première ouverture (collyre).</w:t>
      </w:r>
    </w:p>
    <w:p>
      <w:pPr>
        <w:pStyle w:val="ListBullet"/>
      </w:pPr>
      <w:r>
        <w:t>Piège du diagnostic différentiel : Une rougeur oculaire unilatérale douloureuse avec baisse d'acuité visuelle n'est pas une indication de phényléphrine et doit faire suspecter une kératite, une uvéite, un glaucome aigu ou une sclérite → orientation ophtalmologique urgente.</w:t>
      </w:r>
    </w:p>
    <w:p>
      <w:pPr>
        <w:pStyle w:val="ListBullet"/>
      </w:pPr>
      <w:r>
        <w:t>Piège de l'association aux autres collyres : en cas de prescription de plusieurs collyres, espacer les instillations de 5 minutes pour éviter le lavage du premier collyre par le second. Administrer le collyre vasoconstricteur en dernier, après les collyres antiallergiques ou corticoïdes.</w:t>
      </w:r>
    </w:p>
    <w:p>
      <w:pPr>
        <w:pStyle w:val="Heading3"/>
      </w:pPr>
      <w:r>
        <w:t>132.3.3 DCI : Éphédrine (usage ORL)</w:t>
      </w:r>
    </w:p>
    <w:p>
      <w:r/>
      <w:r>
        <w:rPr>
          <w:b/>
        </w:rPr>
        <w:t>Liste des Catégories :</w:t>
      </w:r>
      <w:r>
        <w:t xml:space="preserve"> Liste I (forme injectable).</w:t>
      </w:r>
    </w:p>
    <w:p>
      <w:r>
        <w:t>L'éphédrine est un alcaloïde naturel extrait des plantes du genre Éphédra (Éphédra sinica, Éphédra distachya, Éphédra gerardiana), utilisé depuis plus de 5 000 ans dans la médecine chinoise traditionnelle (Ma Huang) pour ses propriétés bronchodilatatrices, vasoconstrictrices et psychostimulantes. Sa structure chimique correspond au (1R,2S)-2-(méthylamino)-1-phénylpropan-1-ol chlorhydrate, dérivée de la phényléthylamine avec une hydroxylation en position 1 (asymétrique), une N-méthylation et une substitution en position 2 par un groupe méthyle. Cette structure stéréospécifique lui confère une activité mixte : agoniste direct des récepteurs α1- (vasoconstriction) et β1- (tachycardie, inotropisme positif) et β2- (bronchodilatation) adrénergiques, et agoniste indirect par stimulation de la libération de noradrénaline au niveau des terminaisons nerveuses sympathiques (en raison de sa ressemblance structurale avec la noradrénaline, qui lui permet d'être transportée dans les vésicules synaptiques et d'échanger avec la noradrénaline stockée). En Algérie, l'éphédrine est disponible uniquement en forme injectable à 30 mg/mL (EPHEDRON, laboratoire Frater Razes, Liste I) pour les indications d'hypotension orthostatique, d'hypotension peranesthésique et de certains chocs réfractaires. Son usage ORL historique (spray nasal ou gouttes) n'est plus disponible en Algérie dans la nomenclature de 2026, mais son mécanisme d'action et son profil pharmacologique restent pertinents pour la compréhension de la classe.</w:t>
      </w:r>
    </w:p>
    <w:p>
      <w:r/>
      <w:r>
        <w:rPr>
          <w:b/>
        </w:rPr>
        <w:t>Médicaments disponibles en Algérie (tableau commercial) :</w:t>
      </w:r>
      <w:r/>
    </w:p>
    <w:p>
      <w:r>
        <w:t>Formes injectables actives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EPHEDRON</w:t>
            </w:r>
          </w:p>
        </w:tc>
        <w:tc>
          <w:tcPr>
            <w:tcW w:type="dxa" w:w="1559"/>
          </w:tcPr>
          <w:p>
            <w:r>
              <w:rPr>
                <w:sz w:val="20"/>
              </w:rPr>
              <w:t>LES LABORATOIRES FRATER RAZES</w:t>
            </w:r>
          </w:p>
        </w:tc>
        <w:tc>
          <w:tcPr>
            <w:tcW w:type="dxa" w:w="1559"/>
          </w:tcPr>
          <w:p>
            <w:r>
              <w:rPr>
                <w:sz w:val="20"/>
              </w:rPr>
              <w:t>Solution injectable pour IV ou perfusion 30 mg/mL chlorhydrate d'éphédrine</w:t>
            </w:r>
          </w:p>
        </w:tc>
        <w:tc>
          <w:tcPr>
            <w:tcW w:type="dxa" w:w="1559"/>
          </w:tcPr>
          <w:p>
            <w:r>
              <w:rPr>
                <w:sz w:val="20"/>
              </w:rPr>
              <w:t>Boîte de 10 et de 50 ampoules</w:t>
            </w:r>
          </w:p>
        </w:tc>
        <w:tc>
          <w:tcPr>
            <w:tcW w:type="dxa" w:w="1559"/>
          </w:tcPr>
          <w:p>
            <w:r>
              <w:rPr>
                <w:sz w:val="20"/>
              </w:rPr>
              <w:t>Liste I</w:t>
            </w:r>
          </w:p>
        </w:tc>
        <w:tc>
          <w:tcPr>
            <w:tcW w:type="dxa" w:w="1559"/>
          </w:tcPr>
          <w:p>
            <w:r>
              <w:rPr>
                <w:sz w:val="20"/>
              </w:rPr>
              <w:t>Actif</w:t>
            </w:r>
          </w:p>
        </w:tc>
      </w:tr>
    </w:tbl>
    <w:p/>
    <w:p>
      <w:r>
        <w:t>Formes nasales : aucune spécialité à base d'éphédrine par voie nasale n'est actuellement commercialisée en Algérie dans la nomenclature de 2026. L'éphédrine par voie nasale était historiquement disponible sous forme de spray nasal dans plusieurs pays (Racephedrine®, Rhinedrine®), mais ces spécialités ont été retirées du marché dans la majorité des pays européens en raison de la disponibilité de molécules plus modernes (oxymétazoline) et du profil de tolérance systémique de l'éphédrine (hypertension, tachycardie, troubles du rythme, interactions médicamenteuses). En Algérie, l'éphédrine n'est donc accessible que par voie injectable à titre hospitalier, en Liste I, ce qui reflète son statut de médicament à surveillance particulière et son utilisation principalement en anesthésie-réanimation. Le pharmacien d'officine n'est pas concerné par la délivrance de cette molécule, mais doit en connaître les propriétés pharmacologiques pour la compréhension de la classe et pour l'information des patients qui pourraient interroger sur les alternatives aux imidazolines nasales.</w:t>
      </w:r>
    </w:p>
    <w:p>
      <w:r/>
      <w:r>
        <w:rPr>
          <w:b/>
        </w:rPr>
        <w:t>Sous-classe et Mécanisme d'action :</w:t>
      </w:r>
      <w:r/>
    </w:p>
    <w:p>
      <w:pPr>
        <w:pStyle w:val="ListBullet"/>
      </w:pPr>
      <w:r>
        <w:t>Sous-classe : Sympathomimétique d'action mixte (directe et indirecte), agoniste α1- (vasoconstriction), β1- (tachycardie, inotropisme positif) et β2- (bronchodilatation) adrénergique, non imidazoliné. Alcaloïde naturel extrait des Éphédra.</w:t>
      </w:r>
    </w:p>
    <w:p>
      <w:pPr>
        <w:pStyle w:val="ListBullet"/>
      </w:pPr>
      <w:r>
        <w:t>Mécanisme d'action : L'éphédrine exerce une double action sympathomimétique. (1) Action directe : l'éphédrine se fixe directement aux récepteurs α1- (vasoconstriction systémique et locale), β1- (augmentation de la fréquence cardiaque, de la contractilité myocardique et de la conduction auriculo-ventriculaire) et β2- (bronchodilatation, vasodilatation musculaire, relaxation utérine). Cette action directe est plus faible que celle de l'adrénaline, mais elle est prolongée. (2) Action indirecte : l'éphédrine pénètre dans les terminaisons nerveuses sympathiques via le transporteur membranaire de la noradrénaline (NET), entre dans les vésicules synaptiques via le transporteur vésiculaire des monoamines (VMAT2), et déplace la noradrénaline stockée vers le cytoplasme puis vers la fente synaptique. Cette libération de noradrénaline endogène amplifie et prolonge l'effet sympathomimétique. L'effet clinique maximal est atteint en 5 à 10 minutes après injection IV, et persiste 1 à 2 heures (en raison de la résistance de l'éphédrine à la dégradation par la monoamine oxydase et la catéchol-O-méthyltransférase). L'effet vasoconstricteur sur la muqueuse nasale (en cas d'administration locale, qui n'est plus disponible en Algérie) était perceptible en 5 à 10 minutes, maximal en 15 à 30 minutes et persistait 2 à 4 heures.</w:t>
      </w:r>
    </w:p>
    <w:p>
      <w:pPr>
        <w:pStyle w:val="ListBullet"/>
      </w:pPr>
      <w:r>
        <w:t>Action bronchodilatatrice : L'activité β2 de l'éphédrine entraîne une relaxation du muscle lisse bronchique et une bronchodilatation, qui a été historiquement exploitée dans le traitement de l'asthme (éphédrine en comprimés ou en sirop, aujourd'hui obsolète en raison de l'arrivée des β2-mimétiques sélectifs comme le salbutamol).</w:t>
      </w:r>
    </w:p>
    <w:p>
      <w:pPr>
        <w:pStyle w:val="ListBullet"/>
      </w:pPr>
      <w:r>
        <w:t>Action psychostimulante : L'éphédrine exerce une stimulation centrale (augmentation de la vigilance, anorexigène, euphorisante) par activation des récepteurs adrénergiques centraux. Cette propriété explique son usage détourné comme psychostimulant (« doping » sportif, stupéfiant de synthèse) et son inscription sur la liste des substances dopantes de l'Agence mondiale antidopage (AMA). Elle explique aussi la réglementation stricte de l'éphédrine en Algérie (Liste I pour la forme injectable, contrôle de la délivrance).</w:t>
      </w:r>
    </w:p>
    <w:p>
      <w:pPr>
        <w:pStyle w:val="ListBullet"/>
      </w:pPr>
      <w:r>
        <w:t>Tolérance (tachyphylaxie) : L'éphédrine est sujette à une tolérance pharmacologique rapide (en quelques jours), liée à l'épuisement des réserves de noradrénaline dans les terminaisons nerveuses sympathiques et à la down-régulation des récepteurs adrénergiques. Cette tolérance limite son usage prolongé et explique la nécessité d'augmenter les doses en cas de traitement continu.</w:t>
      </w:r>
    </w:p>
    <w:p>
      <w:r/>
      <w:r>
        <w:rPr>
          <w:b/>
        </w:rPr>
        <w:t>Profil Pharmacologique :</w:t>
      </w:r>
      <w:r/>
    </w:p>
    <w:p>
      <w:pPr>
        <w:pStyle w:val="ListBullet"/>
      </w:pPr>
      <w:r>
        <w:t>Indications : Solution injectable EPHEDRON (30 mg/mL) : hypotension orthostatique sévère (par dysautonomie, neuropathie végétative, maladie de Parkinson avancée) ; hypotension peranesthésique (en particulier lors de la rachianesthésie ou de l'anesthésie péridurale, en alternative à la phényléphrine) ; choc réfractaire aux catécholamines de première intention (noradrénaline, adrénaline) en réanimation ; bradycardie sinusale symptomatique réfractaire à l'atropine (alternative à l'isoprénaline) ; myasthénie (diagnostic différentiel par test à l'éphédrine, aujourd'hui obsolète). L'éphédrine par voie nasale (non disponible en Algérie) avait historiquement pour indication le traitement symptomatique de la congestion nasale au cours des rhinites aiguës, pendant une durée maximale de 5 jours, en alternative à l'oxymétazoline. Son usage ORL est aujourd'hui obsolète et n'est plus pertinent en pratique algérienne.</w:t>
      </w:r>
    </w:p>
    <w:p>
      <w:pPr>
        <w:pStyle w:val="ListBullet"/>
      </w:pPr>
      <w:r>
        <w:t>Contre-indications : Hypersensibilité à l'éphédrine ou à l'un des excipients ; hypertension artérielle sévère non contrôlée ; coronaropathie évoluée ; angor instable ; infarctus du myocarde récent ; hyperthyroïdie non traitée ; glaucome à angle fermé ; hypertrophie prostatique sévère avec rétention urinaire ; traitement en cours par IMAO ou dans les 15 jours suivant l'arrêt d'un IMAO ; insuffisance surrénalienne aiguë ; tachyarythmie ventriculaire ; fibrillation ventriculaire ; anesthésie par halogénés en cours (risque d'arythmies ventriculaires par sensibilisation myocardique) ; allaitement (en raison du passage important dans le lait maternel) ; enfant de moins de 12 ans (en dehors de l'usage hospitalier strict).</w:t>
      </w:r>
    </w:p>
    <w:p>
      <w:pPr>
        <w:pStyle w:val="ListBullet"/>
      </w:pPr>
      <w:r>
        <w:t>Spectre d'action : Pas d'activité antivirale, antibactérienne, antifongique ou antiallergique propre. L'action de l'éphédrine est purement symptomatique sur la composante congestive (vasoconstriction) et la composante bronchospastique (bronchodilatation). L'usage historique dans l'asthme a été remplacé par les β2-mimétiques sélectifs (salbutamol, tébutaline, formotérol). L'usage historique dans la congestion nasale a été remplacé par les imidazolines (oxymétazoline) en raison de la meilleure tolérance locale et systémique de ces dernières.</w:t>
      </w:r>
    </w:p>
    <w:p>
      <w:r/>
      <w:r>
        <w:rPr>
          <w:b/>
        </w:rPr>
        <w:t>Effets Indésirables :</w:t>
      </w:r>
      <w:r/>
    </w:p>
    <w:p>
      <w:pPr>
        <w:pStyle w:val="ListBullet"/>
      </w:pPr>
      <w:r/>
      <w:r>
        <w:rPr>
          <w:b/>
        </w:rPr>
        <w:t>Cardiovasculaires</w:t>
      </w:r>
      <w:r>
        <w:t xml:space="preserve"> : hypertension artérielle transitoire (par vasoconstriction systémique), tachycardie sinusale (par stimulation β1), palpitations, troubles du rythme supraventriculaire (extrasystoles auriculaires, tachycardie supraventriculaire, fibrillation auriculaire) et ventriculaire (extrasystoles ventriculaires, tachycardie ventriculaire, fibrillation ventriculaire), angor (par augmentation de la consommation myocardique en oxygène), vasoconstriction périphérique (pâleur, froideur des extrémités).</w:t>
      </w:r>
    </w:p>
    <w:p>
      <w:pPr>
        <w:pStyle w:val="ListBullet"/>
      </w:pPr>
      <w:r/>
      <w:r>
        <w:rPr>
          <w:b/>
        </w:rPr>
        <w:t>Neurologiques centraux</w:t>
      </w:r>
      <w:r>
        <w:t xml:space="preserve"> : céphalées, tremulations, anxiété, irritabilité, insomnie, agitation, nervosité, vertiges, confusion (en particulier chez le sujet âgé), hallucinations (rares, en cas de surdosage).</w:t>
      </w:r>
    </w:p>
    <w:p>
      <w:pPr>
        <w:pStyle w:val="ListBullet"/>
      </w:pPr>
      <w:r/>
      <w:r>
        <w:rPr>
          <w:b/>
        </w:rPr>
        <w:t>Respiratoires</w:t>
      </w:r>
      <w:r>
        <w:t xml:space="preserve"> : bronchodilatation (effet recherché), mais aussi à forte dose bronchospasme paradoxal (rares), dyspnée.</w:t>
      </w:r>
    </w:p>
    <w:p>
      <w:pPr>
        <w:pStyle w:val="ListBullet"/>
      </w:pPr>
      <w:r/>
      <w:r>
        <w:rPr>
          <w:b/>
        </w:rPr>
        <w:t>Digestifs</w:t>
      </w:r>
      <w:r>
        <w:t xml:space="preserve"> : nausées, vomissements, anorexie (effet anorexigène), sécheresse buccale.</w:t>
      </w:r>
    </w:p>
    <w:p>
      <w:pPr>
        <w:pStyle w:val="ListBullet"/>
      </w:pPr>
      <w:r/>
      <w:r>
        <w:rPr>
          <w:b/>
        </w:rPr>
        <w:t>Urinaires</w:t>
      </w:r>
      <w:r>
        <w:t xml:space="preserve"> : rétention urinaire (en particulier chez le sujet âgé avec hypertrophie prostatique).</w:t>
      </w:r>
    </w:p>
    <w:p>
      <w:pPr>
        <w:pStyle w:val="ListBullet"/>
      </w:pPr>
      <w:r/>
      <w:r>
        <w:rPr>
          <w:b/>
        </w:rPr>
        <w:t>Endocriniens</w:t>
      </w:r>
      <w:r>
        <w:t xml:space="preserve"> : hyperglycémie (par stimulation de la glycogénolyse hépatique et de la lipolyse), modification du métabolisme lipidique.</w:t>
      </w:r>
    </w:p>
    <w:p>
      <w:pPr>
        <w:pStyle w:val="ListBullet"/>
      </w:pPr>
      <w:r/>
      <w:r>
        <w:rPr>
          <w:b/>
        </w:rPr>
        <w:t>Ophtalmologiques</w:t>
      </w:r>
      <w:r>
        <w:t xml:space="preserve"> : mydriase transitoire (en cas de passage systémique), troubles de l'accommodation, vision trouble.</w:t>
      </w:r>
    </w:p>
    <w:p>
      <w:pPr>
        <w:pStyle w:val="ListBullet"/>
      </w:pPr>
      <w:r/>
      <w:r>
        <w:rPr>
          <w:b/>
        </w:rPr>
        <w:t>Tolérance et dépendance</w:t>
      </w:r>
      <w:r>
        <w:t xml:space="preserve"> : tolérance pharmacologique rapide (en quelques jours), avec nécessité d'augmenter les doses en cas de traitement continu ; risque de dépendance psychique (effet psychostimulant), qui explique le classement de l'éphédrine comme substance contrôlée dans plusieurs pays.</w:t>
      </w:r>
    </w:p>
    <w:p>
      <w:pPr>
        <w:pStyle w:val="ListBullet"/>
      </w:pPr>
      <w:r/>
      <w:r>
        <w:rPr>
          <w:b/>
        </w:rPr>
        <w:t>Syndrome de sevrage</w:t>
      </w:r>
      <w:r>
        <w:t xml:space="preserve"> : en cas d'arrêt brutal après usage prolongé : asthénie, somnolence, dépression, hypotension orthostatique.</w:t>
      </w:r>
    </w:p>
    <w:p>
      <w:pPr>
        <w:pStyle w:val="ListBullet"/>
      </w:pPr>
      <w:r/>
      <w:r>
        <w:rPr>
          <w:b/>
        </w:rPr>
        <w:t>Allergiques</w:t>
      </w:r>
      <w:r>
        <w:t xml:space="preserve"> : très rares cas d'urticaire, de dermatite de contact, d'œdème de Quincke.</w:t>
      </w:r>
    </w:p>
    <w:p>
      <w:r/>
      <w:r>
        <w:rPr>
          <w:b/>
        </w:rPr>
        <w:t>Prévention et Gestion des Effets Indésirables :</w:t>
      </w:r>
      <w:r/>
    </w:p>
    <w:p>
      <w:pPr>
        <w:pStyle w:val="ListBullet"/>
      </w:pPr>
      <w:r>
        <w:t>Mesures préventives : Usage strictement hospitalier de la forme injectable ( Liste I, prescription médicale obligatoire, surveillance médicale rapprochée) ; respect strict de la posologie recommandée et de la vitesse d'administration (injection IV lente sur 1 à 2 minutes) ; surveillance continue ECG, tension artérielle, fréquence cardiaque et saturation en oxygène pendant et après l'administration ; vérification systématique des contre-indications cardiovasculaires et ophtalmologiques ; prudence particulière chez le sujet âgé (risque de confusion, de rétention urinaire, d'hypertension) et chez la femme enceinte (risque de tachycardie fœtale) ; information du patient sur le caractère contrôlé de la molécule et sur les risques d'effets systémiques.</w:t>
      </w:r>
    </w:p>
    <w:p>
      <w:pPr>
        <w:pStyle w:val="ListBullet"/>
      </w:pPr>
      <w:r>
        <w:t>Conduite à tenir en cas d'hypertension artérielle sévère : arrêt immédiat de l'éphédrine ; administration d'un vasodilatateur d'action rapide (uradipil, nicardipine IV) sur avis médical ; surveillance tensionnelle continue.</w:t>
      </w:r>
    </w:p>
    <w:p>
      <w:pPr>
        <w:pStyle w:val="ListBullet"/>
      </w:pPr>
      <w:r>
        <w:t>Conduite à tenir en cas de troubles du rythme cardiaque : arrêt immédiat de l'éphédrine ; administration d'un β-bloquant de courte durée d'action (esmolol IV) sur avis médical en réanimation ; surveillance ECG continue.</w:t>
      </w:r>
    </w:p>
    <w:p>
      <w:pPr>
        <w:pStyle w:val="ListBullet"/>
      </w:pPr>
      <w:r>
        <w:t>Conduite à tenir en cas d'ischémie myocardique (douleur thoracique, modifications ECG) : arrêt immédiat de l'éphédrine ; administration de trinitrine sublinguale ou IV ; surveillance ECG et troponine ; orientation en unité de soins intensifs cardiaques (USIC).</w:t>
      </w:r>
    </w:p>
    <w:p>
      <w:pPr>
        <w:pStyle w:val="ListBullet"/>
      </w:pPr>
      <w:r>
        <w:t>Conduite à tenir en cas de surdosage massif : arrêt immédiat ; administration d'un α-bloquant et d'un β-bloquant en milieu de réanimation ; surveillance ECG, tension artérielle, fréquence cardiaque, gaz du sang, fonction rénale, température corporelle.</w:t>
      </w:r>
    </w:p>
    <w:p>
      <w:r/>
      <w:r>
        <w:rPr>
          <w:b/>
        </w:rPr>
        <w:t>Interactions Importantes :</w:t>
      </w:r>
      <w:r/>
    </w:p>
    <w:p>
      <w:pPr>
        <w:pStyle w:val="ListBullet"/>
      </w:pPr>
      <w:r>
        <w:t>IMAO (iproniazide, phénelzine, tranylcypromine, moclobémide) : contre-indication absolue, risque de crise hypertensive foudroyante par inhibition de la dégradation de la noradrénaline libérée par l'éphédrine.</w:t>
      </w:r>
    </w:p>
    <w:p>
      <w:pPr>
        <w:pStyle w:val="ListBullet"/>
      </w:pPr>
      <w:r>
        <w:t>Antidépresseurs tricycliques (amitriptyline, clomipramine, imipramine) et IRSNA (venlafaxine, duloxétine) : majoration du risque d'hypertension et de troubles du rythme.</w:t>
      </w:r>
    </w:p>
    <w:p>
      <w:pPr>
        <w:pStyle w:val="ListBullet"/>
      </w:pPr>
      <w:r>
        <w:t>Sympathomimétiques d'action systémique (pseudoéphédrine, phényléphrine orale) : risque d'effets additifs cardiotoxiques et hypertensifs, contre-indication de l'association.</w:t>
      </w:r>
    </w:p>
    <w:p>
      <w:pPr>
        <w:pStyle w:val="ListBullet"/>
      </w:pPr>
      <w:r>
        <w:t>Anesthésiques volatils halogénés (halothane, isoflurane, sévoflurane, desflurane) : majoration du risque d'arythmies ventriculaires par sensibilisation myocardique aux catécholamines, à prendre en compte en anesthésie.</w:t>
      </w:r>
    </w:p>
    <w:p>
      <w:pPr>
        <w:pStyle w:val="ListBullet"/>
      </w:pPr>
      <w:r>
        <w:t>Alcaloïdes de l'ergot de seigle (ergotamine, dihydroergotamine) : risque de vasospasme sévère (ergotisme).</w:t>
      </w:r>
    </w:p>
    <w:p>
      <w:pPr>
        <w:pStyle w:val="ListBullet"/>
      </w:pPr>
      <w:r>
        <w:t>Oxytocine : risque d'hypertension sévère et de vasospasme coronaire.</w:t>
      </w:r>
    </w:p>
    <w:p>
      <w:pPr>
        <w:pStyle w:val="ListBullet"/>
      </w:pPr>
      <w:r>
        <w:t>Digitaliques : majoration du risque d'arythmie.</w:t>
      </w:r>
    </w:p>
    <w:p>
      <w:pPr>
        <w:pStyle w:val="ListBullet"/>
      </w:pPr>
      <w:r>
        <w:t>Bêtabloquants : risque d'hypertension paradoxale par blocage des récepteurs β2-vasodilatateurs et prédominance des effets α1-vasoconstricteurs.</w:t>
      </w:r>
    </w:p>
    <w:p>
      <w:pPr>
        <w:pStyle w:val="ListBullet"/>
      </w:pPr>
      <w:r>
        <w:t>Antihypertenseurs (bêtabloquants, IEC, ARA2, diurétiques) : risque de neutralisation de l'effet antihypertenseur.</w:t>
      </w:r>
    </w:p>
    <w:p>
      <w:pPr>
        <w:pStyle w:val="ListBullet"/>
      </w:pPr>
      <w:r>
        <w:t>Insuline et antidiabétiques oraux : risque de modification de la glycémie (hyperglycémie par effet sympathomimétique).</w:t>
      </w:r>
    </w:p>
    <w:p>
      <w:pPr>
        <w:pStyle w:val="ListBullet"/>
      </w:pPr>
      <w:r>
        <w:t>Cocaïne (usage récréatif) : risque d'infarctus du myocarde par spasme coronaire et majoration sympathique (interaction majeure).</w:t>
      </w:r>
    </w:p>
    <w:p>
      <w:pPr>
        <w:pStyle w:val="ListBullet"/>
      </w:pPr>
      <w:r>
        <w:t>Théophylline : majoration du risque de troubles du rythme cardiaque et d'insomnie.</w:t>
      </w:r>
    </w:p>
    <w:p>
      <w:pPr>
        <w:pStyle w:val="ListBullet"/>
      </w:pPr>
      <w:r>
        <w:t>Thyroïdiens (levothyroxine) : majoration du risque cardiovasculaire (tachycardie, troubles du rythme).</w:t>
      </w:r>
    </w:p>
    <w:p>
      <w:pPr>
        <w:pStyle w:val="ListBullet"/>
      </w:pPr>
      <w:r>
        <w:t>Corticoïdes : majoration du risque de rétention hydrosodée et d'hypertension.</w:t>
      </w:r>
    </w:p>
    <w:p>
      <w:r/>
      <w:r>
        <w:rPr>
          <w:b/>
        </w:rPr>
        <w:t>Grossesse et Allaitement :</w:t>
      </w:r>
      <w:r/>
    </w:p>
    <w:p>
      <w:pPr>
        <w:pStyle w:val="ListBullet"/>
      </w:pPr>
      <w:r>
        <w:t xml:space="preserve">Grossesse : L'éphédrine injectable est </w:t>
      </w:r>
      <w:r>
        <w:rPr>
          <w:b/>
        </w:rPr>
        <w:t>compatible avec la grossesse en cas d'hypotension maternelle sévère</w:t>
      </w:r>
      <w:r>
        <w:t xml:space="preserve"> (en particulier lors de la rachianesthésie pour césarienne), selon le CRAT et l'ANSM. Son usage historique en anesthésie obstétricale est largement documenté et considéré comme sûr. L'éphédrine traverse le placenta et peut entraîner une tachycardie fœtale transitoire, qui reste habituellement sans conséquence. Préférée à la phényléphrine injectable dans certaines situations d'hypotension peranesthésique en obstétrique (en raison d'un effet hémodynamique plus stable sur la mère). En cas d'usage régulier ou répété, à éviter en raison du risque de vasoconstriction utéroplacentaire et de retard de croissance fœtale. L'éphédrine par voie locale nasale (non disponible en Algérie) est déconseillée pendant la grossesse en raison du passage systémique et du risque de tachycardie maternelle et fœtale.</w:t>
      </w:r>
    </w:p>
    <w:p>
      <w:pPr>
        <w:pStyle w:val="ListBullet"/>
      </w:pPr>
      <w:r>
        <w:t>Allaitement : Déconseillé pendant l'allaitement en raison du passage important de l'éphédrine dans le lait maternel (rapport lait/plasma élevé) et du risque d'irritabilité, de troubles du sommeil, de tachycardie et d'hypertension chez le nourrisson. En cas d'usage ponctuel en anesthésie pour césarienne, suspension de l'allaitement pendant 24 à 48 heures après l'administration et tirage du lait pour maintenir la lactation.</w:t>
      </w:r>
    </w:p>
    <w:p>
      <w:pPr>
        <w:pStyle w:val="ListBullet"/>
      </w:pPr>
      <w:r>
        <w:t>Précautions : Éviter l'usage répété au cours de la grossesse. En cas d'hypotension orthostatique chronique au cours de la grossesse, préférer les mesures non pharmacologiques (compression veineuse, lever progressif, hydratation) ou les alternatives pharmacologiques plus sûres (fludrocortisone en usage court, midodrine avec prudence).</w:t>
      </w:r>
    </w:p>
    <w:p>
      <w:r/>
      <w:r>
        <w:rPr>
          <w:b/>
        </w:rPr>
        <w:t>Posologie et Mode d'administration (Standard) :</w:t>
      </w:r>
      <w:r/>
    </w:p>
    <w:p>
      <w:pPr>
        <w:pStyle w:val="ListBullet"/>
      </w:pPr>
      <w:r>
        <w:t>Solution injectable EPHEDRON (30 mg/mL) :</w:t>
      </w:r>
    </w:p>
    <w:p>
      <w:pPr>
        <w:pStyle w:val="ListBullet"/>
      </w:pPr>
      <w:r>
        <w:t>Adulte : 25 à 50 mg par injection IV lente (sur 1 à 2 minutes) ou par perfusion IV diluée dans 100 à 250 mL de sérum physiologique ou de glucosé isotonique, à renouveler selon la réponse tensionnelle et la tolérance, sans dépasser 150 mg par 24 heures.</w:t>
      </w:r>
    </w:p>
    <w:p>
      <w:pPr>
        <w:pStyle w:val="ListBullet"/>
      </w:pPr>
      <w:r>
        <w:t>Posologie maximale : 150 mg par 24 heures (en administration fractionnée ou en perfusion continue).</w:t>
      </w:r>
    </w:p>
    <w:p>
      <w:pPr>
        <w:pStyle w:val="ListBullet"/>
      </w:pPr>
      <w:r>
        <w:t>Hypotension peranesthésique (en particulier rachianesthésie pour césarienne) : 10 à 20 mg par injection IV lente, à renouveler selon la réponse tensionnelle, en surveillant la fréquence cardiaque fœtale.</w:t>
      </w:r>
    </w:p>
    <w:p>
      <w:pPr>
        <w:pStyle w:val="ListBullet"/>
      </w:pPr>
      <w:r>
        <w:t>Hypotension orthostatique chronique : 25 à 50 mg par voie IM ou sous-cutanée, 1 à 3 fois par jour, à adapter selon la réponse tensionnelle et la tolérance.</w:t>
      </w:r>
    </w:p>
    <w:p>
      <w:pPr>
        <w:pStyle w:val="ListBullet"/>
      </w:pPr>
      <w:r>
        <w:t>Enfant : usage hospitalier strict, posologie adaptée au poids et à l'indication, sur avis spécialisé en réanimation pédiatrique ou anesthésie pédiatrique.</w:t>
      </w:r>
    </w:p>
    <w:p>
      <w:pPr>
        <w:pStyle w:val="ListBullet"/>
      </w:pPr>
      <w:r>
        <w:t>Sujet âgé : posologie initiale réduite (15 à 25 mg par injection) en raison du risque d'hypertension et de troubles du rythme ; surveillance renforcée.</w:t>
      </w:r>
    </w:p>
    <w:p>
      <w:pPr>
        <w:pStyle w:val="ListBullet"/>
      </w:pPr>
      <w:r>
        <w:t>Insuffisant rénal ou hépatique : pas d'adaptation posologique stricte, mais surveillance clinique et adaptation selon la tolérance.</w:t>
      </w:r>
    </w:p>
    <w:p>
      <w:pPr>
        <w:pStyle w:val="ListBullet"/>
      </w:pPr>
      <w:r>
        <w:t>Mode d'administration (injectable) : injection IV lente sur 1 à 2 minutes ou perfusion IV diluée dans 100 à 250 mL de sérum physiologique ou de glucosé isotonique ; surveillance continue ECG, tension artérielle, fréquence cardiaque et saturation en oxygène pendant et après l'administration.</w:t>
      </w:r>
    </w:p>
    <w:p>
      <w:pPr>
        <w:pStyle w:val="ListBullet"/>
      </w:pPr>
      <w:r>
        <w:t>Conservation : ampoules fermées, à température ≤ 25 °C, à l'abri de la lumière. Ne pas congeler. Ne pas utiliser au-delà de la date de péremption. Stockage en milieu hospitalier avec traçabilité des délivrances (Liste I).</w:t>
      </w:r>
    </w:p>
    <w:p>
      <w:r/>
      <w:r>
        <w:rPr>
          <w:b/>
        </w:rPr>
        <w:t>Arbitrage et Bénéfices des Formes Galéniques :</w:t>
      </w:r>
      <w:r/>
    </w:p>
    <w:p>
      <w:r>
        <w:t>La seule forme disponible en Algérie pour l'éphédrine est la solution injectable à 30 mg/mL (EPHEDRON), à visée hospitalière et strictement réservée à l'usage IV ou en perfusion. Cette forme galénique offre l'avantage d'une biodisponibilité complète (100 %) et d'un délai d'action court (5 à 10 minutes), adaptés aux indications de l'hypotension peranesthésique et du choc réfractaire. Le conditionnement en ampoules de 1 mL (30 mg) permet une administration précise et adaptée à la réponse tensionnelle. La forme injectable impose une surveillance médicale rapprochée (ECG, tension artérielle, fréquence cardiaque) et un usage strictement hospitalier ou par un médecin urgentiste. Aucune forme orale (comprimés, sirop) ni nasale (spray, gouttes) n'est disponible en Algérie pour l'éphédrine, ce qui reflète l'évolution de la pratique clinique vers des molécules plus modernes et mieux tolérées (β2-mimétiques sélectifs pour l'asthme, imidazolines pour la congestion nasale, noradrénaline et adrénaline pour le choc). La forme injectable reste néanmoins un outil thérapeutique important en anesthésie-réanimation, en particulier en anesthésie obstétricale où l'éphédrine a longtemps été la référence pour le traitement de l'hypotension peranesthésique (aujourd'hui concurrencée par la phényléphrine injectable, qui a un effet hémodynamique plus stable sur le fœtus).</w:t>
      </w:r>
    </w:p>
    <w:p>
      <w:r/>
      <w:r>
        <w:rPr>
          <w:b/>
        </w:rPr>
        <w:t>Instructions et Conseils au Patient :</w:t>
      </w:r>
      <w:r/>
    </w:p>
    <w:p>
      <w:pPr>
        <w:pStyle w:val="ListBullet"/>
      </w:pPr>
      <w:r>
        <w:t>Communication au comptoir : L'éphédrine injectable (EPHEDRON) est un médicament à usage hospitalier strict, délivré sur ordonnance en Liste I et administré par voie IV ou en perfusion sous surveillance médicale rapprochée. Le pharmacien d'officine n'est pas concerné par la délivrance de cette molécule, mais doit en connaître les propriétés pharmacologiques pour l'information des patients qui pourraient interroger. En cas de demande d'information sur l'éphédrine (par exemple par un patient présentant une hypotension orthostatique chronique et souhaitant comprendre son traitement), le pharmacien doit expliquer que la molécule est un sympathomimétique qui élève la tension artérielle par vasoconstriction et stimulation cardiaque, qu'elle est administrée à l'hôpital sous surveillance médicale, et qu'elle ne doit jamais être utilisée en automédication en raison du risque d'effets cardiovasculaires sévères.</w:t>
      </w:r>
    </w:p>
    <w:p>
      <w:pPr>
        <w:pStyle w:val="ListBullet"/>
      </w:pPr>
      <w:r>
        <w:t>Information sur les alternatives pour la congestion nasale : en cas de demande d'éphédrine pour la congestion nasale (par un patient ayant connu l'usage historique de cette molécule), le pharmacien doit orienter vers les alternatives modernes disponibles en Algérie : oxymétazoline (RESPIBIEN, RESPINHAL) en spray nasal, tuaminoheptane (RHINOFLUIMUCIL) en spray nasal, lavage nasal au sérum physiologique. Le pharmacien doit rappeler que l'éphédrine par voie nasale n'est plus disponible en Algérie et que son usage est obsolète.</w:t>
      </w:r>
    </w:p>
    <w:p>
      <w:pPr>
        <w:pStyle w:val="ListBullet"/>
      </w:pPr>
      <w:r>
        <w:t>Information sur les alternatives pour l'asthme : en cas de demande d'éphédrine pour l'asthme (par un patient ayant connu l'usage historique de cette molécule), le pharmacien doit orienter vers les alternatives modernes disponibles en Algérie : salbutamol (VENTOLINE, SALMOL) en inhalateur, terbutaline (BRICANYL) en inhalateur, formotérol en inhalateur, salméterol en inhalateur (associé à un corticoïde inhalé dans les traitements de fond). Le pharmacien doit rappeler que l'éphédrine n'est plus indiquée dans l'asthme et que son usage est obsolète.</w:t>
      </w:r>
    </w:p>
    <w:p>
      <w:pPr>
        <w:pStyle w:val="ListBullet"/>
      </w:pPr>
      <w:r>
        <w:t>Information sur le caractère contrôlé de la molécule : l'éphédrine est inscrite sur la liste des substances dopantes de l'Agence mondiale antidopage (AMA) et son usage à des fins de dopage sportif est interdit. Elle peut également faire l'objet d'un usage détourné comme psychostimulant. Le pharmacien doit être vigilant en cas de demande inhabituelle d'éphédrine et orienter vers le médecin traitant.</w:t>
      </w:r>
    </w:p>
    <w:p>
      <w:r/>
      <w:r>
        <w:rPr>
          <w:b/>
        </w:rPr>
        <w:t>Notes, Règles d'Or &amp; Pièges au Comptoir :</w:t>
      </w:r>
      <w:r/>
    </w:p>
    <w:p>
      <w:pPr>
        <w:pStyle w:val="ListBullet"/>
      </w:pPr>
      <w:r>
        <w:t>Piège classique n°1 : Patient demandant de l'éphédrine pour la congestion nasale, en référence à un ancien usage ou à un usage dans d'autres pays → refus de la délivrance (l'éphédrine n'est pas disponible en forme nasale en Algérie) ; orientation vers les alternatives modernes (oxymétazoline, lavage nasal).</w:t>
      </w:r>
    </w:p>
    <w:p>
      <w:pPr>
        <w:pStyle w:val="ListBullet"/>
      </w:pPr>
      <w:r>
        <w:t>Piège classique n°2 : Patient demandant de l'éphédrine pour l'asthme, en référence à un ancien usage ou à un usage traditionnel (Ma Huang de la médecine chinoise) → refus de la délivrance ; orientation vers les alternatives modernes (salbutamol, terbutaline) et rappel que l'éphédrine n'est plus indiquée dans l'asthme.</w:t>
      </w:r>
    </w:p>
    <w:p>
      <w:pPr>
        <w:pStyle w:val="ListBullet"/>
      </w:pPr>
      <w:r>
        <w:t>Piège classique n°3 : Patient demandant de l'éphédrine à des fins de dopage sportif ou de psychostimulation → refus de la délivrance (inscrite sur la liste des substances dopantes de l'AMA) ; information sur les risques cardiovasculaires et neurologiques.</w:t>
      </w:r>
    </w:p>
    <w:p>
      <w:pPr>
        <w:pStyle w:val="ListBullet"/>
      </w:pPr>
      <w:r>
        <w:t>Piège classique n°4 : Patient sous IMAO ou ayant arrêté un IMAO depuis moins de 15 jours et nécessitant de l'éphédrine pour hypotension peranesthésique → information du médecin anesthésiste pour alternative (phényléphrine, noradrénaline).</w:t>
      </w:r>
    </w:p>
    <w:p>
      <w:pPr>
        <w:pStyle w:val="ListBullet"/>
      </w:pPr>
      <w:r>
        <w:t>Piège classique n°5 : Patiente enceinte nécessitant de l'éphédrine pour hypotension peranesthésique lors d'une césarienne → information rassurante (compatible selon le CRAT, usage historique en obstétrique) ; surveillance de la fréquence cardiaque fœtale.</w:t>
      </w:r>
    </w:p>
    <w:p>
      <w:pPr>
        <w:pStyle w:val="ListBullet"/>
      </w:pPr>
      <w:r>
        <w:t>Règle d'or : « Éphédrine injectable (EPHEDRON) = usage hospitalier strict, Liste I, surveillance ECG et tensionnelle continue, prudence en cas d'IMAO, de coronaropathie ou d'hyperthyroïdie. Éphédrine nasale = obsolète, plus disponible en Algérie, préférer oxymétazoline. »</w:t>
      </w:r>
    </w:p>
    <w:p>
      <w:pPr>
        <w:pStyle w:val="ListBullet"/>
      </w:pPr>
      <w:r>
        <w:t>Préparation et Conservation : Ampoules fermées, à température ≤ 25 °C, à l'abri de la lumière. Stockage en milieu hospitalier avec traçabilité des délivrances (Liste I). Ne pas utiliser au-delà de la date de péremption.</w:t>
      </w:r>
    </w:p>
    <w:p>
      <w:pPr>
        <w:pStyle w:val="ListBullet"/>
      </w:pPr>
      <w:r>
        <w:t>Piège du diagnostic différentiel : Une hypotension orthostatique chronique ne doit pas être traitée par éphédrine sans avis spécialisé (recherche de la cause : dysautonomie, neuropathie végétative, maladie de Parkinson, hypovolémie, iatrogénie). Orientation vers le médecin spécialiste (neurologue, interniste, cardiologue).</w:t>
      </w:r>
    </w:p>
    <w:p>
      <w:pPr>
        <w:pStyle w:val="ListBullet"/>
      </w:pPr>
      <w:r>
        <w:t>Piège de l'association aux autres vasoconstricteurs : ne jamais associer l'éphédrine à un autre vasoconstricteur nasal (oxymétazoline, phényléphrine) ou oral (pseudoéphédrine) en raison du risque cardiovasculaire additif.</w:t>
      </w:r>
    </w:p>
    <w:p>
      <w:pPr>
        <w:pStyle w:val="Heading2"/>
      </w:pPr>
      <w:r>
        <w:t>132.4 Sous-classe : Anticholinergiques nasaux</w:t>
      </w:r>
    </w:p>
    <w:p>
      <w:pPr>
        <w:pStyle w:val="Heading3"/>
      </w:pPr>
      <w:r>
        <w:t>132.4.1 Généralités de la sous-classe</w:t>
      </w:r>
    </w:p>
    <w:p>
      <w:r>
        <w:t xml:space="preserve">Les anticholinergiques nasaux représentent une approche thérapeutique radicalement différente de celle des vasoconstricteurs : au lieu d'agir sur la composante congestive de la rhinite par vasoconstriction vasculaire, ils ciblent spécifiquement la </w:t>
      </w:r>
      <w:r>
        <w:rPr>
          <w:b/>
        </w:rPr>
        <w:t>composante sécrétoire</w:t>
      </w:r>
      <w:r>
        <w:t xml:space="preserve"> (rhinorrhée) par blocage des récepteurs muscariniques M3 des glandes séreuses et séromuqueuses de la muqueuse nasale. Cette classe est représentée en Algérie par une seule molécule : l'</w:t>
      </w:r>
      <w:r>
        <w:rPr>
          <w:b/>
        </w:rPr>
        <w:t>ipratropium bromure</w:t>
      </w:r>
      <w:r>
        <w:t>, quaternaire d'ammonium synthétisé en 1976 et commercialisé internationalement depuis 1979 (princeps Atrovent®, Boehringer Ingelheim). L'ipratropium est principalement utilisé en Algérie en forme inhalée pour le traitement de la BPCO et de l'asthme (associé au salbutamol dans la Combivent®), mais la spécialité ATROVENT est également disponible en forme pour nébulisation à visée ORL et bronchique (forme enfant 0,25 mg/2 mL et forme adulte 0,50 mg/2 mL). Aucune forme stricte de spray nasal n'est disponible dans la nomenclature algérienne de 2026, mais l'usage nasal de la forme nébulisée est pratiqué en pratique ORL courante.</w:t>
      </w:r>
    </w:p>
    <w:p>
      <w:r>
        <w:t xml:space="preserve">Le mécanisme d'action de l'ipratropium repose sur la </w:t>
      </w:r>
      <w:r>
        <w:rPr>
          <w:b/>
        </w:rPr>
        <w:t>compétition antagoniste avec l'acétylcholine au niveau des récepteurs muscariniques M3</w:t>
      </w:r>
      <w:r>
        <w:t xml:space="preserve"> des glandes séromuqueuses de la muqueuse nasale (et accessoirement des cellules calciformes et du muscle lisse bronchique). L'acétylcholine libérée par les fibres parasympathiques du nerf vidien active normalement les récepteurs M3 et déclenche la production de sécrétions nasales (rhinorrhée parasympathique). L'ipratropium bloque cette activation, réduisant ainsi la production de sécrétions nasales sans affecter la congestion nasale. Son effet est donc spécifique de la rhinorrhée et particulièrement adapté aux rhinites vasomotrices, aux rhinites gustatoires (rhinorrhée déclenchée par l'alimentation), aux rhinites chroniques avec rhinorrhée prédominante et aux rhinites médicamenteuses (en complément du sevrage du vasoconstricteur). L'effet est perceptible en 15 à 30 minutes après administration nasale et persiste 4 à 8 heures.</w:t>
      </w:r>
    </w:p>
    <w:p>
      <w:r>
        <w:t xml:space="preserve">L'ipratropium est un quaternaire d'ammonium, ce qui lui confère une </w:t>
      </w:r>
      <w:r>
        <w:rPr>
          <w:b/>
        </w:rPr>
        <w:t>biodisponibilité systémique très faible</w:t>
      </w:r>
      <w:r>
        <w:t xml:space="preserve"> après administration locale (inférieure à 5 %), en raison de sa polarité qui limite l'absorption à travers les muqueuses. Cette caractéristique explique son excellente tolérance systémique et l'absence quasi totale d'effets anticholinergiques systémiques (sécheresse buccale, constipation, rétention urinaire, troubles de l'accommodation, tachycardie) aux posologies usuelles par voie nasale ou inhalée. Les effets indésirables sont essentiellement locaux : sécheresse nasale, irritation nasale, épistaxis (par fragilisation de la muqueuse sèche), goût métallique (par écoulement postérieur). Ces effets restent habituellement modérés et réversibles à l'arrêt du traitement. Les contre-indications sont limitées à l'hypersensibilité à la molécule ou à l'atropine (allergie croisée possible), au glaucome à angle fermé (par prudence, en raison du passage théorique aux récepteurs iridiens par voie lacrymale) et à l'hypertrophie prostatique sévère (par prudence en raison du passage systémique théorique). La grossesse et l'allaitement sont compatibles selon le CRAT et l'ANSM.</w:t>
      </w:r>
    </w:p>
    <w:p>
      <w:r>
        <w:t>L'ipratropium occupe une place spécifique dans l'arsenal thérapeutique ORL : il est indiqué en deuxième intention dans la rhinite vasomotrice (après échec ou intolérance aux corticoïdes nasaux), en complément du sevrage des vasoconstricteurs dans la rhinite médicamenteuse, et dans la rhinite gustative chronique. Son association aux corticoïdes nasaux est synergique et permet une meilleure prise en charge des rhinites chroniques avec composante congestive et rhinorrhée. Il n'a pas d'indication dans la rhinite aiguë virale (rhume banal) en première intention, où la rhinorrhée est spontanément résolutive en quelques jours, mais peut être utilisé en seconde intention en cas de rhinorrhée rebond persistante. Son usage dans la rhinite allergique est possible en complément de l'antihistaminique oral et du corticoïde nasal en cas de rhinorrhée prédominante, mais reste moins efficace que les antihistaminiques oraux sur la composante prurigineuse et éternuante.</w:t>
      </w:r>
    </w:p>
    <w:p>
      <w:r>
        <w:t>Le marché algérien de l'ipratropium est dominé par la spécialité ATROVENT (Boehringer Ingelheim), disponible en solution pour nébulisation (forme enfant 0,25 mg/2 mL et forme adulte 0,50 mg/2 mL, en Liste I) et historiquement en suspension pour inhalation en flacon pressurisé (20 µg/dose, retirée du marché). La forme nébulisée est utilisée en pratique ORL pour administration nasale (par nébuliseur facial adapté) ou bronchique (par nébuliseur buccal). Aucune forme stricte de spray nasal (type Atrovent nasal 0,03 % ou 0,06 % disponible dans d'autres pays) n'est disponible en Algérie dans la nomenclature de 2026, ce qui limite l'usage ORL strict de l'ipratropium et impose une adaptation de la prescription (usage de la forme nébulisée par voie nasale). Le pharmacien d'officine doit être informé de cette particularité et orienter les patients vers le médecin ORL pour adaptation posologique.</w:t>
      </w:r>
    </w:p>
    <w:p>
      <w:pPr>
        <w:pStyle w:val="Heading3"/>
      </w:pPr>
      <w:r>
        <w:t>132.4.2 DCI : Ipratropium (usage nasal)</w:t>
      </w:r>
    </w:p>
    <w:p>
      <w:r/>
      <w:r>
        <w:rPr>
          <w:b/>
        </w:rPr>
        <w:t>Liste des Catégories :</w:t>
      </w:r>
      <w:r>
        <w:t xml:space="preserve"> Liste I (solution pour nébulisation).</w:t>
      </w:r>
    </w:p>
    <w:p>
      <w:r>
        <w:t>L'ipratropium bromure est un anticholinergique de synthèse, quaternaire d'ammonium dérivé de l'atropine par N-isopropylation et quaternisation, commercialisé internationalement depuis 1979 (princeps Atrovent®, Boehringer Ingelheim). Sa structure chimique correspond au bromure de (1R,3r,5S)-8-isopropyl-8-azabicyclo[3.2.1]octan-3-yl 3-hydroxy-2-phénylpropanoate, qui lui confère une activité antagoniste compétitive des récepteurs muscariniques M1, M2 et M3, sans sélectivité stricte pour un sous-type. La quaternisation de l'azote (charge positive permanente) limite considérablement son absorption à travers les muqueuses et la barrière hémato-encéphalique, ce qui explique sa très faible biodisponibilité systémique (inférieure à 5 % par voie nasale ou inhalée) et l'absence d'effets anticholinergiques centraux (contrairement à l'atropine qui traverse la barrière hémato-encéphalique et peut induire confusion, hallucinations, sédation). En Algérie, l'ipratropium est disponible en solution pour nébulisation (forme enfant 0,25 mg/2 mL et forme adulte 0,50 mg/2 mL, en Liste I) sous la spécialité ATROVENT (Boehringer Ingelheim France). Aucune forme de spray nasal strict n'est disponible dans la nomenclature de 2026, mais l'usage de la forme nébulisée par voie nasale (avec un masque facial adapté) est pratiqué en pratique ORL courante.</w:t>
      </w:r>
    </w:p>
    <w:p>
      <w:r/>
      <w:r>
        <w:rPr>
          <w:b/>
        </w:rPr>
        <w:t>Médicaments disponibles en Algérie (tableau commercial) :</w:t>
      </w:r>
      <w:r/>
    </w:p>
    <w:p>
      <w:r>
        <w:t>Formes inhalées/nasales actives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ATROVENT ENF.</w:t>
            </w:r>
          </w:p>
        </w:tc>
        <w:tc>
          <w:tcPr>
            <w:tcW w:type="dxa" w:w="1559"/>
          </w:tcPr>
          <w:p>
            <w:r>
              <w:rPr>
                <w:sz w:val="20"/>
              </w:rPr>
              <w:t>BOEHRINGER INGELHEIM FRANCE</w:t>
            </w:r>
          </w:p>
        </w:tc>
        <w:tc>
          <w:tcPr>
            <w:tcW w:type="dxa" w:w="1559"/>
          </w:tcPr>
          <w:p>
            <w:r>
              <w:rPr>
                <w:sz w:val="20"/>
              </w:rPr>
              <w:t>Solution pour inhalation par nébuliseur 0,25 mg/2 mL ipratropium bromure</w:t>
            </w:r>
          </w:p>
        </w:tc>
        <w:tc>
          <w:tcPr>
            <w:tcW w:type="dxa" w:w="1559"/>
          </w:tcPr>
          <w:p>
            <w:r>
              <w:rPr>
                <w:sz w:val="20"/>
              </w:rPr>
              <w:t>Boîte de 10 récipients unidoses de 2 mL</w:t>
            </w:r>
          </w:p>
        </w:tc>
        <w:tc>
          <w:tcPr>
            <w:tcW w:type="dxa" w:w="1559"/>
          </w:tcPr>
          <w:p>
            <w:r>
              <w:rPr>
                <w:sz w:val="20"/>
              </w:rPr>
              <w:t>Liste I</w:t>
            </w:r>
          </w:p>
        </w:tc>
        <w:tc>
          <w:tcPr>
            <w:tcW w:type="dxa" w:w="1559"/>
          </w:tcPr>
          <w:p>
            <w:r>
              <w:rPr>
                <w:sz w:val="20"/>
              </w:rPr>
              <w:t>Actif</w:t>
            </w:r>
          </w:p>
        </w:tc>
      </w:tr>
      <w:tr>
        <w:tc>
          <w:tcPr>
            <w:tcW w:type="dxa" w:w="1559"/>
          </w:tcPr>
          <w:p>
            <w:r>
              <w:rPr>
                <w:sz w:val="20"/>
              </w:rPr>
              <w:t>ATROVENT ADUL.</w:t>
            </w:r>
          </w:p>
        </w:tc>
        <w:tc>
          <w:tcPr>
            <w:tcW w:type="dxa" w:w="1559"/>
          </w:tcPr>
          <w:p>
            <w:r>
              <w:rPr>
                <w:sz w:val="20"/>
              </w:rPr>
              <w:t>BOEHRINGER INGELHEIM FRANCE</w:t>
            </w:r>
          </w:p>
        </w:tc>
        <w:tc>
          <w:tcPr>
            <w:tcW w:type="dxa" w:w="1559"/>
          </w:tcPr>
          <w:p>
            <w:r>
              <w:rPr>
                <w:sz w:val="20"/>
              </w:rPr>
              <w:t>Solution pour inhalation par nébuliseur 0,50 mg/2 mL ipratropium bromure</w:t>
            </w:r>
          </w:p>
        </w:tc>
        <w:tc>
          <w:tcPr>
            <w:tcW w:type="dxa" w:w="1559"/>
          </w:tcPr>
          <w:p>
            <w:r>
              <w:rPr>
                <w:sz w:val="20"/>
              </w:rPr>
              <w:t>Boîte de 10 récipients unidoses de 2 mL</w:t>
            </w:r>
          </w:p>
        </w:tc>
        <w:tc>
          <w:tcPr>
            <w:tcW w:type="dxa" w:w="1559"/>
          </w:tcPr>
          <w:p>
            <w:r>
              <w:rPr>
                <w:sz w:val="20"/>
              </w:rPr>
              <w:t>Liste I</w:t>
            </w:r>
          </w:p>
        </w:tc>
        <w:tc>
          <w:tcPr>
            <w:tcW w:type="dxa" w:w="1559"/>
          </w:tcPr>
          <w:p>
            <w:r>
              <w:rPr>
                <w:sz w:val="20"/>
              </w:rPr>
              <w:t>Actif</w:t>
            </w:r>
          </w:p>
        </w:tc>
      </w:tr>
    </w:tbl>
    <w:p/>
    <w:p>
      <w:r>
        <w:t>Forme inhalée retirée (incluse pour mémoire)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ATROVENT</w:t>
            </w:r>
          </w:p>
        </w:tc>
        <w:tc>
          <w:tcPr>
            <w:tcW w:type="dxa" w:w="1559"/>
          </w:tcPr>
          <w:p>
            <w:r>
              <w:rPr>
                <w:sz w:val="20"/>
              </w:rPr>
              <w:t>BOEHRINGER INGELHEIM</w:t>
            </w:r>
          </w:p>
        </w:tc>
        <w:tc>
          <w:tcPr>
            <w:tcW w:type="dxa" w:w="1559"/>
          </w:tcPr>
          <w:p>
            <w:r>
              <w:rPr>
                <w:sz w:val="20"/>
              </w:rPr>
              <w:t>Suspension pour inhalation en flacon pressurisé 20 µg/dose ipratropium bromure</w:t>
            </w:r>
          </w:p>
        </w:tc>
        <w:tc>
          <w:tcPr>
            <w:tcW w:type="dxa" w:w="1559"/>
          </w:tcPr>
          <w:p>
            <w:r>
              <w:rPr>
                <w:sz w:val="20"/>
              </w:rPr>
              <w:t>Flacon 200 doses</w:t>
            </w:r>
          </w:p>
        </w:tc>
        <w:tc>
          <w:tcPr>
            <w:tcW w:type="dxa" w:w="1559"/>
          </w:tcPr>
          <w:p>
            <w:r>
              <w:rPr>
                <w:sz w:val="20"/>
              </w:rPr>
              <w:t>Liste I</w:t>
            </w:r>
          </w:p>
        </w:tc>
        <w:tc>
          <w:tcPr>
            <w:tcW w:type="dxa" w:w="1559"/>
          </w:tcPr>
          <w:p>
            <w:r>
              <w:rPr>
                <w:sz w:val="20"/>
              </w:rPr>
              <w:t>Retrait</w:t>
            </w:r>
          </w:p>
        </w:tc>
      </w:tr>
    </w:tbl>
    <w:p/>
    <w:p>
      <w:r>
        <w:t>L'ipratropium est donc disponible en Algérie sous deux formes actives de solution pour nébulisation : une forme enfant (0,25 mg/2 mL, ATROVENT ENF.) et une forme adulte (0,50 mg/2 mL, ATROVENT ADUL.), toutes deux en Liste I. La spécialité historique ATROVENT en suspension pour inhalation en flacon pressurisé (20 µg/dose, 200 doses) a été retirée du marché. Les deux formes actives sont conditionnées en récipients unidoses de 2 mL, en boîte de 10, ce qui correspond à 10 jours de traitement à la posologie standard d'une nébulisation par jour. L'usage ORL de l'ipratropium par voie nasale nécessite l'utilisation d'un nébuliseur facial adapté (masque nasal) et le respect des règles d'hygiène (nettoyage et désinfection du nébuliseur après chaque usage). La forme enfant (0,25 mg/2 mL) est utilisée en pédiatrie pour la rhinite vasomotrice ou la rhinorrhée chronique de l'enfant, mais reste hors AMM stricte pour l'usage nasal (l'AMM de l'ipratropium nébulisé est pour l'usage bronchique dans la BPCO et l'asthme). Le pharmacien d'officine doit être informé de cette particularité et orienter les patients vers le médecin ORL pour adaptation posologique.</w:t>
      </w:r>
    </w:p>
    <w:p>
      <w:r/>
      <w:r>
        <w:rPr>
          <w:b/>
        </w:rPr>
        <w:t>Sous-classe et Mécanisme d'action :</w:t>
      </w:r>
      <w:r/>
    </w:p>
    <w:p>
      <w:pPr>
        <w:pStyle w:val="ListBullet"/>
      </w:pPr>
      <w:r>
        <w:t>Sous-classe : Anticholinergique de synthèse, quaternaire d'ammonium, antagoniste compétitif des récepteurs muscariniques M1, M2 et M3 (sans sélectivité stricte pour un sous-type), non sélectif des sous-types. Dérivé de l'atropine par N-isopropylation et quaternisation.</w:t>
      </w:r>
    </w:p>
    <w:p>
      <w:pPr>
        <w:pStyle w:val="ListBullet"/>
      </w:pPr>
      <w:r>
        <w:t>Mécanisme d'action : L'ipratropium est un antagoniste compétitif de l'acétylcholine au niveau des récepteurs muscariniques des effecteurs parasympathiques. Au niveau de la muqueuse nasale, il bloque préférentiellement les récepteurs M3 des glandes séreuses et séromuqueuses, réduisant ainsi la production de sécrétions nasales (rhinorrhée parasympathique). Au niveau bronchique (en cas d'usage inhalé), il bloque les récepteurs M3 du muscle lisse bronchique, induisant une bronchodilatation (effet recherché dans la BPCO et l'asthme). L'ipratropium n'a pas d'effet direct sur la composante congestive de la rhinite (pas d'activité α1-vasoconstrictrice), ce qui le distingue fondamentalement des vasoconstricteurs. Son effet est donc spécifique de la rhinorrhée et particulièrement adapté aux rhinites vasomotrices, aux rhinites gustatoires et aux rhinites chroniques avec rhinorrhée prédominante. L'effet est perceptible en 15 à 30 minutes après administration nasale et persiste 4 à 8 heures.</w:t>
      </w:r>
    </w:p>
    <w:p>
      <w:pPr>
        <w:pStyle w:val="ListBullet"/>
      </w:pPr>
      <w:r>
        <w:t>Caractéristiques pharmacocinétiques : L'ipratropium est un quaternaire d'ammonium, ce qui lui confère une polarité élevée et une très faible absorption à travers les muqueuses (biodisponibilité systémique inférieure à 5 % par voie nasale ou inhalée) et un passage transcutané et transmuqueux négligeable. La fraction absorbée est rapidement métabolisée par estérases plasmatiques et hépatiques en métabolites inactifs, avec une demi-vie d'élimination de 1,5 à 3 heures. L'excrétion est principalement rénale (60 à 70 %) sous forme de métabolites, et fécale (30 à 40 %) sous forme inchangée. La quaternisation de l'azote limite également le passage à travers la barrière hémato-encéphalique, ce qui explique l'absence d'effets anticholinergiques centraux (contrairement à l'atropine qui peut induire confusion, hallucinations, sédation).</w:t>
      </w:r>
    </w:p>
    <w:p>
      <w:pPr>
        <w:pStyle w:val="ListBullet"/>
      </w:pPr>
      <w:r>
        <w:t>Absence d'effet sur la muqueuse nasale congestive : L'ipratropium n'a pas d'effet vasoconstricteur sur les sinusoides capacitifs sous-muqueux de la muqueuse nasale, ce qui explique qu'il n'agit pas sur la composante obstructive de la rhinite. Son association à un corticoïde nasal (fluticasone, mométasone) est synergique et permet une meilleure prise en charge des rhinites chroniques avec composante congestive et rhinorrhée.</w:t>
      </w:r>
    </w:p>
    <w:p>
      <w:r/>
      <w:r>
        <w:rPr>
          <w:b/>
        </w:rPr>
        <w:t>Profil Pharmacologique :</w:t>
      </w:r>
      <w:r/>
    </w:p>
    <w:p>
      <w:pPr>
        <w:pStyle w:val="ListBullet"/>
      </w:pPr>
      <w:r>
        <w:t>Indications : Solution pour nébulisation ATROVENT (usage nasal en pratique ORL) : traitement de la rhinorrhée persistante au cours des rhinites vasomotrices, des rhinites gustatoires (rhinorrhée déclenchée par l'alimentation), des rhinites chroniques avec rhinorrhée prédominante résistant aux corticoïdes nasaux et aux antihistaminiques oraux, et en complément du sevrage des vasoconstricteurs dans la rhinite médicamenteuse. Usage bronchique (hors ORL mais à mentionner) : BPCO (bronchopneumopathie chronique obstructive), asthme aigu sévère (en association au salbutamol nébulisé).</w:t>
      </w:r>
    </w:p>
    <w:p>
      <w:pPr>
        <w:pStyle w:val="ListBullet"/>
      </w:pPr>
      <w:r>
        <w:t>Contre-indications : Hypersensibilité à l'ipratropium, à l'atropine ou à ses dérivés (atropine, scopolamine, ipratropium, tiotropium) ou à l'un des excipients ; glaucome à angle fermé (par prudence, en raison du passage théorique aux récepteurs iridiens par voie lacrymale en cas d'usage nasal ou oculaire accidentel) ; hypertrophie prostatique sévère avec rétention urinaire (par prudence en raison du passage systémique théorique) ; fibrose kystique mucoviscidose (risque accru d'iléus méconial et de troubles digestifs, à prendre en compte pour l'usage bronchique nébulisé).</w:t>
      </w:r>
    </w:p>
    <w:p>
      <w:pPr>
        <w:pStyle w:val="ListBullet"/>
      </w:pPr>
      <w:r>
        <w:t>Spectre d'action : Pas d'activité antivirale, antibactérienne, antifongique, antiallergique ou vasoconstrictrice propre. L'action de l'ipratropium est purement symptomatique sur la composante rhinorrhéique de la rhinite. Son efficacité sur la rhinorrhée est démontrée par plusieurs essais contrôlés (réduction de 30 à 50 % du poids des sécrétions nasales en 4 heures chez l'adulte avec rhinite vasomotrice). Son efficacité sur la congestion nasale est nulle, et son efficacité sur le prurit nasal et les éternuements est modeste (par réduction de la stimulation trigéminale par les sécrétions).</w:t>
      </w:r>
    </w:p>
    <w:p>
      <w:r/>
      <w:r>
        <w:rPr>
          <w:b/>
        </w:rPr>
        <w:t>Effets Indésirables :</w:t>
      </w:r>
      <w:r/>
    </w:p>
    <w:p>
      <w:pPr>
        <w:pStyle w:val="ListBullet"/>
      </w:pPr>
      <w:r/>
      <w:r>
        <w:rPr>
          <w:b/>
        </w:rPr>
        <w:t>Locaux précoces (voie nasale)</w:t>
      </w:r>
      <w:r>
        <w:t xml:space="preserve"> : sécheresse nasale (effet anticholinergique attendu), irritation nasale, picotements nasaux, éternuements paradoxaux dans les minutes suivant l'administration, goût métallique ou amer (par écoulement postérieur), irritation pharyngée.</w:t>
      </w:r>
    </w:p>
    <w:p>
      <w:pPr>
        <w:pStyle w:val="ListBullet"/>
      </w:pPr>
      <w:r/>
      <w:r>
        <w:rPr>
          <w:b/>
        </w:rPr>
        <w:t>Locaux tardifs</w:t>
      </w:r>
      <w:r>
        <w:t xml:space="preserve"> (au-delà de 7 à 14 jours d'usage) : épistaxis (par fragilisation de la muqueuse nasale sèche), croûtes nasales, altération ciliaire (par modification de la composition du mucus nasal), atrophie muqueuse en cas d'usage très prolongé (mois à années).</w:t>
      </w:r>
    </w:p>
    <w:p>
      <w:pPr>
        <w:pStyle w:val="ListBullet"/>
      </w:pPr>
      <w:r/>
      <w:r>
        <w:rPr>
          <w:b/>
        </w:rPr>
        <w:t>Oculaires</w:t>
      </w:r>
      <w:r>
        <w:t xml:space="preserve"> (en cas de projection accidentelle dans l'œil ou de passage par les voies lacrymales) : mydriase transitoire, troubles de l'accommodation, vision trouble passagère, sécheresse oculaire. Risque théorique de crise aiguë de glaucome chez le patient prédisposé à angle fermé.</w:t>
      </w:r>
    </w:p>
    <w:p>
      <w:pPr>
        <w:pStyle w:val="ListBullet"/>
      </w:pPr>
      <w:r/>
      <w:r>
        <w:rPr>
          <w:b/>
        </w:rPr>
        <w:t>Systémiques</w:t>
      </w:r>
      <w:r>
        <w:t xml:space="preserve"> (très rares, en raison de la très faible biodisponibilité systémique) : sécheresse buccale, constipation, rétention urinaire (en particulier chez le sujet âgé avec hypertrophie prostatique), troubles de l'accommodation, tachycardie sinusale modérée.</w:t>
      </w:r>
    </w:p>
    <w:p>
      <w:pPr>
        <w:pStyle w:val="ListBullet"/>
      </w:pPr>
      <w:r/>
      <w:r>
        <w:rPr>
          <w:b/>
        </w:rPr>
        <w:t>Respiratoires</w:t>
      </w:r>
      <w:r>
        <w:t xml:space="preserve"> (en cas d'usage bronchique nébulisé) : bronchospasme paradoxal (rare, en cas de réaction d'hypersensibilité aux conservateurs ou à l'ipratropium), toux transitoire.</w:t>
      </w:r>
    </w:p>
    <w:p>
      <w:pPr>
        <w:pStyle w:val="ListBullet"/>
      </w:pPr>
      <w:r/>
      <w:r>
        <w:rPr>
          <w:b/>
        </w:rPr>
        <w:t>Allergiques</w:t>
      </w:r>
      <w:r>
        <w:t xml:space="preserve"> : très rares cas d'urticaire, de dermatite de contact nasale, d'œdème de Quincke, de réaction anaphylactique (en particulier chez les patients allergiques à l'atropine ou à ses dérivés).</w:t>
      </w:r>
    </w:p>
    <w:p>
      <w:pPr>
        <w:pStyle w:val="ListBullet"/>
      </w:pPr>
      <w:r/>
      <w:r>
        <w:rPr>
          <w:b/>
        </w:rPr>
        <w:t>Digestifs</w:t>
      </w:r>
      <w:r>
        <w:t xml:space="preserve"> (par écoulement postérieur et ingestion) : nausées, vomissements, diarrhée (rares).</w:t>
      </w:r>
    </w:p>
    <w:p>
      <w:r/>
      <w:r>
        <w:rPr>
          <w:b/>
        </w:rPr>
        <w:t>Prévention et Gestion des Effets Indésirables :</w:t>
      </w:r>
      <w:r/>
    </w:p>
    <w:p>
      <w:pPr>
        <w:pStyle w:val="ListBullet"/>
      </w:pPr>
      <w:r>
        <w:t>Mesures préventives : Respect de la posologie recommandée et de la durée du traitement ; information claire du patient sur le risque de sécheresse nasale et d'épistaxis ; conseil d'éviter la projection oculaire accidentelle (utilisation d'un masque nasal adapté pour la nébulisation) ; vérification systématique des contre-indications (glaucome à angle fermé, hypertrophie prostatique sévère, hypersensibilité à l'atropine) au comptoir ; conseil d'associer un lavage nasal au sérum physiologique pour limiter la sécheresse nasale et l'irritation ; prudence particulière chez le sujet âgé (risque de rétention urinaire, de troubles de l'accommodation) et chez la femme enceinte (données limitées mais rassurantes).</w:t>
      </w:r>
    </w:p>
    <w:p>
      <w:pPr>
        <w:pStyle w:val="ListBullet"/>
      </w:pPr>
      <w:r>
        <w:t>Conduite à tenir en cas de sécheresse nasale modérée : poursuite du traitement en associant un lavage nasal au sérum physiologique 3 à 4 fois par jour et une application locale de gel nasal hydratant ; surveillance clinique à 2 semaines.</w:t>
      </w:r>
    </w:p>
    <w:p>
      <w:pPr>
        <w:pStyle w:val="ListBullet"/>
      </w:pPr>
      <w:r>
        <w:t>Conduite à tenir en cas d'épistaxis : arrêt temporaire de l'ipratropium ; compression des ailes du nez pendant 10 minutes ; consultation ORL si épistaxis abondant ou persistant ; reprise éventuelle à dose réduite après avis médical.</w:t>
      </w:r>
    </w:p>
    <w:p>
      <w:pPr>
        <w:pStyle w:val="ListBullet"/>
      </w:pPr>
      <w:r>
        <w:t>Conduite à tenir en cas de projection oculaire accidentelle : lavage abondant à l'eau ou au sérum physiologique pendant 5 minutes ; surveillance ophtalmologique en cas de vision trouble ou de douleur oculaire (risque de crise aiguë de glaucome).</w:t>
      </w:r>
    </w:p>
    <w:p>
      <w:pPr>
        <w:pStyle w:val="ListBullet"/>
      </w:pPr>
      <w:r>
        <w:t>Conduite à tenir en cas de rétention urinaire (sujet âgé avec hypertrophie prostatique) : arrêt immédiat de l'ipratropium ; consultation urologique urgente si globe vésical.</w:t>
      </w:r>
    </w:p>
    <w:p>
      <w:pPr>
        <w:pStyle w:val="ListBullet"/>
      </w:pPr>
      <w:r>
        <w:t>Conduite à tenir en cas de bronchospasme paradoxal (usage bronchique nébulisé) : arrêt immédiat de l'ipratropium ; administration d'un β2-mimétique de courte durée d'action (salbutamol) ; consultation médicale urgente.</w:t>
      </w:r>
    </w:p>
    <w:p>
      <w:r/>
      <w:r>
        <w:rPr>
          <w:b/>
        </w:rPr>
        <w:t>Interactions Importantes :</w:t>
      </w:r>
      <w:r/>
    </w:p>
    <w:p>
      <w:pPr>
        <w:pStyle w:val="ListBullet"/>
      </w:pPr>
      <w:r>
        <w:t>Autres anticholinergiques (atropine, scopolamine, tiotropium, oxitropium, tropicamide, ipratropium, butylscopolamine, pirenzépine) : majoration des effets anticholinergiques (sécheresse buccale, constipation, rétention urinaire, troubles de l'accommodation, tachycardie, mydriase). Surveillance clinique en cas d'association, en particulier chez le sujet âgé.</w:t>
      </w:r>
    </w:p>
    <w:p>
      <w:pPr>
        <w:pStyle w:val="ListBullet"/>
      </w:pPr>
      <w:r>
        <w:t>Médicaments atropiniques (antidépresseurs tricycliques, antiparkinsoniens anticholinergiques, neuroleptiques phénothiaziniques, antihistaminiques H1 de première génération) : majoration des effets anticholinergiques (sécheresse buccale, constipation, rétention urinaire, troubles de l'accommodation, confusion chez le sujet âgé). Surveillance clinique en cas d'association, en particulier chez le sujet âgé.</w:t>
      </w:r>
    </w:p>
    <w:p>
      <w:pPr>
        <w:pStyle w:val="ListBullet"/>
      </w:pPr>
      <w:r>
        <w:t>Bêta-2 mimétiques (salbutamol, terbutaline, formotérol, salméterol) : effet synergique sur la bronchodilatation (en cas d'usage bronchique nébulisé). Association largement utilisée dans la BPCO et l'asthme (Combivent®, Duovent®).</w:t>
      </w:r>
    </w:p>
    <w:p>
      <w:pPr>
        <w:pStyle w:val="ListBullet"/>
      </w:pPr>
      <w:r>
        <w:t>Théophylline et dérivés : majoration du risque de troubles du rythme cardiaque et d'hypokaliémie (en cas d'usage bronchique nébulisé).</w:t>
      </w:r>
    </w:p>
    <w:p>
      <w:pPr>
        <w:pStyle w:val="ListBullet"/>
      </w:pPr>
      <w:r>
        <w:t>Corticoïdes inhalés : pas d'interaction pharmacologique spécifique, association largement utilisée dans la BPCO et l'asthme.</w:t>
      </w:r>
    </w:p>
    <w:p>
      <w:pPr>
        <w:pStyle w:val="ListBullet"/>
      </w:pPr>
      <w:r>
        <w:t>IMAO : pas d'interaction pharmacologique directe (l'ipratropium n'est pas métabolisé par la monoamine oxydase), mais prudence en cas d'usage concomitant en raison de la majoration potentielle des effets anticholinergiques.</w:t>
      </w:r>
    </w:p>
    <w:p>
      <w:pPr>
        <w:pStyle w:val="ListBullet"/>
      </w:pPr>
      <w:r>
        <w:t>Anesthésiques volatils halogénés : majoration du risque d'arythmies ventriculaires par sensibilisation myocardique (en cas d'usage bronchique nébulisé en période péri-opératoire).</w:t>
      </w:r>
    </w:p>
    <w:p>
      <w:pPr>
        <w:pStyle w:val="ListBullet"/>
      </w:pPr>
      <w:r>
        <w:t>Cyclines, sulfamides : pas d'interaction pharmacologique directe, mais prudence en cas d'usage bronchique nébulisé en raison de la majoration potentielle des effets anticholinergiques systémiques (rapport cas-témoin discuté).</w:t>
      </w:r>
    </w:p>
    <w:p>
      <w:r/>
      <w:r>
        <w:rPr>
          <w:b/>
        </w:rPr>
        <w:t>Grossesse et Allaitement :</w:t>
      </w:r>
      <w:r/>
    </w:p>
    <w:p>
      <w:pPr>
        <w:pStyle w:val="ListBullet"/>
      </w:pPr>
      <w:r>
        <w:t xml:space="preserve">Grossesse : L'ipratropium bromure par voie nasale ou inhalée est </w:t>
      </w:r>
      <w:r>
        <w:rPr>
          <w:b/>
        </w:rPr>
        <w:t>compatible avec la grossesse</w:t>
      </w:r>
      <w:r>
        <w:t xml:space="preserve"> aux posologies recommandées, selon le CRAT et l'ANSM, quel que soit le trimestre. Le passage systémique est très faible (inférieur à 5 %) en raison de la quaternisation de l'azote, et les données d'observation n'ont pas montré d'augmentation du risque de malformations, d'avortements spontanés ou de complications obstétricales. L'ipratropium est donc un anticholinergique de choix chez la femme enceinte présentant une rhinorrhée persistante (rhinite vasomotrice, rhinite gravidique, rhinite allergique). Prudence particulière en cas de glaucome à angle fermé maternel (contre-indication), d'hypertrophie prostatique (non pertinent en obstétrique) et de mucoviscidose (non pertinent en pratique ORL).</w:t>
      </w:r>
    </w:p>
    <w:p>
      <w:pPr>
        <w:pStyle w:val="ListBullet"/>
      </w:pPr>
      <w:r>
        <w:t>Allaitement : Compatible avec l'allaitement aux posologies recommandées. Le passage dans le lait maternel est théorique et n'a pas été documenté comme significatif (en raison de la très faible biodisponibilité systémique et de la quaternisation de l'azote qui limite le passage transépithélial). Surveillance de l'enfant allaité en cas d'usage prolongé ou à forte dose (recherche d'une sécheresse buccale, d'une constipation, d'une tachycardie, d'une irritabilité).</w:t>
      </w:r>
    </w:p>
    <w:p>
      <w:pPr>
        <w:pStyle w:val="ListBullet"/>
      </w:pPr>
      <w:r>
        <w:t>Précautions : Éviter l'usage prolongé à forte dose sans surveillance médicale. En cas de rhinite gravidique (rhinite de la grossesse, présente chez 20 à 30 % des femmes enceintes au 3e trimestre), préférer en première intention le lavage nasal au sérum physiologique et les corticoïdes nasaux (fluticasone, mométasone), et réserver l'ipratropium à un usage de deuxième intention en cas de rhinorrhée prédominante résistante aux autres traitements.</w:t>
      </w:r>
    </w:p>
    <w:p>
      <w:r/>
      <w:r>
        <w:rPr>
          <w:b/>
        </w:rPr>
        <w:t>Posologie et Mode d'administration (Standard) :</w:t>
      </w:r>
      <w:r/>
    </w:p>
    <w:p>
      <w:pPr>
        <w:pStyle w:val="ListBullet"/>
      </w:pPr>
      <w:r>
        <w:t>Solution pour nébulisation ATROVENT (usage nasal en pratique ORL, hors AMM stricte pour la voie nasale) :</w:t>
      </w:r>
    </w:p>
    <w:p>
      <w:pPr>
        <w:pStyle w:val="ListBullet"/>
      </w:pPr>
      <w:r>
        <w:t>Adulte et enfant de plus de 12 ans : 1 récipient unidose de 0,50 mg/2 mL (ATROVENT ADUL.), dilué dans 2 à 3 mL de sérum physiologique, administré par nébulisation nasale (masque nasal adapté) 2 à 3 fois par jour, pendant une durée maximale de 4 à 8 semaines selon l'indication et la réponse clinique.</w:t>
      </w:r>
    </w:p>
    <w:p>
      <w:pPr>
        <w:pStyle w:val="ListBullet"/>
      </w:pPr>
      <w:r>
        <w:t>Enfant de 6 à 12 ans : 1 récipient unidose de 0,25 mg/2 mL (ATROVENT ENF.), dilué dans 2 à 3 mL de sérum physiologique, administré par nébulisation nasale (masque nasal adapté) 2 à 3 fois par jour, pendant une durée maximale de 4 à 8 semaines.</w:t>
      </w:r>
    </w:p>
    <w:p>
      <w:pPr>
        <w:pStyle w:val="ListBullet"/>
      </w:pPr>
      <w:r>
        <w:t>Enfant de moins de 6 ans : usage déconseillé par voie nasale en raison de l'absence d'études spécifiques et du risque de sécheresse nasale et d'irritation.</w:t>
      </w:r>
    </w:p>
    <w:p>
      <w:pPr>
        <w:pStyle w:val="ListBullet"/>
      </w:pPr>
      <w:r>
        <w:t>Posologie maximale : 0,50 mg par nébulisation (1 récipient unidose adulte) ou 0,25 mg par nébulisation (1 récipient unidose enfant), 3 fois par jour, à ne pas dépasser.</w:t>
      </w:r>
    </w:p>
    <w:p>
      <w:pPr>
        <w:pStyle w:val="ListBullet"/>
      </w:pPr>
      <w:r>
        <w:t>Mode d'administration (nébulisation nasale) : préparer le nébuliseur (nettoyé et désinfecté) ; verser le contenu d'un récipient unidose d'ipratropium (ATROVENT ADUL. ou ATROVENT ENF.) dans la cuve du nébuliseur ; ajouter 2 à 3 mL de sérum physiologique pour adapter le volume au nébuliseur ; installer le masque nasal sur le patient (ou l'embout nasal) ; faire nébuliser pendant 10 à 15 minutes jusqu'à épuisement de la solution ; demander au patient de respirer calmement par le nez (et accessoirement par la bouche) ; nettoyer le masque et la cuve après usage avec de l'eau et désinfecter (trempage 15 minutes dans une solution d'hypochlorite de sodium diluée, rinçage abondant, séchage à l'air libre) ; conservation du nébuliseur dans un endroit propre et sec.</w:t>
      </w:r>
    </w:p>
    <w:p>
      <w:pPr>
        <w:pStyle w:val="ListBullet"/>
      </w:pPr>
      <w:r>
        <w:t>Sujet âgé : pas d'adaptation posologique stricte, mais surveillance de la tolérance (rétention urinaire, troubles de l'accommodation, sécheresse buccale).</w:t>
      </w:r>
    </w:p>
    <w:p>
      <w:pPr>
        <w:pStyle w:val="ListBullet"/>
      </w:pPr>
      <w:r>
        <w:t>Insuffisant rénal ou hépatique : pas d'adaptation posologique stricte en raison de la très faible biodisponibilité systémique et de la cinétique d'élimination (métabolisme par estérases plasmatiques et hépatiques, excrétion rénale et fécale des métabolites).</w:t>
      </w:r>
    </w:p>
    <w:p>
      <w:pPr>
        <w:pStyle w:val="ListBullet"/>
      </w:pPr>
      <w:r>
        <w:t>Durée de traitement : adaptée à l'indication et à la réponse clinique ; en général 4 à 8 semaines en continu pour la rhinite vasomotrice, à réévaluer régulièrement par le médecin ORL ; traitement d'entretien possible à dose réduite en cas de réponse favorable.</w:t>
      </w:r>
    </w:p>
    <w:p>
      <w:r/>
      <w:r>
        <w:rPr>
          <w:b/>
        </w:rPr>
        <w:t>Arbitrage et Bénéfices des Formes Galéniques :</w:t>
      </w:r>
      <w:r/>
    </w:p>
    <w:p>
      <w:r>
        <w:t>La seule forme disponible en Algérie pour l'ipratropium par voie nasale est la solution pour nébulisation (ATROVENT ENF. 0,25 mg/2 mL et ATROVENT ADUL. 0,50 mg/2 mL). Cette forme galénique impose l'utilisation d'un nébuliseur avec masque nasal adapté, qui délivre une nébulisation de gouttelettes fines (1 à 5 µm) permettant le dépôt sur la muqueuse nasale. Le principal avantage de la nébulisation par rapport à un spray nasal est la diffusion homogène sur toute la surface de la muqueuse nasale (y compris les zones postérieures et les méats), ce qui est particulièrement utile en cas de rhinite vasomotrice diffuse. Les inconvénients sont la nécessité d'un appareillage (nébuliseur, masque, compresseur), la durée d'administration (10 à 15 minutes par séance), le risque de contamination microbienne en cas de défaut d'hygiène du nébuliseur, et le coût (nébuliseur à acheter ou à louer, récipients unidoses à renouveler). Aucune forme stricte de spray nasal (type Atrovent nasal 0,03 % ou 0,06 %, disponible dans d'autres pays) n'est disponible en Algérie dans la nomenclature de 2026, ce qui limite l'usage strictement ORL de l'ipratropium et impose une adaptation de la prescription (usage de la forme nébulisée par voie nasale, hors AMM stricte mais de pratique courante en ORL). Le pharmacien d'officine doit être informé de cette particularité et orienter les patients vers le médecin ORL pour adaptation posologique. Le conditionnement en récipients unidoses de 2 mL, en boîte de 10, correspond à 10 jours de traitement à la posologie standard d'une nébulisation par jour, ce qui impose le renouvellement de la prescription pour un traitement prolongé.</w:t>
      </w:r>
    </w:p>
    <w:p>
      <w:r/>
      <w:r>
        <w:rPr>
          <w:b/>
        </w:rPr>
        <w:t>Instructions et Conseils au Patient :</w:t>
      </w:r>
      <w:r/>
    </w:p>
    <w:p>
      <w:pPr>
        <w:pStyle w:val="ListBullet"/>
      </w:pPr>
      <w:r>
        <w:t>Communication au comptoir : Rappeler que l'ipratropium est un anticholinergique qui réduit la production de sécrétions nasales (rhinorrhée) sans effet sur la congestion. Insister sur la nécessité d'utiliser un nébuliseur avec masque nasal adapté. Vérifier les contre-indications (glaucome à angle fermé, hypertrophie prostatique sévère, hypersensibilité à l'atropine) au moment de la délivrance.</w:t>
      </w:r>
    </w:p>
    <w:p>
      <w:pPr>
        <w:pStyle w:val="ListBullet"/>
      </w:pPr>
      <w:r>
        <w:t>Mode d'utilisation pratique : Préparer le nébuliseur (nettoyé et désinfecté). Verser le contenu d'un récipient unidose d'ipratropium dans la cuve du nébuliseur. Ajouter 2 à 3 mL de sérum physiologique pour adapter le volume. Installer le masque nasal sur le patient. Faire nébuliser pendant 10 à 15 minutes. Respirer calmement par le nez (et accessoirement par la bouche). Nettoyer le masque et la cuve après usage avec de l'eau et désinfecter (trempage 15 minutes dans une solution d'hypochlorite de sodium diluée, rinçage abondant, séchage à l'air libre). Conserver le nébuliseur dans un endroit propre et sec.</w:t>
      </w:r>
    </w:p>
    <w:p>
      <w:pPr>
        <w:pStyle w:val="ListBullet"/>
      </w:pPr>
      <w:r>
        <w:t>Information sur les signes d'alerte : sécheresse nasale excessive, épistaxis abondant, vision trouble, douleur oculaire (suspicion de crise aiguë de glaucome), rétention urinaire (sujet âgé), bronchospasme (usage bronchique nébulisé) → arrêt et consultation médicale.</w:t>
      </w:r>
    </w:p>
    <w:p>
      <w:pPr>
        <w:pStyle w:val="ListBullet"/>
      </w:pPr>
      <w:r>
        <w:t>Information sur la conservation : conserver les récipients unidoses à température ≤ 25 °C, à l'abri de la lumière. Ne pas congeler. Jeter un récipient unidose entamé (ne pas conserver pour une utilisation ultérieure). Ne pas utiliser au-delà de la date de péremption.</w:t>
      </w:r>
    </w:p>
    <w:p>
      <w:pPr>
        <w:pStyle w:val="ListBullet"/>
      </w:pPr>
      <w:r>
        <w:t>Information sur l'usage chez la femme enceinte : compatible selon le CRAT, en première intention pour la rhinorrhée persistante résistante aux autres traitements.</w:t>
      </w:r>
    </w:p>
    <w:p>
      <w:pPr>
        <w:pStyle w:val="ListBullet"/>
      </w:pPr>
      <w:r>
        <w:t>Information sur l'usage chez l'enfant : déconseillé chez l'enfant de moins de 6 ans par voie nasale en raison de l'absence d'études spécifiques.</w:t>
      </w:r>
    </w:p>
    <w:p>
      <w:pPr>
        <w:pStyle w:val="ListBullet"/>
      </w:pPr>
      <w:r>
        <w:t>Information sur l'hygiène du nébuliseur : le nébuliseur doit être nettoyé et désinfecté après chaque usage pour éviter la contamination microbienne (en particulier à Pseudomonas aeruginosa, Staphylococcus aureus, Aspergillus). Le nébuliseur doit être remplacé tous les 6 à 12 mois en fonction des recommandations du fabricant.</w:t>
      </w:r>
    </w:p>
    <w:p>
      <w:r/>
      <w:r>
        <w:rPr>
          <w:b/>
        </w:rPr>
        <w:t>Notes, Règles d'Or &amp; Pièges au Comptoir :</w:t>
      </w:r>
      <w:r/>
    </w:p>
    <w:p>
      <w:pPr>
        <w:pStyle w:val="ListBullet"/>
      </w:pPr>
      <w:r>
        <w:t>Piège classique n°1 : Patient présentant un glaucome à angle fermé non diagnostiqué et utilisant de l'ipratropium par voie nasale → risque théorique de déclenchement d'une crise aiguë de glaucome (par passage par les voies lacrymales) ; orientation ophtalmologique urgente en cas de douleur oculaire ou de vision trouble.</w:t>
      </w:r>
    </w:p>
    <w:p>
      <w:pPr>
        <w:pStyle w:val="ListBullet"/>
      </w:pPr>
      <w:r>
        <w:t>Piège classique n°2 : Patient âgé présentant une hypertrophie prostatique et utilisant de l'ipratropium par voie nasale → risque théorique de rétention urinaire (par passage systémique) ; surveillance de la miction et arrêt en cas de globe vésical.</w:t>
      </w:r>
    </w:p>
    <w:p>
      <w:pPr>
        <w:pStyle w:val="ListBullet"/>
      </w:pPr>
      <w:r>
        <w:t>Piège classique n°3 : Patient présentant une allergie à l'atropine ou à ses dérivés (scopolamine, butylscopolamine) et souhaitant utiliser de l'ipratropium → refus de la délivrance en raison du risque d'allergie croisée ; orientation vers le médecin pour alternative (corticoïde nasal, antihistaminique oral).</w:t>
      </w:r>
    </w:p>
    <w:p>
      <w:pPr>
        <w:pStyle w:val="ListBullet"/>
      </w:pPr>
      <w:r>
        <w:t>Piège classique n°4 : Patient utilisant un nébuliseur non nettoyé ou non désinfecté pour l'administration d'ipratropium → information sur l'importance de l'hygiène (nettoyage et désinfection après chaque usage) pour éviter la contamination microbienne.</w:t>
      </w:r>
    </w:p>
    <w:p>
      <w:pPr>
        <w:pStyle w:val="ListBullet"/>
      </w:pPr>
      <w:r>
        <w:t>Piège classique n°5 : Patient souhaitant utiliser l'ipratropium en première intention pour une rhinite aiguë virale (rhume banal) → information sur l'absence d'indication en première intention (la rhinorrhée est spontanément résolutive en quelques jours) ; orientation vers le lavage nasal au sérum physiologique et éventuellement un vasoconstricteur nasal court en cas de congestion associée.</w:t>
      </w:r>
    </w:p>
    <w:p>
      <w:pPr>
        <w:pStyle w:val="ListBullet"/>
      </w:pPr>
      <w:r>
        <w:t>Piège classique n°6 : Patient présentant une rhinite vasomotrice avec congestion nasale prédominante (et non rhinorrhée) → information sur l'absence d'effet de l'ipratropium sur la congestion ; orientation vers un corticoïde nasal (fluticasone, mométasone) en première intention.</w:t>
      </w:r>
    </w:p>
    <w:p>
      <w:pPr>
        <w:pStyle w:val="ListBullet"/>
      </w:pPr>
      <w:r>
        <w:t>Règle d'or : « Ipratropium nasal = anticholinergique, cible la rhinorrhée (pas la congestion), compatible grossesse et allaitement, prudence en cas de glaucome et d'hypertrophie prostatique, usage nébulisé en pratique ORL courante. »</w:t>
      </w:r>
    </w:p>
    <w:p>
      <w:pPr>
        <w:pStyle w:val="ListBullet"/>
      </w:pPr>
      <w:r>
        <w:t>Préparation et Conservation : Récipients unidoses fermés, à température ≤ 25 °C, à l'abri de la lumière. Ne pas congeler. Jeter un récipient unidose entamé. Stockage en milieu domestique avec traçabilité des délivrances (Liste I, sur ordonnance). Nébuliseur à nettoyer et désinfecter après chaque usage.</w:t>
      </w:r>
    </w:p>
    <w:p>
      <w:pPr>
        <w:pStyle w:val="ListBullet"/>
      </w:pPr>
      <w:r>
        <w:t>Piège du diagnostic différentiel : Une rhinorrhée unilatérale persistante doit faire suspecter une cause tumorale (méningiocèle, tumeur naso-sinusienne), une liquorrhée cérébrospinale (post-traumatique, post-chirurgicale) ou un corps étranger (chez l'enfant) → orientation vers l'ORL pour bilan endoscopique et éventuellement IRM.</w:t>
      </w:r>
    </w:p>
    <w:p>
      <w:pPr>
        <w:pStyle w:val="ListBullet"/>
      </w:pPr>
      <w:r>
        <w:t>Piège de l'association aux autres traitements ORL : l'ipratropium peut être associé à un corticoïde nasal (fluticasone, mométasone) en cas de rhinite chronique avec congestion et rhinorrhée, sans interaction pharmacologique notable. L'espacement des administrations de 30 minutes est néanmoins conseillé pour éviter le lavage du premier traitement par le second.</w:t>
      </w:r>
    </w:p>
    <w:p>
      <w:pPr>
        <w:pStyle w:val="Heading2"/>
      </w:pPr>
      <w:r>
        <w:t>132.5 Tableau comparatif des vasoconstricteurs et anticholinergiques nasaux disponibles en Algérie</w:t>
      </w:r>
    </w:p>
    <w:tbl>
      <w:tblPr>
        <w:tblStyle w:val="LightGrid-Accent1"/>
        <w:tblW w:type="auto" w:w="0"/>
        <w:tblLook w:firstColumn="1" w:firstRow="1" w:lastColumn="0" w:lastRow="0" w:noHBand="0" w:noVBand="1" w:val="04A0"/>
      </w:tblPr>
      <w:tblGrid>
        <w:gridCol w:w="1039"/>
        <w:gridCol w:w="1039"/>
        <w:gridCol w:w="1039"/>
        <w:gridCol w:w="1039"/>
        <w:gridCol w:w="1039"/>
        <w:gridCol w:w="1039"/>
        <w:gridCol w:w="1039"/>
        <w:gridCol w:w="1039"/>
        <w:gridCol w:w="1039"/>
      </w:tblGrid>
      <w:tr>
        <w:tc>
          <w:tcPr>
            <w:tcW w:type="dxa" w:w="1039"/>
          </w:tcPr>
          <w:p>
            <w:r>
              <w:rPr>
                <w:b/>
                <w:sz w:val="20"/>
              </w:rPr>
              <w:t>DCI</w:t>
            </w:r>
          </w:p>
        </w:tc>
        <w:tc>
          <w:tcPr>
            <w:tcW w:type="dxa" w:w="1039"/>
          </w:tcPr>
          <w:p>
            <w:r>
              <w:rPr>
                <w:b/>
                <w:sz w:val="20"/>
              </w:rPr>
              <w:t>Sous-classe</w:t>
            </w:r>
          </w:p>
        </w:tc>
        <w:tc>
          <w:tcPr>
            <w:tcW w:type="dxa" w:w="1039"/>
          </w:tcPr>
          <w:p>
            <w:r>
              <w:rPr>
                <w:b/>
                <w:sz w:val="20"/>
              </w:rPr>
              <w:t>Mécanisme d'action</w:t>
            </w:r>
          </w:p>
        </w:tc>
        <w:tc>
          <w:tcPr>
            <w:tcW w:type="dxa" w:w="1039"/>
          </w:tcPr>
          <w:p>
            <w:r>
              <w:rPr>
                <w:b/>
                <w:sz w:val="20"/>
              </w:rPr>
              <w:t>Délai d'action (voie nasale)</w:t>
            </w:r>
          </w:p>
        </w:tc>
        <w:tc>
          <w:tcPr>
            <w:tcW w:type="dxa" w:w="1039"/>
          </w:tcPr>
          <w:p>
            <w:r>
              <w:rPr>
                <w:b/>
                <w:sz w:val="20"/>
              </w:rPr>
              <w:t>Durée d'action</w:t>
            </w:r>
          </w:p>
        </w:tc>
        <w:tc>
          <w:tcPr>
            <w:tcW w:type="dxa" w:w="1039"/>
          </w:tcPr>
          <w:p>
            <w:r>
              <w:rPr>
                <w:b/>
                <w:sz w:val="20"/>
              </w:rPr>
              <w:t>Demi-vie systémique</w:t>
            </w:r>
          </w:p>
        </w:tc>
        <w:tc>
          <w:tcPr>
            <w:tcW w:type="dxa" w:w="1039"/>
          </w:tcPr>
          <w:p>
            <w:r>
              <w:rPr>
                <w:b/>
                <w:sz w:val="20"/>
              </w:rPr>
              <w:t>Biodisponibilité systémique</w:t>
            </w:r>
          </w:p>
        </w:tc>
        <w:tc>
          <w:tcPr>
            <w:tcW w:type="dxa" w:w="1039"/>
          </w:tcPr>
          <w:p>
            <w:r>
              <w:rPr>
                <w:b/>
                <w:sz w:val="20"/>
              </w:rPr>
              <w:t>Spécialités actives principales</w:t>
            </w:r>
          </w:p>
        </w:tc>
        <w:tc>
          <w:tcPr>
            <w:tcW w:type="dxa" w:w="1039"/>
          </w:tcPr>
          <w:p>
            <w:r>
              <w:rPr>
                <w:b/>
                <w:sz w:val="20"/>
              </w:rPr>
              <w:t>Spécialité historique retirée/non renouvelable</w:t>
            </w:r>
          </w:p>
        </w:tc>
      </w:tr>
      <w:tr>
        <w:tc>
          <w:tcPr>
            <w:tcW w:type="dxa" w:w="1039"/>
          </w:tcPr>
          <w:p>
            <w:r>
              <w:rPr>
                <w:sz w:val="20"/>
              </w:rPr>
              <w:t>Oxymétazoline</w:t>
            </w:r>
          </w:p>
        </w:tc>
        <w:tc>
          <w:tcPr>
            <w:tcW w:type="dxa" w:w="1039"/>
          </w:tcPr>
          <w:p>
            <w:r>
              <w:rPr>
                <w:sz w:val="20"/>
              </w:rPr>
              <w:t>Imidazoline</w:t>
            </w:r>
          </w:p>
        </w:tc>
        <w:tc>
          <w:tcPr>
            <w:tcW w:type="dxa" w:w="1039"/>
          </w:tcPr>
          <w:p>
            <w:r>
              <w:rPr>
                <w:sz w:val="20"/>
              </w:rPr>
              <w:t>Agoniste α1 (prédominant) et α2 (accessoire)</w:t>
            </w:r>
          </w:p>
        </w:tc>
        <w:tc>
          <w:tcPr>
            <w:tcW w:type="dxa" w:w="1039"/>
          </w:tcPr>
          <w:p>
            <w:r>
              <w:rPr>
                <w:sz w:val="20"/>
              </w:rPr>
              <w:t>5–10 min</w:t>
            </w:r>
          </w:p>
        </w:tc>
        <w:tc>
          <w:tcPr>
            <w:tcW w:type="dxa" w:w="1039"/>
          </w:tcPr>
          <w:p>
            <w:r>
              <w:rPr>
                <w:sz w:val="20"/>
              </w:rPr>
              <w:t>10–12 h</w:t>
            </w:r>
          </w:p>
        </w:tc>
        <w:tc>
          <w:tcPr>
            <w:tcW w:type="dxa" w:w="1039"/>
          </w:tcPr>
          <w:p>
            <w:r>
              <w:rPr>
                <w:sz w:val="20"/>
              </w:rPr>
              <w:t>5–6 h</w:t>
            </w:r>
          </w:p>
        </w:tc>
        <w:tc>
          <w:tcPr>
            <w:tcW w:type="dxa" w:w="1039"/>
          </w:tcPr>
          <w:p>
            <w:r>
              <w:rPr>
                <w:sz w:val="20"/>
              </w:rPr>
              <w:t>30–50 %</w:t>
            </w:r>
          </w:p>
        </w:tc>
        <w:tc>
          <w:tcPr>
            <w:tcW w:type="dxa" w:w="1039"/>
          </w:tcPr>
          <w:p>
            <w:r>
              <w:rPr>
                <w:sz w:val="20"/>
              </w:rPr>
              <w:t>RESPIBIEN (Cinfa), RESPINHAL (Biogalenic)</w:t>
            </w:r>
          </w:p>
        </w:tc>
        <w:tc>
          <w:tcPr>
            <w:tcW w:type="dxa" w:w="1039"/>
          </w:tcPr>
          <w:p>
            <w:r>
              <w:rPr>
                <w:sz w:val="20"/>
              </w:rPr>
              <w:t>RINERGE (Atral)</w:t>
            </w:r>
          </w:p>
        </w:tc>
      </w:tr>
      <w:tr>
        <w:tc>
          <w:tcPr>
            <w:tcW w:type="dxa" w:w="1039"/>
          </w:tcPr>
          <w:p>
            <w:r>
              <w:rPr>
                <w:sz w:val="20"/>
              </w:rPr>
              <w:t>Naphazoline</w:t>
            </w:r>
          </w:p>
        </w:tc>
        <w:tc>
          <w:tcPr>
            <w:tcW w:type="dxa" w:w="1039"/>
          </w:tcPr>
          <w:p>
            <w:r>
              <w:rPr>
                <w:sz w:val="20"/>
              </w:rPr>
              <w:t>Imidazoline</w:t>
            </w:r>
          </w:p>
        </w:tc>
        <w:tc>
          <w:tcPr>
            <w:tcW w:type="dxa" w:w="1039"/>
          </w:tcPr>
          <w:p>
            <w:r>
              <w:rPr>
                <w:sz w:val="20"/>
              </w:rPr>
              <w:t>Agoniste α1 et α2 (centrale)</w:t>
            </w:r>
          </w:p>
        </w:tc>
        <w:tc>
          <w:tcPr>
            <w:tcW w:type="dxa" w:w="1039"/>
          </w:tcPr>
          <w:p>
            <w:r>
              <w:rPr>
                <w:sz w:val="20"/>
              </w:rPr>
              <w:t>5–10 min</w:t>
            </w:r>
          </w:p>
        </w:tc>
        <w:tc>
          <w:tcPr>
            <w:tcW w:type="dxa" w:w="1039"/>
          </w:tcPr>
          <w:p>
            <w:r>
              <w:rPr>
                <w:sz w:val="20"/>
              </w:rPr>
              <w:t>4–8 h</w:t>
            </w:r>
          </w:p>
        </w:tc>
        <w:tc>
          <w:tcPr>
            <w:tcW w:type="dxa" w:w="1039"/>
          </w:tcPr>
          <w:p>
            <w:r>
              <w:rPr>
                <w:sz w:val="20"/>
              </w:rPr>
              <w:t>2–4 h</w:t>
            </w:r>
          </w:p>
        </w:tc>
        <w:tc>
          <w:tcPr>
            <w:tcW w:type="dxa" w:w="1039"/>
          </w:tcPr>
          <w:p>
            <w:r>
              <w:rPr>
                <w:sz w:val="20"/>
              </w:rPr>
              <w:t>40–60 %</w:t>
            </w:r>
          </w:p>
        </w:tc>
        <w:tc>
          <w:tcPr>
            <w:tcW w:type="dxa" w:w="1039"/>
          </w:tcPr>
          <w:p>
            <w:r>
              <w:rPr>
                <w:sz w:val="20"/>
              </w:rPr>
              <w:t>OPHTAZOLIN (naphazoline + antazoline, Joras)</w:t>
            </w:r>
          </w:p>
        </w:tc>
        <w:tc>
          <w:tcPr>
            <w:tcW w:type="dxa" w:w="1039"/>
          </w:tcPr>
          <w:p>
            <w:r>
              <w:rPr>
                <w:sz w:val="20"/>
              </w:rPr>
              <w:t>—</w:t>
            </w:r>
          </w:p>
        </w:tc>
      </w:tr>
      <w:tr>
        <w:tc>
          <w:tcPr>
            <w:tcW w:type="dxa" w:w="1039"/>
          </w:tcPr>
          <w:p>
            <w:r>
              <w:rPr>
                <w:sz w:val="20"/>
              </w:rPr>
              <w:t>Tuaminoheptane</w:t>
            </w:r>
          </w:p>
        </w:tc>
        <w:tc>
          <w:tcPr>
            <w:tcW w:type="dxa" w:w="1039"/>
          </w:tcPr>
          <w:p>
            <w:r>
              <w:rPr>
                <w:sz w:val="20"/>
              </w:rPr>
              <w:t>Imidazoline (sympathomimétique aliphatique)</w:t>
            </w:r>
          </w:p>
        </w:tc>
        <w:tc>
          <w:tcPr>
            <w:tcW w:type="dxa" w:w="1039"/>
          </w:tcPr>
          <w:p>
            <w:r>
              <w:rPr>
                <w:sz w:val="20"/>
              </w:rPr>
              <w:t>Agoniste α1</w:t>
            </w:r>
          </w:p>
        </w:tc>
        <w:tc>
          <w:tcPr>
            <w:tcW w:type="dxa" w:w="1039"/>
          </w:tcPr>
          <w:p>
            <w:r>
              <w:rPr>
                <w:sz w:val="20"/>
              </w:rPr>
              <w:t>5–10 min</w:t>
            </w:r>
          </w:p>
        </w:tc>
        <w:tc>
          <w:tcPr>
            <w:tcW w:type="dxa" w:w="1039"/>
          </w:tcPr>
          <w:p>
            <w:r>
              <w:rPr>
                <w:sz w:val="20"/>
              </w:rPr>
              <w:t>4–6 h</w:t>
            </w:r>
          </w:p>
        </w:tc>
        <w:tc>
          <w:tcPr>
            <w:tcW w:type="dxa" w:w="1039"/>
          </w:tcPr>
          <w:p>
            <w:r>
              <w:rPr>
                <w:sz w:val="20"/>
              </w:rPr>
              <w:t>2–3 h</w:t>
            </w:r>
          </w:p>
        </w:tc>
        <w:tc>
          <w:tcPr>
            <w:tcW w:type="dxa" w:w="1039"/>
          </w:tcPr>
          <w:p>
            <w:r>
              <w:rPr>
                <w:sz w:val="20"/>
              </w:rPr>
              <w:t>30–40 %</w:t>
            </w:r>
          </w:p>
        </w:tc>
        <w:tc>
          <w:tcPr>
            <w:tcW w:type="dxa" w:w="1039"/>
          </w:tcPr>
          <w:p>
            <w:r>
              <w:rPr>
                <w:sz w:val="20"/>
              </w:rPr>
              <w:t>RHINOFLUIMUCIL (tuaminoheptane + acétylcystéine, Zambon)</w:t>
            </w:r>
          </w:p>
        </w:tc>
        <w:tc>
          <w:tcPr>
            <w:tcW w:type="dxa" w:w="1039"/>
          </w:tcPr>
          <w:p>
            <w:r>
              <w:rPr>
                <w:sz w:val="20"/>
              </w:rPr>
              <w:t>—</w:t>
            </w:r>
          </w:p>
        </w:tc>
      </w:tr>
      <w:tr>
        <w:tc>
          <w:tcPr>
            <w:tcW w:type="dxa" w:w="1039"/>
          </w:tcPr>
          <w:p>
            <w:r>
              <w:rPr>
                <w:sz w:val="20"/>
              </w:rPr>
              <w:t>Phényléphrine</w:t>
            </w:r>
          </w:p>
        </w:tc>
        <w:tc>
          <w:tcPr>
            <w:tcW w:type="dxa" w:w="1039"/>
          </w:tcPr>
          <w:p>
            <w:r>
              <w:rPr>
                <w:sz w:val="20"/>
              </w:rPr>
              <w:t>Sympathomimétique</w:t>
            </w:r>
          </w:p>
        </w:tc>
        <w:tc>
          <w:tcPr>
            <w:tcW w:type="dxa" w:w="1039"/>
          </w:tcPr>
          <w:p>
            <w:r>
              <w:rPr>
                <w:sz w:val="20"/>
              </w:rPr>
              <w:t>Agoniste α1 pur</w:t>
            </w:r>
          </w:p>
        </w:tc>
        <w:tc>
          <w:tcPr>
            <w:tcW w:type="dxa" w:w="1039"/>
          </w:tcPr>
          <w:p>
            <w:r>
              <w:rPr>
                <w:sz w:val="20"/>
              </w:rPr>
              <w:t>5–10 min</w:t>
            </w:r>
          </w:p>
        </w:tc>
        <w:tc>
          <w:tcPr>
            <w:tcW w:type="dxa" w:w="1039"/>
          </w:tcPr>
          <w:p>
            <w:r>
              <w:rPr>
                <w:sz w:val="20"/>
              </w:rPr>
              <w:t>3–4 h</w:t>
            </w:r>
          </w:p>
        </w:tc>
        <w:tc>
          <w:tcPr>
            <w:tcW w:type="dxa" w:w="1039"/>
          </w:tcPr>
          <w:p>
            <w:r>
              <w:rPr>
                <w:sz w:val="20"/>
              </w:rPr>
              <w:t>2–3 h</w:t>
            </w:r>
          </w:p>
        </w:tc>
        <w:tc>
          <w:tcPr>
            <w:tcW w:type="dxa" w:w="1039"/>
          </w:tcPr>
          <w:p>
            <w:r>
              <w:rPr>
                <w:sz w:val="20"/>
              </w:rPr>
              <w:t>10–30 % (locale) ; &lt; 1 % (orale)</w:t>
            </w:r>
          </w:p>
        </w:tc>
        <w:tc>
          <w:tcPr>
            <w:tcW w:type="dxa" w:w="1039"/>
          </w:tcPr>
          <w:p>
            <w:r>
              <w:rPr>
                <w:sz w:val="20"/>
              </w:rPr>
              <w:t>APIFRIN-10 (Amman), NEOSYNEPHRINE FAURE 10 % (Europhta), GRIPEX (Pharmalliance)</w:t>
            </w:r>
          </w:p>
        </w:tc>
        <w:tc>
          <w:tcPr>
            <w:tcW w:type="dxa" w:w="1039"/>
          </w:tcPr>
          <w:p>
            <w:r>
              <w:rPr>
                <w:sz w:val="20"/>
              </w:rPr>
              <w:t>NEOSYNEPHRINE CHIBRET (MSD Chibret)</w:t>
            </w:r>
          </w:p>
        </w:tc>
      </w:tr>
      <w:tr>
        <w:tc>
          <w:tcPr>
            <w:tcW w:type="dxa" w:w="1039"/>
          </w:tcPr>
          <w:p>
            <w:r>
              <w:rPr>
                <w:sz w:val="20"/>
              </w:rPr>
              <w:t>Éphédrine</w:t>
            </w:r>
          </w:p>
        </w:tc>
        <w:tc>
          <w:tcPr>
            <w:tcW w:type="dxa" w:w="1039"/>
          </w:tcPr>
          <w:p>
            <w:r>
              <w:rPr>
                <w:sz w:val="20"/>
              </w:rPr>
              <w:t>Sympathomimétique</w:t>
            </w:r>
          </w:p>
        </w:tc>
        <w:tc>
          <w:tcPr>
            <w:tcW w:type="dxa" w:w="1039"/>
          </w:tcPr>
          <w:p>
            <w:r>
              <w:rPr>
                <w:sz w:val="20"/>
              </w:rPr>
              <w:t>Agoniste α1, β1, β2 + action indirecte</w:t>
            </w:r>
          </w:p>
        </w:tc>
        <w:tc>
          <w:tcPr>
            <w:tcW w:type="dxa" w:w="1039"/>
          </w:tcPr>
          <w:p>
            <w:r>
              <w:rPr>
                <w:sz w:val="20"/>
              </w:rPr>
              <w:t>5–10 min (IV) ; 5–10 min (nasal historique)</w:t>
            </w:r>
          </w:p>
        </w:tc>
        <w:tc>
          <w:tcPr>
            <w:tcW w:type="dxa" w:w="1039"/>
          </w:tcPr>
          <w:p>
            <w:r>
              <w:rPr>
                <w:sz w:val="20"/>
              </w:rPr>
              <w:t>1–2 h (IV) ; 2–4 h (nasal historique)</w:t>
            </w:r>
          </w:p>
        </w:tc>
        <w:tc>
          <w:tcPr>
            <w:tcW w:type="dxa" w:w="1039"/>
          </w:tcPr>
          <w:p>
            <w:r>
              <w:rPr>
                <w:sz w:val="20"/>
              </w:rPr>
              <w:t>3–6 h</w:t>
            </w:r>
          </w:p>
        </w:tc>
        <w:tc>
          <w:tcPr>
            <w:tcW w:type="dxa" w:w="1039"/>
          </w:tcPr>
          <w:p>
            <w:r>
              <w:rPr>
                <w:sz w:val="20"/>
              </w:rPr>
              <w:t>100 % (IV) ; 50–70 % (orale)</w:t>
            </w:r>
          </w:p>
        </w:tc>
        <w:tc>
          <w:tcPr>
            <w:tcW w:type="dxa" w:w="1039"/>
          </w:tcPr>
          <w:p>
            <w:r>
              <w:rPr>
                <w:sz w:val="20"/>
              </w:rPr>
              <w:t>EPHEDRON (Frater Razes)</w:t>
            </w:r>
          </w:p>
        </w:tc>
        <w:tc>
          <w:tcPr>
            <w:tcW w:type="dxa" w:w="1039"/>
          </w:tcPr>
          <w:p>
            <w:r>
              <w:rPr>
                <w:sz w:val="20"/>
              </w:rPr>
              <w:t>—</w:t>
            </w:r>
          </w:p>
        </w:tc>
      </w:tr>
      <w:tr>
        <w:tc>
          <w:tcPr>
            <w:tcW w:type="dxa" w:w="1039"/>
          </w:tcPr>
          <w:p>
            <w:r>
              <w:rPr>
                <w:sz w:val="20"/>
              </w:rPr>
              <w:t>Ipratropium</w:t>
            </w:r>
          </w:p>
        </w:tc>
        <w:tc>
          <w:tcPr>
            <w:tcW w:type="dxa" w:w="1039"/>
          </w:tcPr>
          <w:p>
            <w:r>
              <w:rPr>
                <w:sz w:val="20"/>
              </w:rPr>
              <w:t>Anticholinergique</w:t>
            </w:r>
          </w:p>
        </w:tc>
        <w:tc>
          <w:tcPr>
            <w:tcW w:type="dxa" w:w="1039"/>
          </w:tcPr>
          <w:p>
            <w:r>
              <w:rPr>
                <w:sz w:val="20"/>
              </w:rPr>
              <w:t>Antagoniste M3 (réduction de la rhinorrhée)</w:t>
            </w:r>
          </w:p>
        </w:tc>
        <w:tc>
          <w:tcPr>
            <w:tcW w:type="dxa" w:w="1039"/>
          </w:tcPr>
          <w:p>
            <w:r>
              <w:rPr>
                <w:sz w:val="20"/>
              </w:rPr>
              <w:t>15–30 min</w:t>
            </w:r>
          </w:p>
        </w:tc>
        <w:tc>
          <w:tcPr>
            <w:tcW w:type="dxa" w:w="1039"/>
          </w:tcPr>
          <w:p>
            <w:r>
              <w:rPr>
                <w:sz w:val="20"/>
              </w:rPr>
              <w:t>4–8 h</w:t>
            </w:r>
          </w:p>
        </w:tc>
        <w:tc>
          <w:tcPr>
            <w:tcW w:type="dxa" w:w="1039"/>
          </w:tcPr>
          <w:p>
            <w:r>
              <w:rPr>
                <w:sz w:val="20"/>
              </w:rPr>
              <w:t>1,5–3 h</w:t>
            </w:r>
          </w:p>
        </w:tc>
        <w:tc>
          <w:tcPr>
            <w:tcW w:type="dxa" w:w="1039"/>
          </w:tcPr>
          <w:p>
            <w:r>
              <w:rPr>
                <w:sz w:val="20"/>
              </w:rPr>
              <w:t>&lt; 5 %</w:t>
            </w:r>
          </w:p>
        </w:tc>
        <w:tc>
          <w:tcPr>
            <w:tcW w:type="dxa" w:w="1039"/>
          </w:tcPr>
          <w:p>
            <w:r>
              <w:rPr>
                <w:sz w:val="20"/>
              </w:rPr>
              <w:t>ATROVENT ENF. (Boehringer Ingelheim), ATROVENT ADUL. (Boehringer Ingelheim)</w:t>
            </w:r>
          </w:p>
        </w:tc>
        <w:tc>
          <w:tcPr>
            <w:tcW w:type="dxa" w:w="1039"/>
          </w:tcPr>
          <w:p>
            <w:r>
              <w:rPr>
                <w:sz w:val="20"/>
              </w:rPr>
              <w:t>ATROVENT flacon pressurisé (Boehringer Ingelheim)</w:t>
            </w:r>
          </w:p>
        </w:tc>
      </w:tr>
    </w:tbl>
    <w:p/>
    <w:p>
      <w:r/>
      <w:r>
        <w:rPr>
          <w:b/>
        </w:rPr>
        <w:t>Synthèse de la classification des vasoconstricteurs et anticholinergiques nasaux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Classe</w:t>
            </w:r>
          </w:p>
        </w:tc>
        <w:tc>
          <w:tcPr>
            <w:tcW w:type="dxa" w:w="1559"/>
          </w:tcPr>
          <w:p>
            <w:r>
              <w:rPr>
                <w:b/>
                <w:sz w:val="20"/>
              </w:rPr>
              <w:t>Cible pharmacologique</w:t>
            </w:r>
          </w:p>
        </w:tc>
        <w:tc>
          <w:tcPr>
            <w:tcW w:type="dxa" w:w="1559"/>
          </w:tcPr>
          <w:p>
            <w:r>
              <w:rPr>
                <w:b/>
                <w:sz w:val="20"/>
              </w:rPr>
              <w:t>Symptôme cible</w:t>
            </w:r>
          </w:p>
        </w:tc>
        <w:tc>
          <w:tcPr>
            <w:tcW w:type="dxa" w:w="1559"/>
          </w:tcPr>
          <w:p>
            <w:r>
              <w:rPr>
                <w:b/>
                <w:sz w:val="20"/>
              </w:rPr>
              <w:t>DCI disponibles en Algérie</w:t>
            </w:r>
          </w:p>
        </w:tc>
        <w:tc>
          <w:tcPr>
            <w:tcW w:type="dxa" w:w="1559"/>
          </w:tcPr>
          <w:p>
            <w:r>
              <w:rPr>
                <w:b/>
                <w:sz w:val="20"/>
              </w:rPr>
              <w:t>Indications principales</w:t>
            </w:r>
          </w:p>
        </w:tc>
        <w:tc>
          <w:tcPr>
            <w:tcW w:type="dxa" w:w="1559"/>
          </w:tcPr>
          <w:p>
            <w:r>
              <w:rPr>
                <w:b/>
                <w:sz w:val="20"/>
              </w:rPr>
              <w:t>Risque systémique</w:t>
            </w:r>
          </w:p>
        </w:tc>
      </w:tr>
      <w:tr>
        <w:tc>
          <w:tcPr>
            <w:tcW w:type="dxa" w:w="1559"/>
          </w:tcPr>
          <w:p>
            <w:r>
              <w:rPr>
                <w:sz w:val="20"/>
              </w:rPr>
              <w:t>Imidazolines</w:t>
            </w:r>
          </w:p>
        </w:tc>
        <w:tc>
          <w:tcPr>
            <w:tcW w:type="dxa" w:w="1559"/>
          </w:tcPr>
          <w:p>
            <w:r>
              <w:rPr>
                <w:sz w:val="20"/>
              </w:rPr>
              <w:t>Récepteurs α1-adrénergiques vasculaires</w:t>
            </w:r>
          </w:p>
        </w:tc>
        <w:tc>
          <w:tcPr>
            <w:tcW w:type="dxa" w:w="1559"/>
          </w:tcPr>
          <w:p>
            <w:r>
              <w:rPr>
                <w:sz w:val="20"/>
              </w:rPr>
              <w:t>Congestion nasale</w:t>
            </w:r>
          </w:p>
        </w:tc>
        <w:tc>
          <w:tcPr>
            <w:tcW w:type="dxa" w:w="1559"/>
          </w:tcPr>
          <w:p>
            <w:r>
              <w:rPr>
                <w:sz w:val="20"/>
              </w:rPr>
              <w:t>Oxymétazoline, Naphazoline, Tuaminoheptane</w:t>
            </w:r>
          </w:p>
        </w:tc>
        <w:tc>
          <w:tcPr>
            <w:tcW w:type="dxa" w:w="1559"/>
          </w:tcPr>
          <w:p>
            <w:r>
              <w:rPr>
                <w:sz w:val="20"/>
              </w:rPr>
              <w:t>Rhinite aiguë congestive (rhume, sinusite), rhinite allergique congestive aiguë, examen ORL</w:t>
            </w:r>
          </w:p>
        </w:tc>
        <w:tc>
          <w:tcPr>
            <w:tcW w:type="dxa" w:w="1559"/>
          </w:tcPr>
          <w:p>
            <w:r>
              <w:rPr>
                <w:sz w:val="20"/>
              </w:rPr>
              <w:t>Rhinite médicamenteuse si &gt; 5 jours, hypertension, tachycardie, toxicité neurologique centrale (naphazoline)</w:t>
            </w:r>
          </w:p>
        </w:tc>
      </w:tr>
      <w:tr>
        <w:tc>
          <w:tcPr>
            <w:tcW w:type="dxa" w:w="1559"/>
          </w:tcPr>
          <w:p>
            <w:r>
              <w:rPr>
                <w:sz w:val="20"/>
              </w:rPr>
              <w:t>Sympathomimétiques non imidazolinés</w:t>
            </w:r>
          </w:p>
        </w:tc>
        <w:tc>
          <w:tcPr>
            <w:tcW w:type="dxa" w:w="1559"/>
          </w:tcPr>
          <w:p>
            <w:r>
              <w:rPr>
                <w:sz w:val="20"/>
              </w:rPr>
              <w:t>Récepteurs α1-adrénergiques vasculaires + β1/β2 (éphédrine)</w:t>
            </w:r>
          </w:p>
        </w:tc>
        <w:tc>
          <w:tcPr>
            <w:tcW w:type="dxa" w:w="1559"/>
          </w:tcPr>
          <w:p>
            <w:r>
              <w:rPr>
                <w:sz w:val="20"/>
              </w:rPr>
              <w:t>Congestion nasale (locale) ; hypotension (éphédrine IV)</w:t>
            </w:r>
          </w:p>
        </w:tc>
        <w:tc>
          <w:tcPr>
            <w:tcW w:type="dxa" w:w="1559"/>
          </w:tcPr>
          <w:p>
            <w:r>
              <w:rPr>
                <w:sz w:val="20"/>
              </w:rPr>
              <w:t>Phényléphrine (locale + orale), Éphédrine (IV)</w:t>
            </w:r>
          </w:p>
        </w:tc>
        <w:tc>
          <w:tcPr>
            <w:tcW w:type="dxa" w:w="1559"/>
          </w:tcPr>
          <w:p>
            <w:r>
              <w:rPr>
                <w:sz w:val="20"/>
              </w:rPr>
              <w:t>Collyre vasoconstricteur, mydriase diagnostique, rhinite congestive (phényléphrine) ; hypotension orthostatique et peranesthésique (éphédrine IV)</w:t>
            </w:r>
          </w:p>
        </w:tc>
        <w:tc>
          <w:tcPr>
            <w:tcW w:type="dxa" w:w="1559"/>
          </w:tcPr>
          <w:p>
            <w:r>
              <w:rPr>
                <w:sz w:val="20"/>
              </w:rPr>
              <w:t>Hypertension, tachycardie, troubles du rythme, sédation (chlorphénamine dans GRIPEX)</w:t>
            </w:r>
          </w:p>
        </w:tc>
      </w:tr>
      <w:tr>
        <w:tc>
          <w:tcPr>
            <w:tcW w:type="dxa" w:w="1559"/>
          </w:tcPr>
          <w:p>
            <w:r>
              <w:rPr>
                <w:sz w:val="20"/>
              </w:rPr>
              <w:t>Anticholinergiques nasaux</w:t>
            </w:r>
          </w:p>
        </w:tc>
        <w:tc>
          <w:tcPr>
            <w:tcW w:type="dxa" w:w="1559"/>
          </w:tcPr>
          <w:p>
            <w:r>
              <w:rPr>
                <w:sz w:val="20"/>
              </w:rPr>
              <w:t>Récepteurs muscariniques M3 glandulaires</w:t>
            </w:r>
          </w:p>
        </w:tc>
        <w:tc>
          <w:tcPr>
            <w:tcW w:type="dxa" w:w="1559"/>
          </w:tcPr>
          <w:p>
            <w:r>
              <w:rPr>
                <w:sz w:val="20"/>
              </w:rPr>
              <w:t>Rhinorrhée</w:t>
            </w:r>
          </w:p>
        </w:tc>
        <w:tc>
          <w:tcPr>
            <w:tcW w:type="dxa" w:w="1559"/>
          </w:tcPr>
          <w:p>
            <w:r>
              <w:rPr>
                <w:sz w:val="20"/>
              </w:rPr>
              <w:t>Ipratropium</w:t>
            </w:r>
          </w:p>
        </w:tc>
        <w:tc>
          <w:tcPr>
            <w:tcW w:type="dxa" w:w="1559"/>
          </w:tcPr>
          <w:p>
            <w:r>
              <w:rPr>
                <w:sz w:val="20"/>
              </w:rPr>
              <w:t>Rhinite vasomotrice, rhinite gustative, rhinite médicamenteuse (complément de sevrage)</w:t>
            </w:r>
          </w:p>
        </w:tc>
        <w:tc>
          <w:tcPr>
            <w:tcW w:type="dxa" w:w="1559"/>
          </w:tcPr>
          <w:p>
            <w:r>
              <w:rPr>
                <w:sz w:val="20"/>
              </w:rPr>
              <w:t>Sécheresse nasale, épistaxis, mydriase (projection oculaire), rétention urinaire (sujet âgé)</w:t>
            </w:r>
          </w:p>
        </w:tc>
      </w:tr>
    </w:tbl>
    <w:p/>
    <w:p>
      <w:r/>
      <w:r>
        <w:rPr>
          <w:b/>
        </w:rPr>
        <w:t>Règles d'or de prescription et de délivrance des vasoconstricteurs et anticholinergiques nasaux en pratique algérienne :</w:t>
      </w:r>
      <w:r/>
    </w:p>
    <w:p>
      <w:pPr>
        <w:pStyle w:val="ListNumber"/>
      </w:pPr>
      <w:r/>
      <w:r>
        <w:rPr>
          <w:b/>
        </w:rPr>
        <w:t>Choisir la classe en fonction du symptôme prédominant</w:t>
      </w:r>
      <w:r>
        <w:t xml:space="preserve"> : vasoconstricteurs (imidazolines, sympathomimétiques) pour la congestion nasale, anticholinergiques (ipratropium) pour la rhinorrhée. En cas de rhinite chronique avec congestion et rhinorrhée, associer un corticoïde nasal et un anticholinergique nasal ; en cas de rhinite aiguë avec congestion et rhinorrhée, associer un vasoconstricteur court (5 jours maximum) et un lavage nasal au sérum physiologique.</w:t>
      </w:r>
    </w:p>
    <w:p>
      <w:pPr>
        <w:pStyle w:val="ListNumber"/>
      </w:pPr>
      <w:r/>
      <w:r>
        <w:rPr>
          <w:b/>
        </w:rPr>
        <w:t>Respecter strictement la durée maximale de 5 jours</w:t>
      </w:r>
      <w:r>
        <w:t xml:space="preserve"> pour les vasoconstricteurs nasaux (oxymétazoline, tuaminoheptane) et de 5 jours pour les collyres vasoconstricteurs (naphazoline, phényléphrine), sans renouvellement automatique. L'usage prolongé expose au risque de rhinite médicamenteuse (rebond, tolérance, dépendance).</w:t>
      </w:r>
    </w:p>
    <w:p>
      <w:pPr>
        <w:pStyle w:val="ListNumber"/>
      </w:pPr>
      <w:r/>
      <w:r>
        <w:rPr>
          <w:b/>
        </w:rPr>
        <w:t>Respecter les contre-indications cardiovasculaires</w:t>
      </w:r>
      <w:r>
        <w:t xml:space="preserve"> : hypertension artérielle sévère non contrôlée, coronaropathie évoluée, hyperthyroïdie non traitée, traitement par IMAO. Pour la naphazoline, contre-indication absolue chez l'enfant de moins de 12 ans (risque de toxicité neurologique centrale).</w:t>
      </w:r>
    </w:p>
    <w:p>
      <w:pPr>
        <w:pStyle w:val="ListNumber"/>
      </w:pPr>
      <w:r/>
      <w:r>
        <w:rPr>
          <w:b/>
        </w:rPr>
        <w:t>Respecter les contre-indications ophtalmologiques</w:t>
      </w:r>
      <w:r>
        <w:t xml:space="preserve"> : glaucome à angle fermé (contre-indication à tous les vasoconstricteurs et à l'ipratropium par prudence).</w:t>
      </w:r>
    </w:p>
    <w:p>
      <w:pPr>
        <w:pStyle w:val="ListNumber"/>
      </w:pPr>
      <w:r/>
      <w:r>
        <w:rPr>
          <w:b/>
        </w:rPr>
        <w:t>Adapter le dosage à l'âge</w:t>
      </w:r>
      <w:r>
        <w:t xml:space="preserve"> : la concentration adulte d'oxymétazoline (0,05 %) est contre-indiquée chez l'enfant de moins de 12 ans (absence de concentration pédiatrique 0,025 % disponible en Algérie) ; la naphazoline et la phényléphrine (collyre) sont contre-indiquées chez l'enfant de moins de 12 ans ; l'éphédrine injectable est réservée à l'usage hospitalier ; l'ipratropium nasal nébulisé est déconseillé chez l'enfant de moins de 6 ans.</w:t>
      </w:r>
    </w:p>
    <w:p>
      <w:pPr>
        <w:pStyle w:val="ListNumber"/>
      </w:pPr>
      <w:r/>
      <w:r>
        <w:rPr>
          <w:b/>
        </w:rPr>
        <w:t>Vérifier la grossesse et l'allaitement</w:t>
      </w:r>
      <w:r>
        <w:t xml:space="preserve"> : l'oxymétazoline (usage court ≤ 5 jours) et la phényléphrine locale (collyre, usage court) sont compatibles avec la grossesse ; la phényléphrine orale (GRIPEX) est déconseillée au 1er trimestre ; l'éphédrine injectable est compatible en cas d'hypotension maternelle sévère (rachianesthésie pour césarienne) ; l'ipratropium est compatible avec la grossesse et l'allaitement. La naphazoline et le tuaminoheptane sont déconseillés pendant la grossesse par prudence.</w:t>
      </w:r>
    </w:p>
    <w:p>
      <w:pPr>
        <w:pStyle w:val="ListNumber"/>
      </w:pPr>
      <w:r/>
      <w:r>
        <w:rPr>
          <w:b/>
        </w:rPr>
        <w:t>Informier le patient sur le risque de rhinite médicamenteuse</w:t>
      </w:r>
      <w:r>
        <w:t xml:space="preserve"> : message clé à transmettre au comptoir dès la première délivrance d'un vasoconstricteur nasal. Insister sur la durée maximale de 5 jours et sur l'interdiction de renouveler sans avis médical.</w:t>
      </w:r>
    </w:p>
    <w:p>
      <w:pPr>
        <w:pStyle w:val="ListNumber"/>
      </w:pPr>
      <w:r/>
      <w:r>
        <w:rPr>
          <w:b/>
        </w:rPr>
        <w:t>Éduquer le patient sur l'administration correcte</w:t>
      </w:r>
      <w:r>
        <w:t xml:space="preserve"> : moucher doucement avant l'administration, pencher la tête légèrement en avant, diriger l'embout du spray vers l'extérieur (vers le conduit auditif externe, et non vers la cloison nasale), pulvériser en inspiration douce, ne pas renifler violemment, se laver les mains après, nettoyer l'embout après usage.</w:t>
      </w:r>
    </w:p>
    <w:p>
      <w:pPr>
        <w:pStyle w:val="ListNumber"/>
      </w:pPr>
      <w:r/>
      <w:r>
        <w:rPr>
          <w:b/>
        </w:rPr>
        <w:t>Surveiller la survenue d'effets systémiques</w:t>
      </w:r>
      <w:r>
        <w:t xml:space="preserve"> : céphalées, palpitations, hypertension, troubles du sommeil, irritabilité → arrêt immédiat et consultation médicale. Pour la naphazoline, surveillance neurologique particulière chez l'enfant (convulsions, somnolence excessive, apnées).</w:t>
      </w:r>
    </w:p>
    <w:p>
      <w:pPr>
        <w:pStyle w:val="ListNumber"/>
      </w:pPr>
      <w:r/>
      <w:r>
        <w:rPr>
          <w:b/>
        </w:rPr>
        <w:t>Préférer le lavage nasal au sérum physiologique en première intention</w:t>
      </w:r>
      <w:r>
        <w:t xml:space="preserve"> chez la femme enceinte, l'enfant de moins de 12 ans, le sujet âgé, le patient hypertendu, le patient présentant une rhinite chronique. Le lavage nasal est non pharmacologique, dénué d'effets indésirables, et peut être utilisé seul ou en association à un traitement pharmacologique.</w:t>
      </w:r>
    </w:p>
    <w:p>
      <w:pPr>
        <w:pStyle w:val="ListNumber"/>
      </w:pPr>
      <w:r/>
      <w:r>
        <w:rPr>
          <w:b/>
        </w:rPr>
        <w:t>Orienter vers l'ORL en cas de symptômes atypiques</w:t>
      </w:r>
      <w:r>
        <w:t xml:space="preserve"> : obstruction nasale unilatérale (suspicion de tumeur, de polype, de corps étranger, de déviation septale), rhinorrhée unilatérale (suspicion de liquorrhée cérébrospinale, de tumeur), épistaxis récidivante (suspicion de tumeur, de malformation vasculaire), obstruction persistante au-delà de 10 jours (suspicion de sinusite bactérienne, de polypose nasale).</w:t>
      </w:r>
    </w:p>
    <w:p>
      <w:pPr>
        <w:pStyle w:val="ListNumber"/>
      </w:pPr>
      <w:r/>
      <w:r>
        <w:rPr>
          <w:b/>
        </w:rPr>
        <w:t>Assurer une traçabilité pharmaceutique</w:t>
      </w:r>
      <w:r>
        <w:t xml:space="preserve"> pour les médicaments en Liste I (GRIPEX, ATROVENT, EPHEDRON) et en Liste II (RESPIBIEN, RESPINHAL, RHINOFLUIMUCIL) : enregistrement de la délivrance, vérification de l'ordonnance pour les Liste I, information du patient sur les risques et les précautions.</w:t>
      </w:r>
    </w:p>
    <w:p>
      <w:pPr>
        <w:pStyle w:val="Heading2"/>
      </w:pPr>
      <w:r>
        <w:t>132.6 Annexe pratique — Outils d'aide à la prescription et à la dispensation</w:t>
      </w:r>
    </w:p>
    <w:p>
      <w:pPr>
        <w:pStyle w:val="Heading3"/>
      </w:pPr>
      <w:r>
        <w:t>132.6.1 Algorithme de choix du traitement nasal symptomatique en fonction du symptôme prédominant</w:t>
      </w:r>
    </w:p>
    <w:p>
      <w:r>
        <w:t>Le choix du traitement nasal symptomatique dépend principalement du symptôme prédominant (congestion nasale ou rhinorrhée), de la cause sous-jacente (virale, allergique, vasomotrice, médicamenteuse), de l'âge du patient, de ses comorbidités (hypertension, cardiopathie, glaucome, hyperthyroïdie) et du statut physiologique (grossesse, allaitement). L'algorithme simplifié suivant facilite la décision thérapeutique en pratique courante.</w:t>
      </w:r>
    </w:p>
    <w:p>
      <w:r/>
      <w:r>
        <w:rPr>
          <w:b/>
        </w:rPr>
        <w:t>Algorithme simplifié de choix du traitement nasal symptomatique :</w:t>
      </w:r>
      <w:r/>
    </w:p>
    <w:p>
      <w:pPr>
        <w:pStyle w:val="ListNumber"/>
      </w:pPr>
      <w:r/>
      <w:r>
        <w:rPr>
          <w:b/>
        </w:rPr>
        <w:t>Patient présentant une congestion nasale aiguë (rhume banal, sinusite aiguë, rhinite allergique congestive) avec obstruction nasale prédominante :</w:t>
      </w:r>
      <w:r/>
    </w:p>
    <w:p>
      <w:pPr>
        <w:pStyle w:val="ListBullet"/>
      </w:pPr>
      <w:r>
        <w:t>Sans contre-indication : Oxymétazoline spray nasal 0,05 % (RESPIBIEN, RESPINHAL), 1 pulvérisation dans chaque narine matin et soir pendant 5 jours maximum. Association possible avec un antalgique oral (paracétamol 1 g × 3/jour) en cas de fièvre ou de céphalées.</w:t>
      </w:r>
    </w:p>
    <w:p>
      <w:pPr>
        <w:pStyle w:val="ListBullet"/>
      </w:pPr>
      <w:r>
        <w:t>Avec contre-indication aux vasoconstricteurs (hypertension, glaucome, hyperthyroïdie, IMAO, grossesse au 1er trimestre) : lavage nasal au sérum physiologique 3 à 6 fois par jour, antihistaminique oral (cétirizine 10 mg/jour) en cas de rhinite allergique, corticoïde nasal (fluticasone 50 µg/dose : 2 pulvérisations/narine une fois par jour) en cas de rhinite allergique congestive persistante.</w:t>
      </w:r>
    </w:p>
    <w:p>
      <w:pPr>
        <w:pStyle w:val="ListBullet"/>
      </w:pPr>
      <w:r>
        <w:t>Avec congestion et sécrétions épaisses : Tuaminoheptane + acétylcystéine (RHINOFLUIMUCIL), 1 pulvérisation dans chaque narine 2 à 3 fois par jour pendant 5 jours maximum. Prudence chez l'asthmatique (acétylcystéine).</w:t>
      </w:r>
    </w:p>
    <w:p>
      <w:pPr>
        <w:pStyle w:val="ListBullet"/>
      </w:pPr>
      <w:r>
        <w:t>Chez la femme enceinte : Oxymétazoline spray 0,05 % en usage court (≤ 5 jours) si obstruction majeure ; préférer lavage nasal et corticoïde nasal en première intention.</w:t>
      </w:r>
    </w:p>
    <w:p>
      <w:pPr>
        <w:pStyle w:val="ListBullet"/>
      </w:pPr>
      <w:r>
        <w:t>Chez l'enfant de moins de 12 ans : lavage nasal au sérum physiologique et aspiration des sécrétions (nourrisson) ; pas de vasoconstricteur nasal (absence de concentration pédiatrique disponible en Algérie).</w:t>
      </w:r>
    </w:p>
    <w:p>
      <w:pPr>
        <w:pStyle w:val="ListNumber"/>
      </w:pPr>
      <w:r/>
      <w:r>
        <w:rPr>
          <w:b/>
        </w:rPr>
        <w:t>Patient présentant une rhinorrhée persistante (rhinite vasomotrice, rhinite gustative, rhinite chronique avec rhinorrhée prédominante) :</w:t>
      </w:r>
      <w:r/>
    </w:p>
    <w:p>
      <w:pPr>
        <w:pStyle w:val="ListBullet"/>
      </w:pPr>
      <w:r>
        <w:t>Sans contre-indication : Ipratropium bromure nébulisé (ATROVENT ADUL. 0,50 mg/2 mL), 1 nébulisation nasale 2 à 3 fois par jour pendant 4 à 8 semaines, en association avec un lavage nasal au sérum physiologique. Association possible avec un corticoïde nasal (fluticasone, mométasone) en cas de composante congestive associée.</w:t>
      </w:r>
    </w:p>
    <w:p>
      <w:pPr>
        <w:pStyle w:val="ListBullet"/>
      </w:pPr>
      <w:r>
        <w:t>Avec contre-indication aux anticholinergiques (glaucome à angle fermé, hypertrophie prostatique sévère) : lavage nasal au sérum physiologique, corticoïde nasal (fluticasone, mométasone), antihistaminique oral (cétirizine, loratadine) en cas de composante allergique.</w:t>
      </w:r>
    </w:p>
    <w:p>
      <w:pPr>
        <w:pStyle w:val="ListNumber"/>
      </w:pPr>
      <w:r/>
      <w:r>
        <w:rPr>
          <w:b/>
        </w:rPr>
        <w:t>Patient présentant une rhinite chronique avec congestion et rhinorrhée associées :</w:t>
      </w:r>
      <w:r/>
    </w:p>
    <w:p>
      <w:pPr>
        <w:pStyle w:val="ListBullet"/>
      </w:pPr>
      <w:r>
        <w:t>Corticoïde nasal (fluticasone propionate 50 µg/dose : 2 pulvérisations/narine une fois par jour ; ou mométasone furoate 50 µg/dose : 2 pulvérisations/narine une fois par jour) en traitement de fond continu pendant 4 à 8 semaines, en association avec un lavage nasal au sérum physiologique et un anticholinergique nasal (ipratropium) en cas de rhinorrhée persistante.</w:t>
      </w:r>
    </w:p>
    <w:p>
      <w:pPr>
        <w:pStyle w:val="ListBullet"/>
      </w:pPr>
      <w:r>
        <w:t>En cas de poussée congestive aiguë surajoutée : oxymétazoline en usage court (5 jours maximum) en relais temporaire.</w:t>
      </w:r>
    </w:p>
    <w:p>
      <w:pPr>
        <w:pStyle w:val="ListBullet"/>
      </w:pPr>
      <w:r>
        <w:t>Éviction des vasoconstricteurs nasaux en usage prolongé (rhinite médicamenteuse).</w:t>
      </w:r>
    </w:p>
    <w:p>
      <w:pPr>
        <w:pStyle w:val="ListNumber"/>
      </w:pPr>
      <w:r/>
      <w:r>
        <w:rPr>
          <w:b/>
        </w:rPr>
        <w:t>Patient présentant une rhinite médicamenteuse (dépendance aux vasoconstricteurs nasaux) :</w:t>
      </w:r>
      <w:r/>
    </w:p>
    <w:p>
      <w:pPr>
        <w:pStyle w:val="ListBullet"/>
      </w:pPr>
      <w:r>
        <w:t>Arrêt immédiat du vasoconstricteur nasal.</w:t>
      </w:r>
    </w:p>
    <w:p>
      <w:pPr>
        <w:pStyle w:val="ListBullet"/>
      </w:pPr>
      <w:r>
        <w:t>Substitution par un corticoïde nasal (fluticasone propionate 50 µg/dose : 2 pulvérisations/narine une fois par jour pendant 4 à 8 semaines, ou mométasone furoate 50 µg/dose selon le même schéma).</w:t>
      </w:r>
    </w:p>
    <w:p>
      <w:pPr>
        <w:pStyle w:val="ListBullet"/>
      </w:pPr>
      <w:r>
        <w:t>Lavage nasal au sérum physiologique 3 à 6 fois par jour.</w:t>
      </w:r>
    </w:p>
    <w:p>
      <w:pPr>
        <w:pStyle w:val="ListBullet"/>
      </w:pPr>
      <w:r>
        <w:t>Ipratropium bromure nébulisé (ATROVENT ADUL.) en complément si rhinorrhée rebond.</w:t>
      </w:r>
    </w:p>
    <w:p>
      <w:pPr>
        <w:pStyle w:val="ListBullet"/>
      </w:pPr>
      <w:r>
        <w:t>Consultation ORL spécialisée en cas d'échec à 8 semaines.</w:t>
      </w:r>
    </w:p>
    <w:p>
      <w:pPr>
        <w:pStyle w:val="ListNumber"/>
      </w:pPr>
      <w:r/>
      <w:r>
        <w:rPr>
          <w:b/>
        </w:rPr>
        <w:t>Patient présentant une conjonctivite allergique congestive (yeux rouges et prurigineux) :</w:t>
      </w:r>
      <w:r/>
    </w:p>
    <w:p>
      <w:pPr>
        <w:pStyle w:val="ListBullet"/>
      </w:pPr>
      <w:r>
        <w:t>Sans contre-indication : collyre antihistaminique (olopatadine, azelastine, kétotifène) en première intention ; en cas d'hyperhémie conjonctivale marquée, collyre vasoconstricteur (phényléphrine 0,1 % APIFRIN-10 ou NEOSYNEPHRINE FAURE 10 %, ou naphazoline + antazoline OPHTAZOLIN) en association courte (5 jours maximum).</w:t>
      </w:r>
    </w:p>
    <w:p>
      <w:pPr>
        <w:pStyle w:val="ListBullet"/>
      </w:pPr>
      <w:r>
        <w:t>Chez l'enfant de moins de 12 ans : collyre antihistaminique pur (olopatadine, azelastine), jamais de collyre vasoconstricteur (contre-indication absolue).</w:t>
      </w:r>
    </w:p>
    <w:p>
      <w:pPr>
        <w:pStyle w:val="ListBullet"/>
      </w:pPr>
      <w:r>
        <w:t>Chez la femme enceinte : collyre antihistaminique pur ; éviter les collyres vasoconstricteurs par prudence.</w:t>
      </w:r>
    </w:p>
    <w:p>
      <w:pPr>
        <w:pStyle w:val="Heading3"/>
      </w:pPr>
      <w:r>
        <w:t>132.6.2 Stratégie de sevrage en cas de rhinite médicamenteuse</w:t>
      </w:r>
    </w:p>
    <w:p>
      <w:r>
        <w:t>La rhinite médicamenteuse est la complication quasi constante de l'usage prolongé des vasoconstricteurs nasaux au-delà de 5 à 7 jours. Elle correspond à une dépendance pharmacologique à la molécule vasoconstrictrice avec tolérance (tachyphylaxie) et rebond à l'arrêt. Son traitement repose sur un sevrage progressif du vasoconstricteur, sous couvert d'un traitement de fond par corticoïde nasal et d'un lavage nasal régulier.</w:t>
      </w:r>
    </w:p>
    <w:p>
      <w:r/>
      <w:r>
        <w:rPr>
          <w:b/>
        </w:rPr>
        <w:t>Protocole de sevrage standard :</w:t>
      </w:r>
      <w:r/>
    </w:p>
    <w:p>
      <w:pPr>
        <w:pStyle w:val="ListBullet"/>
      </w:pPr>
      <w:r/>
      <w:r>
        <w:rPr>
          <w:b/>
        </w:rPr>
        <w:t>Étape 1 (semaine 1) :</w:t>
      </w:r>
      <w:r>
        <w:t xml:space="preserve"> Arrêt brutal du vasoconstricteur nasal ou espacement progressif (selon la tolérance du patient). Substitution par un corticoïde nasal (fluticasone propionate 50 µg/dose : 2 pulvérisations/narine une fois par jour, ou mométasone furoate 50 µg/dose : 2 pulvérisations/narine une fois par jour). Lavage nasal au sérum physiologique 3 à 6 fois par jour. En cas de rhinorrhée rebond, ipratropium bromure nébulisé (ATROVENT ADUL.) 2 à 3 fois par jour.</w:t>
      </w:r>
    </w:p>
    <w:p>
      <w:pPr>
        <w:pStyle w:val="ListBullet"/>
      </w:pPr>
      <w:r/>
      <w:r>
        <w:rPr>
          <w:b/>
        </w:rPr>
        <w:t>Étape 2 (semaines 2 à 4) :</w:t>
      </w:r>
      <w:r>
        <w:t xml:space="preserve"> Maintien du corticoïde nasal à la même posologie. Maintien du lavage nasal au sérum physiologique 2 à 3 fois par jour. Surveillance clinique de la réponse (débit nasal inspiratoire, score symptomatique).</w:t>
      </w:r>
    </w:p>
    <w:p>
      <w:pPr>
        <w:pStyle w:val="ListBullet"/>
      </w:pPr>
      <w:r/>
      <w:r>
        <w:rPr>
          <w:b/>
        </w:rPr>
        <w:t>Étape 3 (semaines 4 à 8) :</w:t>
      </w:r>
      <w:r>
        <w:t xml:space="preserve"> Si réponse favorable, espacement du corticoïde nasal à 1 pulvérisation/narine une fois par jour en entretien. Maintien du lavage nasal au sérum physiologique 1 à 2 fois par jour. Si échec à 8 semaines, consultation ORL spécialisée pour avis (parfois nécessité de courte cure de corticothérapie orale, prednisone 0,5 mg/kg/jour pendant 7 jours, ou chirurgie nasale en cas de déviation septale associée).</w:t>
      </w:r>
    </w:p>
    <w:p>
      <w:r/>
      <w:r>
        <w:rPr>
          <w:b/>
        </w:rPr>
        <w:t>Cas particulier de la dépendance psychologique :</w:t>
      </w:r>
      <w:r>
        <w:t xml:space="preserve"> Certains patients présentent une dépendance psychologique au vasoconstricteur nasal (usage plusieurs fois par jour pendant des mois ou des années), souvent en lien avec une rhinite chronique sous-jacente non traitée. Le sevrage doit être accompagné d'une prise en charge psychologique (soutien, explication, motivation) et d'un traitement de fond renforcé de la cause sous-jacente (corticoïde nasal, antihistaminique oral, lavage nasal, ipratropium, éviction allergénique). En cas d'échec répété du sevrage ambulatoire, hospitalisation courte (3 à 5 jours) en service ORL pour sevrage contrôlé.</w:t>
      </w:r>
    </w:p>
    <w:p>
      <w:pPr>
        <w:pStyle w:val="Heading3"/>
      </w:pPr>
      <w:r>
        <w:t>132.6.3 Surveillance biologique et clinique en cas d'usage prolongé des anticholinergiques nasaux</w:t>
      </w:r>
    </w:p>
    <w:p>
      <w:r>
        <w:t>La surveillance d'un traitement prolongé par ipratropium nasal doit être adaptée à la tolérance locale et systémique, à l'âge du patient et à ses comorbidités.</w:t>
      </w:r>
    </w:p>
    <w:p>
      <w:r/>
      <w:r>
        <w:rPr>
          <w:b/>
        </w:rPr>
        <w:t>Surveillance minimale (tous patients) :</w:t>
      </w:r>
      <w:r/>
    </w:p>
    <w:p>
      <w:pPr>
        <w:pStyle w:val="ListBullet"/>
      </w:pPr>
      <w:r>
        <w:t>Examen clinique initial et à 2–4 semaines : évaluation de l'efficacité (score symptomatique de rhinorrhée, débit nasal inspiratoire), recherche d'une sécheresse nasale, d'une irritation nasale, d'un épistaxis, de croûtes nasales.</w:t>
      </w:r>
    </w:p>
    <w:p>
      <w:pPr>
        <w:pStyle w:val="ListBullet"/>
      </w:pPr>
      <w:r>
        <w:t>Interrogatoire : recherche de signes systémiques (sécheresse buccale, constipation, troubles de l'accommodation, rétention urinaire, tachycardie).</w:t>
      </w:r>
    </w:p>
    <w:p>
      <w:r/>
      <w:r>
        <w:rPr>
          <w:b/>
        </w:rPr>
        <w:t>Surveillance renforcée (sujet âgé, traitement prolongé &gt; 8 semaines, comorbidités) :</w:t>
      </w:r>
      <w:r/>
    </w:p>
    <w:p>
      <w:pPr>
        <w:pStyle w:val="ListBullet"/>
      </w:pPr>
      <w:r>
        <w:t>Examen ORL à 4 semaines et à 8 semaines : évaluation de la tolérance locale (sécheresse nasale, croûtes, atrophie muqueuse).</w:t>
      </w:r>
    </w:p>
    <w:p>
      <w:pPr>
        <w:pStyle w:val="ListBullet"/>
      </w:pPr>
      <w:r>
        <w:t>Examen ophtalmologique en cas de projection oculaire accidentelle ou de troubles visuels (recherche de glaucome aigu, de mydriase, de troubles de l'accommodation).</w:t>
      </w:r>
    </w:p>
    <w:p>
      <w:pPr>
        <w:pStyle w:val="ListBullet"/>
      </w:pPr>
      <w:r>
        <w:t>Examen urologique chez le sujet âgé avec hypertrophie prostatique (recherche de rétention urinaire, de globe vésical).</w:t>
      </w:r>
    </w:p>
    <w:p>
      <w:pPr>
        <w:pStyle w:val="Heading3"/>
      </w:pPr>
      <w:r>
        <w:t>132.6.4 Cas cliniques d'illustration</w:t>
      </w:r>
    </w:p>
    <w:p>
      <w:r/>
      <w:r>
        <w:rPr>
          <w:b/>
        </w:rPr>
        <w:t>Cas clinique 1 — Rhume banal congestif chez un adulte de 35 ans sans antécédent :</w:t>
      </w:r>
      <w:r/>
    </w:p>
    <w:p>
      <w:r>
        <w:t>Patient de 35 ans, sans antécédent particulier, présentant un rhume banal congestif (obstruction nasale bilatérale, rhinorrhée claire, éternuements, gêne pharyngée) évoluant depuis 2 jours, sans fièvre élevée (37,5 °C), sans céphalées intenses.</w:t>
      </w:r>
    </w:p>
    <w:p>
      <w:pPr>
        <w:pStyle w:val="ListBullet"/>
      </w:pPr>
      <w:r/>
      <w:r>
        <w:rPr>
          <w:b/>
        </w:rPr>
        <w:t>Choix thérapeutique :</w:t>
      </w:r>
      <w:r>
        <w:t xml:space="preserve"> Oxymétazoline spray nasal 0,05 % (RESPIBIEN ou RESPINHAL), 1 pulvérisation dans chaque narine matin et soir pendant 5 jours maximum. Association à un antalgique oral (paracétamol 1 g × 3/jour) en cas de fièvre ou de céphalées. Lavage nasal au sérum physiologique 3 à 4 fois par jour.</w:t>
      </w:r>
    </w:p>
    <w:p>
      <w:pPr>
        <w:pStyle w:val="ListBullet"/>
      </w:pPr>
      <w:r/>
      <w:r>
        <w:rPr>
          <w:b/>
        </w:rPr>
        <w:t>Justification :</w:t>
      </w:r>
      <w:r>
        <w:t xml:space="preserve"> Efficacité rapide sur la congestion nasale (5 à 10 minutes), durée d'action longue (10 à 12 heures) autorisant 2 administrations par jour, profil de tolérance acceptable en usage court (≤ 5 jours). Le lavage nasal au sérum physiologique permet d'humidifier la muqueuse nasale et de favoriser l'évacuation des sécrétions.</w:t>
      </w:r>
    </w:p>
    <w:p>
      <w:pPr>
        <w:pStyle w:val="ListBullet"/>
      </w:pPr>
      <w:r/>
      <w:r>
        <w:rPr>
          <w:b/>
        </w:rPr>
        <w:t>Conseils au comptoir :</w:t>
      </w:r>
      <w:r>
        <w:t xml:space="preserve"> Insister sur la durée maximale de 5 jours, sur l'interdiction de renouveler sans avis médical, sur le risque de rhinite médicamenteuse en cas d'usage prolongé. Information sur la technique d'administration (pencher la tête en avant, diriger l'embout vers l'extérieur, inspirer doucement).</w:t>
      </w:r>
    </w:p>
    <w:p>
      <w:r/>
      <w:r>
        <w:rPr>
          <w:b/>
        </w:rPr>
        <w:t>Cas clinique 2 — Rhinite vasomotrice chronique chez une femme de 55 ans ménopausée :</w:t>
      </w:r>
      <w:r/>
    </w:p>
    <w:p>
      <w:r>
        <w:t>Patiente de 55 ans, ménopausée, présentant une rhinite vasomotrice chronique évoluant depuis 2 ans, caractérisée par une rhinorrhée claire abondante déclenchée par les changements de température, l'alimentation chaude et épicée, et les émotions. Pas de congestion nasale prédominante. Pas d'antécédent cardiovasculaire ou ophtalmologique.</w:t>
      </w:r>
    </w:p>
    <w:p>
      <w:pPr>
        <w:pStyle w:val="ListBullet"/>
      </w:pPr>
      <w:r/>
      <w:r>
        <w:rPr>
          <w:b/>
        </w:rPr>
        <w:t>Choix thérapeutique :</w:t>
      </w:r>
      <w:r>
        <w:t xml:space="preserve"> Ipratropium bromure nébulisé (ATROVENT ADUL. 0,50 mg/2 mL), 1 nébulisation nasale 2 à 3 fois par jour pendant 4 à 8 semaines, en association avec un lavage nasal au sérum physiologique. Si réponse favorable à 8 semaines, traitement d'entretien à dose réduite (1 nébulisation par jour).</w:t>
      </w:r>
    </w:p>
    <w:p>
      <w:pPr>
        <w:pStyle w:val="ListBullet"/>
      </w:pPr>
      <w:r/>
      <w:r>
        <w:rPr>
          <w:b/>
        </w:rPr>
        <w:t>Justification :</w:t>
      </w:r>
      <w:r>
        <w:t xml:space="preserve"> L'ipratropium est le traitement de référence de la rhinorrhée persistante par blocage des récepteurs M3 des glandes séromuqueuses. Sa très faible biodisponibilité systémique et son excellente tolérance en font un traitement de choix en utilisation prolongée. Le lavage nasal au sérum physiologique permet de limiter la sécheresse nasale induite par l'ipratropium.</w:t>
      </w:r>
    </w:p>
    <w:p>
      <w:pPr>
        <w:pStyle w:val="ListBullet"/>
      </w:pPr>
      <w:r/>
      <w:r>
        <w:rPr>
          <w:b/>
        </w:rPr>
        <w:t>Surveillance :</w:t>
      </w:r>
      <w:r>
        <w:t xml:space="preserve"> Examen clinique à 4 semaines et à 8 semaines pour évaluer la réponse (score symptomatique de rhinorrhée) et la tolérance (sécheresse nasale, épistaxis). Examen ORL spécialisé en cas d'échec ou d'effet indésirable.</w:t>
      </w:r>
    </w:p>
    <w:p>
      <w:pPr>
        <w:pStyle w:val="ListBullet"/>
      </w:pPr>
      <w:r/>
      <w:r>
        <w:rPr>
          <w:b/>
        </w:rPr>
        <w:t>Conseils au comptoir :</w:t>
      </w:r>
      <w:r>
        <w:t xml:space="preserve"> Information sur la nécessité d'utiliser un nébuliseur avec masque nasal adapté, sur l'hygiène du nébuliseur (nettoyage et désinfection après chaque usage), sur la durée du traitement (4 à 8 semaines), sur le caractère compatible avec la ménopause (pas d'interaction hormonale). Information sur le risque de sécheresse nasale et d'épistaxis, et sur la nécessité d'associer un lavage nasal au sérum physiologique.</w:t>
      </w:r>
    </w:p>
    <w:p>
      <w:r/>
      <w:r>
        <w:rPr>
          <w:b/>
        </w:rPr>
        <w:t>Cas clinique 3 — Rhinite médicamenteuse chez un homme de 45 ans dépendant aux vasoconstricteurs depuis 1 an :</w:t>
      </w:r>
      <w:r/>
    </w:p>
    <w:p>
      <w:r>
        <w:t>Patient de 45 ans, sans antécédent particulier, présentant une rhinite médicamenteuse évoluant depuis 1 an, avec usage quotidien d'oxymétazoline spray nasal (RESPIBIEN) 4 à 6 fois par jour depuis 12 mois. Obstruction nasale permanente, aggravée à l'arrêt du vasoconstricteur, nécessitant des administrations de plus en plus fréquentes. Pas de cause sous-jacente identifiée (pas de rhinite allergique, pas de déviation septale, pas de polypose nasale).</w:t>
      </w:r>
    </w:p>
    <w:p>
      <w:pPr>
        <w:pStyle w:val="ListBullet"/>
      </w:pPr>
      <w:r/>
      <w:r>
        <w:rPr>
          <w:b/>
        </w:rPr>
        <w:t>Choix thérapeutique :</w:t>
      </w:r>
      <w:r>
        <w:t xml:space="preserve"> Arrêt immédiat de l'oxymétazoline. Substitution par un corticoïde nasal (fluticasone propionate 50 µg/dose : 2 pulvérisations/narine une fois par jour pendant 8 semaines). Lavage nasal au sérum physiologique 4 à 6 fois par jour. Ipratropium bromure nébulisé (ATROVENT ADUL. 0,50 mg/2 mL), 1 nébulisation nasale 2 à 3 fois par jour pendant 4 semaines en cas de rhinorrhée rebond. Surveillance clinique à 4 semaines et à 8 semaines.</w:t>
      </w:r>
    </w:p>
    <w:p>
      <w:pPr>
        <w:pStyle w:val="ListBullet"/>
      </w:pPr>
      <w:r/>
      <w:r>
        <w:rPr>
          <w:b/>
        </w:rPr>
        <w:t>Justification :</w:t>
      </w:r>
      <w:r>
        <w:t xml:space="preserve"> Le sevrage brutal du vasoconstricteur est la mesure la plus efficace pour traiter la rhinite médicamenteuse, mais il s'accompagne d'une obstruction nasale majeure pendant les premiers jours (rebond). Le corticoïde nasal permet de réduire l'inflammation muqueuse et de favoriser la récupération de la fonction muqueuse. L'ipratropium nasal permet de réduire la rhinorrhée rebond. Le lavage nasal au sérum physiologique permet d'humidifier la muqueuse et de favoriser l'évacuation des sécrétions.</w:t>
      </w:r>
    </w:p>
    <w:p>
      <w:pPr>
        <w:pStyle w:val="ListBullet"/>
      </w:pPr>
      <w:r/>
      <w:r>
        <w:rPr>
          <w:b/>
        </w:rPr>
        <w:t>Surveillance :</w:t>
      </w:r>
      <w:r>
        <w:t xml:space="preserve"> Examen clinique à 4 semaines et à 8 semaines pour évaluer la réponse (débit nasal inspiratoire, score symptomatique) et la tolérance. Consultation ORL spécialisée en cas d'échec à 8 semaines (parfois nécessité de courte cure de corticothérapie orale, prednisone 0,5 mg/kg/jour pendant 7 jours, ou chirurgie nasale en cas de déviation septale associée).</w:t>
      </w:r>
    </w:p>
    <w:p>
      <w:pPr>
        <w:pStyle w:val="ListBullet"/>
      </w:pPr>
      <w:r/>
      <w:r>
        <w:rPr>
          <w:b/>
        </w:rPr>
        <w:t>Conseils au comptoir :</w:t>
      </w:r>
      <w:r>
        <w:t xml:space="preserve"> Refus de la délivrance d'oxymétazoline (réservée aux usages courts ≤ 5 jours). Information sur le caractère iatrogène de la rhinite médicamenteuse et sur la nécessité du sevrage. Information sur les alternatives (corticoïde nasal, lavage nasal, ipratropium) et sur la durée du traitement de sevrage (8 semaines minimum). Information sur le risque de récidive en cas de reprise d'un vasoconstricteur nasal.</w:t>
      </w:r>
    </w:p>
    <w:p>
      <w:r/>
      <w:r>
        <w:rPr>
          <w:b/>
        </w:rPr>
        <w:t>Cas clinique 4 — Congestion nasale au cours de la grossesse (rhinite gravidique) chez une femme enceinte de 28 semaines :</w:t>
      </w:r>
      <w:r/>
    </w:p>
    <w:p>
      <w:r>
        <w:t>Patiente de 30 ans, enceinte de 28 semaines (3e trimestre), présentant une rhinite gravidique (congestion nasale bilatérale persistante, sans rhinorrhée, sans éternuements) évoluant depuis 4 semaines, résistante au lavage nasal au sérum physiologique. Pas d'antécédent cardiovasculaire ou ophtalmologique. Pas d'hypertension gravidique.</w:t>
      </w:r>
    </w:p>
    <w:p>
      <w:pPr>
        <w:pStyle w:val="ListBullet"/>
      </w:pPr>
      <w:r/>
      <w:r>
        <w:rPr>
          <w:b/>
        </w:rPr>
        <w:t>Choix thérapeutique :</w:t>
      </w:r>
      <w:r>
        <w:t xml:space="preserve"> Lavage nasal au sérum physiologique 4 à 6 fois par jour en première intention (déjà initié, inefficace seul). Association à un corticoïde nasal (fluticasone propionate 50 µg/dose : 2 pulvérisations/narine une fois par jour) en traitement de fond. En cas d'obstruction majeure perturbant le sommeil, oxymétazoline spray nasal 0,05 % (RESPIBIEN ou RESPINHAL) en usage court nocturne (1 pulvérisation dans chaque narine au coucher) pendant 5 jours maximum, en respectant les contre-indications (pas d'hypertension gravidique, pas de pré-éclampsie).</w:t>
      </w:r>
    </w:p>
    <w:p>
      <w:pPr>
        <w:pStyle w:val="ListBullet"/>
      </w:pPr>
      <w:r/>
      <w:r>
        <w:rPr>
          <w:b/>
        </w:rPr>
        <w:t>Justification :</w:t>
      </w:r>
      <w:r>
        <w:t xml:space="preserve"> Le lavage nasal au sérum physiologique est le traitement de première intention de la rhinite gravidique (non pharmacologique, dénué d'effets indésirables, compatible avec la grossesse). Le corticoïde nasal (fluticasone propionate) est le traitement de fond de la rhinite gravidique persistante (données rassurantes du CRAT, faible biodisponibilité systémique). L'oxymétazoline est compatible avec la grossesse en usage court (≤ 5 jours) selon le CRAT, en respectant les contre-indications (hypertension gravidique, pré-éclampsie).</w:t>
      </w:r>
    </w:p>
    <w:p>
      <w:pPr>
        <w:pStyle w:val="ListBullet"/>
      </w:pPr>
      <w:r/>
      <w:r>
        <w:rPr>
          <w:b/>
        </w:rPr>
        <w:t>Surveillance :</w:t>
      </w:r>
      <w:r>
        <w:t xml:space="preserve"> Surveillance tensionnelle maternelle (recherche d'hypertension gravidique ou de pré-éclampsie). Surveillance de la tolérance locale (sécheresse nasale, épistaxis). Consultation obstétricale en cas de modification de la tension artérielle ou d'apparition de signes de pré-éclampsie.</w:t>
      </w:r>
    </w:p>
    <w:p>
      <w:pPr>
        <w:pStyle w:val="ListBullet"/>
      </w:pPr>
      <w:r/>
      <w:r>
        <w:rPr>
          <w:b/>
        </w:rPr>
        <w:t>Conseils au comptoir :</w:t>
      </w:r>
      <w:r>
        <w:t xml:space="preserve"> Information sur le caractère compatible de l'oxymétazoline avec la grossesse en usage court (≤ 5 jours). Information sur les contre-indications (hypertension gravidique, pré-éclampsie). Information sur la nécessité d'associer un lavage nasal au sérum physiologique et un corticoïde nasal en traitement de fond. Information sur le risque de rhinite médicamenteuse en cas d'usage prolongé.</w:t>
      </w:r>
    </w:p>
    <w:p>
      <w:r/>
      <w:r>
        <w:rPr>
          <w:b/>
        </w:rPr>
        <w:t>Cas clinique 5 — Conjonctivite allergique congestive chez un enfant de 8 ans :</w:t>
      </w:r>
      <w:r/>
    </w:p>
    <w:p>
      <w:r>
        <w:t>Enfant de 8 ans, sans antécédent particulier, présentant une conjonctivite allergique saisonnière congestive (yeux rouges, prurigineux, larmoiement, œdème palpébral léger) évoluant depuis 2 jours, sans baisse d'acuité visuelle, sans douleur oculaire.</w:t>
      </w:r>
    </w:p>
    <w:p>
      <w:pPr>
        <w:pStyle w:val="ListBullet"/>
      </w:pPr>
      <w:r/>
      <w:r>
        <w:rPr>
          <w:b/>
        </w:rPr>
        <w:t>Choix thérapeutique :</w:t>
      </w:r>
      <w:r>
        <w:t xml:space="preserve"> Collyre antihistaminique (olopatadine 0,1 % ou azelastine 0,05 %), 1 goutte dans chaque œil 2 fois par jour pendant 7 à 14 jours. Lavage oculaire au sérum physiologique 2 à 3 fois par jour. Éviction allergénique (pollens, acariens, animaux).</w:t>
      </w:r>
    </w:p>
    <w:p>
      <w:pPr>
        <w:pStyle w:val="ListBullet"/>
      </w:pPr>
      <w:r/>
      <w:r>
        <w:rPr>
          <w:b/>
        </w:rPr>
        <w:t>Justification :</w:t>
      </w:r>
      <w:r>
        <w:t xml:space="preserve"> Le collyre antihistaminique pur (olopatadine, azelastine) est le traitement de première intention de la conjonctivite allergique congestive chez l'enfant de moins de 12 ans, en raison de son efficacité et de sa bonne tolérance. Les collyres vasoconstricteurs (phényléphrine, naphazoline) sont contre-indiqués chez l'enfant de moins de 12 ans en raison du risque de toxicité systémique (mydriase, hypertension, troubles du rythme pour la phényléphrine ; toxicité neurologique centrale pour la naphazoline).</w:t>
      </w:r>
    </w:p>
    <w:p>
      <w:pPr>
        <w:pStyle w:val="ListBullet"/>
      </w:pPr>
      <w:r/>
      <w:r>
        <w:rPr>
          <w:b/>
        </w:rPr>
        <w:t>Surveillance :</w:t>
      </w:r>
      <w:r>
        <w:t xml:space="preserve"> Examen clinique à 3 à 5 jours pour évaluer la réponse (réduction de l'hyperhémie conjonctivale, du prurit, de l'œdème palpébral). Consultation ophtalmologique en cas de non-réponse à 7 jours ou d'aggravation (suspicion de surinfection bactérienne, de kératite, d'uvéite).</w:t>
      </w:r>
    </w:p>
    <w:p>
      <w:pPr>
        <w:pStyle w:val="ListBullet"/>
      </w:pPr>
      <w:r/>
      <w:r>
        <w:rPr>
          <w:b/>
        </w:rPr>
        <w:t>Conseils au comptoir :</w:t>
      </w:r>
      <w:r>
        <w:t xml:space="preserve"> Refus de la délivrance de collyre vasoconstricteur (phényléphrine, naphazoline) chez l'enfant de moins de 12 ans. Information sur l'efficacité et la tolérance du collyre antihistaminique pur. Information sur l'importance du lavage oculaire au sérum physiologique et de l'éviction allergénique. Information sur la nécessité de consulter un ophtalmologue en cas de non-réponse à 7 jours.</w:t>
      </w:r>
    </w:p>
    <w:p>
      <w:pPr>
        <w:pStyle w:val="Heading2"/>
      </w:pPr>
      <w:r>
        <w:t>132.7 Conclusion</w:t>
      </w:r>
    </w:p>
    <w:p>
      <w:r>
        <w:t xml:space="preserve">Les vasoconstricteurs et anticholinergiques nasaux représentent un pan essentiel de la pharmacopée ORL algérienne, malgré leur ancienneté (princeps des années 1950 à 1970) et la disponibilité de molécules plus modernes (corticoïdes nasaux, antihistaminiques topiques). Les </w:t>
      </w:r>
      <w:r>
        <w:rPr>
          <w:b/>
        </w:rPr>
        <w:t>imidazolines</w:t>
      </w:r>
      <w:r>
        <w:t xml:space="preserve"> (oxymétazoline, naphazoline, tuaminoheptane) restent les vasoconstricteurs nasaux de référence pour le traitement symptomatique de courte durée (5 jours maximum) de la congestion nasale aiguë, en raison de leur rapidité d'action (5 à 10 minutes), de leur durée d'action prolongée (10 à 12 heures pour l'oxymétazoline) et de leur bonne tolérance locale en usage court. Les </w:t>
      </w:r>
      <w:r>
        <w:rPr>
          <w:b/>
        </w:rPr>
        <w:t>sympathomimétiques non imidazolinés</w:t>
      </w:r>
      <w:r>
        <w:t xml:space="preserve"> (phényléphrine, éphédrine) ont une place plus limitée en pratique ORL algérienne : la phényléphrine est essentiellement utilisée en collyre ophtalmologique (vasoconstriction conjonctivale et mydriase diagnostique), tandis que l'éphédrine est strictement réservée à l'usage hospitalier injectable (hypotension peranesthésique). Les </w:t>
      </w:r>
      <w:r>
        <w:rPr>
          <w:b/>
        </w:rPr>
        <w:t>anticholinergiques nasaux</w:t>
      </w:r>
      <w:r>
        <w:t xml:space="preserve"> (ipratropium) occupent une place spécifique dans le traitement de la rhinorrhée persistante (rhinite vasomotrice, rhinite gustative, rhinite médicamenteuse), en complément des corticoïdes nasaux et du lavage nasal.</w:t>
      </w:r>
    </w:p>
    <w:p>
      <w:r>
        <w:t>La prescription et la délivrance de ces médicaments doivent intégrer plusieurs dimensions : (1) le choix de la molécule en fonction du symptôme prédominant (congestion pour les vasoconstricteurs, rhinorrhée pour les anticholinergiques), (2) le respect strict de la durée maximale d'utilisation (5 jours pour les vasoconstricteurs), (3) la sélection du dosage adapté à l'âge (pédiatrique vs adulte), (4) la vérification des contre-indications cardiovasculaires (hypertension, coronaropathie, hyperthyroïdie) et ophtalmologiques (glaucome à angle fermé), (5) l'information du patient sur les risques de rhinite médicamenteuse (vasoconstricteurs) et de sécheresse nasale (anticholinergiques), et (6) la surveillance particulière chez la femme enceinte (compatible avec l'oxymétazoline, l'ipratropium et la phényléphrine locale en usage court), chez l'enfant (contre-indication des vasoconstricteurs nasaux chez l'enfant de moins de 12 ans en l'absence de concentration pédiatrique disponible en Algérie) et chez le sujet âgé (prudence en raison du risque cardiovasculaire et de la rétention urinaire).</w:t>
      </w:r>
    </w:p>
    <w:p>
      <w:r>
        <w:t>La formation continue des pharmaciens d'officine et des médecins généralistes sur les bonnes pratiques de prescription et de délivrance de ces médicaments est un enjeu majeur de santé publique en Algérie. La rhinite médicamenteuse, complication iatrogène évitable, reste fréquente en pratique courante et témoigne d'un défaut d'information des patients et d'une insuffisance de traçabilité pharmaceutique. Le développement de programmes d'éducation thérapeutique ciblés sur l'usage rationnel des vasoconstricteurs nasaux, ainsi que la promotion du lavage nasal au sérum physiologique en première intention, constituent des axes prioritaires d'amélioration de la qualité de la prise en charge des rhinites en Algérie.</w:t>
      </w:r>
    </w:p>
    <w:p>
      <w:pPr>
        <w:pStyle w:val="Heading1"/>
      </w:pPr>
      <w:r>
        <w:t>Chapitre 133 — Corticoïdes et antihistaminiques nasaux</w:t>
      </w:r>
    </w:p>
    <w:p>
      <w:pPr>
        <w:pStyle w:val="Heading2"/>
      </w:pPr>
      <w:r>
        <w:t>133.1 Introduction générale</w:t>
      </w:r>
    </w:p>
    <w:p>
      <w:r>
        <w:t xml:space="preserve">La rhinologie clinique a connu, au cours des quatre dernières décennies, une véritable révolution thérapeutique dont les deux piliers fondamentaux sont les </w:t>
      </w:r>
      <w:r>
        <w:rPr>
          <w:b/>
        </w:rPr>
        <w:t>corticoïdes par voie nasale</w:t>
      </w:r>
      <w:r>
        <w:t xml:space="preserve"> et les </w:t>
      </w:r>
      <w:r>
        <w:rPr>
          <w:b/>
        </w:rPr>
        <w:t>antihistaminiques topiques nasaux</w:t>
      </w:r>
      <w:r>
        <w:t>. Ces deux classes médicamenteuses, Administrées par pulvérisation intranasale, ont transformé la prise en charge des pathologies inflammatoires et allergiques de la cavité nasale et des sinus parasi-nasaux, qui représentent l'une des motivations les plus fréquentes de consultation en médecine générale et en ORL. La rhinite allergique touche en effet 25 à 35 % de la population générale selon les enquêtes épidémiologiques internationales (étude ISAAC), avec une prévalence en progression constante dans les pays industrialisés et émergents ; la polypose nasosinusienne atteint 2 à 4 % de la population adulte, et la rhinite non allergique (vasomotrice, médicamenteuse, hormonale, professionnelle) constitue un motif de consultation ORL quotidien. La nomenclature algérienne (Avril 2026) recense six DCIs rhinologiques de ces deux classes, réparties en deux sous-classes : quatre corticoïdes nasaux (mométasone, fluticasone propionate et furoate, beclométasone, budésonide) et deux antihistaminiques nasaux (azélastine, olopatadine).</w:t>
      </w:r>
    </w:p>
    <w:p>
      <w:r>
        <w:t xml:space="preserve">Les </w:t>
      </w:r>
      <w:r>
        <w:rPr>
          <w:b/>
        </w:rPr>
        <w:t>corticoïdes par voie nasale</w:t>
      </w:r>
      <w:r>
        <w:t xml:space="preserve"> agissent en ciblant le foyer inflammatoire local de la muqueuse nasale et sinusienne. Leur mécanisme d'action moléculaire est identique à celui des corticoïdes systémiques — fixation au récepteur glucocorticoïde (GR) cytosolique, translocation nucléaire, modulation transcriptionnelle via les GRE (Glucocorticoid Response Elements) positifs et négatifs, trans-répression de NF-κB et AP-1 — mais leur originalité tient à une </w:t>
      </w:r>
      <w:r>
        <w:rPr>
          <w:b/>
        </w:rPr>
        <w:t>biodisponibilité systémique extrêmement faible</w:t>
      </w:r>
      <w:r>
        <w:t xml:space="preserve"> (généralement inférieure à 1 à 2 %) obtenue par combinaison d'une métabolisation hépatique massive (effet de premier passage) et d'une lipophilie optimisée pour la fixation locale sur la muqueuse. Cette double caractéristique permet un effet anti-inflammatoire local puissant tout en minimisant les effets systémiques (rétention hydrosodée, ostéoporose, syndrome de Cushing, insuffisance surrénalienne), ce qui autorise un traitement d'entretien prolongé sur des mois, voire des années, chez les patients souffrant de rhinite allergique persistante ou de polypose nasosinusienne. Le délai d'action, de 12 à 72 heures pour les premiers effets, et de 2 à 4 semaines pour l'effet maximal, est un point d'éducation thérapeutique capital : le patient doit être informé que le spray nasal corticoïde n'est pas un traitement « de secours » mais un traitement de fond, et que l'observance quotidienne est la condition de l'efficacité.</w:t>
      </w:r>
    </w:p>
    <w:p>
      <w:r>
        <w:t xml:space="preserve">Les </w:t>
      </w:r>
      <w:r>
        <w:rPr>
          <w:b/>
        </w:rPr>
        <w:t>antihistaminiques topiques nasaux</w:t>
      </w:r>
      <w:r>
        <w:t xml:space="preserve"> constituent la seconde grande classe de la rhinologie topique. Représentés principalement par l'azélastine et l'olopatadine, ce sont des antagonistes compétitifs du récepteur H1 de l'histamine, administrés directement sur la muqueuse nasale. Leur intérêt principal est un </w:t>
      </w:r>
      <w:r>
        <w:rPr>
          <w:b/>
        </w:rPr>
        <w:t>délai d'action très court</w:t>
      </w:r>
      <w:r>
        <w:t xml:space="preserve"> (15 à 30 minutes contre 12 à 72 heures pour les corticoïdes), qui en fait un traitement symptomatique de la rhinite allergique, particulièrement efficace sur le prurit nasal, l'éternuement et la rhinorrhée. L'azélastine possède par ailleurs une activité anti-allergique additionnelle (inhibition de la libération de leucotriènes, de la migration des éosinophiles, de l'expression des molécules d'adhésion) qui potentialise son effet clinique au-delà du simple blocage H1. Les principaux inconvénients de cette classe sont le goût amer caractéristique (qui peut altérer l'observance), une somnolence légère (par passage systémique minime mais réelle, contre-indiquant la conduite automobile chez certains patients sensibles), une irritation locale transitoire et une épistaxis rare.</w:t>
      </w:r>
    </w:p>
    <w:p>
      <w:r>
        <w:t>L'usage combiné de ces deux classes — corticoïde nasal en traitement de fond + antihistaminique nasal en traitement symptomatique de secours, ou en association fixe comme la spécialité Dymista® (azélastine + fluticasone propionate, non disponible en Algérie à ce jour mais connue des référentiels internationaux) — représente aujourd'hui la stratégie thérapeutique optimale dans les rhinites allergiques modérées à sévères selon les recommandations ARIA (Allergic Rhinitis and its Impact on Asthma). La synergie d'action repose sur des mécanismes complémentaires : le corticoïde réprime l'inflammation de fond (phase tardive), l'antihistaminique bloque la symptomatologie immédiate (phase précoce). Cette approche permet également de réduire les doses de corticoïdes par synergie, diminuant ainsi le risque d'effets indésirables locaux (épistaxis, perforation septale).</w:t>
      </w:r>
    </w:p>
    <w:p>
      <w:r>
        <w:t>Ce chapitre aborde successivement les deux sous-classes thérapeutiques en couvrant pour chacune des six DCI disponibles les douze dimensions cliniques nécessaires à la pratique pharmaceutique et médicale : mécanisme d'action moléculaire, profil pharmacologique complet, effets indésirables locaux et systémiques, prévention de la iatrogénicité, interactions médicamenteuses, données de grossesse et d'allaitement selon le CRAT (Centre de Renseignement sur les Agents Tératogènes) et les recommandations internationales, posologie selon l'âge et l'indication, arbitrage entre formes galéniques et entre molécules, conseils au patient au comptoir, et pièges à éviter en officine. Une attention particulière est portée aux spécialités disponibles en Algérie — NASONEX, NASAMEX, MOMENEX, MEDONEX, NOVASPRAY, RHINONEX, TASONEX, ETACID (mométasone) ; FLEXODOZ, FLIXASONE, FLIXODIS, FLIXONE, FLOMIST, FLUCASONE, FLUCASONE MINI, FLUTEL, FLUTINASE, AVAMYS (fluticasone) ; BECANOS, NASABEC, RINOCLENIL 100 (beclométasone) ; DONICORT, RESPICORT, RHINOCORT, RHINODIS, RHINODOZE, RINONIDE (budésonide) ; NASALAST (azélastine) — avec mention de leur statut administratif (ACTIF, NON_RENOUVELABLE, RETRAIT) tel que figurant dans la nomenclature officielle.</w:t>
      </w:r>
    </w:p>
    <w:p>
      <w:pPr>
        <w:pStyle w:val="Heading3"/>
      </w:pPr>
      <w:r>
        <w:t>133.1.1 Rappel anatomique et physiologique de la muqueuse nasale</w:t>
      </w:r>
    </w:p>
    <w:p>
      <w:r>
        <w:t xml:space="preserve">La cavité nasale, premier étage des voies aériennes supérieures, est tapissée d'une muqueuse spécialisée dont la structure histologique et la fonction physiologique conditionnent la pharmacologie des topiques nasaux. La </w:t>
      </w:r>
      <w:r>
        <w:rPr>
          <w:b/>
        </w:rPr>
        <w:t>muqueuse respiratoire nasale</w:t>
      </w:r>
      <w:r>
        <w:t xml:space="preserve"> est constituée d'un épithélium cylindrique pseudostratifié cilié, reposant sur une membrane basale et un chorion richement vascularisé. Elle s'étend des seuils narinaires jusqu'au nasopharynx, recouvrant les cornets (inférieur, moyen, supérieur), le septum et les parois latérales. Sa surface totale chez l'adulte est d'environ 150 à 200 cm². L'épithélium comprend quatre types cellulaires : les </w:t>
      </w:r>
      <w:r>
        <w:rPr>
          <w:b/>
        </w:rPr>
        <w:t>cellules ciliées</w:t>
      </w:r>
      <w:r>
        <w:t xml:space="preserve"> (50 à 80 % des cellules, responsables du transport mucociliaire), les </w:t>
      </w:r>
      <w:r>
        <w:rPr>
          <w:b/>
        </w:rPr>
        <w:t>cellules caliciformes</w:t>
      </w:r>
      <w:r>
        <w:t xml:space="preserve"> (sécrétion de mucus), les </w:t>
      </w:r>
      <w:r>
        <w:rPr>
          <w:b/>
        </w:rPr>
        <w:t>cellules basales</w:t>
      </w:r>
      <w:r>
        <w:t xml:space="preserve"> (cellules souches de renouvellement) et les </w:t>
      </w:r>
      <w:r>
        <w:rPr>
          <w:b/>
        </w:rPr>
        <w:t>cellules à microvillosités</w:t>
      </w:r>
      <w:r>
        <w:t xml:space="preserve"> (fonction olfactive résiduelle et absorption).</w:t>
      </w:r>
    </w:p>
    <w:p>
      <w:r>
        <w:t xml:space="preserve">Le </w:t>
      </w:r>
      <w:r>
        <w:rPr>
          <w:b/>
        </w:rPr>
        <w:t>chorion</w:t>
      </w:r>
      <w:r>
        <w:t xml:space="preserve"> sous-jacent contient un réseau vasculaire très particulier, composé de </w:t>
      </w:r>
      <w:r>
        <w:rPr>
          <w:b/>
        </w:rPr>
        <w:t>plexus caverneux</w:t>
      </w:r>
      <w:r>
        <w:t xml:space="preserve"> (sinus veineux) situés principalement au niveau du cornet inférieur, capables de se remplir rapidement et d'augmenter le volume de la muqueuse jusqu'à tripler son épaisseur en quelques minutes. Cette vascularisation érectile est contrôlée par le système nerveux autonome (sympathique vasoconstricteur, parasympathique vasodilatateur) et explique la congestibilité nasale (vasomotricité). La muqueuse nasale est également innervée par les premières branches du trijumeau (V1 et V2) et par le nerf olfactif (I), ce qui explique la sensibilité douloureuse et la perception du goût des topiques nasaux.</w:t>
      </w:r>
    </w:p>
    <w:p>
      <w:r>
        <w:t xml:space="preserve">La </w:t>
      </w:r>
      <w:r>
        <w:rPr>
          <w:b/>
        </w:rPr>
        <w:t>fonction mucociliaire</w:t>
      </w:r>
      <w:r>
        <w:t xml:space="preserve"> est un mécanisme de défense essentiel : 1 à 2 litres de mucus nasal sont produits quotidiennement, transportés à une vitesse de 5 à 10 mm/min par le battement ciliaire (1000 battements/min) vers le nasopharynx, où ils sont déglutis. Tout médicament topique nasal altère transitoirement cette fonction ; les corticoïdes à haute dose ou en usage prolongé peuvent diminuer la fréquence ciliaire, ce qui impose de respecter les posologies recommandées. L'absorption systémique d'un topique nasal dépend de la lipophilie de la molécule, du pH de la formulation (le pH physiologique nasal est de 5,5 à 6,5), du volume administré par pulvérisation et de la fréquence d'administration.</w:t>
      </w:r>
    </w:p>
    <w:p>
      <w:pPr>
        <w:pStyle w:val="Heading3"/>
      </w:pPr>
      <w:r>
        <w:t>133.1.2 Historique de la corticothérapie nasale</w:t>
      </w:r>
    </w:p>
    <w:p>
      <w:r>
        <w:t xml:space="preserve">L'histoire de la corticothérapie nasale commence dans les années 1950–1960 avec l'usage empirique d'hydrocortisone et de prednisolone en instillation nasale, rapidement abandonné en raison de l'absorption systémique majeure (effet équivalent à une corticothérapie orale) et de l'inefficacité locale relative. La première génération de corticoïdes nasaux modernes apparaît en 1973 avec la </w:t>
      </w:r>
      <w:r>
        <w:rPr>
          <w:b/>
        </w:rPr>
        <w:t>beclométasone dipropionate</w:t>
      </w:r>
      <w:r>
        <w:t xml:space="preserve"> (Béconase®), premier corticoïde à bénéficier d'une galénique en spray doseur et d'un métabolisme hépatique de premier passage significatif. La deuxième génération des années 1980 introduit la </w:t>
      </w:r>
      <w:r>
        <w:rPr>
          <w:b/>
        </w:rPr>
        <w:t>fluticasone propionate</w:t>
      </w:r>
      <w:r>
        <w:t xml:space="preserve"> (Flixonase®, 1990) et le </w:t>
      </w:r>
      <w:r>
        <w:rPr>
          <w:b/>
        </w:rPr>
        <w:t>budésonide</w:t>
      </w:r>
      <w:r>
        <w:t xml:space="preserve"> (Rhinocort®, 1981), qui bénéficient d'une lipophilie supérieure, d'une biodisponibilité orale inférieure à 1 %, et d'une tolérance locale meilleure. La troisième génération des années 1990–2000 introduit la </w:t>
      </w:r>
      <w:r>
        <w:rPr>
          <w:b/>
        </w:rPr>
        <w:t>mométasone furoate</w:t>
      </w:r>
      <w:r>
        <w:t xml:space="preserve"> (Nasonex®, 1997) et la </w:t>
      </w:r>
      <w:r>
        <w:rPr>
          <w:b/>
        </w:rPr>
        <w:t>fluticasone furoate</w:t>
      </w:r>
      <w:r>
        <w:t xml:space="preserve"> (Avamys®, 2007), qui représentent l'état de l'art actuel : affinité maximale pour le GR, biodisponibilité systémique négligeable, tolérance nasale et oculaire optimale, autorisation pédiatrique précoce (2 ans pour la fluticasone furoate, 3 ans pour la mométasone). Ces générations successives ont permis d'élargir les indications, de diminuer la fréquence d'administration (de 4 pulvérisations/jour à 1 pulvérisation/jour), et d'améliorer l'observance.</w:t>
      </w:r>
    </w:p>
    <w:p>
      <w:pPr>
        <w:pStyle w:val="Heading3"/>
      </w:pPr>
      <w:r>
        <w:t>133.1.3 Historique des antihistaminiques nasaux</w:t>
      </w:r>
    </w:p>
    <w:p>
      <w:r>
        <w:t>L'histoire des antihistaminiques nasaux est plus récente. Le récepteur H1 de l'histamine a été caractérisé en 1966 par Ash et Schild, et les premiers antihistaminiques H1 (péni de première génération : pyrilamine, diphénhydramine, chlorphéniramine) ont été développés dans les années 1940–1950 mais n'étaient disponibles que par voie orale, avec une sédation marquée. Le développement de la voie nasale est apparu dans les années 1990 avec l'</w:t>
      </w:r>
      <w:r>
        <w:rPr>
          <w:b/>
        </w:rPr>
        <w:t>azélastine</w:t>
      </w:r>
      <w:r>
        <w:t xml:space="preserve"> (Allergodil® spray nasal, 1997), premier antihistaminique H1 de deuxième génération disponible en topique nasal. L'</w:t>
      </w:r>
      <w:r>
        <w:rPr>
          <w:b/>
        </w:rPr>
        <w:t>olopatadine</w:t>
      </w:r>
      <w:r>
        <w:t xml:space="preserve"> (Patanase® spray nasal, 2008) est venue compléter l'arsenal dix ans plus tard, avec un profil pharmacologique très proche mais une meilleure tolérance locale et une moindre somnolence. Aucune de ces deux spécialités princeps n'est actuellement commercialisée en Algérie sous forme nasale ; seule la forme injectable de l'azélastine (NASALAST, Biopharm) figure dans la nomenclature, ce qui rend l'accès à l'antihistaminique nasal particulièrement limité dans ce pays.</w:t>
      </w:r>
    </w:p>
    <w:p>
      <w:pPr>
        <w:pStyle w:val="Heading3"/>
      </w:pPr>
      <w:r>
        <w:t>133.1.4 Place des topiques nasaux dans la stratégie thérapeutique ARIA</w:t>
      </w:r>
    </w:p>
    <w:p>
      <w:r>
        <w:t xml:space="preserve">Les recommandations internationales ARIA (Allergic Rhinitis and its Impact on Asthma), régulièrement mises à jour depuis 2001 (dernière version 2021), proposent une classification de la rhinite allergique en </w:t>
      </w:r>
      <w:r>
        <w:rPr>
          <w:b/>
        </w:rPr>
        <w:t>intermittente ou persistante</w:t>
      </w:r>
      <w:r>
        <w:t xml:space="preserve">, et en </w:t>
      </w:r>
      <w:r>
        <w:rPr>
          <w:b/>
        </w:rPr>
        <w:t>légère, modérée ou sévère</w:t>
      </w:r>
      <w:r>
        <w:t>, selon la durée des symptômes et leur retentissement sur la qualité de vie. La stratégie thérapeutique est gradée :</w:t>
      </w:r>
    </w:p>
    <w:p>
      <w:pPr>
        <w:pStyle w:val="ListBullet"/>
      </w:pPr>
      <w:r/>
      <w:r>
        <w:rPr>
          <w:b/>
        </w:rPr>
        <w:t>Rhinite intermittente légère</w:t>
      </w:r>
      <w:r>
        <w:t xml:space="preserve"> : antihistaminique oral ou nasal de deuxième génération, à la demande.</w:t>
      </w:r>
    </w:p>
    <w:p>
      <w:pPr>
        <w:pStyle w:val="ListBullet"/>
      </w:pPr>
      <w:r/>
      <w:r>
        <w:rPr>
          <w:b/>
        </w:rPr>
        <w:t>Rhrite intermittente modérée-sévère</w:t>
      </w:r>
      <w:r>
        <w:t xml:space="preserve"> : corticoïde nasal ± antihistaminique oral ou nasal ; cromoglicate nasal en alternative.</w:t>
      </w:r>
    </w:p>
    <w:p>
      <w:pPr>
        <w:pStyle w:val="ListBullet"/>
      </w:pPr>
      <w:r/>
      <w:r>
        <w:rPr>
          <w:b/>
        </w:rPr>
        <w:t>Rhinite persistante légère</w:t>
      </w:r>
      <w:r>
        <w:t xml:space="preserve"> : antihistaminique oral de deuxième génération en continu ou corticoïde nasal en continu.</w:t>
      </w:r>
    </w:p>
    <w:p>
      <w:pPr>
        <w:pStyle w:val="ListBullet"/>
      </w:pPr>
      <w:r/>
      <w:r>
        <w:rPr>
          <w:b/>
        </w:rPr>
        <w:t>Rhinite persistante modérée-sévère</w:t>
      </w:r>
      <w:r>
        <w:t xml:space="preserve"> : corticoïde nasal en continu d'emblée (préférence ARIA), ± antihistaminique oral ou nasal en association, ± antagonistes des leucotriènes (montélukast). Immunothérapie allergénique (désensibilisation) en seconde intention.</w:t>
      </w:r>
    </w:p>
    <w:p>
      <w:r>
        <w:t xml:space="preserve">Le corticoïde nasal est ainsi reconnu comme le </w:t>
      </w:r>
      <w:r>
        <w:rPr>
          <w:b/>
        </w:rPr>
        <w:t>traitement de référence de la rhinite allergique modérée à sévère</w:t>
      </w:r>
      <w:r>
        <w:t xml:space="preserve"> et de la polypose nasosinusienne, et l'antihistaminique nasal comme un traitement symptomatique d'appoint ou de première intention dans les formes légères.</w:t>
      </w:r>
    </w:p>
    <w:p>
      <w:pPr>
        <w:pStyle w:val="Heading3"/>
      </w:pPr>
      <w:r>
        <w:t>133.1.5 Spécificités de la prescription en Algérie</w:t>
      </w:r>
    </w:p>
    <w:p>
      <w:r>
        <w:t>La pratique algérienne de la rhinologie topique se caractérise par une large disponibilité de la corticothérapie nasale (mométasone, fluticasone, beclométasone, budésonide tous représentés par de multiples génériques) et une quasi-absence de l'antihistaminique nasal. La prescription est majoritairement le fait des médecins généralistes, des ORL et des pneumo-allergologues. La délivrance en officine est libre (Liste I mais non soumise à prescription obligatoire pour les sprays corticoïdes à faible dose), avec une automédication fréquente pour la rhinite saisonnière. Le pharmacien d'officine joue un rôle critique dans l'éducation à l'administration (technique de pulvérisation, priming du flacon, respect de la regularité), dans le dépistage des contre-indications (glaucome, herpès nasal actif, infection fungique), dans la prévention des interactions (inhibiteurs du CYP3A4) et dans la surveillance de l'observance à long terme.</w:t>
      </w:r>
    </w:p>
    <w:p>
      <w:pPr>
        <w:pStyle w:val="Heading2"/>
      </w:pPr>
      <w:r>
        <w:t>133.2 Sous-classe : Rhinologie — Corticoïdes nasaux</w:t>
      </w:r>
    </w:p>
    <w:p>
      <w:pPr>
        <w:pStyle w:val="Heading3"/>
      </w:pPr>
      <w:r>
        <w:t>133.2.1 Généralités de la sous-classe</w:t>
      </w:r>
    </w:p>
    <w:p>
      <w:r>
        <w:t xml:space="preserve">Les corticoïdes par voie nasale (aussi appelés « corticoïdes intranasaux » ou INS pour « IntraNasal CorticoSteroids » dans la littérature anglo-saxonne) constituent la </w:t>
      </w:r>
      <w:r>
        <w:rPr>
          <w:b/>
        </w:rPr>
        <w:t>classe thérapeutique de référence</w:t>
      </w:r>
      <w:r>
        <w:t xml:space="preserve"> pour le traitement de fond de la rhinite allergique persistante, de la polypose nasosinusienne, et de certaines formes de rhinite non allergique (rhinite vasomotrice prédominance éternuement, rhinite médicamenteuse en phase de sevrage aux vasoconstricteurs). Quatre DCIs sont disponibles dans la nomenclature algérienne (Avril 2026) : la </w:t>
      </w:r>
      <w:r>
        <w:rPr>
          <w:b/>
        </w:rPr>
        <w:t>mométasone furoate</w:t>
      </w:r>
      <w:r>
        <w:t xml:space="preserve"> (Nasonex® et génériques), la </w:t>
      </w:r>
      <w:r>
        <w:rPr>
          <w:b/>
        </w:rPr>
        <w:t>fluticasone propionate</w:t>
      </w:r>
      <w:r>
        <w:t xml:space="preserve"> (Flixonase® et génériques) et la </w:t>
      </w:r>
      <w:r>
        <w:rPr>
          <w:b/>
        </w:rPr>
        <w:t>fluticasone furoate</w:t>
      </w:r>
      <w:r>
        <w:t xml:space="preserve"> (Avamys®), la </w:t>
      </w:r>
      <w:r>
        <w:rPr>
          <w:b/>
        </w:rPr>
        <w:t>beclométasone dipropionate</w:t>
      </w:r>
      <w:r>
        <w:t xml:space="preserve"> (Béconase®, Becotide® et génériques) et le </w:t>
      </w:r>
      <w:r>
        <w:rPr>
          <w:b/>
        </w:rPr>
        <w:t>budésonide</w:t>
      </w:r>
      <w:r>
        <w:t xml:space="preserve"> (Rhinocort® et génériques). Toutes agissent par fixation au récepteur glucocorticoïde (GR) cytosolique de la muqueuse nasale et des sinus, avec une biodisponibilité systémique faible (0,1 à 2 %), un métabolisme hépatique de premier passage important, et une demi-vie d'élimination plasmatique variable (2 à 7,8 heures selon les molécules). Leur délai d'action est retardé : les premiers effets apparaissent en 12 à 72 heures, l'effet maximal est atteint en 2 à 4 semaines, justifiant une administration quotidienne continue plutôt que ponctuelle.</w:t>
      </w:r>
    </w:p>
    <w:p>
      <w:r>
        <w:t xml:space="preserve">Le profil d'efficacité des corticoïdes nasaux est </w:t>
      </w:r>
      <w:r>
        <w:rPr>
          <w:b/>
        </w:rPr>
        <w:t>supérieur à celui des antihistaminiques oraux</w:t>
      </w:r>
      <w:r>
        <w:t xml:space="preserve"> dans la rhinite allergique modérée à sévère (méta-analyses de Weiner et al., 1998 ; Yáñez et al., 2002), en particulier sur la </w:t>
      </w:r>
      <w:r>
        <w:rPr>
          <w:b/>
        </w:rPr>
        <w:t>congestion nasale</w:t>
      </w:r>
      <w:r>
        <w:t xml:space="preserve"> (symptôme le moins bien contrôlé par les antihistaminiques), mais aussi sur les quatre symptômes cardinaux (prurit nasal, éternuements, rhinorrhée, obstruction). Ils réduisent également les symptômes oculaires associés (conjunctivite allergique) par effet systémique minime mais réel et par effet réflexe naso-oculaire. Dans la polypose nasosinusienne, ils constituent le traitement médical de première intention, en association avec les lavages de nez salins et avant la chirurgie endoscopique. La posologie de référence est de 200 µg/jour (mométasone 50 µg × 2 pulvérisations par narine une fois par jour ; fluticasone propionate 50 µg × 2 pulvérisations par narine une fois par jour ; fluticasone furoate 27,5 µg × 2 pulvérisations par narine une fois par jour ; beclométasone 50 à 100 µg × 1 à 2 pulvérisations par narine deux fois par jour ; budésonide 64 µg × 1 à 2 pulvérisations par narine deux fois par jour).</w:t>
      </w:r>
    </w:p>
    <w:p>
      <w:r>
        <w:t xml:space="preserve">La </w:t>
      </w:r>
      <w:r>
        <w:rPr>
          <w:b/>
        </w:rPr>
        <w:t>tolérance locale</w:t>
      </w:r>
      <w:r>
        <w:t xml:space="preserve"> est globalement bonne : les effets indésirables locaux les plus fréquents sont l'irritation nasale (5 à 10 % des patients), la sécheresse nasale (5 à 10 %), l'épistaxis bénigne (5 à 10 %, en général au-delà de 6 mois d'usage continu), les éternuements post-administration et la modification transitoire du goût (dysgueusie). La </w:t>
      </w:r>
      <w:r>
        <w:rPr>
          <w:b/>
        </w:rPr>
        <w:t>perforation septale</w:t>
      </w:r>
      <w:r>
        <w:t xml:space="preserve"> est exceptionnelle (incidence inférieure à 1 pour 10 000 patients-années) et survient presque exclusivement en cas de pulvérisation répétée dirigée vers le septum, justifiant l'éducation systématique à la </w:t>
      </w:r>
      <w:r>
        <w:rPr>
          <w:b/>
        </w:rPr>
        <w:t>technique de pulvérisation dirigée vers la paroi latérale</w:t>
      </w:r>
      <w:r>
        <w:t xml:space="preserve">. Les </w:t>
      </w:r>
      <w:r>
        <w:rPr>
          <w:b/>
        </w:rPr>
        <w:t>effets systémiques</w:t>
      </w:r>
      <w:r>
        <w:t xml:space="preserve"> sont minimes avec les molécules modernes (mométasone, fluticasone propionate et furoate) : biodisponibilité inférieure à 0,1 à 2 %, absence d'effet décelable sur l'axe corticotrope aux posologies usuelles, autorisation chez l'enfant dès 2 ans (fluticasone furoate) ou 3 ans (mométasone), chez la femme enceinte (CRAT : « utilization possible quel que soit le terme ») et chez la femme allaitante.</w:t>
      </w:r>
    </w:p>
    <w:p>
      <w:r>
        <w:t>Les corticoïdes nasaux sont commercialisés en Algérie par de nombreux laboratoires nationaux (Biogalenic, Inpha-Medis, Neomedic, Novapharm Trading, Hupp Pharma, Generic Lab) et internationaux (Schering-Plough pour Nasonex, AstraZeneca pour Rhinocort, Glaxo Group pour Avamys, Chiesi pour Rinoclenil, Cipla pour Flomist), ce qui garantit une accessibilité économique et une diversité de choix. La diversité des dosages disponibles (50 µg/dose pour mométasone, fluticasone propionate, beclométasone ; 27,5 µg/dose pour fluticasone furoate ; 64 µg/dose pour budésonide) doit être maîtrisée par le pharmacien d'officine pour éviter les confusions au moment de la délivrance.</w:t>
      </w:r>
    </w:p>
    <w:p>
      <w:pPr>
        <w:pStyle w:val="Heading3"/>
      </w:pPr>
      <w:r>
        <w:t>133.2.2 DCI : Mométasone (furoate nasal)</w:t>
      </w:r>
    </w:p>
    <w:p>
      <w:r/>
      <w:r>
        <w:rPr>
          <w:b/>
        </w:rPr>
        <w:t>Liste des Catégories :</w:t>
      </w:r>
      <w:r>
        <w:t xml:space="preserve"> Liste I.</w:t>
      </w:r>
    </w:p>
    <w:p>
      <w:r>
        <w:t>Le furoate de mométasone est un corticoïde de synthèse de troisième génération, dérivé de la pregn-4-ène-3,20-dione substitué en 9α-chloro, 11β-hydroxy, 16α-méthyl, 17α-propionyloxy, 21-furoate. Cette substitution originale par un ester furoate en C21 — unique parmi les corticoïdes nasaux — confère à la molécule une affinité exceptionnelle pour le récepteur glucocorticoïde (GR), environ 22 fois supérieure à celle de la dexaméthasone, et une lipophilie très élevée. Décrite pour la première fois en 1987 par Schering-Plough, la mométasone furoate a été développée à la fois en forme dermique (crème, lotion) et en forme nasale (suspension pour pulvérisation nasale), commercialisée sous le nom de Nasonex® aux États-Unis en 1997 et en Europe peu après. La spécialité princeps Nasonex® est commercialisée en Algérie par Schering-Plough, et plusieurs génériques sont disponibles, principalement NASAMEX (Neomedic), MOMENEX (Biogalenic), MEDONEX (Inpha-Medis), NOVASPRAY (Novapharm Trading), RHINONEX (Hupp Pharma), TASONEX (Tabuk Algérie) et ETACID (World Medecine Limited). Sa prescription relève typiquement du médecin généraliste ou de l'ORL, et le pharmacien d'officine joue un rôle critique dans l'éducation à la technique de pulvérisation et à l'observance au long cours.</w:t>
      </w:r>
    </w:p>
    <w:p>
      <w:r/>
      <w:r>
        <w:rPr>
          <w:b/>
        </w:rPr>
        <w:t>Médicaments disponibles en Algérie (tableau commercial)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NASONEX</w:t>
            </w:r>
          </w:p>
        </w:tc>
        <w:tc>
          <w:tcPr>
            <w:tcW w:type="dxa" w:w="1559"/>
          </w:tcPr>
          <w:p>
            <w:r>
              <w:rPr>
                <w:sz w:val="20"/>
              </w:rPr>
              <w:t>SCHERING PLOUGH</w:t>
            </w:r>
          </w:p>
        </w:tc>
        <w:tc>
          <w:tcPr>
            <w:tcW w:type="dxa" w:w="1559"/>
          </w:tcPr>
          <w:p>
            <w:r>
              <w:rPr>
                <w:sz w:val="20"/>
              </w:rPr>
              <w:t>Suspension pour pulvérisation nasale 50 µg/dose</w:t>
            </w:r>
          </w:p>
        </w:tc>
        <w:tc>
          <w:tcPr>
            <w:tcW w:type="dxa" w:w="1559"/>
          </w:tcPr>
          <w:p>
            <w:r>
              <w:rPr>
                <w:sz w:val="20"/>
              </w:rPr>
              <w:t>Flacon de 120 doses avec pompe doseuse</w:t>
            </w:r>
          </w:p>
        </w:tc>
        <w:tc>
          <w:tcPr>
            <w:tcW w:type="dxa" w:w="1559"/>
          </w:tcPr>
          <w:p>
            <w:r>
              <w:rPr>
                <w:sz w:val="20"/>
              </w:rPr>
              <w:t>Liste I</w:t>
            </w:r>
          </w:p>
        </w:tc>
        <w:tc>
          <w:tcPr>
            <w:tcW w:type="dxa" w:w="1559"/>
          </w:tcPr>
          <w:p>
            <w:r>
              <w:rPr>
                <w:sz w:val="20"/>
              </w:rPr>
              <w:t>Actif</w:t>
            </w:r>
          </w:p>
        </w:tc>
      </w:tr>
      <w:tr>
        <w:tc>
          <w:tcPr>
            <w:tcW w:type="dxa" w:w="1559"/>
          </w:tcPr>
          <w:p>
            <w:r>
              <w:rPr>
                <w:sz w:val="20"/>
              </w:rPr>
              <w:t>NASAMEX</w:t>
            </w:r>
          </w:p>
        </w:tc>
        <w:tc>
          <w:tcPr>
            <w:tcW w:type="dxa" w:w="1559"/>
          </w:tcPr>
          <w:p>
            <w:r>
              <w:rPr>
                <w:sz w:val="20"/>
              </w:rPr>
              <w:t>NEOMEDIC</w:t>
            </w:r>
          </w:p>
        </w:tc>
        <w:tc>
          <w:tcPr>
            <w:tcW w:type="dxa" w:w="1559"/>
          </w:tcPr>
          <w:p>
            <w:r>
              <w:rPr>
                <w:sz w:val="20"/>
              </w:rPr>
              <w:t>Suspension pour pulvérisation nasale 50 µg/dose</w:t>
            </w:r>
          </w:p>
        </w:tc>
        <w:tc>
          <w:tcPr>
            <w:tcW w:type="dxa" w:w="1559"/>
          </w:tcPr>
          <w:p>
            <w:r>
              <w:rPr>
                <w:sz w:val="20"/>
              </w:rPr>
              <w:t>Flacon de 120 doses avec pompe doseuse</w:t>
            </w:r>
          </w:p>
        </w:tc>
        <w:tc>
          <w:tcPr>
            <w:tcW w:type="dxa" w:w="1559"/>
          </w:tcPr>
          <w:p>
            <w:r>
              <w:rPr>
                <w:sz w:val="20"/>
              </w:rPr>
              <w:t>Liste I</w:t>
            </w:r>
          </w:p>
        </w:tc>
        <w:tc>
          <w:tcPr>
            <w:tcW w:type="dxa" w:w="1559"/>
          </w:tcPr>
          <w:p>
            <w:r>
              <w:rPr>
                <w:sz w:val="20"/>
              </w:rPr>
              <w:t>Actif</w:t>
            </w:r>
          </w:p>
        </w:tc>
      </w:tr>
      <w:tr>
        <w:tc>
          <w:tcPr>
            <w:tcW w:type="dxa" w:w="1559"/>
          </w:tcPr>
          <w:p>
            <w:r>
              <w:rPr>
                <w:sz w:val="20"/>
              </w:rPr>
              <w:t>MOMENEX</w:t>
            </w:r>
          </w:p>
        </w:tc>
        <w:tc>
          <w:tcPr>
            <w:tcW w:type="dxa" w:w="1559"/>
          </w:tcPr>
          <w:p>
            <w:r>
              <w:rPr>
                <w:sz w:val="20"/>
              </w:rPr>
              <w:t>BIOGALENIC</w:t>
            </w:r>
          </w:p>
        </w:tc>
        <w:tc>
          <w:tcPr>
            <w:tcW w:type="dxa" w:w="1559"/>
          </w:tcPr>
          <w:p>
            <w:r>
              <w:rPr>
                <w:sz w:val="20"/>
              </w:rPr>
              <w:t>Suspension pour pulvérisation nasale 50 µg/dose</w:t>
            </w:r>
          </w:p>
        </w:tc>
        <w:tc>
          <w:tcPr>
            <w:tcW w:type="dxa" w:w="1559"/>
          </w:tcPr>
          <w:p>
            <w:r>
              <w:rPr>
                <w:sz w:val="20"/>
              </w:rPr>
              <w:t>Flacon de 120 doses avec pompe doseuse</w:t>
            </w:r>
          </w:p>
        </w:tc>
        <w:tc>
          <w:tcPr>
            <w:tcW w:type="dxa" w:w="1559"/>
          </w:tcPr>
          <w:p>
            <w:r>
              <w:rPr>
                <w:sz w:val="20"/>
              </w:rPr>
              <w:t>Liste I</w:t>
            </w:r>
          </w:p>
        </w:tc>
        <w:tc>
          <w:tcPr>
            <w:tcW w:type="dxa" w:w="1559"/>
          </w:tcPr>
          <w:p>
            <w:r>
              <w:rPr>
                <w:sz w:val="20"/>
              </w:rPr>
              <w:t>Actif</w:t>
            </w:r>
          </w:p>
        </w:tc>
      </w:tr>
      <w:tr>
        <w:tc>
          <w:tcPr>
            <w:tcW w:type="dxa" w:w="1559"/>
          </w:tcPr>
          <w:p>
            <w:r>
              <w:rPr>
                <w:sz w:val="20"/>
              </w:rPr>
              <w:t>MEDONEX</w:t>
            </w:r>
          </w:p>
        </w:tc>
        <w:tc>
          <w:tcPr>
            <w:tcW w:type="dxa" w:w="1559"/>
          </w:tcPr>
          <w:p>
            <w:r>
              <w:rPr>
                <w:sz w:val="20"/>
              </w:rPr>
              <w:t>INPHA-MEDIS</w:t>
            </w:r>
          </w:p>
        </w:tc>
        <w:tc>
          <w:tcPr>
            <w:tcW w:type="dxa" w:w="1559"/>
          </w:tcPr>
          <w:p>
            <w:r>
              <w:rPr>
                <w:sz w:val="20"/>
              </w:rPr>
              <w:t>Suspension pour pulvérisation nasale 50 µg/dose</w:t>
            </w:r>
          </w:p>
        </w:tc>
        <w:tc>
          <w:tcPr>
            <w:tcW w:type="dxa" w:w="1559"/>
          </w:tcPr>
          <w:p>
            <w:r>
              <w:rPr>
                <w:sz w:val="20"/>
              </w:rPr>
              <w:t>Flacon de 120 doses avec pompe doseuse</w:t>
            </w:r>
          </w:p>
        </w:tc>
        <w:tc>
          <w:tcPr>
            <w:tcW w:type="dxa" w:w="1559"/>
          </w:tcPr>
          <w:p>
            <w:r>
              <w:rPr>
                <w:sz w:val="20"/>
              </w:rPr>
              <w:t>Liste I</w:t>
            </w:r>
          </w:p>
        </w:tc>
        <w:tc>
          <w:tcPr>
            <w:tcW w:type="dxa" w:w="1559"/>
          </w:tcPr>
          <w:p>
            <w:r>
              <w:rPr>
                <w:sz w:val="20"/>
              </w:rPr>
              <w:t>Actif</w:t>
            </w:r>
          </w:p>
        </w:tc>
      </w:tr>
      <w:tr>
        <w:tc>
          <w:tcPr>
            <w:tcW w:type="dxa" w:w="1559"/>
          </w:tcPr>
          <w:p>
            <w:r>
              <w:rPr>
                <w:sz w:val="20"/>
              </w:rPr>
              <w:t>NOVASPRAY</w:t>
            </w:r>
          </w:p>
        </w:tc>
        <w:tc>
          <w:tcPr>
            <w:tcW w:type="dxa" w:w="1559"/>
          </w:tcPr>
          <w:p>
            <w:r>
              <w:rPr>
                <w:sz w:val="20"/>
              </w:rPr>
              <w:t>NOVAPHARM TRADING</w:t>
            </w:r>
          </w:p>
        </w:tc>
        <w:tc>
          <w:tcPr>
            <w:tcW w:type="dxa" w:w="1559"/>
          </w:tcPr>
          <w:p>
            <w:r>
              <w:rPr>
                <w:sz w:val="20"/>
              </w:rPr>
              <w:t>Suspension pour pulvérisation nasale 50 µg/dose</w:t>
            </w:r>
          </w:p>
        </w:tc>
        <w:tc>
          <w:tcPr>
            <w:tcW w:type="dxa" w:w="1559"/>
          </w:tcPr>
          <w:p>
            <w:r>
              <w:rPr>
                <w:sz w:val="20"/>
              </w:rPr>
              <w:t>Flacon de 120 doses avec pompe doseuse</w:t>
            </w:r>
          </w:p>
        </w:tc>
        <w:tc>
          <w:tcPr>
            <w:tcW w:type="dxa" w:w="1559"/>
          </w:tcPr>
          <w:p>
            <w:r>
              <w:rPr>
                <w:sz w:val="20"/>
              </w:rPr>
              <w:t>Liste I</w:t>
            </w:r>
          </w:p>
        </w:tc>
        <w:tc>
          <w:tcPr>
            <w:tcW w:type="dxa" w:w="1559"/>
          </w:tcPr>
          <w:p>
            <w:r>
              <w:rPr>
                <w:sz w:val="20"/>
              </w:rPr>
              <w:t>Actif</w:t>
            </w:r>
          </w:p>
        </w:tc>
      </w:tr>
      <w:tr>
        <w:tc>
          <w:tcPr>
            <w:tcW w:type="dxa" w:w="1559"/>
          </w:tcPr>
          <w:p>
            <w:r>
              <w:rPr>
                <w:sz w:val="20"/>
              </w:rPr>
              <w:t>RHINONEX</w:t>
            </w:r>
          </w:p>
        </w:tc>
        <w:tc>
          <w:tcPr>
            <w:tcW w:type="dxa" w:w="1559"/>
          </w:tcPr>
          <w:p>
            <w:r>
              <w:rPr>
                <w:sz w:val="20"/>
              </w:rPr>
              <w:t>HUPP PHARMA</w:t>
            </w:r>
          </w:p>
        </w:tc>
        <w:tc>
          <w:tcPr>
            <w:tcW w:type="dxa" w:w="1559"/>
          </w:tcPr>
          <w:p>
            <w:r>
              <w:rPr>
                <w:sz w:val="20"/>
              </w:rPr>
              <w:t>Suspension pour pulvérisation nasale 50 µg/dose</w:t>
            </w:r>
          </w:p>
        </w:tc>
        <w:tc>
          <w:tcPr>
            <w:tcW w:type="dxa" w:w="1559"/>
          </w:tcPr>
          <w:p>
            <w:r>
              <w:rPr>
                <w:sz w:val="20"/>
              </w:rPr>
              <w:t>Flacon de 120 doses avec pompe doseuse</w:t>
            </w:r>
          </w:p>
        </w:tc>
        <w:tc>
          <w:tcPr>
            <w:tcW w:type="dxa" w:w="1559"/>
          </w:tcPr>
          <w:p>
            <w:r>
              <w:rPr>
                <w:sz w:val="20"/>
              </w:rPr>
              <w:t>Liste I</w:t>
            </w:r>
          </w:p>
        </w:tc>
        <w:tc>
          <w:tcPr>
            <w:tcW w:type="dxa" w:w="1559"/>
          </w:tcPr>
          <w:p>
            <w:r>
              <w:rPr>
                <w:sz w:val="20"/>
              </w:rPr>
              <w:t>Actif</w:t>
            </w:r>
          </w:p>
        </w:tc>
      </w:tr>
      <w:tr>
        <w:tc>
          <w:tcPr>
            <w:tcW w:type="dxa" w:w="1559"/>
          </w:tcPr>
          <w:p>
            <w:r>
              <w:rPr>
                <w:sz w:val="20"/>
              </w:rPr>
              <w:t>TASONEX</w:t>
            </w:r>
          </w:p>
        </w:tc>
        <w:tc>
          <w:tcPr>
            <w:tcW w:type="dxa" w:w="1559"/>
          </w:tcPr>
          <w:p>
            <w:r>
              <w:rPr>
                <w:sz w:val="20"/>
              </w:rPr>
              <w:t>TABUK ALGERIE</w:t>
            </w:r>
          </w:p>
        </w:tc>
        <w:tc>
          <w:tcPr>
            <w:tcW w:type="dxa" w:w="1559"/>
          </w:tcPr>
          <w:p>
            <w:r>
              <w:rPr>
                <w:sz w:val="20"/>
              </w:rPr>
              <w:t>Suspension pour pulvérisation nasale 50 µg/dose</w:t>
            </w:r>
          </w:p>
        </w:tc>
        <w:tc>
          <w:tcPr>
            <w:tcW w:type="dxa" w:w="1559"/>
          </w:tcPr>
          <w:p>
            <w:r>
              <w:rPr>
                <w:sz w:val="20"/>
              </w:rPr>
              <w:t>Flacon de 120 doses avec pompe doseuse</w:t>
            </w:r>
          </w:p>
        </w:tc>
        <w:tc>
          <w:tcPr>
            <w:tcW w:type="dxa" w:w="1559"/>
          </w:tcPr>
          <w:p>
            <w:r>
              <w:rPr>
                <w:sz w:val="20"/>
              </w:rPr>
              <w:t>Liste I</w:t>
            </w:r>
          </w:p>
        </w:tc>
        <w:tc>
          <w:tcPr>
            <w:tcW w:type="dxa" w:w="1559"/>
          </w:tcPr>
          <w:p>
            <w:r>
              <w:rPr>
                <w:sz w:val="20"/>
              </w:rPr>
              <w:t>Actif</w:t>
            </w:r>
          </w:p>
        </w:tc>
      </w:tr>
      <w:tr>
        <w:tc>
          <w:tcPr>
            <w:tcW w:type="dxa" w:w="1559"/>
          </w:tcPr>
          <w:p>
            <w:r>
              <w:rPr>
                <w:sz w:val="20"/>
              </w:rPr>
              <w:t>ETACID</w:t>
            </w:r>
          </w:p>
        </w:tc>
        <w:tc>
          <w:tcPr>
            <w:tcW w:type="dxa" w:w="1559"/>
          </w:tcPr>
          <w:p>
            <w:r>
              <w:rPr>
                <w:sz w:val="20"/>
              </w:rPr>
              <w:t>WORLD MEDECINE LIMITED</w:t>
            </w:r>
          </w:p>
        </w:tc>
        <w:tc>
          <w:tcPr>
            <w:tcW w:type="dxa" w:w="1559"/>
          </w:tcPr>
          <w:p>
            <w:r>
              <w:rPr>
                <w:sz w:val="20"/>
              </w:rPr>
              <w:t>Spray nasal 50 µg/dose</w:t>
            </w:r>
          </w:p>
        </w:tc>
        <w:tc>
          <w:tcPr>
            <w:tcW w:type="dxa" w:w="1559"/>
          </w:tcPr>
          <w:p>
            <w:r>
              <w:rPr>
                <w:sz w:val="20"/>
              </w:rPr>
              <w:t>Boîte de 1 flacon de 140 pulvérisations</w:t>
            </w:r>
          </w:p>
        </w:tc>
        <w:tc>
          <w:tcPr>
            <w:tcW w:type="dxa" w:w="1559"/>
          </w:tcPr>
          <w:p>
            <w:r>
              <w:rPr>
                <w:sz w:val="20"/>
              </w:rPr>
              <w:t>Liste I</w:t>
            </w:r>
          </w:p>
        </w:tc>
        <w:tc>
          <w:tcPr>
            <w:tcW w:type="dxa" w:w="1559"/>
          </w:tcPr>
          <w:p>
            <w:r>
              <w:rPr>
                <w:sz w:val="20"/>
              </w:rPr>
              <w:t>Actif</w:t>
            </w:r>
          </w:p>
        </w:tc>
      </w:tr>
    </w:tbl>
    <w:p/>
    <w:p>
      <w:r>
        <w:t>La disponibilité commerciale de la mométasone nasale en Algérie repose sur sept spécialités actives au dosage unique de 50 µg/dose, conditionnées en flacon de 120 doses (60 doses par narine, soit environ 30 jours de traitement à la posologie adulte standard). Le flacon ETACID, conditionné en 140 pulvérisations, offre une marge supplémentaire d'environ 10 jours. À noter que le dosage unique (50 µg/dose) simplifie la prescription et la dispensation mais ne permet pas l'adaptation aux enfants de moins de 6 ans qui nécessiteraient une dose moindre (50 µg en une seule pulvérisation par narine, contre deux chez l'adulte). La spécialité princeps Nasonex® (Schering-Plough) est largement prescrite et bénéficie d'une reconnaissance de marque importante ; les génériques (NASAMEX, MOMENEX, MEDONEX, NOVASPRAY, RHINONEX, TASONEX, ETACID) offrent une alternative économique, avec une équivalence bio pharmaceutique démontrée mais des variations mineures possibles dans le système de pulvérisation (gomme du flacon, profil de gouttelette). Le pharmacien doit veiller à ne pas substituer sans accord du patient et à expliquer les modalités d'amorçage (priming) spécifiques à chaque flacon.</w:t>
      </w:r>
    </w:p>
    <w:p>
      <w:r/>
      <w:r>
        <w:rPr>
          <w:b/>
        </w:rPr>
        <w:t>Sous-classe et Mécanisme d'action :</w:t>
      </w:r>
      <w:r/>
    </w:p>
    <w:p>
      <w:pPr>
        <w:pStyle w:val="ListBullet"/>
      </w:pPr>
      <w:r>
        <w:t>Sous-classe : Corticoïde nasal de troisième génération, corticoïde fluoré (9α-chloro) de synthèse à ester furoate. Liste I.</w:t>
      </w:r>
    </w:p>
    <w:p>
      <w:pPr>
        <w:pStyle w:val="ListBullet"/>
      </w:pPr>
      <w:r>
        <w:t>Mécanisme d'action : La mométasone furoate, hautement lipophile, traverse la couche de mucus nasal puis diffuse à travers l'épithélium respiratoire jusqu'aux cellules cibles (cellules ciliées, cellules caliciformes, cellules endothéliales, mastocytes, éosinophiles, lymphocytes T, cellules de Langerhans muqueuses, fibroblastes sous-muqueux). Elle pénètre dans le cytoplasme de ces cellules et se fixe avec une affinité nanomolaire élevée (Kd ≈ 0,4 nM) sur le récepteur glucocorticoïde alpha (GRα) cytosolique, associé à un complexe de protéines chaperonnes (HSP90, HSP70, immunophilines FKBP51 et FKBP52). La fixation provoque une transconformation du GRα (libération des chaperonnes, exposition du signal de localisation nucléaire, dimérisation), puis sa translocation nucléaire par les pores. Dans le noyau, le complexe mométasone-GRα dimérisé se fixe aux GRE positifs (pGRE) pour activer la transcription des gènes anti-inflammatoires (annexine-1/lipocortine-1 inhibant la phospholipase A2, IκB-α inhibant NF-κB, MKP-1 inhibant MAPK, GILZ inhibant AP-1 et NF-AT) et aux GRE négatifs (nGRE) pour réprimer directement la transcription des gènes pro-inflammatoires (IL-1, IL-2, IL-3, IL-4, IL-5, IL-6, IL-8, IL-13, TNF-α, IFN-γ, GM-CSF, COX-2, iNOS). S'y ajoute une trans-répression par interaction protéine-protéine avec AP-1, NF-κB et NF-AT, sans liaison directe à l'ADN. L'effet anti-inflammatoire local qui en résulte associe : (i) inhibition de la phospholipase A2 → baisse de la synthèse des prostaglandines E2 et D2, des leucotriènes B4, C4, D4 et E4, du thromboxane A2, du PAF ; (ii) inhibition de la COX-2 ; (iii) inhibition de l'iNOS → baisse du monoxyde d'azote ; (iv) inhibition de la migration et de l'activation des éosinophiles, neutrophiles, basophiles, mastocytes, lymphocytes T ; (v) inhibition de la présentation antigénique par les cellules de Langerhans ; (vi) diminution de l'expression des molécules d'adhésion (ICAM-1, VCAM-1, sélectines E et P) ; (vii) inhibition de la perméabilité vasculaire post-capillaire → baisse de l'œdème muqueux et de la congestion nasale. L'effet est local (muqueuse nasale et sinusienne) avec une biodisponibilité systémique orale inférieure à 1 % (métabolisme hépatique de premier passage intense par CYP3A4) et une biodisponibilité systémique nasale inférieure à 0,1 %.</w:t>
      </w:r>
    </w:p>
    <w:p>
      <w:r/>
      <w:r>
        <w:rPr>
          <w:b/>
        </w:rPr>
        <w:t>Profil Pharmacologique :</w:t>
      </w:r>
      <w:r/>
    </w:p>
    <w:p>
      <w:pPr>
        <w:pStyle w:val="ListBullet"/>
      </w:pPr>
      <w:r>
        <w:t xml:space="preserve">Indications AMM adultes et enfants : (1) </w:t>
      </w:r>
      <w:r>
        <w:rPr>
          <w:b/>
        </w:rPr>
        <w:t>Rhinite allergique saisonnière et perannuelle</w:t>
      </w:r>
      <w:r>
        <w:t xml:space="preserve"> chez l'adulte et l'enfant à partir de 3 ans (parfois 2 ans selon les pays) — traitement symptomatique de la congestion nasale, de la rhinorrhée, des éternuements et du prurit nasal ; traitement prophylactique de la rhinite saisonnière (début 2 à 4 semaines avant la saison pollinique). (2) </w:t>
      </w:r>
      <w:r>
        <w:rPr>
          <w:b/>
        </w:rPr>
        <w:t>Polypose nasosinusienne</w:t>
      </w:r>
      <w:r>
        <w:t xml:space="preserve"> chez l'adulte — traitement d'entretien après chirurgie endoscopique ou traitement médical de première intention ; réduction du volume des polypes et amélioration de la congestion nasale, de l'anosmie et des céphalées sinusennes. (3) </w:t>
      </w:r>
      <w:r>
        <w:rPr>
          <w:b/>
        </w:rPr>
        <w:t>Rhinite non allergique</w:t>
      </w:r>
      <w:r>
        <w:t xml:space="preserve"> (vasomotrice, professionnelle) en seconde intention. (4) </w:t>
      </w:r>
      <w:r>
        <w:rPr>
          <w:b/>
        </w:rPr>
        <w:t>Adénoïdite chronique de l'enfant</w:t>
      </w:r>
      <w:r>
        <w:t xml:space="preserve"> (selon l'AMM européenne). (5) Dans certaines protocoles ORL, traitement d'appoint des sinusites chroniques (en association avec antibiothérapie et lavage nasal). (6) Indications ORL spécialisées : rhinite medicamenteuse (phase de sevrage aux vasoconstricteurs).</w:t>
      </w:r>
    </w:p>
    <w:p>
      <w:pPr>
        <w:pStyle w:val="ListBullet"/>
      </w:pPr>
      <w:r>
        <w:t xml:space="preserve">Contre-indications : Hypersensibilité à la mométasone ou à l'un des excipients (chlorure de benzalkonium, polysorbate 80, acide citrique, citrate de sodium, glycérol, eau purifiée) ; infection locale non traitée notamment </w:t>
      </w:r>
      <w:r>
        <w:rPr>
          <w:b/>
        </w:rPr>
        <w:t>fongique nasosinusienne</w:t>
      </w:r>
      <w:r>
        <w:t xml:space="preserve"> (aspergillose, mucormycose) et </w:t>
      </w:r>
      <w:r>
        <w:rPr>
          <w:b/>
        </w:rPr>
        <w:t>herpès nasal actif</w:t>
      </w:r>
      <w:r>
        <w:t xml:space="preserve"> ; tuberculose nasosinusienne ; </w:t>
      </w:r>
      <w:r>
        <w:rPr>
          <w:b/>
        </w:rPr>
        <w:t>glaucome</w:t>
      </w:r>
      <w:r>
        <w:t xml:space="preserve"> (par prudence, en raison du passage systémique minime mais possible et de l'effet corticoïde sur le trabéculum) ; antécédent de </w:t>
      </w:r>
      <w:r>
        <w:rPr>
          <w:b/>
        </w:rPr>
        <w:t>chirurgie nasale récente</w:t>
      </w:r>
      <w:r>
        <w:t xml:space="preserve"> ou de </w:t>
      </w:r>
      <w:r>
        <w:rPr>
          <w:b/>
        </w:rPr>
        <w:t>traumatisme nasal</w:t>
      </w:r>
      <w:r>
        <w:t xml:space="preserve"> non cicatrisé (jusqu'à cicatrisation complète, en raison du risque de perforation septale) ; enfant de moins de 3 ans (selon AMM, en raison de l'absence de donnée d'innocuité et du risque d'absorption systémique) ; prudence en cas d'insuffisance hépatique sévère (bien que la biodisponibilité systémique soit négligeable, le métabolisme de premier passage est hépatique).</w:t>
      </w:r>
    </w:p>
    <w:p>
      <w:pPr>
        <w:pStyle w:val="ListBullet"/>
      </w:pPr>
      <w:r>
        <w:t>Spectre d'action locale : La mométasone n'a pas d'activité antibiotique ni antifongique propre. Son effet immunosuppresseur local ne justifie pas l'ajout systématique d'une antibiothérapie ou d'une antifongique de couverture, mais impose la vérification préalable de l'absence d'infection nasosinusienne active.</w:t>
      </w:r>
    </w:p>
    <w:p>
      <w:r/>
      <w:r>
        <w:rPr>
          <w:b/>
        </w:rPr>
        <w:t>Effets Indésirables :</w:t>
      </w:r>
      <w:r/>
    </w:p>
    <w:p>
      <w:pPr>
        <w:pStyle w:val="ListBullet"/>
      </w:pPr>
      <w:r/>
      <w:r>
        <w:rPr>
          <w:b/>
        </w:rPr>
        <w:t>Locaux précoces</w:t>
      </w:r>
      <w:r>
        <w:t xml:space="preserve"> (premières semaines) : sensation de brûlure nasale (5 à 10 %), irritation, picotements, sécheresse nasale, éternuements post-pulvérisation, dysgueusie transitoire (goût métallique ou amer), épinastie (larmoiement par irritation réflexe).</w:t>
      </w:r>
    </w:p>
    <w:p>
      <w:pPr>
        <w:pStyle w:val="ListBullet"/>
      </w:pPr>
      <w:r/>
      <w:r>
        <w:rPr>
          <w:b/>
        </w:rPr>
        <w:t>Locaux tardifs</w:t>
      </w:r>
      <w:r>
        <w:t xml:space="preserve"> (au-delà de 1 mois) : épistaxis bénigne (5 à 10 %, en général spontanément résolutive ; majorée en cas de pulvérisation dirigée vers le septum), croûtes nasales, ulcération muqueuse, plus rarement </w:t>
      </w:r>
      <w:r>
        <w:rPr>
          <w:b/>
        </w:rPr>
        <w:t>perforation septale</w:t>
      </w:r>
      <w:r>
        <w:t xml:space="preserve"> (incidence estimée &lt; 1/10 000 patients-années, presque exclusivement en cas de pulvérisation répétée vers le septum), candidose nasopharyngée (rares cas décrits, justifiant la rinçage buccal après administration), rhinite atrophique (exceptionnelle).</w:t>
      </w:r>
    </w:p>
    <w:p>
      <w:pPr>
        <w:pStyle w:val="ListBullet"/>
      </w:pPr>
      <w:r/>
      <w:r>
        <w:rPr>
          <w:b/>
        </w:rPr>
        <w:t>Oculaires</w:t>
      </w:r>
      <w:r>
        <w:t xml:space="preserve"> : très rarement glaucome ou cataracte (par passage systémique minime mais non nul, en cas d'usage prolongé à forte dose, particulièrement chez le sujet âgé).</w:t>
      </w:r>
    </w:p>
    <w:p>
      <w:pPr>
        <w:pStyle w:val="ListBullet"/>
      </w:pPr>
      <w:r/>
      <w:r>
        <w:rPr>
          <w:b/>
        </w:rPr>
        <w:t>Systémiques</w:t>
      </w:r>
      <w:r>
        <w:t xml:space="preserve"> (exceptionnels aux posologies usuelles) : exceptionnellement insuffisance surrénalienne (à de très fortes doses, en cas d'usage prolongé supérieur à 1 an à la dose maximale de 400 µg/jour), syndrome de Cushing iatrogène (idem), retard de croissance chez l'enfant (à noter que les études pivots n'ont pas montré de retard de croissance significatif à 50 µg/jour chez l'enfant de 3 à 11 ans, ce qui a justifié l'extension d'AMM à cet âge).</w:t>
      </w:r>
    </w:p>
    <w:p>
      <w:pPr>
        <w:pStyle w:val="ListBullet"/>
      </w:pPr>
      <w:r/>
      <w:r>
        <w:rPr>
          <w:b/>
        </w:rPr>
        <w:t>Effets paradoxaux</w:t>
      </w:r>
      <w:r>
        <w:t xml:space="preserve"> : exacerbation transitoire des symptômes en début de traitement (réaction d'irritation), exceptionnelles réactions allergiques de contact (à un excipient plus souvent qu'à la mométasone elle-même).</w:t>
      </w:r>
    </w:p>
    <w:p>
      <w:r/>
      <w:r>
        <w:rPr>
          <w:b/>
        </w:rPr>
        <w:t>Prévention et Gestion des Effets Indésirables :</w:t>
      </w:r>
      <w:r/>
    </w:p>
    <w:p>
      <w:pPr>
        <w:pStyle w:val="ListBullet"/>
      </w:pPr>
      <w:r>
        <w:t xml:space="preserve">Mesures préventives : </w:t>
      </w:r>
      <w:r>
        <w:rPr>
          <w:b/>
        </w:rPr>
        <w:t>Éducation systématique à la technique de pulvérisation</w:t>
      </w:r>
      <w:r>
        <w:t xml:space="preserve"> dirigée vers la paroi latérale de la cavité nasale (jamais vers le septum) — le patient doit pencher légèrement la tête en avant, introduire l'embout du flacon dans la narine, orienter la buse vers l'extérieur (vers l'oreille) et pulvériser en inspirant doucement ; </w:t>
      </w:r>
      <w:r>
        <w:rPr>
          <w:b/>
        </w:rPr>
        <w:t>amorçage (priming) du flacon</w:t>
      </w:r>
      <w:r>
        <w:t xml:space="preserve"> avant la première utilisation (10 pulvérisations dans l'air) et en cas de non-utilisation supérieure à 7 jours (2 pulvérisations) ; </w:t>
      </w:r>
      <w:r>
        <w:rPr>
          <w:b/>
        </w:rPr>
        <w:t>soufflage de nez</w:t>
      </w:r>
      <w:r>
        <w:t xml:space="preserve"> préalable léger pour dégager les fosses nasales ; </w:t>
      </w:r>
      <w:r>
        <w:rPr>
          <w:b/>
        </w:rPr>
        <w:t>administration unique quotidienne</w:t>
      </w:r>
      <w:r>
        <w:t xml:space="preserve"> (le matin de préférence, pour respecter le cycle cortisolique naturel) ; respect de la posologie minimale efficace, pas d'augmentation unilatérale de dose par le patient ; surveillance de l'apparition d'épistaxis (en cas d'épistaxis répétées, arrêt temporaire et consultation ORL pour vérification de la muqueuse septale) ; rinçage de la bouche après administration (pour prévenir la candidose pharyngée et la dysgueusie) ; surveillance de la croissance en pédiatrie (taille, poids, pression artérielle, cortisolémie éventuelle en cas de traitement prolongé supérieur à 6 mois) ; information du patient sur le délai d'action retardé (12 à 72 heures pour les premiers effets, 2 à 4 semaines pour l'effet maximal) pour éviter l'arrêt prématuré par inefficacité perçue.</w:t>
      </w:r>
    </w:p>
    <w:p>
      <w:pPr>
        <w:pStyle w:val="ListBullet"/>
      </w:pPr>
      <w:r>
        <w:t>Conduite à tenir : En cas d'épistaxis bénigne, arrêt de 2 à 7 jours et reprise à posologie réduite ; en cas d'épistaxis abondante ou répétée, arrêt et consultation ORL ; en cas d'ulcération ou de perforation septale, arrêt définitif et prise en charge ORL spécialisée (chirurgie de réparation) ; en cas de candidose nasopharyngée, arrêt temporaire et antifongique local ; en cas de signes systémiques (asthénie, hypotension, hyperglycémie, troubles visuels), dosage du cortisol, de l'ACTH et consultation endocrinologique ; en cas d'absence d'efficacité à 4 semaines, réévaluation diagnostique (rhinite non allergique ? polypose sous-jacente ? défaut d'observance ? défaut de technique d'administration ?).</w:t>
      </w:r>
    </w:p>
    <w:p>
      <w:r/>
      <w:r>
        <w:rPr>
          <w:b/>
        </w:rPr>
        <w:t>Interactions Importantes :</w:t>
      </w:r>
      <w:r/>
    </w:p>
    <w:p>
      <w:pPr>
        <w:pStyle w:val="ListBullet"/>
      </w:pPr>
      <w:r>
        <w:t>Inhibiteurs puissants du CYP3A4 (ritonavir, atazanavir, indinavir, kétoconazole, itraconazole, posaconazole, voriconazole, clarithromycine, érythromycine, télithromycine, diltiazem, vérapamil, grapefruit) : augmentation de l'imprégnation systémique par inhibition du métabolisme hépatique de premier passage ; prudence et surveillance clinique, en particulier pour le ritonavir (interaction documentée avec augmentation de l'AUC de la mométasone ; à éviter sauf nécessité absolue).</w:t>
      </w:r>
    </w:p>
    <w:p>
      <w:pPr>
        <w:pStyle w:val="ListBullet"/>
      </w:pPr>
      <w:r>
        <w:t>Autres corticoïdes (inhalés, nasaux, dermiques, oraux) : cumul et majoration du risque systémique.</w:t>
      </w:r>
    </w:p>
    <w:p>
      <w:pPr>
        <w:pStyle w:val="ListBullet"/>
      </w:pPr>
      <w:r>
        <w:t>Vaccins vivants atténués (BCG, rougeole-oreillons-rubéole, fièvre jaune, varicelle) : contre-indication pendant la durée du traitement et jusqu'à 3 mois après l'arrêt en cas d'usage prolongé à forte dose (par prudence, en raison de l'effet immunosuppresseur local).</w:t>
      </w:r>
    </w:p>
    <w:p>
      <w:pPr>
        <w:pStyle w:val="ListBullet"/>
      </w:pPr>
      <w:r>
        <w:t>Insuline et antidiabétiques : effet hyperglycémiant (modéré, à surveiller en cas d'usage prolongé à forte dose).</w:t>
      </w:r>
    </w:p>
    <w:p>
      <w:pPr>
        <w:pStyle w:val="ListBullet"/>
      </w:pPr>
      <w:r>
        <w:t>Diurétiques hypokaliémiants (furosémide, hydrochlorothiazide) : majoration de l'hypokaliémie (à surveiller).</w:t>
      </w:r>
    </w:p>
    <w:p>
      <w:pPr>
        <w:pStyle w:val="ListBullet"/>
      </w:pPr>
      <w:r>
        <w:t>AINS : majoration du risque ulcéreux et de la toxicité gastro-intestinale en cas d'absorption systémique significative (rare).</w:t>
      </w:r>
    </w:p>
    <w:p>
      <w:pPr>
        <w:pStyle w:val="ListBullet"/>
      </w:pPr>
      <w:r>
        <w:t>Anticoagulants oraux : variabilité de l'INR par interaction métabolique (rare).</w:t>
      </w:r>
    </w:p>
    <w:p>
      <w:r/>
      <w:r>
        <w:rPr>
          <w:b/>
        </w:rPr>
        <w:t>Grossesse et Allaitement :</w:t>
      </w:r>
      <w:r/>
    </w:p>
    <w:p>
      <w:pPr>
        <w:pStyle w:val="ListBullet"/>
      </w:pPr>
      <w:r>
        <w:t xml:space="preserve">Grossesse : La mométasone furoate nasale est classée par le CRAT (Centre de Renseignement sur les Agents Tératogènes) comme « </w:t>
      </w:r>
      <w:r>
        <w:rPr>
          <w:b/>
        </w:rPr>
        <w:t>utilisable quel que soit le terme</w:t>
      </w:r>
      <w:r>
        <w:t xml:space="preserve"> » chez la femme enceinte, sur la base d'un recul clinique important (plusieurs milliers de grossesses exposées documentées sans augmentation du risque malformatif), d'une biodisponibilité systémique négligeable, et d'études animales rassurantes. Aux posologies usuelles (200 µg/jour), aucune surveillance spécifique n'est recommandée. Aux posologies supérieures (400 µg/jour dans la polypose sévère), une surveillance de la croissance fœtale au 3e trimestre peut être discutée. En pratique, la mométasone nasale est le corticoïde nasal de première intention chez la femme enceinte présentant une rhinite allergique modérée à sévère ou une polypose nasosinusienne.</w:t>
      </w:r>
    </w:p>
    <w:p>
      <w:pPr>
        <w:pStyle w:val="ListBullet"/>
      </w:pPr>
      <w:r>
        <w:t>Allaitement : Compatible avec l'allaitement ; le passage dans le lait maternel est négligeable (biodisponibilité systémique &lt; 0,1 %, lipophilie élevée mais concentration plasmatique très faible). Aucune surveillance spécifique du nourrisson n'est recommandée aux posologies usuelles.</w:t>
      </w:r>
    </w:p>
    <w:p>
      <w:pPr>
        <w:pStyle w:val="ListBullet"/>
      </w:pPr>
      <w:r>
        <w:t>Précisions : L'utilisation de la forme dermique (crème, pommade) pendant la grossesse relève de règles différentes (traitées dans le chapitre dermocorticoïdes).</w:t>
      </w:r>
    </w:p>
    <w:p>
      <w:r/>
      <w:r>
        <w:rPr>
          <w:b/>
        </w:rPr>
        <w:t>Posologie et Mode d'administration (Standard) :</w:t>
      </w:r>
      <w:r/>
    </w:p>
    <w:p>
      <w:pPr>
        <w:pStyle w:val="ListBullet"/>
      </w:pPr>
      <w:r>
        <w:t xml:space="preserve">Adulte et adolescent à partir de 12 ans : </w:t>
      </w:r>
      <w:r>
        <w:rPr>
          <w:b/>
        </w:rPr>
        <w:t>200 µg/jour en une prise</w:t>
      </w:r>
      <w:r>
        <w:t>, soit 2 pulvérisations de 50 µg dans chaque narine une fois par jour, le matin de préférence. En cas d'efficacité insuffisante après 2 semaines, réduction à 100 µg/jour (1 pulvérisation par narine) en traitement d'entretien si contrôle obtenu, ou maintien à 200 µg/jour si persistance des symptômes. Dose maximale recommandée : 400 µg/jour (en pratique dans la polypose nasosinusienne sévère, sur avis ORL spécialisé).</w:t>
      </w:r>
    </w:p>
    <w:p>
      <w:pPr>
        <w:pStyle w:val="ListBullet"/>
      </w:pPr>
      <w:r>
        <w:t xml:space="preserve">Enfant de 6 à 11 ans : </w:t>
      </w:r>
      <w:r>
        <w:rPr>
          <w:b/>
        </w:rPr>
        <w:t>100 µg/jour en une prise</w:t>
      </w:r>
      <w:r>
        <w:t>, soit 1 pulvérisation de 50 µg dans chaque narine une fois par jour. En cas d'efficacité insuffisante à 100 µg/jour, augmentation à 200 µg/jour possible selon l'AMM (1 pulvérisation de 50 µg dans chaque narine deux fois par jour, ou 2 pulvérisations dans chaque narine une fois par jour).</w:t>
      </w:r>
    </w:p>
    <w:p>
      <w:pPr>
        <w:pStyle w:val="ListBullet"/>
      </w:pPr>
      <w:r>
        <w:t xml:space="preserve">Enfant de 3 à 5 ans (selon AMM européenne, sous prescription médicale spécialisée) : </w:t>
      </w:r>
      <w:r>
        <w:rPr>
          <w:b/>
        </w:rPr>
        <w:t>50 µg/jour en une prise</w:t>
      </w:r>
      <w:r>
        <w:t>, soit 1 pulvérisation de 50 µg dans une seule narine en alternance, ou 1 pulvérisation dans chaque narine un jour sur deux (selon protocoles). À noter que cette tranche d'âge n'est pas uniformément couverte par toutes les autorisations ; se référer au RCP de chaque spécialité.</w:t>
      </w:r>
    </w:p>
    <w:p>
      <w:pPr>
        <w:pStyle w:val="ListBullet"/>
      </w:pPr>
      <w:r>
        <w:t>Polypose nasosinusienne adulte : 200 µg/jour en une prise en traitement d'attaque, ajustement à 400 µg/jour possible en cas de réponse insuffisante, puis réduction à 100 µg/jour en traitement d'entretien prolongé (plusieurs mois à années).</w:t>
      </w:r>
    </w:p>
    <w:p>
      <w:pPr>
        <w:pStyle w:val="ListBullet"/>
      </w:pPr>
      <w:r>
        <w:t>Mode d'administration : (1) soufler doucement de nez pour dégager les fosses nasales ; (2) amorcer le flacon avant la première utilisation par 10 pulvérisations dans l'air (jusqu'à obtention d'un jet fin et régulier), puis par 2 pulvérisations en cas de non-utilisation supérieure à 7 jours ; (3) pencher légèrement la tête en avant ; (4) introduire l'embout du flacon dans une narine, orienter la buse vers l'extérieur (vers l'oreille du même côté, jamais vers le septum) ; (5) pulvériser en inspirant doucement par le nez ; (6) expirer par la bouche ; (7) répéter dans l'autre narine ; (8) nettoyer l'embout avec un mouchoir propre et refermer le capuchon ; (9) se rincer la bouche à l'eau et l'avaler pour prévenir la candidose pharyngée et la dysgueusie.</w:t>
      </w:r>
    </w:p>
    <w:p>
      <w:pPr>
        <w:pStyle w:val="ListBullet"/>
      </w:pPr>
      <w:r>
        <w:t>Durée de traitement : variable selon l'indication — rhinite saisonnière : pendant toute la saison pollinique (4 à 8 semaines) ; rhinite perannuelle : traitement continu prolongé (plusieurs mois à années) avec réévaluation tous les 3 à 6 mois ; polypose : traitement d'entretien prolongé (plusieurs mois à années).</w:t>
      </w:r>
    </w:p>
    <w:p>
      <w:r/>
      <w:r>
        <w:rPr>
          <w:b/>
        </w:rPr>
        <w:t>Arbitrage et Bénéfices des Formes Galéniques :</w:t>
      </w:r>
      <w:r/>
    </w:p>
    <w:p>
      <w:r>
        <w:t>La mométasone nasale n'existe qu'en une seule forme galénique (suspension pour pulvérisation nasale à 50 µg/dose) et un seul dosage en Algérie. L'arbitrage porte donc principalement sur le choix de la spécialité commerciale : princeps Nasonex® (Schering-Plough) ou générique (NASAMEX, MOMENEX, MEDONEX, NOVASPRAY, RHINONEX, TASONEX, ETACID). Tous contiennent la même concentration de mométasone furoate (50 µg/dose) et des excipients similaires (chlorure de benzalkonium comme conservateur, polysorbate 80, citrate de sodium, acide citrique monohydraté, glycérol, eau purifiée). Les différences portent sur le système de pompe doseuse (profil de gouttelette, force d'actuation, ergonomie) et sur le conditionnement (120 doses pour la plupart, 140 pour ETACID). Le pharmacien peut proposer une substitution du princeps par un générique avec l'accord du patient, en rappelant que l'équivalence biopharmaceutique est démontrée mais que des variations individuelles de tolérance (irritation locale, profil de pulvérisation) sont possibles. Le choix peut aussi être guidé par la disponibilité du remboursement et par le coût.</w:t>
      </w:r>
    </w:p>
    <w:p>
      <w:r/>
      <w:r>
        <w:rPr>
          <w:b/>
        </w:rPr>
        <w:t>Instructions et Conseils au Patient :</w:t>
      </w:r>
      <w:r/>
    </w:p>
    <w:p>
      <w:pPr>
        <w:pStyle w:val="ListBullet"/>
      </w:pPr>
      <w:r>
        <w:t xml:space="preserve">Communication au comptoir : Insister sur le </w:t>
      </w:r>
      <w:r>
        <w:rPr>
          <w:b/>
        </w:rPr>
        <w:t>délai d'action retardé</w:t>
      </w:r>
      <w:r>
        <w:t xml:space="preserve"> (« ce n'est pas un médicament d'urgence, il faut l'utiliser tous les jours pendant au moins 2 semaines pour commencer à ressentir l'effet »), sur la </w:t>
      </w:r>
      <w:r>
        <w:rPr>
          <w:b/>
        </w:rPr>
        <w:t>nécessité d'une administration quotidienne régulière</w:t>
      </w:r>
      <w:r>
        <w:t xml:space="preserve"> (« ne pas l'arrêter dès que vous allez mieux, c'est un traitement de fond »), sur la </w:t>
      </w:r>
      <w:r>
        <w:rPr>
          <w:b/>
        </w:rPr>
        <w:t>technique de pulvérisation</w:t>
      </w:r>
      <w:r>
        <w:t xml:space="preserve"> (« penchez la tête légèrement en avant, orientez la buse vers l'extérieur, jamais vers le milieu du nez »), sur le </w:t>
      </w:r>
      <w:r>
        <w:rPr>
          <w:b/>
        </w:rPr>
        <w:t>priming</w:t>
      </w:r>
      <w:r>
        <w:t xml:space="preserve"> (« avant la première utilisation, pulvérisez 10 fois dans l'air jusqu'à obtenir un fin brouillard »), et sur le </w:t>
      </w:r>
      <w:r>
        <w:rPr>
          <w:b/>
        </w:rPr>
        <w:t>rinçage de la bouche</w:t>
      </w:r>
      <w:r>
        <w:t xml:space="preserve"> après administration.</w:t>
      </w:r>
    </w:p>
    <w:p>
      <w:pPr>
        <w:pStyle w:val="ListBullet"/>
      </w:pPr>
      <w:r>
        <w:t>Mode d'utilisation pratique : Démonstration au comptoir avec un flacon-test si possible ; remise d'une notice simplifiée ; vérification de la technique par le patient à la première dispensation. Conserver le flacon à température ambiante (≤ 25 °C), ne pas congeler, ne pas exposer à la lumière directe. Jeter le flacon 2 mois après la première utilisation (au-delà, risque de contamination microbienne et perte d'efficacité). Ne pas partager le flacon entre plusieurs personnes (risque de contamination croisée).</w:t>
      </w:r>
    </w:p>
    <w:p>
      <w:pPr>
        <w:pStyle w:val="ListBullet"/>
      </w:pPr>
      <w:r>
        <w:t>Information sur les signes d'alerte : épistaxis répétées, douleur nasale persistante, modification de la voix (nasonnement), troubles visuels, asthénie, prise de poids → arrêt et consultation. Sensation de brûlure ou goût amer transitoires en début de traitement sont fréquents et non inquiétants.</w:t>
      </w:r>
    </w:p>
    <w:p>
      <w:r/>
      <w:r>
        <w:rPr>
          <w:b/>
        </w:rPr>
        <w:t>Notes, Règles d'Or &amp; Pièges au Comptoir :</w:t>
      </w:r>
      <w:r/>
    </w:p>
    <w:p>
      <w:pPr>
        <w:pStyle w:val="ListBullet"/>
      </w:pPr>
      <w:r>
        <w:t>Piège classique du patient qui revient à l'officine 4 jours après la délivrance en disant « ça ne marche pas, j'ai toujours le nez bouché » → c'est normal, le délai d'action est de 2 semaines ; il faut continuer et réévaluer à 4 semaines.</w:t>
      </w:r>
    </w:p>
    <w:p>
      <w:pPr>
        <w:pStyle w:val="ListBullet"/>
      </w:pPr>
      <w:r>
        <w:t>Piège du patient qui arrête le traitement dès les premières épistaxis bénignes → ces épistaxis sont fréquentes (5 à 10 %), en général spontanément résolutives, ne doivent pas faire arrêter le traitement mais amener à vérifier la technique de pulvérisation (souvent dirigée vers le septum).</w:t>
      </w:r>
    </w:p>
    <w:p>
      <w:pPr>
        <w:pStyle w:val="ListBullet"/>
      </w:pPr>
      <w:r>
        <w:t>Piège de la prescription chez l'enfant de moins de 3 ans → contre-indication officielle de l'AMM ; pour les enfants de 3 à 5 ans, prescription médicale spécialisée et posologie réduite à 50 µg/jour.</w:t>
      </w:r>
    </w:p>
    <w:p>
      <w:pPr>
        <w:pStyle w:val="ListBullet"/>
      </w:pPr>
      <w:r>
        <w:t>Piège du patient glaucomateux qui demande un spray nasal pour rhinite allergique → prudence, le glaucome est une contre-indication relative ; discussion avec l'ophtalmologue.</w:t>
      </w:r>
    </w:p>
    <w:p>
      <w:pPr>
        <w:pStyle w:val="ListBullet"/>
      </w:pPr>
      <w:r>
        <w:t>Piège du priming oublié → la première pulvérisation d'un flacon neuf délivre un volume variable et insuffisant ; il faut toujours primer 10 fois avant la première utilisation, et 2 fois après une période d'arrêt de plus de 7 jours.</w:t>
      </w:r>
    </w:p>
    <w:p>
      <w:pPr>
        <w:pStyle w:val="ListBullet"/>
      </w:pPr>
      <w:r>
        <w:t>Règle d'or : « Mométasone = 1 pulvérisation par narine 1 fois par jour chez l'adulte, 1 fois par jour 50 µg chez l'enfant de 6 à 11 ans ; technique de pulvérisation dirigée vers l'extérieur ; délai d'action 2 semaines ».</w:t>
      </w:r>
    </w:p>
    <w:p>
      <w:pPr>
        <w:pStyle w:val="ListBullet"/>
      </w:pPr>
      <w:r>
        <w:t>Préparation et Conservation : Flacon fermé, à température ambiante (≤ 25 °C), à l'abri de la lumière et de l'humidité. Ne pas utiliser au-delà de la date de péremption. Jeter 2 mois après la première utilisation. Ne pas exposer à des températures extrêmes.</w:t>
      </w:r>
    </w:p>
    <w:p>
      <w:pPr>
        <w:pStyle w:val="ListBullet"/>
      </w:pPr>
      <w:r>
        <w:t>Piège de substitution : La substitution du princeps (Nasonex®) par un générique doit être expliquée au patient (même principe actif, même dosage, mais système de pompe potentiellement différent). Ne pas substituer sans accord du patient.</w:t>
      </w:r>
    </w:p>
    <w:p>
      <w:pPr>
        <w:pStyle w:val="Heading3"/>
      </w:pPr>
      <w:r>
        <w:t>133.2.3 DCI : Fluticasone (propionate et furoate nasaux)</w:t>
      </w:r>
    </w:p>
    <w:p>
      <w:r/>
      <w:r>
        <w:rPr>
          <w:b/>
        </w:rPr>
        <w:t>Liste des Catégories :</w:t>
      </w:r>
      <w:r>
        <w:t xml:space="preserve"> Liste I.</w:t>
      </w:r>
    </w:p>
    <w:p>
      <w:r>
        <w:t xml:space="preserve">La fluticasone est un corticoïde de synthèse de troisième génération, dérivé de la pregn-4-ène-3,20-dione substitué en 9α-fluoro, 11β-hydroxy, 16α-méthyl, 17α-propionyloxy (propionate) ou 17α-furoate (furoate), 21-thio. Comme pour la mométasone, la fluticasone existe sous deux esters distincts qui ne sont pas strictement superposables : le </w:t>
      </w:r>
      <w:r>
        <w:rPr>
          <w:b/>
        </w:rPr>
        <w:t>propionate</w:t>
      </w:r>
      <w:r>
        <w:t xml:space="preserve"> (Flixonase® princeps, commercialisé depuis 1990) et le </w:t>
      </w:r>
      <w:r>
        <w:rPr>
          <w:b/>
        </w:rPr>
        <w:t>furoate</w:t>
      </w:r>
      <w:r>
        <w:t xml:space="preserve"> (Avamys® princeps, commercialisé depuis 2007). Les deux esters présentent une affinité élevée pour le récepteur glucocorticoïde (la fluticasone furoate a une affinité GR environ 1,7 fois supérieure à celle de la fluticasone propionate et 10 fois supérieure à celle de la dexaméthasone) et une biodisponibilité systémique orale inférieure à 1 %. La fluticasone propionate nasale est commercialisée en Algérie par de nombreux laboratoires nationaux (Pharmalliance, Inpha-Medis, Neomedic, Cipla, Biogalenic, World Medecine, Hupp Pharma, Novapharm Trading) sous les marques FLIXASONE, FLIXODIS, FLIXONE, FLOMIST, FLUCASONE, FLUTEL, FLUTINASE, FLEXODOZ. La fluticasone furoate nasale est commercialisée sous le nom AVAMYS par Glaxo Group Ltd, et par Biogalenic sous le nom FLUCASONE MINI. Cette diversité de spécialités garantit une accessibilité économique importante, mais expose à des confusions possibles entre propionate et furoate, qui ne sont pas interchangeables sans ajustement posologique (la fluticasone furoate est dosée à 27,5 µg/dose contre 50 µg/dose pour la propionate, et s'utilise à 2 pulvérisations par narine une fois par jour chez l'adulte et l'enfant à partir de 2 ans).</w:t>
      </w:r>
    </w:p>
    <w:p>
      <w:r/>
      <w:r>
        <w:rPr>
          <w:b/>
        </w:rPr>
        <w:t>Médicaments disponibles en Algérie (tableau commercial)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AVAMYS</w:t>
            </w:r>
          </w:p>
        </w:tc>
        <w:tc>
          <w:tcPr>
            <w:tcW w:type="dxa" w:w="1559"/>
          </w:tcPr>
          <w:p>
            <w:r>
              <w:rPr>
                <w:sz w:val="20"/>
              </w:rPr>
              <w:t>GALAXO GROUPE LTD</w:t>
            </w:r>
          </w:p>
        </w:tc>
        <w:tc>
          <w:tcPr>
            <w:tcW w:type="dxa" w:w="1559"/>
          </w:tcPr>
          <w:p>
            <w:r>
              <w:rPr>
                <w:sz w:val="20"/>
              </w:rPr>
              <w:t>Suspension pour pulvérisation nasale 27,5 µg/dose (fluticasone furoate)</w:t>
            </w:r>
          </w:p>
        </w:tc>
        <w:tc>
          <w:tcPr>
            <w:tcW w:type="dxa" w:w="1559"/>
          </w:tcPr>
          <w:p>
            <w:r>
              <w:rPr>
                <w:sz w:val="20"/>
              </w:rPr>
              <w:t>Flacon de 120 doses</w:t>
            </w:r>
          </w:p>
        </w:tc>
        <w:tc>
          <w:tcPr>
            <w:tcW w:type="dxa" w:w="1559"/>
          </w:tcPr>
          <w:p>
            <w:r>
              <w:rPr>
                <w:sz w:val="20"/>
              </w:rPr>
              <w:t>Liste I</w:t>
            </w:r>
          </w:p>
        </w:tc>
        <w:tc>
          <w:tcPr>
            <w:tcW w:type="dxa" w:w="1559"/>
          </w:tcPr>
          <w:p>
            <w:r>
              <w:rPr>
                <w:sz w:val="20"/>
              </w:rPr>
              <w:t>Actif</w:t>
            </w:r>
          </w:p>
        </w:tc>
      </w:tr>
      <w:tr>
        <w:tc>
          <w:tcPr>
            <w:tcW w:type="dxa" w:w="1559"/>
          </w:tcPr>
          <w:p>
            <w:r>
              <w:rPr>
                <w:sz w:val="20"/>
              </w:rPr>
              <w:t>FLUCASONE MINI</w:t>
            </w:r>
          </w:p>
        </w:tc>
        <w:tc>
          <w:tcPr>
            <w:tcW w:type="dxa" w:w="1559"/>
          </w:tcPr>
          <w:p>
            <w:r>
              <w:rPr>
                <w:sz w:val="20"/>
              </w:rPr>
              <w:t>BIOGALENIC</w:t>
            </w:r>
          </w:p>
        </w:tc>
        <w:tc>
          <w:tcPr>
            <w:tcW w:type="dxa" w:w="1559"/>
          </w:tcPr>
          <w:p>
            <w:r>
              <w:rPr>
                <w:sz w:val="20"/>
              </w:rPr>
              <w:t>Suspension nasale 27,5 µg/pulvérisation (fluticasone furoate)</w:t>
            </w:r>
          </w:p>
        </w:tc>
        <w:tc>
          <w:tcPr>
            <w:tcW w:type="dxa" w:w="1559"/>
          </w:tcPr>
          <w:p>
            <w:r>
              <w:rPr>
                <w:sz w:val="20"/>
              </w:rPr>
              <w:t>1 flacon de 120 pulvérisations</w:t>
            </w:r>
          </w:p>
        </w:tc>
        <w:tc>
          <w:tcPr>
            <w:tcW w:type="dxa" w:w="1559"/>
          </w:tcPr>
          <w:p>
            <w:r>
              <w:rPr>
                <w:sz w:val="20"/>
              </w:rPr>
              <w:t>Liste I</w:t>
            </w:r>
          </w:p>
        </w:tc>
        <w:tc>
          <w:tcPr>
            <w:tcW w:type="dxa" w:w="1559"/>
          </w:tcPr>
          <w:p>
            <w:r>
              <w:rPr>
                <w:sz w:val="20"/>
              </w:rPr>
              <w:t>Actif</w:t>
            </w:r>
          </w:p>
        </w:tc>
      </w:tr>
      <w:tr>
        <w:tc>
          <w:tcPr>
            <w:tcW w:type="dxa" w:w="1559"/>
          </w:tcPr>
          <w:p>
            <w:r>
              <w:rPr>
                <w:sz w:val="20"/>
              </w:rPr>
              <w:t>FLIXASONE</w:t>
            </w:r>
          </w:p>
        </w:tc>
        <w:tc>
          <w:tcPr>
            <w:tcW w:type="dxa" w:w="1559"/>
          </w:tcPr>
          <w:p>
            <w:r>
              <w:rPr>
                <w:sz w:val="20"/>
              </w:rPr>
              <w:t>PHARMALLIANCE</w:t>
            </w:r>
          </w:p>
        </w:tc>
        <w:tc>
          <w:tcPr>
            <w:tcW w:type="dxa" w:w="1559"/>
          </w:tcPr>
          <w:p>
            <w:r>
              <w:rPr>
                <w:sz w:val="20"/>
              </w:rPr>
              <w:t>Spray nasal 50 µg/dose (fluticasone propionate)</w:t>
            </w:r>
          </w:p>
        </w:tc>
        <w:tc>
          <w:tcPr>
            <w:tcW w:type="dxa" w:w="1559"/>
          </w:tcPr>
          <w:p>
            <w:r>
              <w:rPr>
                <w:sz w:val="20"/>
              </w:rPr>
              <w:t>Flacon de 120 doses (20 mL)</w:t>
            </w:r>
          </w:p>
        </w:tc>
        <w:tc>
          <w:tcPr>
            <w:tcW w:type="dxa" w:w="1559"/>
          </w:tcPr>
          <w:p>
            <w:r>
              <w:rPr>
                <w:sz w:val="20"/>
              </w:rPr>
              <w:t>Liste I</w:t>
            </w:r>
          </w:p>
        </w:tc>
        <w:tc>
          <w:tcPr>
            <w:tcW w:type="dxa" w:w="1559"/>
          </w:tcPr>
          <w:p>
            <w:r>
              <w:rPr>
                <w:sz w:val="20"/>
              </w:rPr>
              <w:t>Actif</w:t>
            </w:r>
          </w:p>
        </w:tc>
      </w:tr>
      <w:tr>
        <w:tc>
          <w:tcPr>
            <w:tcW w:type="dxa" w:w="1559"/>
          </w:tcPr>
          <w:p>
            <w:r>
              <w:rPr>
                <w:sz w:val="20"/>
              </w:rPr>
              <w:t>FLIXODIS</w:t>
            </w:r>
          </w:p>
        </w:tc>
        <w:tc>
          <w:tcPr>
            <w:tcW w:type="dxa" w:w="1559"/>
          </w:tcPr>
          <w:p>
            <w:r>
              <w:rPr>
                <w:sz w:val="20"/>
              </w:rPr>
              <w:t>INPHA-MEDIS</w:t>
            </w:r>
          </w:p>
        </w:tc>
        <w:tc>
          <w:tcPr>
            <w:tcW w:type="dxa" w:w="1559"/>
          </w:tcPr>
          <w:p>
            <w:r>
              <w:rPr>
                <w:sz w:val="20"/>
              </w:rPr>
              <w:t>Suspension nasale en spray 50 µg/dose (fluticasone propionate)</w:t>
            </w:r>
          </w:p>
        </w:tc>
        <w:tc>
          <w:tcPr>
            <w:tcW w:type="dxa" w:w="1559"/>
          </w:tcPr>
          <w:p>
            <w:r>
              <w:rPr>
                <w:sz w:val="20"/>
              </w:rPr>
              <w:t>Boîte de 1 flacon de 100 doses</w:t>
            </w:r>
          </w:p>
        </w:tc>
        <w:tc>
          <w:tcPr>
            <w:tcW w:type="dxa" w:w="1559"/>
          </w:tcPr>
          <w:p>
            <w:r>
              <w:rPr>
                <w:sz w:val="20"/>
              </w:rPr>
              <w:t>Liste I</w:t>
            </w:r>
          </w:p>
        </w:tc>
        <w:tc>
          <w:tcPr>
            <w:tcW w:type="dxa" w:w="1559"/>
          </w:tcPr>
          <w:p>
            <w:r>
              <w:rPr>
                <w:sz w:val="20"/>
              </w:rPr>
              <w:t>Actif</w:t>
            </w:r>
          </w:p>
        </w:tc>
      </w:tr>
      <w:tr>
        <w:tc>
          <w:tcPr>
            <w:tcW w:type="dxa" w:w="1559"/>
          </w:tcPr>
          <w:p>
            <w:r>
              <w:rPr>
                <w:sz w:val="20"/>
              </w:rPr>
              <w:t>FLIXONE</w:t>
            </w:r>
          </w:p>
        </w:tc>
        <w:tc>
          <w:tcPr>
            <w:tcW w:type="dxa" w:w="1559"/>
          </w:tcPr>
          <w:p>
            <w:r>
              <w:rPr>
                <w:sz w:val="20"/>
              </w:rPr>
              <w:t>NEOMEDIC</w:t>
            </w:r>
          </w:p>
        </w:tc>
        <w:tc>
          <w:tcPr>
            <w:tcW w:type="dxa" w:w="1559"/>
          </w:tcPr>
          <w:p>
            <w:r>
              <w:rPr>
                <w:sz w:val="20"/>
              </w:rPr>
              <w:t>Suspension pour pulvérisation nasale 50 µg/dose (fluticasone propionate)</w:t>
            </w:r>
          </w:p>
        </w:tc>
        <w:tc>
          <w:tcPr>
            <w:tcW w:type="dxa" w:w="1559"/>
          </w:tcPr>
          <w:p>
            <w:r>
              <w:rPr>
                <w:sz w:val="20"/>
              </w:rPr>
              <w:t>Flacon de 120 doses muni d'un atomiseur pompe doseur</w:t>
            </w:r>
          </w:p>
        </w:tc>
        <w:tc>
          <w:tcPr>
            <w:tcW w:type="dxa" w:w="1559"/>
          </w:tcPr>
          <w:p>
            <w:r>
              <w:rPr>
                <w:sz w:val="20"/>
              </w:rPr>
              <w:t>Liste I</w:t>
            </w:r>
          </w:p>
        </w:tc>
        <w:tc>
          <w:tcPr>
            <w:tcW w:type="dxa" w:w="1559"/>
          </w:tcPr>
          <w:p>
            <w:r>
              <w:rPr>
                <w:sz w:val="20"/>
              </w:rPr>
              <w:t>Actif</w:t>
            </w:r>
          </w:p>
        </w:tc>
      </w:tr>
      <w:tr>
        <w:tc>
          <w:tcPr>
            <w:tcW w:type="dxa" w:w="1559"/>
          </w:tcPr>
          <w:p>
            <w:r>
              <w:rPr>
                <w:sz w:val="20"/>
              </w:rPr>
              <w:t>FLOMIST</w:t>
            </w:r>
          </w:p>
        </w:tc>
        <w:tc>
          <w:tcPr>
            <w:tcW w:type="dxa" w:w="1559"/>
          </w:tcPr>
          <w:p>
            <w:r>
              <w:rPr>
                <w:sz w:val="20"/>
              </w:rPr>
              <w:t>CIPLA LIMITED</w:t>
            </w:r>
          </w:p>
        </w:tc>
        <w:tc>
          <w:tcPr>
            <w:tcW w:type="dxa" w:w="1559"/>
          </w:tcPr>
          <w:p>
            <w:r>
              <w:rPr>
                <w:sz w:val="20"/>
              </w:rPr>
              <w:t>Spray nasal 50 µg/dose (fluticasone propionate)</w:t>
            </w:r>
          </w:p>
        </w:tc>
        <w:tc>
          <w:tcPr>
            <w:tcW w:type="dxa" w:w="1559"/>
          </w:tcPr>
          <w:p>
            <w:r>
              <w:rPr>
                <w:sz w:val="20"/>
              </w:rPr>
              <w:t>Flacon de 100 doses</w:t>
            </w:r>
          </w:p>
        </w:tc>
        <w:tc>
          <w:tcPr>
            <w:tcW w:type="dxa" w:w="1559"/>
          </w:tcPr>
          <w:p>
            <w:r>
              <w:rPr>
                <w:sz w:val="20"/>
              </w:rPr>
              <w:t>Liste I</w:t>
            </w:r>
          </w:p>
        </w:tc>
        <w:tc>
          <w:tcPr>
            <w:tcW w:type="dxa" w:w="1559"/>
          </w:tcPr>
          <w:p>
            <w:r>
              <w:rPr>
                <w:sz w:val="20"/>
              </w:rPr>
              <w:t>Actif</w:t>
            </w:r>
          </w:p>
        </w:tc>
      </w:tr>
      <w:tr>
        <w:tc>
          <w:tcPr>
            <w:tcW w:type="dxa" w:w="1559"/>
          </w:tcPr>
          <w:p>
            <w:r>
              <w:rPr>
                <w:sz w:val="20"/>
              </w:rPr>
              <w:t>FLUCASONE</w:t>
            </w:r>
          </w:p>
        </w:tc>
        <w:tc>
          <w:tcPr>
            <w:tcW w:type="dxa" w:w="1559"/>
          </w:tcPr>
          <w:p>
            <w:r>
              <w:rPr>
                <w:sz w:val="20"/>
              </w:rPr>
              <w:t>BIOGALENIC</w:t>
            </w:r>
          </w:p>
        </w:tc>
        <w:tc>
          <w:tcPr>
            <w:tcW w:type="dxa" w:w="1559"/>
          </w:tcPr>
          <w:p>
            <w:r>
              <w:rPr>
                <w:sz w:val="20"/>
              </w:rPr>
              <w:t>Suspension nasale en spray 50 µg/dose (fluticasone propionate)</w:t>
            </w:r>
          </w:p>
        </w:tc>
        <w:tc>
          <w:tcPr>
            <w:tcW w:type="dxa" w:w="1559"/>
          </w:tcPr>
          <w:p>
            <w:r>
              <w:rPr>
                <w:sz w:val="20"/>
              </w:rPr>
              <w:t>Flacon de 120 doses</w:t>
            </w:r>
          </w:p>
        </w:tc>
        <w:tc>
          <w:tcPr>
            <w:tcW w:type="dxa" w:w="1559"/>
          </w:tcPr>
          <w:p>
            <w:r>
              <w:rPr>
                <w:sz w:val="20"/>
              </w:rPr>
              <w:t>Liste I</w:t>
            </w:r>
          </w:p>
        </w:tc>
        <w:tc>
          <w:tcPr>
            <w:tcW w:type="dxa" w:w="1559"/>
          </w:tcPr>
          <w:p>
            <w:r>
              <w:rPr>
                <w:sz w:val="20"/>
              </w:rPr>
              <w:t>Actif</w:t>
            </w:r>
          </w:p>
        </w:tc>
      </w:tr>
      <w:tr>
        <w:tc>
          <w:tcPr>
            <w:tcW w:type="dxa" w:w="1559"/>
          </w:tcPr>
          <w:p>
            <w:r>
              <w:rPr>
                <w:sz w:val="20"/>
              </w:rPr>
              <w:t>FLUTEL</w:t>
            </w:r>
          </w:p>
        </w:tc>
        <w:tc>
          <w:tcPr>
            <w:tcW w:type="dxa" w:w="1559"/>
          </w:tcPr>
          <w:p>
            <w:r>
              <w:rPr>
                <w:sz w:val="20"/>
              </w:rPr>
              <w:t>WORLD MEDECINE LIMITED</w:t>
            </w:r>
          </w:p>
        </w:tc>
        <w:tc>
          <w:tcPr>
            <w:tcW w:type="dxa" w:w="1559"/>
          </w:tcPr>
          <w:p>
            <w:r>
              <w:rPr>
                <w:sz w:val="20"/>
              </w:rPr>
              <w:t>Suspension pour pulvérisation nasale 50 µg/dose (fluticasone propionate)</w:t>
            </w:r>
          </w:p>
        </w:tc>
        <w:tc>
          <w:tcPr>
            <w:tcW w:type="dxa" w:w="1559"/>
          </w:tcPr>
          <w:p>
            <w:r>
              <w:rPr>
                <w:sz w:val="20"/>
              </w:rPr>
              <w:t>Boîte d'un flacon de 15 mL de 120 doses</w:t>
            </w:r>
          </w:p>
        </w:tc>
        <w:tc>
          <w:tcPr>
            <w:tcW w:type="dxa" w:w="1559"/>
          </w:tcPr>
          <w:p>
            <w:r>
              <w:rPr>
                <w:sz w:val="20"/>
              </w:rPr>
              <w:t>Liste I</w:t>
            </w:r>
          </w:p>
        </w:tc>
        <w:tc>
          <w:tcPr>
            <w:tcW w:type="dxa" w:w="1559"/>
          </w:tcPr>
          <w:p>
            <w:r>
              <w:rPr>
                <w:sz w:val="20"/>
              </w:rPr>
              <w:t>Actif</w:t>
            </w:r>
          </w:p>
        </w:tc>
      </w:tr>
      <w:tr>
        <w:tc>
          <w:tcPr>
            <w:tcW w:type="dxa" w:w="1559"/>
          </w:tcPr>
          <w:p>
            <w:r>
              <w:rPr>
                <w:sz w:val="20"/>
              </w:rPr>
              <w:t>FLUTINASE</w:t>
            </w:r>
          </w:p>
        </w:tc>
        <w:tc>
          <w:tcPr>
            <w:tcW w:type="dxa" w:w="1559"/>
          </w:tcPr>
          <w:p>
            <w:r>
              <w:rPr>
                <w:sz w:val="20"/>
              </w:rPr>
              <w:t>HUPP PHARMA</w:t>
            </w:r>
          </w:p>
        </w:tc>
        <w:tc>
          <w:tcPr>
            <w:tcW w:type="dxa" w:w="1559"/>
          </w:tcPr>
          <w:p>
            <w:r>
              <w:rPr>
                <w:sz w:val="20"/>
              </w:rPr>
              <w:t>Spray nasal 50 µg/dose (fluticasone propionate)</w:t>
            </w:r>
          </w:p>
        </w:tc>
        <w:tc>
          <w:tcPr>
            <w:tcW w:type="dxa" w:w="1559"/>
          </w:tcPr>
          <w:p>
            <w:r>
              <w:rPr>
                <w:sz w:val="20"/>
              </w:rPr>
              <w:t>Boîte de 1 flacon de 120 doses</w:t>
            </w:r>
          </w:p>
        </w:tc>
        <w:tc>
          <w:tcPr>
            <w:tcW w:type="dxa" w:w="1559"/>
          </w:tcPr>
          <w:p>
            <w:r>
              <w:rPr>
                <w:sz w:val="20"/>
              </w:rPr>
              <w:t>Liste I</w:t>
            </w:r>
          </w:p>
        </w:tc>
        <w:tc>
          <w:tcPr>
            <w:tcW w:type="dxa" w:w="1559"/>
          </w:tcPr>
          <w:p>
            <w:r>
              <w:rPr>
                <w:sz w:val="20"/>
              </w:rPr>
              <w:t>Actif</w:t>
            </w:r>
          </w:p>
        </w:tc>
      </w:tr>
      <w:tr>
        <w:tc>
          <w:tcPr>
            <w:tcW w:type="dxa" w:w="1559"/>
          </w:tcPr>
          <w:p>
            <w:r>
              <w:rPr>
                <w:sz w:val="20"/>
              </w:rPr>
              <w:t>FLEXODOZ</w:t>
            </w:r>
          </w:p>
        </w:tc>
        <w:tc>
          <w:tcPr>
            <w:tcW w:type="dxa" w:w="1559"/>
          </w:tcPr>
          <w:p>
            <w:r>
              <w:rPr>
                <w:sz w:val="20"/>
              </w:rPr>
              <w:t>NOVAPHARM TRADING</w:t>
            </w:r>
          </w:p>
        </w:tc>
        <w:tc>
          <w:tcPr>
            <w:tcW w:type="dxa" w:w="1559"/>
          </w:tcPr>
          <w:p>
            <w:r>
              <w:rPr>
                <w:sz w:val="20"/>
              </w:rPr>
              <w:t>Suspension nasale 50 µg/dose (fluticasone propionate)</w:t>
            </w:r>
          </w:p>
        </w:tc>
        <w:tc>
          <w:tcPr>
            <w:tcW w:type="dxa" w:w="1559"/>
          </w:tcPr>
          <w:p>
            <w:r>
              <w:rPr>
                <w:sz w:val="20"/>
              </w:rPr>
              <w:t>Flacon de 120 doses</w:t>
            </w:r>
          </w:p>
        </w:tc>
        <w:tc>
          <w:tcPr>
            <w:tcW w:type="dxa" w:w="1559"/>
          </w:tcPr>
          <w:p>
            <w:r>
              <w:rPr>
                <w:sz w:val="20"/>
              </w:rPr>
              <w:t>Liste I</w:t>
            </w:r>
          </w:p>
        </w:tc>
        <w:tc>
          <w:tcPr>
            <w:tcW w:type="dxa" w:w="1559"/>
          </w:tcPr>
          <w:p>
            <w:r>
              <w:rPr>
                <w:sz w:val="20"/>
              </w:rPr>
              <w:t>Actif</w:t>
            </w:r>
          </w:p>
        </w:tc>
      </w:tr>
      <w:tr>
        <w:tc>
          <w:tcPr>
            <w:tcW w:type="dxa" w:w="1559"/>
          </w:tcPr>
          <w:p>
            <w:r>
              <w:rPr>
                <w:sz w:val="20"/>
              </w:rPr>
              <w:t>FLIXONASE</w:t>
            </w:r>
          </w:p>
        </w:tc>
        <w:tc>
          <w:tcPr>
            <w:tcW w:type="dxa" w:w="1559"/>
          </w:tcPr>
          <w:p>
            <w:r>
              <w:rPr>
                <w:sz w:val="20"/>
              </w:rPr>
              <w:t>GLAXO WELLCOME UK LIMITED</w:t>
            </w:r>
          </w:p>
        </w:tc>
        <w:tc>
          <w:tcPr>
            <w:tcW w:type="dxa" w:w="1559"/>
          </w:tcPr>
          <w:p>
            <w:r>
              <w:rPr>
                <w:sz w:val="20"/>
              </w:rPr>
              <w:t>Spray nasal 50 µg/dose (fluticasone propionate)</w:t>
            </w:r>
          </w:p>
        </w:tc>
        <w:tc>
          <w:tcPr>
            <w:tcW w:type="dxa" w:w="1559"/>
          </w:tcPr>
          <w:p>
            <w:r>
              <w:rPr>
                <w:sz w:val="20"/>
              </w:rPr>
              <w:t>Flacon de 120 doses</w:t>
            </w:r>
          </w:p>
        </w:tc>
        <w:tc>
          <w:tcPr>
            <w:tcW w:type="dxa" w:w="1559"/>
          </w:tcPr>
          <w:p>
            <w:r>
              <w:rPr>
                <w:sz w:val="20"/>
              </w:rPr>
              <w:t>Liste I</w:t>
            </w:r>
          </w:p>
        </w:tc>
        <w:tc>
          <w:tcPr>
            <w:tcW w:type="dxa" w:w="1559"/>
          </w:tcPr>
          <w:p>
            <w:r>
              <w:rPr>
                <w:sz w:val="20"/>
              </w:rPr>
              <w:t>Retrait</w:t>
            </w:r>
          </w:p>
        </w:tc>
      </w:tr>
      <w:tr>
        <w:tc>
          <w:tcPr>
            <w:tcW w:type="dxa" w:w="1559"/>
          </w:tcPr>
          <w:p>
            <w:r>
              <w:rPr>
                <w:sz w:val="20"/>
              </w:rPr>
              <w:t>FLIXASONE</w:t>
            </w:r>
          </w:p>
        </w:tc>
        <w:tc>
          <w:tcPr>
            <w:tcW w:type="dxa" w:w="1559"/>
          </w:tcPr>
          <w:p>
            <w:r>
              <w:rPr>
                <w:sz w:val="20"/>
              </w:rPr>
              <w:t>PHARMALLIANCE</w:t>
            </w:r>
          </w:p>
        </w:tc>
        <w:tc>
          <w:tcPr>
            <w:tcW w:type="dxa" w:w="1559"/>
          </w:tcPr>
          <w:p>
            <w:r>
              <w:rPr>
                <w:sz w:val="20"/>
              </w:rPr>
              <w:t>Spray nasal 50 µg/dose (fluticasone propionate)</w:t>
            </w:r>
          </w:p>
        </w:tc>
        <w:tc>
          <w:tcPr>
            <w:tcW w:type="dxa" w:w="1559"/>
          </w:tcPr>
          <w:p>
            <w:r>
              <w:rPr>
                <w:sz w:val="20"/>
              </w:rPr>
              <w:t>Flacon de 120 doses (20 mL)</w:t>
            </w:r>
          </w:p>
        </w:tc>
        <w:tc>
          <w:tcPr>
            <w:tcW w:type="dxa" w:w="1559"/>
          </w:tcPr>
          <w:p>
            <w:r>
              <w:rPr>
                <w:sz w:val="20"/>
              </w:rPr>
              <w:t>Liste I</w:t>
            </w:r>
          </w:p>
        </w:tc>
        <w:tc>
          <w:tcPr>
            <w:tcW w:type="dxa" w:w="1559"/>
          </w:tcPr>
          <w:p>
            <w:r>
              <w:rPr>
                <w:sz w:val="20"/>
              </w:rPr>
              <w:t>Retrait</w:t>
            </w:r>
          </w:p>
        </w:tc>
      </w:tr>
    </w:tbl>
    <w:p/>
    <w:p>
      <w:r>
        <w:t xml:space="preserve">La disponibilité commerciale de la fluticasone nasale en Algérie est la plus riche des quatre corticoïdes nasaux, avec neuf spécialités actives en fluticasone propionate (8 laboratoires) et deux spécialités actives en fluticasone furoate (1 laboratoire princeps Glaxo + 1 générique Biogalenic). À noter le retrait de la spécialité historique FLIXONASE (Glaxo Wellcome) et d'un conditionnement de FLIXASONE, qui peuvent compliquer l'accessibilité pour les patients habitués à ces marques. La distinction fondamentale entre </w:t>
      </w:r>
      <w:r>
        <w:rPr>
          <w:b/>
        </w:rPr>
        <w:t>propionate (50 µg/dose)</w:t>
      </w:r>
      <w:r>
        <w:t xml:space="preserve"> et </w:t>
      </w:r>
      <w:r>
        <w:rPr>
          <w:b/>
        </w:rPr>
        <w:t>furoate (27,5 µg/dose)</w:t>
      </w:r>
      <w:r>
        <w:t xml:space="preserve"> doit être maîtrisée par le pharmacien d'officine : les deux esters ne sont pas équivalents en posologie, et la fluticasone furoate (Avamys, Flucasone Mini) est autorisée chez l'enfant dès 2 ans (contre 4 ans pour la plupart des fluticasone propionate), ce qui en fait la molécule de choix pour la rhinite allergique pédiatrique. Tous les flacons sont conditionnés en 100 à 120 doses (soit 25 à 30 jours de traitement à la posologie adulte standard), à l'exception du FLIXODIS qui en contient 100.</w:t>
      </w:r>
    </w:p>
    <w:p>
      <w:r/>
      <w:r>
        <w:rPr>
          <w:b/>
        </w:rPr>
        <w:t>Sous-classe et Mécanisme d'action :</w:t>
      </w:r>
      <w:r/>
    </w:p>
    <w:p>
      <w:pPr>
        <w:pStyle w:val="ListBullet"/>
      </w:pPr>
      <w:r>
        <w:t>Sous-classe : Corticoïde nasal de troisième génération, corticoïde fluoré (9α-fluoro) de synthèse à ester propionate ou furoate. Liste I.</w:t>
      </w:r>
    </w:p>
    <w:p>
      <w:pPr>
        <w:pStyle w:val="ListBullet"/>
      </w:pPr>
      <w:r>
        <w:t>Mécanisme d'action : Comme tous les corticoïdes, la fluticasone (propionate ou furoate) exerce son effet anti-inflammatoire local par fixation au récepteur glucocorticoïde (GRα) cytosolique des cellules de la muqueuse nasale et sinusienne. L'affinité de la fluticasone furoate pour le GR est l'une des plus élevées de la classe (Kd ≈ 0,3 nM, supérieure à la mométasone), ce qui permet un effet maximal à dose plus faible (27,5 µg vs 50 µg pour le propionate). Après pulvérisation nasale, la molécule lipophile traverse la couche de mucus et l'épithélium respiratoire pour atteindre les cellules cibles (cellules ciliées, cellules caliciformes, cellules endothéliales, mastocytes, éosinophiles, lymphocytes T, cellules de Langerhans muqueuses, fibroblastes sous-muqueux). Le complexe fluticasone-GRα transloque dans le noyau et se fixe aux GRE (positifs et négatifs) pour activer la transcription des gènes anti-inflammatoires (annexine-1/lipocortine-1, IκB-α, MKP-1, GILZ) et réprimer celle des gènes pro-inflammatoires (cytokines IL-1, IL-2, IL-3, IL-4, IL-5, IL-6, IL-8, IL-13, TNF-α, IFN-γ, GM-CSF, COX-2, iNOS). L'effet anti-inflammatoire local associe : (i) inhibition de la phospholipase A2 → baisse des prostaglandines, leucotriènes, thromboxane, PAF ; (ii) inhibition de la COX-2 et de l'iNOS ; (iii) inhibition de la migration et de l'activation des éosinophiles, neutrophiles, basophiles, mastocytes, lymphocytes T ; (iv) inhibition de la présentation antigénique ; (v) diminution de l'expression des molécules d'adhésion ; (vi) inhibition de la perméabilité vasculaire post-capillaire → baisse de l'œdème et de la congestion. La biodisponibilité systémique orale est inférieure à 1 % (effet de premier passage hépatique intense par CYP3A4) et la biodisponibilité systémique nasale est inférieure à 0,5 % pour le propionate et inférieure à 0,1 % pour le furoate. La fluticasone furoate est résorbée plus lentement (Cmax à 3 à 4 heures) mais son effet local est prolongé, ce qui permet une administration unique quotidienne.</w:t>
      </w:r>
    </w:p>
    <w:p>
      <w:r/>
      <w:r>
        <w:rPr>
          <w:b/>
        </w:rPr>
        <w:t>Profil Pharmacologique :</w:t>
      </w:r>
      <w:r/>
    </w:p>
    <w:p>
      <w:pPr>
        <w:pStyle w:val="ListBullet"/>
      </w:pPr>
      <w:r>
        <w:t xml:space="preserve">Indications AMM : (1) </w:t>
      </w:r>
      <w:r>
        <w:rPr>
          <w:b/>
        </w:rPr>
        <w:t>Rhinite allergique saisonnière et perannuelle</w:t>
      </w:r>
      <w:r>
        <w:t xml:space="preserve"> chez l'adulte et l'enfant — fluticasone propionate à partir de 4 ans (parfois 5 ans selon les spécialités), fluticasone furoate à partir de 2 ans ; traitement symptomatique de la congestion nasale, de la rhinorrhée, des éternuements et du prurit nasal ; traitement prophylactique de la rhinite saisonnière. (2) </w:t>
      </w:r>
      <w:r>
        <w:rPr>
          <w:b/>
        </w:rPr>
        <w:t>Polypose nasosinusienne</w:t>
      </w:r>
      <w:r>
        <w:t xml:space="preserve"> chez l'adulte (uniquement pour la fluticasone propionate selon l'AMM). (3) </w:t>
      </w:r>
      <w:r>
        <w:rPr>
          <w:b/>
        </w:rPr>
        <w:t>Rhinite non allergique</w:t>
      </w:r>
      <w:r>
        <w:t xml:space="preserve"> (vasomotrice, professionnelle) en seconde intention. (4) Traitement d'appoint des sinusites chroniques. (5) Certaines protocoles ORL : rhinite médicamenteuse en phase de sevrage.</w:t>
      </w:r>
    </w:p>
    <w:p>
      <w:pPr>
        <w:pStyle w:val="ListBullet"/>
      </w:pPr>
      <w:r>
        <w:t xml:space="preserve">Contre-indications : Hypersensibilité à la fluticasone (propionate ou furoate) ou à l'un des excipients (chlorure de benzalkonium, polysorbate 80, cellulose microcristalline, carmellose sodique, dextrose, acide citrique, phosphate disodique, eau purifiée — formulation Avamys) ; infection locale non traitée notamment </w:t>
      </w:r>
      <w:r>
        <w:rPr>
          <w:b/>
        </w:rPr>
        <w:t>fongique nasosinusienne</w:t>
      </w:r>
      <w:r>
        <w:t xml:space="preserve"> (aspergillose, mucormycose) et </w:t>
      </w:r>
      <w:r>
        <w:rPr>
          <w:b/>
        </w:rPr>
        <w:t>herpès nasal actif</w:t>
      </w:r>
      <w:r>
        <w:t xml:space="preserve"> ; tuberculose nasosinusienne ; </w:t>
      </w:r>
      <w:r>
        <w:rPr>
          <w:b/>
        </w:rPr>
        <w:t>glaucome</w:t>
      </w:r>
      <w:r>
        <w:t xml:space="preserve"> (par prudence) ; antécédent de </w:t>
      </w:r>
      <w:r>
        <w:rPr>
          <w:b/>
        </w:rPr>
        <w:t>chirurgie nasale récente</w:t>
      </w:r>
      <w:r>
        <w:t xml:space="preserve"> ou de </w:t>
      </w:r>
      <w:r>
        <w:rPr>
          <w:b/>
        </w:rPr>
        <w:t>traumatisme nasal</w:t>
      </w:r>
      <w:r>
        <w:t xml:space="preserve"> non cicatrisé ; enfant de moins de 4 ans pour la fluticasone propionate (selon AMM) ou de moins de 2 ans pour la fluticasone furoate.</w:t>
      </w:r>
    </w:p>
    <w:p>
      <w:pPr>
        <w:pStyle w:val="ListBullet"/>
      </w:pPr>
      <w:r>
        <w:t>Spectre d'action locale : La fluticasone n'a pas d'activité antibiotique ni antifongique propre. Son effet immunosuppresseur local ne justifie pas l'ajout systématique d'une couverture anti-infectieuse, mais impose la vérification préalable de l'absence d'infection nasosinusienne active.</w:t>
      </w:r>
    </w:p>
    <w:p>
      <w:r/>
      <w:r>
        <w:rPr>
          <w:b/>
        </w:rPr>
        <w:t>Effets Indésirables :</w:t>
      </w:r>
      <w:r/>
    </w:p>
    <w:p>
      <w:pPr>
        <w:pStyle w:val="ListBullet"/>
      </w:pPr>
      <w:r/>
      <w:r>
        <w:rPr>
          <w:b/>
        </w:rPr>
        <w:t>Locaux précoces</w:t>
      </w:r>
      <w:r>
        <w:t xml:space="preserve"> (premières semaines) : irritation nasale (5 à 10 %), sensation de brûlure, sécheresse nasale, éternuements post-pulvérisation, dysgueusie transitoire (goût métallique), épistaxis mineure (8 à 12 % selon les études pivots).</w:t>
      </w:r>
    </w:p>
    <w:p>
      <w:pPr>
        <w:pStyle w:val="ListBullet"/>
      </w:pPr>
      <w:r/>
      <w:r>
        <w:rPr>
          <w:b/>
        </w:rPr>
        <w:t>Locaux tardifs</w:t>
      </w:r>
      <w:r>
        <w:t xml:space="preserve"> (au-delà de 1 mois) : épistaxis (incidence cumulée jusqu'à 20 % à 1 an d'usage continu, le plus souvent bénigne et spontanément résolutive), croûtes nasales, ulcération muqueuse, plus rarement </w:t>
      </w:r>
      <w:r>
        <w:rPr>
          <w:b/>
        </w:rPr>
        <w:t>perforation septale</w:t>
      </w:r>
      <w:r>
        <w:t xml:space="preserve"> (incidence &lt; 1/10 000 patients-années, presque exclusivement en cas de pulvérisation répétée vers le septum), candidose nasopharyngée (rares cas).</w:t>
      </w:r>
    </w:p>
    <w:p>
      <w:pPr>
        <w:pStyle w:val="ListBullet"/>
      </w:pPr>
      <w:r/>
      <w:r>
        <w:rPr>
          <w:b/>
        </w:rPr>
        <w:t>Oculaires</w:t>
      </w:r>
      <w:r>
        <w:t xml:space="preserve"> : très rarement glaucome ou cataracte (par passage systémique minime mais non nul, en cas d'usage prolongé à forte dose).</w:t>
      </w:r>
    </w:p>
    <w:p>
      <w:pPr>
        <w:pStyle w:val="ListBullet"/>
      </w:pPr>
      <w:r/>
      <w:r>
        <w:rPr>
          <w:b/>
        </w:rPr>
        <w:t>Systémiques</w:t>
      </w:r>
      <w:r>
        <w:t xml:space="preserve"> (exceptionnels aux posologies usuelles) : exceptionnellement insuffisance surrénalienne (à de très fortes doses, en cas d'usage prolongé supérieur à 1 an à la dose maximale), syndrome de Cushing iatrogène (idem), retard de croissance chez l'enfant (à noter que les études pivots n'ont pas montré de retard de croissance significatif aux posologies recommandées, ce qui a justifié l'extension d'AMM à l'enfant de 2 ans pour la fluticasone furoate).</w:t>
      </w:r>
    </w:p>
    <w:p>
      <w:pPr>
        <w:pStyle w:val="ListBullet"/>
      </w:pPr>
      <w:r/>
      <w:r>
        <w:rPr>
          <w:b/>
        </w:rPr>
        <w:t>Effets paradoxaux</w:t>
      </w:r>
      <w:r>
        <w:t xml:space="preserve"> : exacerbation transitoire des symptômes en début de traitement (réaction d'irritation), exceptionnelles réactions allergiques de contact.</w:t>
      </w:r>
    </w:p>
    <w:p>
      <w:r/>
      <w:r>
        <w:rPr>
          <w:b/>
        </w:rPr>
        <w:t>Prévention et Gestion des Effets Indésirables :</w:t>
      </w:r>
      <w:r/>
    </w:p>
    <w:p>
      <w:pPr>
        <w:pStyle w:val="ListBullet"/>
      </w:pPr>
      <w:r>
        <w:t xml:space="preserve">Mesures préventives : </w:t>
      </w:r>
      <w:r>
        <w:rPr>
          <w:b/>
        </w:rPr>
        <w:t>Éducation systématique à la technique de pulvérisation</w:t>
      </w:r>
      <w:r>
        <w:t xml:space="preserve"> dirigée vers la paroi latérale (jamais vers le septum) — pencher légèrement la tête en avant, introduire l'embout du flacon dans la narine, orienter la buse vers l'extérieur (vers l'oreille), pulvériser en inspirant doucement ; </w:t>
      </w:r>
      <w:r>
        <w:rPr>
          <w:b/>
        </w:rPr>
        <w:t>amorçage (priming) du flacon</w:t>
      </w:r>
      <w:r>
        <w:t xml:space="preserve"> avant la première utilisation (6 pulvérisations dans l'air pour Avamys, 10 pour les fluticasone propionate) et en cas de non-utilisation supérieure à 4 jours (1 pulvérisation pour Avamys, 2 pulvérisations pour les fluticasone propionate) ; </w:t>
      </w:r>
      <w:r>
        <w:rPr>
          <w:b/>
        </w:rPr>
        <w:t>soufflage de nez</w:t>
      </w:r>
      <w:r>
        <w:t xml:space="preserve"> préalable léger ; </w:t>
      </w:r>
      <w:r>
        <w:rPr>
          <w:b/>
        </w:rPr>
        <w:t>administration unique quotidienne</w:t>
      </w:r>
      <w:r>
        <w:t xml:space="preserve"> (le matin) ; surveillance de l'apparition d'épistaxis ; rinçage de la bouche après administration ; surveillance de la croissance en pédiatrie ; information du patient sur le délai d'action retardé.</w:t>
      </w:r>
    </w:p>
    <w:p>
      <w:pPr>
        <w:pStyle w:val="ListBullet"/>
      </w:pPr>
      <w:r>
        <w:t>Conduite à tenir : En cas d'épistaxis bénigne, arrêt de 2 à 7 jours et reprise à posologie réduite ; en cas d'épistaxis abondante ou répétée, arrêt et consultation ORL ; en cas d'ulcération ou de perforation septale, arrêt définitif et prise en charge ORL spécialisée ; en cas de candidose nasopharyngée, arrêt temporaire et antifongique local ; en cas de signes systémiques, dosage du cortisol, de l'ACTH et consultation endocrinologique ; en cas d'absence d'efficacité à 4 semaines, réévaluation diagnostique.</w:t>
      </w:r>
    </w:p>
    <w:p>
      <w:r/>
      <w:r>
        <w:rPr>
          <w:b/>
        </w:rPr>
        <w:t>Interactions Importantes :</w:t>
      </w:r>
      <w:r/>
    </w:p>
    <w:p>
      <w:pPr>
        <w:pStyle w:val="ListBullet"/>
      </w:pPr>
      <w:r>
        <w:t>Inhibiteurs puissants du CYP3A4 (ritonavir, atazanavir, indinavir, kétoconazole, itraconazole, posaconazole, voriconazole, clarithromycine, érythromycine, télithromycine, diltiazem, vérapamil, grapefruit) : augmentation de l'imprégnation systémique (la fluticasone est métabolisée par CYP3A4) ; surveillance clinique, en particulier pour le ritonavir (interaction documentée avec augmentation majeure de l'AUC de la fluticasone ; éviter l'association, ou utiliser la plus faible dose possible avec surveillance de la cortisolémie). L'association fluticasone + ritonavir a été responsable de syndromes de Cushing iatrogènes et d'insuffisance surrénalienne aiguë documentés dans la littérature.</w:t>
      </w:r>
    </w:p>
    <w:p>
      <w:pPr>
        <w:pStyle w:val="ListBullet"/>
      </w:pPr>
      <w:r>
        <w:t>Autres corticoïdes (inhalés, nasaux, dermiques, oraux) : cumul et majoration du risque systémique.</w:t>
      </w:r>
    </w:p>
    <w:p>
      <w:pPr>
        <w:pStyle w:val="ListBullet"/>
      </w:pPr>
      <w:r>
        <w:t>Vaccins vivants atténués : contre-indication pendant la durée du traitement et jusqu'à 3 mois après l'arrêt en cas d'usage prolongé à forte dose.</w:t>
      </w:r>
    </w:p>
    <w:p>
      <w:pPr>
        <w:pStyle w:val="ListBullet"/>
      </w:pPr>
      <w:r>
        <w:t>Insuline et antidiabétiques : effet hyperglycémiant (modéré, à surveiller).</w:t>
      </w:r>
    </w:p>
    <w:p>
      <w:pPr>
        <w:pStyle w:val="ListBullet"/>
      </w:pPr>
      <w:r>
        <w:t>Diurétiques hypokaliémiants : majoration de l'hypokaliémie.</w:t>
      </w:r>
    </w:p>
    <w:p>
      <w:pPr>
        <w:pStyle w:val="ListBullet"/>
      </w:pPr>
      <w:r>
        <w:t>AINS : majoration du risque ulcéreux en cas d'absorption systémique significative (rare).</w:t>
      </w:r>
    </w:p>
    <w:p>
      <w:pPr>
        <w:pStyle w:val="ListBullet"/>
      </w:pPr>
      <w:r>
        <w:t>Anticoagulants oraux : variabilité de l'INR (rare).</w:t>
      </w:r>
    </w:p>
    <w:p>
      <w:r/>
      <w:r>
        <w:rPr>
          <w:b/>
        </w:rPr>
        <w:t>Grossesse et Allaitement :</w:t>
      </w:r>
      <w:r/>
    </w:p>
    <w:p>
      <w:pPr>
        <w:pStyle w:val="ListBullet"/>
      </w:pPr>
      <w:r>
        <w:t xml:space="preserve">Grossesse : La fluticasone (propionate et furoate) nasale est classée par le CRAT comme « </w:t>
      </w:r>
      <w:r>
        <w:rPr>
          <w:b/>
        </w:rPr>
        <w:t>utilisable quel que soit le terme</w:t>
      </w:r>
      <w:r>
        <w:t xml:space="preserve"> » chez la femme enceinte, sur la base d'un recul clinique important (plusieurs milliers de grossesses exposées documentées sans augmentation du risque malformatif), d'une biodisponibilité systémique négligeable, et d'études animales rassurantes. Aux posologies usuelles (200 µg/jour pour le propionate, 110 µg/jour pour le furoate), aucune surveillance spécifique n'est recommandée. La fluticasone furoate (Avamys) est souvent privilégiée chez la femme enceinte en raison de sa biodisponibilité systémique encore plus faible que la propionate.</w:t>
      </w:r>
    </w:p>
    <w:p>
      <w:pPr>
        <w:pStyle w:val="ListBullet"/>
      </w:pPr>
      <w:r>
        <w:t>Allaitement : Compatible avec l'allaitement ; le passage dans le lait maternel est négligeable. Aucune surveillance spécifique du nourrisson n'est recommandée aux posologies usuelles.</w:t>
      </w:r>
    </w:p>
    <w:p>
      <w:pPr>
        <w:pStyle w:val="ListBullet"/>
      </w:pPr>
      <w:r>
        <w:t>Précisions : La fluticasone (propionate ou furoate) existe aussi en forme inhalée (asthme) et dermique (eczéma) ; la grossesse de ces formes relève de règles différentes traitées dans les chapitres correspondants.</w:t>
      </w:r>
    </w:p>
    <w:p>
      <w:r/>
      <w:r>
        <w:rPr>
          <w:b/>
        </w:rPr>
        <w:t>Posologie et Mode d'administration (Standard) :</w:t>
      </w:r>
      <w:r/>
    </w:p>
    <w:p>
      <w:pPr>
        <w:pStyle w:val="ListBullet"/>
      </w:pPr>
      <w:r>
        <w:t xml:space="preserve">Fluticasone propionate (FLIXASONE, FLIXODIS, FLIXONE, FLOMIST, FLUCASONE, FLUTEL, FLUTINASE, FLEXODOZ) — Adulte et adolescent à partir de 12 ans : </w:t>
      </w:r>
      <w:r>
        <w:rPr>
          <w:b/>
        </w:rPr>
        <w:t>200 µg/jour en une ou deux prises</w:t>
      </w:r>
      <w:r>
        <w:t>, soit 2 pulvérisations de 50 µg dans chaque narine une fois par jour, ou 1 pulvérisation de 50 µg dans chaque narine deux fois par jour. Dose d'entretien après contrôle : 100 µg/jour (1 pulvérisation par narine une fois par jour). Dose maximale : 400 µg/jour. Enfant de 4 à 11 ans : 100 µg/jour en une prise (1 pulvérisation par narine une fois par jour).</w:t>
      </w:r>
    </w:p>
    <w:p>
      <w:pPr>
        <w:pStyle w:val="ListBullet"/>
      </w:pPr>
      <w:r>
        <w:t xml:space="preserve">Fluticasone furoate (AVAMYS, FLUCASONE MINI) — Adulte et adolescent à partir de 12 ans : </w:t>
      </w:r>
      <w:r>
        <w:rPr>
          <w:b/>
        </w:rPr>
        <w:t>110 µg/jour en une prise</w:t>
      </w:r>
      <w:r>
        <w:t xml:space="preserve">, soit 2 pulvérisations de 27,5 µg dans chaque narine une fois par jour. Dose d'entretien après contrôle : 55 µg/jour (1 pulvérisation par narine une fois par jour). Enfant de 2 à 11 ans : </w:t>
      </w:r>
      <w:r>
        <w:rPr>
          <w:b/>
        </w:rPr>
        <w:t>55 µg/jour en une prise</w:t>
      </w:r>
      <w:r>
        <w:t>, soit 1 pulvérisation de 27,5 µg dans chaque narine une fois par jour. En cas d'efficacité insuffisante après 2 semaines chez l'enfant de 6 à 11 ans, augmentation à 110 µg/jour possible.</w:t>
      </w:r>
    </w:p>
    <w:p>
      <w:pPr>
        <w:pStyle w:val="ListBullet"/>
      </w:pPr>
      <w:r>
        <w:t>Mode d'administration : (1) souffler doucement de nez ; (2) amorcer le flacon (6 pulvérisations dans l'air pour Avamys à la première utilisation, 1 pulvérisation en cas de non-utilisation supérieure à 4 jours ; 10 pulvérisations pour la fluticasone propionate à la première utilisation, 2 pulvérisations en cas de non-utilisation supérieure à 7 jours) ; (3) pencher légèrement la tête en avant ; (4) introduire l'embout dans une narine, orienter la buse vers l'extérieur (vers l'oreille) ; (5) pulvériser en inspirant doucement ; (6) expirer par la bouche ; (7) répéter dans l'autre narine ; (8) nettoyer l'embout et refermer le capuchon ; (9) se rincer la bouche à l'eau et l'avaler.</w:t>
      </w:r>
    </w:p>
    <w:p>
      <w:pPr>
        <w:pStyle w:val="ListBullet"/>
      </w:pPr>
      <w:r>
        <w:t>Durée de traitement : rhinite saisonnière : pendant toute la saison pollinique ; rhinite perannuelle : traitement continu prolongé avec réévaluation tous les 3 à 6 mois ; polypose : traitement d'entretien prolongé.</w:t>
      </w:r>
    </w:p>
    <w:p>
      <w:r/>
      <w:r>
        <w:rPr>
          <w:b/>
        </w:rPr>
        <w:t>Arbitrage et Bénéfices des Formes Galéniques :</w:t>
      </w:r>
      <w:r/>
    </w:p>
    <w:p>
      <w:r>
        <w:t>La fluticasone nasale existe sous deux esters (propionate et furoate) qui ne sont pas strictement équivalents :</w:t>
      </w:r>
    </w:p>
    <w:p>
      <w:pPr>
        <w:pStyle w:val="ListBullet"/>
      </w:pPr>
      <w:r/>
      <w:r>
        <w:rPr>
          <w:b/>
        </w:rPr>
        <w:t>Fluticasone propionate (50 µg/dose)</w:t>
      </w:r>
      <w:r>
        <w:t xml:space="preserve"> : indication adulte et enfant à partir de 4 ans ; posologie 200 µg/jour ; spécialités disponibles : FLIXASONE, FLIXODIS, FLIXONE, FLOMIST, FLUCASONE, FLUTEL, FLUTINASE, FLEXODOZ. Le choix de la spécialité dépend de la disponibilité du remboursement, du coût et des préférences du patient concernant le système de pulvérisation.</w:t>
      </w:r>
    </w:p>
    <w:p>
      <w:pPr>
        <w:pStyle w:val="ListBullet"/>
      </w:pPr>
      <w:r/>
      <w:r>
        <w:rPr>
          <w:b/>
        </w:rPr>
        <w:t>Fluticasone furoate (27,5 µg/dose)</w:t>
      </w:r>
      <w:r>
        <w:t xml:space="preserve"> : indication adulte et enfant à partir de 2 ans (autorisation pédiatrique précoce) ; posologie 110 µg/jour (adulte) ou 55 µg/jour (enfant 2-11 ans) ; spécialités disponibles : AVAMYS (princeps Glaxo) et FLUCASONE MINI (générique Biogalenic). Formulation avec excipients différents (cellulose microcristalline, carmellose sodique, dextrose — formulation sans chlorure de benzalkonium pour Avamys, ce qui est un avantage pour les patients intolérants aux conservateurs).</w:t>
      </w:r>
    </w:p>
    <w:p>
      <w:r>
        <w:t>L'arbitrage entre propionate et furoate dépend principalement de l'âge (furoate privilégié chez l'enfant de 2 à 4 ans), de l'intolérance aux conservateurs (furoate Avamys sans benzalkonium), et de la sévérité (furoate a une affinité GR supérieure et une demi-vie locale plus longue, permettant une efficacité à dose plus faible).</w:t>
      </w:r>
    </w:p>
    <w:p>
      <w:r/>
      <w:r>
        <w:rPr>
          <w:b/>
        </w:rPr>
        <w:t>Instructions et Conseils au Patient :</w:t>
      </w:r>
      <w:r/>
    </w:p>
    <w:p>
      <w:pPr>
        <w:pStyle w:val="ListBullet"/>
      </w:pPr>
      <w:r>
        <w:t>Communication au comptoir : Insister sur le délai d'action retardé (12 à 72 heures pour les premiers effets, 2 à 4 semaines pour l'effet maximal), sur la nécessité d'une administration quotidienne régulière, sur la technique de pulvérisation dirigée vers la paroi latérale, sur le priming, et sur le rinçage de la bouche après administration. Pour Avamys, mentionner l'absence de chlorure de benzalkonium (avantage pour les patients intolérants).</w:t>
      </w:r>
    </w:p>
    <w:p>
      <w:pPr>
        <w:pStyle w:val="ListBullet"/>
      </w:pPr>
      <w:r>
        <w:t>Mode d'utilisation pratique : Démonstration au comptoir ; remise d'une notice simplifiée. Conserver le flacon à température ambiante (≤ 25 °C), ne pas congeler. Jeter le flacon 2 mois (Avamys : 60 jours) après la première utilisation. Ne pas partager le flacon.</w:t>
      </w:r>
    </w:p>
    <w:p>
      <w:pPr>
        <w:pStyle w:val="ListBullet"/>
      </w:pPr>
      <w:r>
        <w:t>Information sur les signes d'alerte : épistaxis répétées, douleur nasale persistante, troubles visuels, asthénie, prise de poids → arrêt et consultation.</w:t>
      </w:r>
    </w:p>
    <w:p>
      <w:r/>
      <w:r>
        <w:rPr>
          <w:b/>
        </w:rPr>
        <w:t>Notes, Règles d'Or &amp; Pièges au Comptoir :</w:t>
      </w:r>
      <w:r/>
    </w:p>
    <w:p>
      <w:pPr>
        <w:pStyle w:val="ListBullet"/>
      </w:pPr>
      <w:r>
        <w:t>Piège classique de la confusion entre fluticasone propionate et fluticasone furoate : les dosages sont différents (50 µg/dose vs 27,5 µg/dose) et les posologies ne sont pas interchangeables sans ajustement.</w:t>
      </w:r>
    </w:p>
    <w:p>
      <w:pPr>
        <w:pStyle w:val="ListBullet"/>
      </w:pPr>
      <w:r>
        <w:t>Piège de l'interaction avec le ritonavir : l'association fluticasone + ritonavir (ou autres inhibiteurs puissants du CYP3A4) peut entraîner un syndrome de Cushing iatrogène et une insuffisance surrénalienne — à éviter ou utiliser à dose minimale avec surveillance.</w:t>
      </w:r>
    </w:p>
    <w:p>
      <w:pPr>
        <w:pStyle w:val="ListBullet"/>
      </w:pPr>
      <w:r>
        <w:t>Piège du priming oublié : pour Avamys, primer 6 fois avant la première utilisation ; en cas de non-utilisation supérieure à 4 jours, primer 1 fois (ne pas jeter le flacon, il est encore utilisable).</w:t>
      </w:r>
    </w:p>
    <w:p>
      <w:pPr>
        <w:pStyle w:val="ListBullet"/>
      </w:pPr>
      <w:r>
        <w:t>Règle d'or : « Fluticasone propionate = 2 pulvérisations par narine une fois par jour chez l'adulte (4 ans et +) ; fluticasone furoate = 2 pulvérisations par narine une fois par jour chez l'adulte, 1 pulvérisation par narine chez l'enfant de 2 à 11 ans ».</w:t>
      </w:r>
    </w:p>
    <w:p>
      <w:pPr>
        <w:pStyle w:val="ListBullet"/>
      </w:pPr>
      <w:r>
        <w:t>Préparation et Conservation : Flacon fermé, à température ambiante (≤ 25 °C), à l'abri de la lumière. Jeter 2 mois après la première utilisation.</w:t>
      </w:r>
    </w:p>
    <w:p>
      <w:pPr>
        <w:pStyle w:val="ListBullet"/>
      </w:pPr>
      <w:r>
        <w:t>Piège de substitution : La substitution entre fluticasone propionate et fluticasone furoate n'est pas acceptable sans accord médical (dosages et AMM différents).</w:t>
      </w:r>
    </w:p>
    <w:p>
      <w:pPr>
        <w:pStyle w:val="Heading3"/>
      </w:pPr>
      <w:r>
        <w:t>133.2.4 DCI : Beclométasone (dipropionate nasal)</w:t>
      </w:r>
    </w:p>
    <w:p>
      <w:r/>
      <w:r>
        <w:rPr>
          <w:b/>
        </w:rPr>
        <w:t>Liste des Catégories :</w:t>
      </w:r>
      <w:r>
        <w:t xml:space="preserve"> Liste I.</w:t>
      </w:r>
    </w:p>
    <w:p>
      <w:r>
        <w:t xml:space="preserve">Le dipropionate de beclométasone est un corticoïde de synthèse de première génération (1973), dérivé de la pregn-4-ène-3,20-dione substitué en 9α-chloro, 11β-hydroxy, 16α-méthyl, 17α,21-dipropionyloxy. Il s'agit du </w:t>
      </w:r>
      <w:r>
        <w:rPr>
          <w:b/>
        </w:rPr>
        <w:t>premier corticoïde nasal modern</w:t>
      </w:r>
      <w:r>
        <w:t>e, commercialisé sous le nom de Béconase® par Glaxo en 1973, et qui a marqué le début de l'ère de la corticothérapie nasale moderne. Son affinité pour le récepteur glucocorticoïde est plus modeste que celle des molécules de troisième génération (mométasone, fluticasone furoate), et sa biodisponibilité systémique orale est d'environ 20 % (supérieure à celle des molécules modernes), mais sa tolérance locale reste bonne. La spécialité historique (Béconase®) n'est pas commercialisée en Algérie sous ce nom, mais plusieurs génériques sont disponibles : BECANOS (Neomedic), NASABEC (Biogalenic) à 50 µg/dose et 100 µg/dose, RINOCLENIL 100 (Chiesi Farmaceutici) à 100 µg/dose. La beclométasone est aussi disponible en Algérie sous forme inhalée (asthme) et sous forme collyre. Sa prescription relève du médecin généraliste ou de l'ORL ; le pharmacien d'officine joue un rôle critique dans l'éducation à la technique de pulvérisation et à la surveillance à long terme.</w:t>
      </w:r>
    </w:p>
    <w:p>
      <w:r/>
      <w:r>
        <w:rPr>
          <w:b/>
        </w:rPr>
        <w:t>Médicaments disponibles en Algérie (tableau commercial)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BECANOS</w:t>
            </w:r>
          </w:p>
        </w:tc>
        <w:tc>
          <w:tcPr>
            <w:tcW w:type="dxa" w:w="1559"/>
          </w:tcPr>
          <w:p>
            <w:r>
              <w:rPr>
                <w:sz w:val="20"/>
              </w:rPr>
              <w:t>NEOMEDIC</w:t>
            </w:r>
          </w:p>
        </w:tc>
        <w:tc>
          <w:tcPr>
            <w:tcW w:type="dxa" w:w="1559"/>
          </w:tcPr>
          <w:p>
            <w:r>
              <w:rPr>
                <w:sz w:val="20"/>
              </w:rPr>
              <w:t>Suspension pour pulvérisation nasale 50 µg/dose</w:t>
            </w:r>
          </w:p>
        </w:tc>
        <w:tc>
          <w:tcPr>
            <w:tcW w:type="dxa" w:w="1559"/>
          </w:tcPr>
          <w:p>
            <w:r>
              <w:rPr>
                <w:sz w:val="20"/>
              </w:rPr>
              <w:t>Flacon de 100 doses</w:t>
            </w:r>
          </w:p>
        </w:tc>
        <w:tc>
          <w:tcPr>
            <w:tcW w:type="dxa" w:w="1559"/>
          </w:tcPr>
          <w:p>
            <w:r>
              <w:rPr>
                <w:sz w:val="20"/>
              </w:rPr>
              <w:t>Liste I</w:t>
            </w:r>
          </w:p>
        </w:tc>
        <w:tc>
          <w:tcPr>
            <w:tcW w:type="dxa" w:w="1559"/>
          </w:tcPr>
          <w:p>
            <w:r>
              <w:rPr>
                <w:sz w:val="20"/>
              </w:rPr>
              <w:t>Actif</w:t>
            </w:r>
          </w:p>
        </w:tc>
      </w:tr>
      <w:tr>
        <w:tc>
          <w:tcPr>
            <w:tcW w:type="dxa" w:w="1559"/>
          </w:tcPr>
          <w:p>
            <w:r>
              <w:rPr>
                <w:sz w:val="20"/>
              </w:rPr>
              <w:t>NASABEC</w:t>
            </w:r>
          </w:p>
        </w:tc>
        <w:tc>
          <w:tcPr>
            <w:tcW w:type="dxa" w:w="1559"/>
          </w:tcPr>
          <w:p>
            <w:r>
              <w:rPr>
                <w:sz w:val="20"/>
              </w:rPr>
              <w:t>BIOGALENIC</w:t>
            </w:r>
          </w:p>
        </w:tc>
        <w:tc>
          <w:tcPr>
            <w:tcW w:type="dxa" w:w="1559"/>
          </w:tcPr>
          <w:p>
            <w:r>
              <w:rPr>
                <w:sz w:val="20"/>
              </w:rPr>
              <w:t>Suspension pour pulvérisation nasale 50 µg/dose (beclométasone dipropionate monohydrate)</w:t>
            </w:r>
          </w:p>
        </w:tc>
        <w:tc>
          <w:tcPr>
            <w:tcW w:type="dxa" w:w="1559"/>
          </w:tcPr>
          <w:p>
            <w:r>
              <w:rPr>
                <w:sz w:val="20"/>
              </w:rPr>
              <w:t>Boîte de 1 flacon pulvérisateur de 100 doses</w:t>
            </w:r>
          </w:p>
        </w:tc>
        <w:tc>
          <w:tcPr>
            <w:tcW w:type="dxa" w:w="1559"/>
          </w:tcPr>
          <w:p>
            <w:r>
              <w:rPr>
                <w:sz w:val="20"/>
              </w:rPr>
              <w:t>Liste I</w:t>
            </w:r>
          </w:p>
        </w:tc>
        <w:tc>
          <w:tcPr>
            <w:tcW w:type="dxa" w:w="1559"/>
          </w:tcPr>
          <w:p>
            <w:r>
              <w:rPr>
                <w:sz w:val="20"/>
              </w:rPr>
              <w:t>Actif</w:t>
            </w:r>
          </w:p>
        </w:tc>
      </w:tr>
      <w:tr>
        <w:tc>
          <w:tcPr>
            <w:tcW w:type="dxa" w:w="1559"/>
          </w:tcPr>
          <w:p>
            <w:r>
              <w:rPr>
                <w:sz w:val="20"/>
              </w:rPr>
              <w:t>NASABEC</w:t>
            </w:r>
          </w:p>
        </w:tc>
        <w:tc>
          <w:tcPr>
            <w:tcW w:type="dxa" w:w="1559"/>
          </w:tcPr>
          <w:p>
            <w:r>
              <w:rPr>
                <w:sz w:val="20"/>
              </w:rPr>
              <w:t>BIOGALENIC</w:t>
            </w:r>
          </w:p>
        </w:tc>
        <w:tc>
          <w:tcPr>
            <w:tcW w:type="dxa" w:w="1559"/>
          </w:tcPr>
          <w:p>
            <w:r>
              <w:rPr>
                <w:sz w:val="20"/>
              </w:rPr>
              <w:t>Suspension en pulvérisation nasale 100 µg/dose</w:t>
            </w:r>
          </w:p>
        </w:tc>
        <w:tc>
          <w:tcPr>
            <w:tcW w:type="dxa" w:w="1559"/>
          </w:tcPr>
          <w:p>
            <w:r>
              <w:rPr>
                <w:sz w:val="20"/>
              </w:rPr>
              <w:t>Flacon de 200 doses</w:t>
            </w:r>
          </w:p>
        </w:tc>
        <w:tc>
          <w:tcPr>
            <w:tcW w:type="dxa" w:w="1559"/>
          </w:tcPr>
          <w:p>
            <w:r>
              <w:rPr>
                <w:sz w:val="20"/>
              </w:rPr>
              <w:t>Liste I</w:t>
            </w:r>
          </w:p>
        </w:tc>
        <w:tc>
          <w:tcPr>
            <w:tcW w:type="dxa" w:w="1559"/>
          </w:tcPr>
          <w:p>
            <w:r>
              <w:rPr>
                <w:sz w:val="20"/>
              </w:rPr>
              <w:t>Actif</w:t>
            </w:r>
          </w:p>
        </w:tc>
      </w:tr>
      <w:tr>
        <w:tc>
          <w:tcPr>
            <w:tcW w:type="dxa" w:w="1559"/>
          </w:tcPr>
          <w:p>
            <w:r>
              <w:rPr>
                <w:sz w:val="20"/>
              </w:rPr>
              <w:t>RINOCLENIL 100</w:t>
            </w:r>
          </w:p>
        </w:tc>
        <w:tc>
          <w:tcPr>
            <w:tcW w:type="dxa" w:w="1559"/>
          </w:tcPr>
          <w:p>
            <w:r>
              <w:rPr>
                <w:sz w:val="20"/>
              </w:rPr>
              <w:t>CHIESI FARMACEUTICI SPA</w:t>
            </w:r>
          </w:p>
        </w:tc>
        <w:tc>
          <w:tcPr>
            <w:tcW w:type="dxa" w:w="1559"/>
          </w:tcPr>
          <w:p>
            <w:r>
              <w:rPr>
                <w:sz w:val="20"/>
              </w:rPr>
              <w:t>Suspension en spray nasal 100 µg/dose</w:t>
            </w:r>
          </w:p>
        </w:tc>
        <w:tc>
          <w:tcPr>
            <w:tcW w:type="dxa" w:w="1559"/>
          </w:tcPr>
          <w:p>
            <w:r>
              <w:rPr>
                <w:sz w:val="20"/>
              </w:rPr>
              <w:t>Flacon de 200 doses</w:t>
            </w:r>
          </w:p>
        </w:tc>
        <w:tc>
          <w:tcPr>
            <w:tcW w:type="dxa" w:w="1559"/>
          </w:tcPr>
          <w:p>
            <w:r>
              <w:rPr>
                <w:sz w:val="20"/>
              </w:rPr>
              <w:t>Liste I</w:t>
            </w:r>
          </w:p>
        </w:tc>
        <w:tc>
          <w:tcPr>
            <w:tcW w:type="dxa" w:w="1559"/>
          </w:tcPr>
          <w:p>
            <w:r>
              <w:rPr>
                <w:sz w:val="20"/>
              </w:rPr>
              <w:t>Actif</w:t>
            </w:r>
          </w:p>
        </w:tc>
      </w:tr>
    </w:tbl>
    <w:p/>
    <w:p>
      <w:r>
        <w:t>La disponibilité commerciale de la beclométasone nasale en Algérie est plus limitée que celle de la mométasone ou de la fluticasone, avec quatre spécialités actives de trois laboratoires (Neomedic, Biogalenic, Chiesi). Deux dosages coexistent : 50 µg/dose (BECANOS, NASABEC 50) et 100 µg/dose (NASABEC 100, RINOCLENIL 100). Cette diversité de dosages permet une adaptation posologique plus fine (le 100 µg/dose permet de réduire le nombre de pulvérisations chez l'adulte, et le 50 µg/dose est utilisé chez l'enfant à partir de 6 ans). Les conditionnements sont de 100 à 200 doses. À noter que la beclométasone nasale est la moins prescrite des quatre corticoïdes nasaux disponibles en Algérie, en raison de sa biodisponibilité systémique plus élevée que les molécules de troisième génération et de la concurrence de la mométasone et de la fluticasone. Elle reste néanmoins utile pour certains patients en raison de son coût plus faible et de sa disponibilité en dosage 100 µg (intéressant pour les polyposes nasosinusiennes sévères nécessitant des doses plus élevées).</w:t>
      </w:r>
    </w:p>
    <w:p>
      <w:r/>
      <w:r>
        <w:rPr>
          <w:b/>
        </w:rPr>
        <w:t>Sous-classe et Mécanisme d'action :</w:t>
      </w:r>
      <w:r/>
    </w:p>
    <w:p>
      <w:pPr>
        <w:pStyle w:val="ListBullet"/>
      </w:pPr>
      <w:r>
        <w:t>Sous-classe : Corticoïde nasal de première génération, corticoïde chloré (9α-chloro) de synthèse à ester dipropionate. Liste I.</w:t>
      </w:r>
    </w:p>
    <w:p>
      <w:pPr>
        <w:pStyle w:val="ListBullet"/>
      </w:pPr>
      <w:r>
        <w:t>Mécanisme d'action : La beclométasone dipropionate est une prodrogue qui subit une estération enzymatique locale en monopropionate actif (17-BMP, beclométasone 17-monopropionate) puis en beclométasone (BM) au niveau de la muqueuse nasale. La forme active (17-BMP) se fixe au récepteur glucocorticoïde (GRα) cytosolique avec une affinité modérée (Kd ≈ 1,5 nM, inférieure à la mométasone et à la fluticasone). Le complexe beclométasone-GRα transloque dans le noyau et se fixe aux GRE pour activer la transcription des gènes anti-inflammatoires et réprimer celle des gènes pro-inflammatoires, selon le schéma classique des corticoïdes. L'effet anti-inflammatoire local est identique à celui des autres corticoïdes nasaux : inhibition de la phospholipase A2, de la COX-2, de l'iNOS, de la migration leucocytaire, de la présentation antigénique, de l'expression des molécules d'adhésion, de la perméabilité vasculaire post-capillaire. La biodisponibilité systémique orale est d'environ 20 % (supérieure à celle des molécules de troisième génération), et la biodisponibilité systémique nasale est de 10 à 20 % (la beclométasone est moins bien métabolisée par premier passage hépatique que la mométasone et la fluticasone). Ce profil pharmacocinétique explique pourquoi la beclométasone nasale est moins prescrite aujourd'hui en première intention chez l'enfant et la femme enceinte, en raison d'un risque systémique potentiel supérieur.</w:t>
      </w:r>
    </w:p>
    <w:p>
      <w:r/>
      <w:r>
        <w:rPr>
          <w:b/>
        </w:rPr>
        <w:t>Profil Pharmacologique :</w:t>
      </w:r>
      <w:r/>
    </w:p>
    <w:p>
      <w:pPr>
        <w:pStyle w:val="ListBullet"/>
      </w:pPr>
      <w:r>
        <w:t xml:space="preserve">Indications AMM : (1) </w:t>
      </w:r>
      <w:r>
        <w:rPr>
          <w:b/>
        </w:rPr>
        <w:t>Rhinite allergique saisonnière et perannuelle</w:t>
      </w:r>
      <w:r>
        <w:t xml:space="preserve"> chez l'adulte et l'enfant à partir de 6 ans ; traitement symptomatique de la congestion nasale, de la rhinorrhée, des éternuements et du prurit nasal ; traitement prophylactique de la rhinite saisonnière. (2) </w:t>
      </w:r>
      <w:r>
        <w:rPr>
          <w:b/>
        </w:rPr>
        <w:t>Polypose nasosinusienne</w:t>
      </w:r>
      <w:r>
        <w:t xml:space="preserve"> chez l'adulte — traitement d'entretien. (3) </w:t>
      </w:r>
      <w:r>
        <w:rPr>
          <w:b/>
        </w:rPr>
        <w:t>Rhinite non allergique</w:t>
      </w:r>
      <w:r>
        <w:t xml:space="preserve"> (vasomotrice) en seconde intention. (4) Traitement d'appoint des sinusites chroniques.</w:t>
      </w:r>
    </w:p>
    <w:p>
      <w:pPr>
        <w:pStyle w:val="ListBullet"/>
      </w:pPr>
      <w:r>
        <w:t xml:space="preserve">Contre-indications : Hypersensibilité à la beclométasone ou à l'un des excipients (chlorure de benzalkonium, polysorbate 80, acide citrique, eau purifiée) ; infection locale non traitée notamment </w:t>
      </w:r>
      <w:r>
        <w:rPr>
          <w:b/>
        </w:rPr>
        <w:t>fongique nasosinusienne</w:t>
      </w:r>
      <w:r>
        <w:t xml:space="preserve"> et </w:t>
      </w:r>
      <w:r>
        <w:rPr>
          <w:b/>
        </w:rPr>
        <w:t>herpès nasal actif</w:t>
      </w:r>
      <w:r>
        <w:t xml:space="preserve"> ; tuberculose nasosinusienne ; </w:t>
      </w:r>
      <w:r>
        <w:rPr>
          <w:b/>
        </w:rPr>
        <w:t>glaucome</w:t>
      </w:r>
      <w:r>
        <w:t xml:space="preserve"> (par prudence) ; antécédent de </w:t>
      </w:r>
      <w:r>
        <w:rPr>
          <w:b/>
        </w:rPr>
        <w:t>chirurgie nasale récente</w:t>
      </w:r>
      <w:r>
        <w:t xml:space="preserve"> ou de </w:t>
      </w:r>
      <w:r>
        <w:rPr>
          <w:b/>
        </w:rPr>
        <w:t>traumatisme nasal</w:t>
      </w:r>
      <w:r>
        <w:t xml:space="preserve"> non cicatrisé ; enfant de moins de 6 ans.</w:t>
      </w:r>
    </w:p>
    <w:p>
      <w:pPr>
        <w:pStyle w:val="ListBullet"/>
      </w:pPr>
      <w:r>
        <w:t>Spectre d'action locale : La beclométasone n'a pas d'activité antibiotique ni antifongique propre.</w:t>
      </w:r>
    </w:p>
    <w:p>
      <w:r/>
      <w:r>
        <w:rPr>
          <w:b/>
        </w:rPr>
        <w:t>Effets Indésirables :</w:t>
      </w:r>
      <w:r/>
    </w:p>
    <w:p>
      <w:pPr>
        <w:pStyle w:val="ListBullet"/>
      </w:pPr>
      <w:r/>
      <w:r>
        <w:rPr>
          <w:b/>
        </w:rPr>
        <w:t>Locaux précoces</w:t>
      </w:r>
      <w:r>
        <w:t xml:space="preserve"> : irritation nasale (5 à 15 %), sensation de brûlure, sécheresse nasale, éternuements post-pulvérisation, dysgueusie transitoire.</w:t>
      </w:r>
    </w:p>
    <w:p>
      <w:pPr>
        <w:pStyle w:val="ListBullet"/>
      </w:pPr>
      <w:r/>
      <w:r>
        <w:rPr>
          <w:b/>
        </w:rPr>
        <w:t>Locaux tardifs</w:t>
      </w:r>
      <w:r>
        <w:t xml:space="preserve"> : épistaxis (10 à 15 %, incidence plus élevée qu'avec les molécules de troisième génération), croûtes nasales, ulcération muqueuse, plus rarement </w:t>
      </w:r>
      <w:r>
        <w:rPr>
          <w:b/>
        </w:rPr>
        <w:t>perforation septale</w:t>
      </w:r>
      <w:r>
        <w:t xml:space="preserve"> (incidence &lt; 1/10 000 patients-années), candidose nasopharyngée.</w:t>
      </w:r>
    </w:p>
    <w:p>
      <w:pPr>
        <w:pStyle w:val="ListBullet"/>
      </w:pPr>
      <w:r/>
      <w:r>
        <w:rPr>
          <w:b/>
        </w:rPr>
        <w:t>Oculaires</w:t>
      </w:r>
      <w:r>
        <w:t xml:space="preserve"> : rarement glaucome ou cataracte (à surveiller en cas d'usage prolongé à forte dose).</w:t>
      </w:r>
    </w:p>
    <w:p>
      <w:pPr>
        <w:pStyle w:val="ListBullet"/>
      </w:pPr>
      <w:r/>
      <w:r>
        <w:rPr>
          <w:b/>
        </w:rPr>
        <w:t>Systémiques</w:t>
      </w:r>
      <w:r>
        <w:t xml:space="preserve"> : en raison de la biodisponibilité systémique plus élevée (10 à 20 %), risque plus marqué d'insuffisance surrénalienne (à fortes doses prolongées), de syndrome de Cushing iatrogène (rare), de retard de croissance chez l'enfant (à surveiller en cas d'usage prolongé), d'ostéoporose (en cas d'usage prolongé à forte dose chez le sujet âgé).</w:t>
      </w:r>
    </w:p>
    <w:p>
      <w:pPr>
        <w:pStyle w:val="ListBullet"/>
      </w:pPr>
      <w:r/>
      <w:r>
        <w:rPr>
          <w:b/>
        </w:rPr>
        <w:t>Effets paradoxaux</w:t>
      </w:r>
      <w:r>
        <w:t xml:space="preserve"> : exacerbation transitoire des symptômes en début de traitement, exceptionnelles réactions allergiques de contact.</w:t>
      </w:r>
    </w:p>
    <w:p>
      <w:r/>
      <w:r>
        <w:rPr>
          <w:b/>
        </w:rPr>
        <w:t>Prévention et Gestion des Effets Indésirables :</w:t>
      </w:r>
      <w:r/>
    </w:p>
    <w:p>
      <w:pPr>
        <w:pStyle w:val="ListBullet"/>
      </w:pPr>
      <w:r>
        <w:t xml:space="preserve">Mesures préventives : </w:t>
      </w:r>
      <w:r>
        <w:rPr>
          <w:b/>
        </w:rPr>
        <w:t>Éducation systématique à la technique de pulvérisation</w:t>
      </w:r>
      <w:r>
        <w:t xml:space="preserve"> dirigée vers la paroi latérale (jamais vers le septum) ; </w:t>
      </w:r>
      <w:r>
        <w:rPr>
          <w:b/>
        </w:rPr>
        <w:t>amorçage (priming) du flacon</w:t>
      </w:r>
      <w:r>
        <w:t xml:space="preserve"> avant la première utilisation et en cas de non-utilisation prolongée ; </w:t>
      </w:r>
      <w:r>
        <w:rPr>
          <w:b/>
        </w:rPr>
        <w:t>soufflage de nez</w:t>
      </w:r>
      <w:r>
        <w:t xml:space="preserve"> préalable léger ; </w:t>
      </w:r>
      <w:r>
        <w:rPr>
          <w:b/>
        </w:rPr>
        <w:t>administration biquotidienne</w:t>
      </w:r>
      <w:r>
        <w:t xml:space="preserve"> (la beclométasone a une durée d'action plus courte que la mométasone et la fluticasone, ce qui impose deux prises par jour à la posologie standard) ; surveillance de l'apparition d'épistaxis ; rinçage de la bouche après administration ; </w:t>
      </w:r>
      <w:r>
        <w:rPr>
          <w:b/>
        </w:rPr>
        <w:t>surveillance plus stricte de la croissance en pédiatrie</w:t>
      </w:r>
      <w:r>
        <w:t xml:space="preserve"> (taille, poids, pression artérielle, cortisolémie éventuelle en cas de traitement prolongé supérieur à 3 mois) ; information du patient sur le délai d'action retardé (12 à 72 heures pour les premiers effets, 2 à 4 semaines pour l'effet maximal).</w:t>
      </w:r>
    </w:p>
    <w:p>
      <w:pPr>
        <w:pStyle w:val="ListBullet"/>
      </w:pPr>
      <w:r>
        <w:t>Conduite à tenir : En cas d'épistaxis bénigne, arrêt de 2 à 7 jours et reprise à posologie réduite ; en cas d'épistaxis abondante ou répétée, arrêt et consultation ORL ; en cas d'ulcération ou de perforation septale, arrêt définitif et prise en charge ORL spécialisée ; en cas de candidose nasopharyngée, arrêt temporaire et antifongique local ; en cas de signes systémiques (asthénie, hypotension, hyperglycémie, troubles visuels), dosage du cortisol, de l'ACTH et consultation endocrinologique ; en cas d'absence d'efficacité à 4 semaines, réévaluation diagnostique. En pédiatrie, surveillance de la croissance tous les 3 mois et réévaluation de la pertinence du traitement prolongé.</w:t>
      </w:r>
    </w:p>
    <w:p>
      <w:r/>
      <w:r>
        <w:rPr>
          <w:b/>
        </w:rPr>
        <w:t>Interactions Importantes :</w:t>
      </w:r>
      <w:r/>
    </w:p>
    <w:p>
      <w:pPr>
        <w:pStyle w:val="ListBullet"/>
      </w:pPr>
      <w:r>
        <w:t>Inhibiteurs puissants du CYP3A4 (ritonavir, kétoconazole, itraconazole, clarithromycine) : augmentation de l'imprégnation systémique par inhibition du métabolisme hépatique ; prudence et surveillance clinique.</w:t>
      </w:r>
    </w:p>
    <w:p>
      <w:pPr>
        <w:pStyle w:val="ListBullet"/>
      </w:pPr>
      <w:r>
        <w:t>Autres corticoïdes (inhalés, nasaux, dermiques, oraux) : cumul et majoration du risque systémique. En cas d'asthme associé traité par beclométasone inhalée, prendre en compte la dose cumulée et privilégier des molécules différentes pour la voie nasale et la voie inhalée afin de minimiser le risque systémique.</w:t>
      </w:r>
    </w:p>
    <w:p>
      <w:pPr>
        <w:pStyle w:val="ListBullet"/>
      </w:pPr>
      <w:r>
        <w:t>Vaccins vivants atténués : contre-indication pendant la durée du traitement et jusqu'à 3 mois après l'arrêt en cas d'usage prolongé à forte dose.</w:t>
      </w:r>
    </w:p>
    <w:p>
      <w:pPr>
        <w:pStyle w:val="ListBullet"/>
      </w:pPr>
      <w:r>
        <w:t>Insuline et antidiabétiques : effet hyperglycémiant.</w:t>
      </w:r>
    </w:p>
    <w:p>
      <w:pPr>
        <w:pStyle w:val="ListBullet"/>
      </w:pPr>
      <w:r>
        <w:t>Diurétiques hypokaliémiants : majoration de l'hypokaliémie.</w:t>
      </w:r>
    </w:p>
    <w:p>
      <w:pPr>
        <w:pStyle w:val="ListBullet"/>
      </w:pPr>
      <w:r>
        <w:t>ANS : majoration du risque ulcéreux.</w:t>
      </w:r>
    </w:p>
    <w:p>
      <w:r/>
      <w:r>
        <w:rPr>
          <w:b/>
        </w:rPr>
        <w:t>Grossesse et Allaitement :</w:t>
      </w:r>
      <w:r/>
    </w:p>
    <w:p>
      <w:pPr>
        <w:pStyle w:val="ListBullet"/>
      </w:pPr>
      <w:r>
        <w:t xml:space="preserve">Grossesse : La beclométasone dipropionate nasale est classée par le CRAT comme « </w:t>
      </w:r>
      <w:r>
        <w:rPr>
          <w:b/>
        </w:rPr>
        <w:t>utilisable quel que soit le terme</w:t>
      </w:r>
      <w:r>
        <w:t xml:space="preserve"> » chez la femme enceinte, sur la base d'un recul clinique important (la beclométasone est l'un des corticoïdes nasaux les plus anciens et a été largement utilisée chez la femme enceinte). Cependant, en raison de sa biodisponibilité systémique plus élevée que les molécules de troisième génération, le CRAT recommande de privilégier la mométasone ou la fluticasone (propionate ou furoate) en première intention chez la femme enceinte, et de réserver la beclométasone aux cas où ces molécules ne sont pas disponibles ou sont mal tolérées. Aux posologies usuelles (200 à 400 µg/jour), aucune surveillance spécifique n'est recommandée.</w:t>
      </w:r>
    </w:p>
    <w:p>
      <w:pPr>
        <w:pStyle w:val="ListBullet"/>
      </w:pPr>
      <w:r>
        <w:t>Allaitement : Compatible avec l'allaitement ; le passage dans le lait maternel est faible (la beclométasone passe dans le lait mais en quantité négligeable aux posologies nasales). Aucune surveillance spécifique du nourrisson n'est recommandée.</w:t>
      </w:r>
    </w:p>
    <w:p>
      <w:pPr>
        <w:pStyle w:val="ListBullet"/>
      </w:pPr>
      <w:r>
        <w:t>Précisions : La beclométasone existe aussi en forme inhalée (asthme), collyre et dermique ; la grossesse de ces formes relève de règles différentes traitées dans les chapitres correspondants. La beclométasone inhalée à forte dose (≥ 1000 µg/jour) chez la femme enceinte asthmatique a fait l'objet de debates ; la beclométasone nasale à dose modérée (200 à 400 µg/jour) reste dans la fourchette de sécurité.</w:t>
      </w:r>
    </w:p>
    <w:p>
      <w:r/>
      <w:r>
        <w:rPr>
          <w:b/>
        </w:rPr>
        <w:t>Posologie et Mode d'administration (Standard) :</w:t>
      </w:r>
      <w:r/>
    </w:p>
    <w:p>
      <w:pPr>
        <w:pStyle w:val="ListBullet"/>
      </w:pPr>
      <w:r>
        <w:t xml:space="preserve">Adulte et adolescent à partir de 12 ans : </w:t>
      </w:r>
      <w:r>
        <w:rPr>
          <w:b/>
        </w:rPr>
        <w:t>200 à 400 µg/jour en deux prises</w:t>
      </w:r>
      <w:r>
        <w:t>, soit 1 à 2 pulvérisations de 50 µg dans chaque narine deux fois par jour, ou 1 pulvérisation de 100 µg dans chaque narine deux fois par jour. Dose d'entretien après contrôle : 100 à 200 µg/jour. Dose maximale : 400 µg/jour (parfois 800 µg/jour dans la polypose sévère sur avis ORL).</w:t>
      </w:r>
    </w:p>
    <w:p>
      <w:pPr>
        <w:pStyle w:val="ListBullet"/>
      </w:pPr>
      <w:r>
        <w:t xml:space="preserve">Enfant de 6 à 11 ans : </w:t>
      </w:r>
      <w:r>
        <w:rPr>
          <w:b/>
        </w:rPr>
        <w:t>100 à 200 µg/jour en deux prises</w:t>
      </w:r>
      <w:r>
        <w:t>, soit 1 pulvérisation de 50 µg dans chaque narine deux fois par jour (dose d'attaque), réduite à 1 pulvérisation de 50 µg dans chaque narine une fois par jour (dose d'entretien). Dose maximale : 200 µg/jour.</w:t>
      </w:r>
    </w:p>
    <w:p>
      <w:pPr>
        <w:pStyle w:val="ListBullet"/>
      </w:pPr>
      <w:r>
        <w:t>Mode d'administration : (1) souffler doucement de nez ; (2) amorcer le flacon avant la première utilisation et en cas de non-utilisation prolongée ; (3) pencher légèrement la tête en avant ; (4) introduire l'embout dans une narine, orienter la buse vers l'extérieur ; (5) pulvériser en inspirant doucement ; (6) expirer par la bouche ; (7) répéter dans l'autre narine ; (8) nettoyer l'embout et refermer le capuchon ; (9) se rincer la bouche à l'eau et l'avaler.</w:t>
      </w:r>
    </w:p>
    <w:p>
      <w:pPr>
        <w:pStyle w:val="ListBullet"/>
      </w:pPr>
      <w:r>
        <w:t>Durée de traitement : rhinite saisonnière : pendant toute la saison pollinique ; rhinite perannuelle : traitement continu prolongé avec réévaluation tous les 3 à 6 mois ; polypose : traitement d'entretien prolongé.</w:t>
      </w:r>
    </w:p>
    <w:p>
      <w:r/>
      <w:r>
        <w:rPr>
          <w:b/>
        </w:rPr>
        <w:t>Arbitrage et Bénéfices des Formes Galéniques :</w:t>
      </w:r>
      <w:r/>
    </w:p>
    <w:p>
      <w:r>
        <w:t>La beclométasone nasale existe en deux dosages en Algérie :</w:t>
      </w:r>
    </w:p>
    <w:p>
      <w:pPr>
        <w:pStyle w:val="ListBullet"/>
      </w:pPr>
      <w:r/>
      <w:r>
        <w:rPr>
          <w:b/>
        </w:rPr>
        <w:t>50 µg/dose (BECANOS, NASABEC 50)</w:t>
      </w:r>
      <w:r>
        <w:t xml:space="preserve"> : indiqué chez l'adulte et l'enfant à partir de 6 ans ; permet une adaptation posologique fine (1 ou 2 pulvérisations par narine, une ou deux fois par jour) ; flacon de 100 doses (BECANOS) ou 100 doses (NASABEC 50).</w:t>
      </w:r>
    </w:p>
    <w:p>
      <w:pPr>
        <w:pStyle w:val="ListBullet"/>
      </w:pPr>
      <w:r/>
      <w:r>
        <w:rPr>
          <w:b/>
        </w:rPr>
        <w:t>100 µg/dose (NASABEC 100, RINOCLENIL 100)</w:t>
      </w:r>
      <w:r>
        <w:t xml:space="preserve"> : indiqué chez l'adulte ; permet de réduire le nombre de pulvérisations par prise (1 pulvérisation de 100 µg équivaut à 2 pulvérisations de 50 µg) ; flacon de 200 doses (soit 50 jours de traitement à 400 µg/jour en deux prises).</w:t>
      </w:r>
    </w:p>
    <w:p>
      <w:r>
        <w:t>Le choix entre les dosages dépend de la posologie prescrite et de l'âge du patient. Le dosage 50 µg est préféré chez l'enfant (permet la dose de 100 µg/jour avec 1 pulvérisation par narine deux fois par jour), et le dosage 100 µg est préféré chez l'adulte en traitement d'entretien à 200 µg/jour ou en cas de polypose nécessitant 400 µg/jour (limitation du nombre de pulvérisations et meilleure observance).</w:t>
      </w:r>
    </w:p>
    <w:p>
      <w:r/>
      <w:r>
        <w:rPr>
          <w:b/>
        </w:rPr>
        <w:t>Instructions et Conseils au Patient :</w:t>
      </w:r>
      <w:r/>
    </w:p>
    <w:p>
      <w:pPr>
        <w:pStyle w:val="ListBullet"/>
      </w:pPr>
      <w:r>
        <w:t>Communication au comptoir : Insister sur le délai d'action retardé (12 à 72 heures pour les premiers effets, 2 à 4 semaines pour l'effet maximal), sur la nécessité d'une administration biquotidienne régulière (matin et soir), sur la technique de pulvérisation dirigée vers la paroi latérale, sur le priming, et sur le rinçage de la bouche après administration. En pédiatrie, insister sur la surveillance de la croissance et sur la nécessité de réévaluer régulièrement le traitement avec le médecin.</w:t>
      </w:r>
    </w:p>
    <w:p>
      <w:pPr>
        <w:pStyle w:val="ListBullet"/>
      </w:pPr>
      <w:r>
        <w:t>Mode d'utilisation pratique : Démonstration au comptoir ; remise d'une notice simplifiée. Conserver le flacon à température ambiante (≤ 25 °C), ne pas congeler. Jeter le flacon 2 mois après la première utilisation. Ne pas partager le flacon.</w:t>
      </w:r>
    </w:p>
    <w:p>
      <w:pPr>
        <w:pStyle w:val="ListBullet"/>
      </w:pPr>
      <w:r>
        <w:t>Information sur les signes d'alerte : épistaxis répétées, douleur nasale persistante, troubles visuels, asthénie, prise de poids, ralentissement de la croissance chez l'enfant → arrêt et consultation.</w:t>
      </w:r>
    </w:p>
    <w:p>
      <w:r/>
      <w:r>
        <w:rPr>
          <w:b/>
        </w:rPr>
        <w:t>Notes, Règles d'Or &amp; Pièges au Comptoir :</w:t>
      </w:r>
      <w:r/>
    </w:p>
    <w:p>
      <w:pPr>
        <w:pStyle w:val="ListBullet"/>
      </w:pPr>
      <w:r>
        <w:t>Piège classique du patient qui n'utilise le spray qu'une fois par jour alors que la beclométasone nécessite deux prises par jour (contrairement à la mométasone et à la fluticasone qui s'utilisent en une seule prise quotidienne).</w:t>
      </w:r>
    </w:p>
    <w:p>
      <w:pPr>
        <w:pStyle w:val="ListBullet"/>
      </w:pPr>
      <w:r>
        <w:t>Piège du patient glaucomateux : prudence, le glaucome est une contre-indication relative ; discussion avec l'ophtalmologue.</w:t>
      </w:r>
    </w:p>
    <w:p>
      <w:pPr>
        <w:pStyle w:val="ListBullet"/>
      </w:pPr>
      <w:r>
        <w:t>Piège du patient asthmatique déjà sous beclométasone inhalée : prendre en compte la dose cumulée et discuter avec le médecin du choix d'une molécule différente pour la voie nasale.</w:t>
      </w:r>
    </w:p>
    <w:p>
      <w:pPr>
        <w:pStyle w:val="ListBullet"/>
      </w:pPr>
      <w:r>
        <w:t>Piège du priming oublié : toujours primer avant la première utilisation.</w:t>
      </w:r>
    </w:p>
    <w:p>
      <w:pPr>
        <w:pStyle w:val="ListBullet"/>
      </w:pPr>
      <w:r>
        <w:t>Règle d'or : « Beclométasone = 2 prises par jour (contrairement à la mométasone et à la fluticasone en une prise par jour) ; surveillance de la croissance en pédiatrie ; privilégier les molécules de troisième génération chez l'enfant et la femme enceinte ».</w:t>
      </w:r>
    </w:p>
    <w:p>
      <w:pPr>
        <w:pStyle w:val="ListBullet"/>
      </w:pPr>
      <w:r>
        <w:t>Préparation et Conservation : Flacon fermé, à température ambiante (≤ 25 °C), à l'abri de la lumière. Jeter 2 mois après la première utilisation.</w:t>
      </w:r>
    </w:p>
    <w:p>
      <w:pPr>
        <w:pStyle w:val="ListBullet"/>
      </w:pPr>
      <w:r>
        <w:t>Piège de substitution : Ne pas substituer un flacon 50 µg par un flacon 100 µg sans accord médical (risque de surdosage ou de sous-dosage).</w:t>
      </w:r>
    </w:p>
    <w:p>
      <w:pPr>
        <w:pStyle w:val="Heading3"/>
      </w:pPr>
      <w:r>
        <w:t>133.2.5 DCI : Budésonide (usage nasal)</w:t>
      </w:r>
    </w:p>
    <w:p>
      <w:r/>
      <w:r>
        <w:rPr>
          <w:b/>
        </w:rPr>
        <w:t>Liste des Catégories :</w:t>
      </w:r>
      <w:r>
        <w:t xml:space="preserve"> Liste I.</w:t>
      </w:r>
    </w:p>
    <w:p>
      <w:r>
        <w:t>Le budésonide est un corticoïde de synthèse de deuxième génération (1981), dérivé de la pregn-4-ène-3,20-dione substitué en 16α,17α-(22R,S)-propylméthylènedioxy, 11β,21-dihydroxy. Il s'agit d'un corticoïde non fluoré (à la différence de la mométasone, de la fluticasone et de la beclométasone), ce qui lui confère une meilleure tolérance locale et un métabolisme hépatique de premier passage très efficace (biodisponibilité orale de 10 à 15 %, supérieure à la fluticasone mais inférieure à la beclométasone). Le budésonide est utilisé en Algérie principalement en forme inhalée (asthme) et nasale (rhinite), et accessoirement en forme orale (maladie de Crohn) et rectale (rectocolite hémorragique). Sa spécialité princeps pour la forme nasale est RHINOCORT (AstraZeneca), et plusieurs génériques sont disponibles : DONICORT (Biogalenic), RESPICORT (Hupp Pharma), RHINODIS (Inpha-Medis), RHINODOZE (Novapharm Trading), RINONIDE (Generic Lab). Le budésonide nasal est dosé à 64 µg/dose en Algérie (à la différence de la formulation internationale à 32 µg/dose qui n'est pas commercialisée dans le pays). Il est également connu pour être l'un des corticoïdes les plus étudiés chez la femme enceinte (recul important, classé par le CRAT comme « utilisable quel que soit le terme », avec un recul supérieur à celui de la mométasone).</w:t>
      </w:r>
    </w:p>
    <w:p>
      <w:r/>
      <w:r>
        <w:rPr>
          <w:b/>
        </w:rPr>
        <w:t>Médicaments disponibles en Algérie (tableau commercial)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RHINOCORT</w:t>
            </w:r>
          </w:p>
        </w:tc>
        <w:tc>
          <w:tcPr>
            <w:tcW w:type="dxa" w:w="1559"/>
          </w:tcPr>
          <w:p>
            <w:r>
              <w:rPr>
                <w:sz w:val="20"/>
              </w:rPr>
              <w:t>ASTRA ZENECA</w:t>
            </w:r>
          </w:p>
        </w:tc>
        <w:tc>
          <w:tcPr>
            <w:tcW w:type="dxa" w:w="1559"/>
          </w:tcPr>
          <w:p>
            <w:r>
              <w:rPr>
                <w:sz w:val="20"/>
              </w:rPr>
              <w:t>Suspension pour pulvérisation nasale 64 µg/dose</w:t>
            </w:r>
          </w:p>
        </w:tc>
        <w:tc>
          <w:tcPr>
            <w:tcW w:type="dxa" w:w="1559"/>
          </w:tcPr>
          <w:p>
            <w:r>
              <w:rPr>
                <w:sz w:val="20"/>
              </w:rPr>
              <w:t>Flacon de 120 doses</w:t>
            </w:r>
          </w:p>
        </w:tc>
        <w:tc>
          <w:tcPr>
            <w:tcW w:type="dxa" w:w="1559"/>
          </w:tcPr>
          <w:p>
            <w:r>
              <w:rPr>
                <w:sz w:val="20"/>
              </w:rPr>
              <w:t>Liste I</w:t>
            </w:r>
          </w:p>
        </w:tc>
        <w:tc>
          <w:tcPr>
            <w:tcW w:type="dxa" w:w="1559"/>
          </w:tcPr>
          <w:p>
            <w:r>
              <w:rPr>
                <w:sz w:val="20"/>
              </w:rPr>
              <w:t>Actif</w:t>
            </w:r>
          </w:p>
        </w:tc>
      </w:tr>
      <w:tr>
        <w:tc>
          <w:tcPr>
            <w:tcW w:type="dxa" w:w="1559"/>
          </w:tcPr>
          <w:p>
            <w:r>
              <w:rPr>
                <w:sz w:val="20"/>
              </w:rPr>
              <w:t>DONICORT</w:t>
            </w:r>
          </w:p>
        </w:tc>
        <w:tc>
          <w:tcPr>
            <w:tcW w:type="dxa" w:w="1559"/>
          </w:tcPr>
          <w:p>
            <w:r>
              <w:rPr>
                <w:sz w:val="20"/>
              </w:rPr>
              <w:t>BIOGALENIC</w:t>
            </w:r>
          </w:p>
        </w:tc>
        <w:tc>
          <w:tcPr>
            <w:tcW w:type="dxa" w:w="1559"/>
          </w:tcPr>
          <w:p>
            <w:r>
              <w:rPr>
                <w:sz w:val="20"/>
              </w:rPr>
              <w:t>Suspension pour pulvérisation nasale 64 µg/dose</w:t>
            </w:r>
          </w:p>
        </w:tc>
        <w:tc>
          <w:tcPr>
            <w:tcW w:type="dxa" w:w="1559"/>
          </w:tcPr>
          <w:p>
            <w:r>
              <w:rPr>
                <w:sz w:val="20"/>
              </w:rPr>
              <w:t>Flacon de 120 doses</w:t>
            </w:r>
          </w:p>
        </w:tc>
        <w:tc>
          <w:tcPr>
            <w:tcW w:type="dxa" w:w="1559"/>
          </w:tcPr>
          <w:p>
            <w:r>
              <w:rPr>
                <w:sz w:val="20"/>
              </w:rPr>
              <w:t>Liste I</w:t>
            </w:r>
          </w:p>
        </w:tc>
        <w:tc>
          <w:tcPr>
            <w:tcW w:type="dxa" w:w="1559"/>
          </w:tcPr>
          <w:p>
            <w:r>
              <w:rPr>
                <w:sz w:val="20"/>
              </w:rPr>
              <w:t>Actif</w:t>
            </w:r>
          </w:p>
        </w:tc>
      </w:tr>
      <w:tr>
        <w:tc>
          <w:tcPr>
            <w:tcW w:type="dxa" w:w="1559"/>
          </w:tcPr>
          <w:p>
            <w:r>
              <w:rPr>
                <w:sz w:val="20"/>
              </w:rPr>
              <w:t>RESPICORT</w:t>
            </w:r>
          </w:p>
        </w:tc>
        <w:tc>
          <w:tcPr>
            <w:tcW w:type="dxa" w:w="1559"/>
          </w:tcPr>
          <w:p>
            <w:r>
              <w:rPr>
                <w:sz w:val="20"/>
              </w:rPr>
              <w:t>HUPP PHARMA</w:t>
            </w:r>
          </w:p>
        </w:tc>
        <w:tc>
          <w:tcPr>
            <w:tcW w:type="dxa" w:w="1559"/>
          </w:tcPr>
          <w:p>
            <w:r>
              <w:rPr>
                <w:sz w:val="20"/>
              </w:rPr>
              <w:t>Suspension pour pulvérisation nasale 64 µg/dose</w:t>
            </w:r>
          </w:p>
        </w:tc>
        <w:tc>
          <w:tcPr>
            <w:tcW w:type="dxa" w:w="1559"/>
          </w:tcPr>
          <w:p>
            <w:r>
              <w:rPr>
                <w:sz w:val="20"/>
              </w:rPr>
              <w:t>Flacon de 120 doses</w:t>
            </w:r>
          </w:p>
        </w:tc>
        <w:tc>
          <w:tcPr>
            <w:tcW w:type="dxa" w:w="1559"/>
          </w:tcPr>
          <w:p>
            <w:r>
              <w:rPr>
                <w:sz w:val="20"/>
              </w:rPr>
              <w:t>Liste I</w:t>
            </w:r>
          </w:p>
        </w:tc>
        <w:tc>
          <w:tcPr>
            <w:tcW w:type="dxa" w:w="1559"/>
          </w:tcPr>
          <w:p>
            <w:r>
              <w:rPr>
                <w:sz w:val="20"/>
              </w:rPr>
              <w:t>Actif</w:t>
            </w:r>
          </w:p>
        </w:tc>
      </w:tr>
      <w:tr>
        <w:tc>
          <w:tcPr>
            <w:tcW w:type="dxa" w:w="1559"/>
          </w:tcPr>
          <w:p>
            <w:r>
              <w:rPr>
                <w:sz w:val="20"/>
              </w:rPr>
              <w:t>RHINODIS</w:t>
            </w:r>
          </w:p>
        </w:tc>
        <w:tc>
          <w:tcPr>
            <w:tcW w:type="dxa" w:w="1559"/>
          </w:tcPr>
          <w:p>
            <w:r>
              <w:rPr>
                <w:sz w:val="20"/>
              </w:rPr>
              <w:t>INPHA-MEDIS</w:t>
            </w:r>
          </w:p>
        </w:tc>
        <w:tc>
          <w:tcPr>
            <w:tcW w:type="dxa" w:w="1559"/>
          </w:tcPr>
          <w:p>
            <w:r>
              <w:rPr>
                <w:sz w:val="20"/>
              </w:rPr>
              <w:t>Suspension pour pulvérisation nasale 64 µg/dose</w:t>
            </w:r>
          </w:p>
        </w:tc>
        <w:tc>
          <w:tcPr>
            <w:tcW w:type="dxa" w:w="1559"/>
          </w:tcPr>
          <w:p>
            <w:r>
              <w:rPr>
                <w:sz w:val="20"/>
              </w:rPr>
              <w:t>Flacon de 120 doses</w:t>
            </w:r>
          </w:p>
        </w:tc>
        <w:tc>
          <w:tcPr>
            <w:tcW w:type="dxa" w:w="1559"/>
          </w:tcPr>
          <w:p>
            <w:r>
              <w:rPr>
                <w:sz w:val="20"/>
              </w:rPr>
              <w:t>Liste I</w:t>
            </w:r>
          </w:p>
        </w:tc>
        <w:tc>
          <w:tcPr>
            <w:tcW w:type="dxa" w:w="1559"/>
          </w:tcPr>
          <w:p>
            <w:r>
              <w:rPr>
                <w:sz w:val="20"/>
              </w:rPr>
              <w:t>Actif</w:t>
            </w:r>
          </w:p>
        </w:tc>
      </w:tr>
      <w:tr>
        <w:tc>
          <w:tcPr>
            <w:tcW w:type="dxa" w:w="1559"/>
          </w:tcPr>
          <w:p>
            <w:r>
              <w:rPr>
                <w:sz w:val="20"/>
              </w:rPr>
              <w:t>RHINODOZE</w:t>
            </w:r>
          </w:p>
        </w:tc>
        <w:tc>
          <w:tcPr>
            <w:tcW w:type="dxa" w:w="1559"/>
          </w:tcPr>
          <w:p>
            <w:r>
              <w:rPr>
                <w:sz w:val="20"/>
              </w:rPr>
              <w:t>NOVAPHARM TRADING</w:t>
            </w:r>
          </w:p>
        </w:tc>
        <w:tc>
          <w:tcPr>
            <w:tcW w:type="dxa" w:w="1559"/>
          </w:tcPr>
          <w:p>
            <w:r>
              <w:rPr>
                <w:sz w:val="20"/>
              </w:rPr>
              <w:t>Suspension pour pulvérisation nasale 64 µg/dose</w:t>
            </w:r>
          </w:p>
        </w:tc>
        <w:tc>
          <w:tcPr>
            <w:tcW w:type="dxa" w:w="1559"/>
          </w:tcPr>
          <w:p>
            <w:r>
              <w:rPr>
                <w:sz w:val="20"/>
              </w:rPr>
              <w:t>Flacon de 120 doses</w:t>
            </w:r>
          </w:p>
        </w:tc>
        <w:tc>
          <w:tcPr>
            <w:tcW w:type="dxa" w:w="1559"/>
          </w:tcPr>
          <w:p>
            <w:r>
              <w:rPr>
                <w:sz w:val="20"/>
              </w:rPr>
              <w:t>Liste I</w:t>
            </w:r>
          </w:p>
        </w:tc>
        <w:tc>
          <w:tcPr>
            <w:tcW w:type="dxa" w:w="1559"/>
          </w:tcPr>
          <w:p>
            <w:r>
              <w:rPr>
                <w:sz w:val="20"/>
              </w:rPr>
              <w:t>Actif</w:t>
            </w:r>
          </w:p>
        </w:tc>
      </w:tr>
      <w:tr>
        <w:tc>
          <w:tcPr>
            <w:tcW w:type="dxa" w:w="1559"/>
          </w:tcPr>
          <w:p>
            <w:r>
              <w:rPr>
                <w:sz w:val="20"/>
              </w:rPr>
              <w:t>RINONIDE</w:t>
            </w:r>
          </w:p>
        </w:tc>
        <w:tc>
          <w:tcPr>
            <w:tcW w:type="dxa" w:w="1559"/>
          </w:tcPr>
          <w:p>
            <w:r>
              <w:rPr>
                <w:sz w:val="20"/>
              </w:rPr>
              <w:t>GENERIC LAB</w:t>
            </w:r>
          </w:p>
        </w:tc>
        <w:tc>
          <w:tcPr>
            <w:tcW w:type="dxa" w:w="1559"/>
          </w:tcPr>
          <w:p>
            <w:r>
              <w:rPr>
                <w:sz w:val="20"/>
              </w:rPr>
              <w:t>Suspension pour pulvérisation nasale 64 µg/dose</w:t>
            </w:r>
          </w:p>
        </w:tc>
        <w:tc>
          <w:tcPr>
            <w:tcW w:type="dxa" w:w="1559"/>
          </w:tcPr>
          <w:p>
            <w:r>
              <w:rPr>
                <w:sz w:val="20"/>
              </w:rPr>
              <w:t>Flacon de 120 doses</w:t>
            </w:r>
          </w:p>
        </w:tc>
        <w:tc>
          <w:tcPr>
            <w:tcW w:type="dxa" w:w="1559"/>
          </w:tcPr>
          <w:p>
            <w:r>
              <w:rPr>
                <w:sz w:val="20"/>
              </w:rPr>
              <w:t>Liste I</w:t>
            </w:r>
          </w:p>
        </w:tc>
        <w:tc>
          <w:tcPr>
            <w:tcW w:type="dxa" w:w="1559"/>
          </w:tcPr>
          <w:p>
            <w:r>
              <w:rPr>
                <w:sz w:val="20"/>
              </w:rPr>
              <w:t>Actif</w:t>
            </w:r>
          </w:p>
        </w:tc>
      </w:tr>
    </w:tbl>
    <w:p/>
    <w:p>
      <w:r>
        <w:t>La disponibilité commerciale du budésonide nasal en Algérie repose sur six spécialités actives au dosage unique de 64 µg/dose, conditionnées en flacon de 120 doses (soit 30 jours de traitement à la posologie adulte standard de 256 µg/jour en deux prises, ou 60 jours à 128 µg/jour en une prise). Le dosage unique simplifie la prescription mais ne permet pas l'adaptation posologique aux jeunes enfants (la formulation internationale à 32 µg/dose, autorisée dès 6 ans, n'est pas disponible en Algérie). La spécialité princeps RHINOCORT (AstraZeneca) est largement prescrite, et les génériques (DONICORT, RESPICORT, RHINODIS, RHINODOZE, RINONIDE) offrent une alternative économique. À noter que plusieurs de ces laboratoires (Biogalenic, Inpha-Medis, Novapharm Trading, Hupp Pharma, Generic Lab) sont des producteurs algériens ou regionaux, ce qui garantit une accessibilité économique.</w:t>
      </w:r>
    </w:p>
    <w:p>
      <w:r/>
      <w:r>
        <w:rPr>
          <w:b/>
        </w:rPr>
        <w:t>Sous-classe et Mécanisme d'action :</w:t>
      </w:r>
      <w:r/>
    </w:p>
    <w:p>
      <w:pPr>
        <w:pStyle w:val="ListBullet"/>
      </w:pPr>
      <w:r>
        <w:t>Sous-classe : Corticoïde nasal de deuxième génération, corticoïde non fluoré de synthèse à acétal. Liste I.</w:t>
      </w:r>
    </w:p>
    <w:p>
      <w:pPr>
        <w:pStyle w:val="ListBullet"/>
      </w:pPr>
      <w:r>
        <w:t>Mécanisme d'action : Le budésonide, légèrement lipophile, traverse la couche de mucus nasal et l'épithélium respiratoire pour atteindre les cellules cibles (cellules ciliées, cellules caliciformes, cellules endothéliales, mastocytes, éosinophiles, lymphocytes T, cellules de Langerhans muqueuses, fibroblastes sous-muqueux). Il se fixe avec une affinité modérée à élevée (Kd ≈ 1,2 nM) sur le récepteur glucocorticoïde alpha (GRα) cytosolique. Le complexe budésonide-GRα transloque dans le noyau et se fixe aux GRE (positifs et négatifs) pour activer la transcription des gènes anti-inflammatoires (annexine-1/lipocortine-1, IκB-α, MKP-1, GILZ) et réprimer celle des gènes pro-inflammatoires (cytokines IL-1, IL-2, IL-3, IL-4, IL-5, IL-6, IL-8, IL-13, TNF-α, IFN-γ, GM-CSF, COX-2, iNOS). L'effet anti-inflammatoire local est identique à celui des autres corticoïdes nasaux : inhibition de la phospholipase A2, de la COX-2, de l'iNOS, de la migration leucocytaire, de la présentation antigénique, de l'expression des molécules d'adhésion, de la perméabilité vasculaire post-capillaire. La biodisponibilité systémique orale est d'environ 10 à 15 % (effet de premier passage hépatique intense par CYP3A4) et la biodisponibilité systémique nasale est d'environ 30 % (la portion avalée et la portion résorbée par la muqueuse nasale contribuent à l'imprégnation systémique). Ce profil pharmacocinétique explique pourquoi le budésonide est classé par la FDA en catégorie B (pas de risque fœtal démontré) pour la grossesse, contrairement aux autres corticoïdes nasaux classés en catégorie C.</w:t>
      </w:r>
    </w:p>
    <w:p>
      <w:r/>
      <w:r>
        <w:rPr>
          <w:b/>
        </w:rPr>
        <w:t>Profil Pharmacologique :</w:t>
      </w:r>
      <w:r/>
    </w:p>
    <w:p>
      <w:pPr>
        <w:pStyle w:val="ListBullet"/>
      </w:pPr>
      <w:r>
        <w:t xml:space="preserve">Indications AMM : (1) </w:t>
      </w:r>
      <w:r>
        <w:rPr>
          <w:b/>
        </w:rPr>
        <w:t>Rhinite allergique saisonnière et perannuelle</w:t>
      </w:r>
      <w:r>
        <w:t xml:space="preserve"> chez l'adulte et l'enfant à partir de 6 ans (parfois 12 ans selon les spécialités) ; traitement symptomatique de la congestion nasale, de la rhinorrhée, des éternuements et du prurit nasal ; traitement prophylactique de la rhinite saisonnière. (2) </w:t>
      </w:r>
      <w:r>
        <w:rPr>
          <w:b/>
        </w:rPr>
        <w:t>Polypose nasosinusienne</w:t>
      </w:r>
      <w:r>
        <w:t xml:space="preserve"> chez l'adulte — traitement d'entretien. (3) </w:t>
      </w:r>
      <w:r>
        <w:rPr>
          <w:b/>
        </w:rPr>
        <w:t>Rhinite non allergique</w:t>
      </w:r>
      <w:r>
        <w:t xml:space="preserve"> (vasomotrice) en seconde intention. (4) Traitement d'appoint des sinusites chroniques. (5) Rhinite médicamenteuse en phase de sevrage.</w:t>
      </w:r>
    </w:p>
    <w:p>
      <w:pPr>
        <w:pStyle w:val="ListBullet"/>
      </w:pPr>
      <w:r>
        <w:t xml:space="preserve">Contre-indications : Hypersensibilité au budésonide ou à l'un des excipients (chlorure de benzalkonium, édétate disodique, polysorbate 80, acide citrique, eau purifiée) ; infection locale non traitée notamment </w:t>
      </w:r>
      <w:r>
        <w:rPr>
          <w:b/>
        </w:rPr>
        <w:t>fongique nasosinusienne</w:t>
      </w:r>
      <w:r>
        <w:t xml:space="preserve"> et </w:t>
      </w:r>
      <w:r>
        <w:rPr>
          <w:b/>
        </w:rPr>
        <w:t>herpès nasal actif</w:t>
      </w:r>
      <w:r>
        <w:t xml:space="preserve"> ; tuberculose nasosinusienne ; </w:t>
      </w:r>
      <w:r>
        <w:rPr>
          <w:b/>
        </w:rPr>
        <w:t>glaucome</w:t>
      </w:r>
      <w:r>
        <w:t xml:space="preserve"> (par prudence) ; antécédent de </w:t>
      </w:r>
      <w:r>
        <w:rPr>
          <w:b/>
        </w:rPr>
        <w:t>chirurgie nasale récente</w:t>
      </w:r>
      <w:r>
        <w:t xml:space="preserve"> ou de </w:t>
      </w:r>
      <w:r>
        <w:rPr>
          <w:b/>
        </w:rPr>
        <w:t>traumatisme nasal</w:t>
      </w:r>
      <w:r>
        <w:t xml:space="preserve"> non cicatrisé ; enfant de moins de 6 ans (selon la plupart des AMM).</w:t>
      </w:r>
    </w:p>
    <w:p>
      <w:pPr>
        <w:pStyle w:val="ListBullet"/>
      </w:pPr>
      <w:r>
        <w:t>Spectre d'action locale : Le budésonide n'a pas d'activité antibiotique ni antifongique propre.</w:t>
      </w:r>
    </w:p>
    <w:p>
      <w:r/>
      <w:r>
        <w:rPr>
          <w:b/>
        </w:rPr>
        <w:t>Effets Indésirables :</w:t>
      </w:r>
      <w:r/>
    </w:p>
    <w:p>
      <w:pPr>
        <w:pStyle w:val="ListBullet"/>
      </w:pPr>
      <w:r/>
      <w:r>
        <w:rPr>
          <w:b/>
        </w:rPr>
        <w:t>Locaux précoces</w:t>
      </w:r>
      <w:r>
        <w:t xml:space="preserve"> : irritation nasale (5 à 10 %), sensation de brûlure, sécheresse nasale, éternuements post-pulvérisation, dysgueusie transitoire.</w:t>
      </w:r>
    </w:p>
    <w:p>
      <w:pPr>
        <w:pStyle w:val="ListBullet"/>
      </w:pPr>
      <w:r/>
      <w:r>
        <w:rPr>
          <w:b/>
        </w:rPr>
        <w:t>Locaux tardifs</w:t>
      </w:r>
      <w:r>
        <w:t xml:space="preserve"> : épistaxis (5 à 10 %), croûtes nasales, ulcération muqueuse, plus rarement </w:t>
      </w:r>
      <w:r>
        <w:rPr>
          <w:b/>
        </w:rPr>
        <w:t>perforation septale</w:t>
      </w:r>
      <w:r>
        <w:t xml:space="preserve"> (incidence &lt; 1/10 000 patients-années), candidose nasopharyngée.</w:t>
      </w:r>
    </w:p>
    <w:p>
      <w:pPr>
        <w:pStyle w:val="ListBullet"/>
      </w:pPr>
      <w:r/>
      <w:r>
        <w:rPr>
          <w:b/>
        </w:rPr>
        <w:t>Oculaires</w:t>
      </w:r>
      <w:r>
        <w:t xml:space="preserve"> : rarement glaucome ou cataracte (à surveiller en cas d'usage prolongé à forte dose). À noter que plusieurs études ont suggéré un effet oculaire moindre du budésonide par rapport à la beclométasone, ce qui en fait un choix intéressant chez le sujet âgé ou glaucomateux.</w:t>
      </w:r>
    </w:p>
    <w:p>
      <w:pPr>
        <w:pStyle w:val="ListBullet"/>
      </w:pPr>
      <w:r/>
      <w:r>
        <w:rPr>
          <w:b/>
        </w:rPr>
        <w:t>Systémiques</w:t>
      </w:r>
      <w:r>
        <w:t xml:space="preserve"> : en raison de la biodisponibilité systémique de 10 à 15 %, risque d'insuffisance surrénalienne à fortes doses prolongées (à surveiller), de syndrome de Cushing iatrogène (rare), de retard de croissance chez l'enfant (à surveiller). Cependant, le budésonide est globalement considéré comme ayant un profil systémique plus favorable que la beclométasone.</w:t>
      </w:r>
    </w:p>
    <w:p>
      <w:pPr>
        <w:pStyle w:val="ListBullet"/>
      </w:pPr>
      <w:r/>
      <w:r>
        <w:rPr>
          <w:b/>
        </w:rPr>
        <w:t>Effets paradoxaux</w:t>
      </w:r>
      <w:r>
        <w:t xml:space="preserve"> : exacerbation transitoire des symptômes en début de traitement, exceptionnelles réactions allergiques de contact.</w:t>
      </w:r>
    </w:p>
    <w:p>
      <w:r/>
      <w:r>
        <w:rPr>
          <w:b/>
        </w:rPr>
        <w:t>Prévention et Gestion des Effets Indésirables :</w:t>
      </w:r>
      <w:r/>
    </w:p>
    <w:p>
      <w:pPr>
        <w:pStyle w:val="ListBullet"/>
      </w:pPr>
      <w:r>
        <w:t xml:space="preserve">Mesures préventives : </w:t>
      </w:r>
      <w:r>
        <w:rPr>
          <w:b/>
        </w:rPr>
        <w:t>Éducation systématique à la technique de pulvérisation</w:t>
      </w:r>
      <w:r>
        <w:t xml:space="preserve"> dirigée vers la paroi latérale (jamais vers le septum) ; </w:t>
      </w:r>
      <w:r>
        <w:rPr>
          <w:b/>
        </w:rPr>
        <w:t>amorçage (priming) du flacon</w:t>
      </w:r>
      <w:r>
        <w:t xml:space="preserve"> avant la première utilisation et en cas de non-utilisation prolongée ; </w:t>
      </w:r>
      <w:r>
        <w:rPr>
          <w:b/>
        </w:rPr>
        <w:t>soufflage de nez</w:t>
      </w:r>
      <w:r>
        <w:t xml:space="preserve"> préalable léger ; </w:t>
      </w:r>
      <w:r>
        <w:rPr>
          <w:b/>
        </w:rPr>
        <w:t>administration biquotidienne à la dose d'attaque</w:t>
      </w:r>
      <w:r>
        <w:t xml:space="preserve"> (le budésonide a une durée d'action intermédiaire, permettant une administration unique quotidienne à dose d'entretien) ; surveillance de l'apparition d'épistaxis ; rinçage de la bouche après administration ; surveillance de la croissance en pédiatrie ; information du patient sur le délai d'action retardé.</w:t>
      </w:r>
    </w:p>
    <w:p>
      <w:pPr>
        <w:pStyle w:val="ListBullet"/>
      </w:pPr>
      <w:r>
        <w:t>Conduite à tenir : En cas d'épistaxis bénigne, arrêt de 2 à 7 jours et reprise à posologie réduite ; en cas d'épistaxis abondante ou répétée, arrêt et consultation ORL ; en cas d'ulcération ou de perforation septale, arrêt définitif et prise en charge ORL spécialisée ; en cas de candidose nasopharyngée, arrêt temporaire et antifongique local ; en cas de signes systémiques, dosage du cortisol, de l'ACTH et consultation endocrinologique ; en cas d'absence d'efficacité à 4 semaines, réévaluation diagnostique.</w:t>
      </w:r>
    </w:p>
    <w:p>
      <w:r/>
      <w:r>
        <w:rPr>
          <w:b/>
        </w:rPr>
        <w:t>Interactions Importantes :</w:t>
      </w:r>
      <w:r/>
    </w:p>
    <w:p>
      <w:pPr>
        <w:pStyle w:val="ListBullet"/>
      </w:pPr>
      <w:r>
        <w:t>Inhibiteurs puissants du CYP3A4 (ritonavir, kétoconazole, itraconazole, clarithromycine, érythromycine, grapefruit) : augmentation de l'imprégnation systémique par inhibition du métabolisme hépatique ; prudence et surveillance clinique. L'association budésonide + itraconazole ou kétoconazole a été responsable d'insuffisances surrénaliennes documentées dans la littérature (principalement avec la forme inhalée à forte dose, mais à surveiller également pour la forme nasale).</w:t>
      </w:r>
    </w:p>
    <w:p>
      <w:pPr>
        <w:pStyle w:val="ListBullet"/>
      </w:pPr>
      <w:r>
        <w:t>Autres corticoïdes (inhalés, nasaux, dermiques, oraux) : cumul et majoration du risque systémique. En cas d'asthme associé traité par budésonide inhalé, prendre en compte la dose cumulée et discuter avec le médecin du choix d'une molécule différente pour la voie nasale.</w:t>
      </w:r>
    </w:p>
    <w:p>
      <w:pPr>
        <w:pStyle w:val="ListBullet"/>
      </w:pPr>
      <w:r>
        <w:t>Vaccins vivants atténués : contre-indication pendant la durée du traitement et jusqu'à 3 mois après l'arrêt en cas d'usage prolongé à forte dose.</w:t>
      </w:r>
    </w:p>
    <w:p>
      <w:pPr>
        <w:pStyle w:val="ListBullet"/>
      </w:pPr>
      <w:r>
        <w:t>Insuline et antidiabétiques : effet hyperglycémiant.</w:t>
      </w:r>
    </w:p>
    <w:p>
      <w:pPr>
        <w:pStyle w:val="ListBullet"/>
      </w:pPr>
      <w:r>
        <w:t>Diurétiques hypokaliémiants : majoration de l'hypokaliémie.</w:t>
      </w:r>
    </w:p>
    <w:p>
      <w:pPr>
        <w:pStyle w:val="ListBullet"/>
      </w:pPr>
      <w:r>
        <w:t>AINS : majoration du risque ulcéreux.</w:t>
      </w:r>
    </w:p>
    <w:p>
      <w:r/>
      <w:r>
        <w:rPr>
          <w:b/>
        </w:rPr>
        <w:t>Grossesse et Allaitement :</w:t>
      </w:r>
      <w:r/>
    </w:p>
    <w:p>
      <w:pPr>
        <w:pStyle w:val="ListBullet"/>
      </w:pPr>
      <w:r>
        <w:t xml:space="preserve">Grossesse : Le budésonide est classé par le CRAT comme « </w:t>
      </w:r>
      <w:r>
        <w:rPr>
          <w:b/>
        </w:rPr>
        <w:t>utilisable quel que soit le terme</w:t>
      </w:r>
      <w:r>
        <w:t xml:space="preserve"> » chez la femme enceinte, et bénéficie d'un </w:t>
      </w:r>
      <w:r>
        <w:rPr>
          <w:b/>
        </w:rPr>
        <w:t>recul clinique exceptionnel</w:t>
      </w:r>
      <w:r>
        <w:t xml:space="preserve"> (plusieurs dizaines de milliers de grossesses exposées documentées dans les registres suédois et norvégien, sans augmentation du risque malformatif). Le budésonide est classé par la FDA en catégorie B (pas de risque fœtal démontré), ce qui en fait le seul corticoïde de la classe à bénéficier de ce classement. En pratique, le budésonide est souvent considéré comme le corticoïde nasal de premier choix chez la femme enceinte présentant une rhinite allergique modérée à sévère ou une polypose nasosinusienne, en particulier au 1er trimestre.</w:t>
      </w:r>
    </w:p>
    <w:p>
      <w:pPr>
        <w:pStyle w:val="ListBullet"/>
      </w:pPr>
      <w:r>
        <w:t>Allaitement : Compatible avec l'allaitement ; le budésonide passe dans le lait maternel en quantité faible (rapport lait/plasma ≈ 0,5), mais la dose ingérée par le nourrisson est négligeable aux posologies nasales. Aucune surveillance spécifique du nourrisson n'est recommandée aux posologies usuelles.</w:t>
      </w:r>
    </w:p>
    <w:p>
      <w:pPr>
        <w:pStyle w:val="ListBullet"/>
      </w:pPr>
      <w:r>
        <w:t>Précisions : Le budésonide existe aussi en forme inhalée (asthme), orale (maladie de Crohn) et rectale (rectocolite) ; la grossesse de ces formes à forte dose relève de règles différentes traitées dans les chapitres correspondants. À noter que le budésonide inhalé à forte dose (≥ 800 µg/jour) chez la femme enceinte asthmatique a fait l'objet d'études spécifiques rassurantes, et reste le corticoïde inhalé de premier choix chez la femme enceinte asthmatique selon les recommandations GINA.</w:t>
      </w:r>
    </w:p>
    <w:p>
      <w:r/>
      <w:r>
        <w:rPr>
          <w:b/>
        </w:rPr>
        <w:t>Posologie et Mode d'administration (Standard) :</w:t>
      </w:r>
      <w:r/>
    </w:p>
    <w:p>
      <w:pPr>
        <w:pStyle w:val="ListBullet"/>
      </w:pPr>
      <w:r>
        <w:t xml:space="preserve">Adulte et adolescent à partir de 12 ans : </w:t>
      </w:r>
      <w:r>
        <w:rPr>
          <w:b/>
        </w:rPr>
        <w:t>256 µg/jour en une ou deux prises</w:t>
      </w:r>
      <w:r>
        <w:t>, soit 2 pulvérisations de 64 µg dans chaque narine deux fois par jour (dose d'attaque), réduite à 128 µg/jour en une prise (1 pulvérisation de 64 µg dans chaque narine une fois par jour) en dose d'entretien après contrôle. Dose maximale : 256 µg/jour (parfois 512 µg/jour dans la polypose sévère sur avis ORL).</w:t>
      </w:r>
    </w:p>
    <w:p>
      <w:pPr>
        <w:pStyle w:val="ListBullet"/>
      </w:pPr>
      <w:r>
        <w:t xml:space="preserve">Enfant de 6 à 11 ans : </w:t>
      </w:r>
      <w:r>
        <w:rPr>
          <w:b/>
        </w:rPr>
        <w:t>128 µg/jour en deux prises</w:t>
      </w:r>
      <w:r>
        <w:t>, soit 1 pulvérisation de 64 µg dans chaque narine deux fois par jour (dose d'attaque), réduite à 64 µg/jour en une prise (1 pulvérisation de 64 µg dans une narine en alternance, ou 1 pulvérisation de 64 µg dans chaque narine un jour sur deux) en dose d'entretien. Dose maximale : 128 µg/jour.</w:t>
      </w:r>
    </w:p>
    <w:p>
      <w:pPr>
        <w:pStyle w:val="ListBullet"/>
      </w:pPr>
      <w:r>
        <w:t>Mode d'administration : (1) souffler doucement de nez ; (2) amorcer le flacon avant la première utilisation et en cas de non-utilisation prolongée ; (3) pencher légèrement la tête en avant ; (4) introduire l'embout dans une narine, orienter la buse vers l'extérieur ; (5) pulvériser en inspirant doucement ; (6) expirer par la bouche ; (7) répéter dans l'autre narine ; (8) nettoyer l'embout et refermer le capuchon ; (9) se rincer la bouche à l'eau et l'avaler.</w:t>
      </w:r>
    </w:p>
    <w:p>
      <w:pPr>
        <w:pStyle w:val="ListBullet"/>
      </w:pPr>
      <w:r>
        <w:t>Durée de traitement : rhinite saisonnière : pendant toute la saison pollinique ; rhinite perannuelle : traitement continu prolongé avec réévaluation tous les 3 à 6 mois ; polypose : traitement d'entretien prolongé.</w:t>
      </w:r>
    </w:p>
    <w:p>
      <w:r/>
      <w:r>
        <w:rPr>
          <w:b/>
        </w:rPr>
        <w:t>Arbitrage et Bénéfices des Formes Galéniques :</w:t>
      </w:r>
      <w:r/>
    </w:p>
    <w:p>
      <w:r>
        <w:t>Le budésonide nasal n'existe qu'en un seul dosage en Algérie (64 µg/dose), avec six spécialités disponibles (RHINOCORT princeps et cinq génériques). Le choix de la spécialité dépend de la disponibilité du remboursement, du coût et des préférences du patient concernant le système de pulvérisation. Le pharmacien peut proposer une substitution du princeps par un générique avec l'accord du patient. À noter que le budésonide est l'un des rares corticoïdes nasaux à être disponible en formulation sans chlorure de benzalkonium (certaines formulations internationales), ce qui pourrait être un avantage pour les patients intolérants aux conservateurs — mais cette formulation n'est pas disponible en Algérie à ce jour.</w:t>
      </w:r>
    </w:p>
    <w:p>
      <w:r/>
      <w:r>
        <w:rPr>
          <w:b/>
        </w:rPr>
        <w:t>Instructions et Conseils au Patient :</w:t>
      </w:r>
      <w:r/>
    </w:p>
    <w:p>
      <w:pPr>
        <w:pStyle w:val="ListBullet"/>
      </w:pPr>
      <w:r>
        <w:t>Communication au comptoir : Insister sur le délai d'action retardé (12 à 72 heures pour les premiers effets, 2 à 4 semaines pour l'effet maximal), sur la nécessité d'une administration quotidienne régulière, sur la technique de pulvérisation dirigée vers la paroi latérale, sur le priming, et sur le rinçage de la bouche après administration. Mentionner le profil rassurant du budésonide chez la femme enceinte en cas de question.</w:t>
      </w:r>
    </w:p>
    <w:p>
      <w:pPr>
        <w:pStyle w:val="ListBullet"/>
      </w:pPr>
      <w:r>
        <w:t>Mode d'utilisation pratique : Démonstration au comptoir ; remise d'une notice simplifiée. Conserver le flacon à température ambiante (≤ 25 °C), ne pas congeler. Jeter le flacon 2 mois après la première utilisation. Ne pas partager le flacon.</w:t>
      </w:r>
    </w:p>
    <w:p>
      <w:pPr>
        <w:pStyle w:val="ListBullet"/>
      </w:pPr>
      <w:r>
        <w:t>Information sur les signes d'alerte : épistaxis répétées, douleur nasale persistante, troubles visuels, asthénie, prise de poids, ralentissement de la croissance chez l'enfant → arrêt et consultation.</w:t>
      </w:r>
    </w:p>
    <w:p>
      <w:r/>
      <w:r>
        <w:rPr>
          <w:b/>
        </w:rPr>
        <w:t>Notes, Règles d'Or &amp; Pièges au Comptoir :</w:t>
      </w:r>
      <w:r/>
    </w:p>
    <w:p>
      <w:pPr>
        <w:pStyle w:val="ListBullet"/>
      </w:pPr>
      <w:r>
        <w:t>Piège classique de l'interaction avec les inhibiteurs du CYP3A4 (kétoconazole, itraconazole, ritonavir) : le pharmacien doit systématiquement rechercher une coprescription d'antifongique azolé ou d'antirétroviral et alerter le médecin.</w:t>
      </w:r>
    </w:p>
    <w:p>
      <w:pPr>
        <w:pStyle w:val="ListBullet"/>
      </w:pPr>
      <w:r>
        <w:t>Piège du patient asthmatique déjà sous budésonide inhalé : prendre en compte la dose cumulée et discuter avec le médecin du choix d'une molécule différente pour la voie nasale.</w:t>
      </w:r>
    </w:p>
    <w:p>
      <w:pPr>
        <w:pStyle w:val="ListBullet"/>
      </w:pPr>
      <w:r>
        <w:t>Piège du patient glaucomateux : prudence, mais le budénonide est probablement le corticoïde nasal le plus sûr sur le plan oculaire selon plusieurs études.</w:t>
      </w:r>
    </w:p>
    <w:p>
      <w:pPr>
        <w:pStyle w:val="ListBullet"/>
      </w:pPr>
      <w:r>
        <w:t>Piège du priming oublié : toujours primer avant la première utilisation.</w:t>
      </w:r>
    </w:p>
    <w:p>
      <w:pPr>
        <w:pStyle w:val="ListBullet"/>
      </w:pPr>
      <w:r>
        <w:t>Règle d'or : « Budésonide = premier choix chez la femme enceinte (recul le plus important, catégorie B FDA) ; attention à l'interaction avec les azolés et le ritonavir ; surveillance de la croissance en pédiatrie ».</w:t>
      </w:r>
    </w:p>
    <w:p>
      <w:pPr>
        <w:pStyle w:val="ListBullet"/>
      </w:pPr>
      <w:r>
        <w:t>Préparation et Conservation : Flacon fermé, à température ambiante (≤ 25 °C), à l'abri de la lumière. Jeter 2 mois après la première utilisation.</w:t>
      </w:r>
    </w:p>
    <w:p>
      <w:pPr>
        <w:pStyle w:val="ListBullet"/>
      </w:pPr>
      <w:r>
        <w:t>Piège de substitution : La substitution du princeps (RHINOCORT) par un générique doit être expliquée au patient (même principe actif, même dosage, mais système de pompe potentiellement différent).</w:t>
      </w:r>
    </w:p>
    <w:p>
      <w:pPr>
        <w:pStyle w:val="Heading2"/>
      </w:pPr>
      <w:r>
        <w:t>133.3 Sous-classe : Rhinologie — Antihistaminiques nasaux</w:t>
      </w:r>
    </w:p>
    <w:p>
      <w:pPr>
        <w:pStyle w:val="Heading3"/>
      </w:pPr>
      <w:r>
        <w:t>133.3.1 Généralités de la sous-classe</w:t>
      </w:r>
    </w:p>
    <w:p>
      <w:r>
        <w:t xml:space="preserve">Les antihistaminiques H1 par voie nasale constituent une alternative ou un complément aux antihistaminiques oraux dans le traitement de la rhinite allergique. Administrés directement sur la muqueuse nasale, ils agissent en bloquant localement le récepteur H1 de l'histamine, ce qui permet un </w:t>
      </w:r>
      <w:r>
        <w:rPr>
          <w:b/>
        </w:rPr>
        <w:t>délai d'action très court</w:t>
      </w:r>
      <w:r>
        <w:t xml:space="preserve"> (15 à 30 minutes) et une concentration locale élevée, tout en limitant — mais en n'éliminant pas — le passage systémique responsable de la somnolence. Deux DCIs sont disponibles dans la littérature internationale : l'</w:t>
      </w:r>
      <w:r>
        <w:rPr>
          <w:b/>
        </w:rPr>
        <w:t>azélastine</w:t>
      </w:r>
      <w:r>
        <w:t xml:space="preserve"> (Allergodil® spray nasal, commercialisée depuis 1997) et l'</w:t>
      </w:r>
      <w:r>
        <w:rPr>
          <w:b/>
        </w:rPr>
        <w:t>olopatadine</w:t>
      </w:r>
      <w:r>
        <w:t xml:space="preserve"> (Patanase® spray nasal, commercialisée depuis 2008). En Algérie, la nomenclature Avril 2026 ne recense aucune spécialité commerciale d'antihistaminique H1 nasal : l'azélastine n'est disponible que sous forme injectable (NASALAST, Biopharm) et l'olopatadine uniquement sous forme de collyre (OPATANOL, OPATEK, OPTICIS, PALLADA). Cette particularité du marché algérien rend l'accès aux antihistaminiques nasaux particulièrement limité et expose les patients à un défaut d'option thérapeutique pour les rhinites allergiques légères à modérées nécessitant un traitement symptomatique d'action rapide.</w:t>
      </w:r>
    </w:p>
    <w:p>
      <w:r>
        <w:t>Le mécanisme d'action des antihistaminiques H1 est l'antagonisme compétitif au récepteur H1 de l'histamine, qui appartient à la superfamille des récepteurs couplés aux protéines G (RCPG à 7 domaines transmembranaires, famille des rhodopsines). L'histamine, libérée par les mastocytes et les basophiles lors de la réaction allergique, se fixe sur le récepteur H1 et provoque, via la protéine Gq et l'activation de la phospholipase C, une cascade d'événements : augmentation du calcium intracellulaire, activation de la NOS endothéliale, synthèse de monoxyde d'azote, activation de la vasodilatation, augmentation de la perméabilité vasculaire post-capillaire (œdème), stimulation des terminaisons nerveuses sensitives (prurit, éternuements), stimulation des glandes muqueuses (rhinorrhée). L'antihistaminique H1 occupe le site de fixation de l'histamine sur le récepteur et empêche cette cascade. Les antihistaminiques H1 de deuxième génération (azélastine, olopatadine) ont une affinité élevée pour le H1 et une faible affinité pour les récepteurs muscariniques (anti-cholinergiques) et alpha-adrénergiques, ce qui explique leur meilleure tolérance par rapport aux antihistaminiques de première génération.</w:t>
      </w:r>
    </w:p>
    <w:p>
      <w:r>
        <w:t xml:space="preserve">L'azélastine possède par ailleurs une </w:t>
      </w:r>
      <w:r>
        <w:rPr>
          <w:b/>
        </w:rPr>
        <w:t>activité anti-allergique additionnelle</w:t>
      </w:r>
      <w:r>
        <w:t xml:space="preserve"> indépendante du blocage H1 : inhibition de la libération de leucotriènes (LTC4, LTD4) par les mastocytes, inhibition de la migration et de l'activation des éosinophiles et des neutrophiles, inhibition de l'expression des molécules d'adhésion (ICAM-1, VCAM-1), inhibition de la production de cytokines (IL-4, IL-5, IL-13). Cette activité multiple explique son efficacité supérieure à celle d'un simple antihistaminique oral dans certaines études comparatives. L'olopatadine possède un profil pharmacologique très proche, avec une affinité H1 légèrement supérieure et une activité anti-allergique comparable.</w:t>
      </w:r>
    </w:p>
    <w:p>
      <w:r>
        <w:t xml:space="preserve">Les principaux effets indésirables des antihistaminiques H1 nasaux sont : (i) le </w:t>
      </w:r>
      <w:r>
        <w:rPr>
          <w:b/>
        </w:rPr>
        <w:t>goût amer caractéristique</w:t>
      </w:r>
      <w:r>
        <w:t xml:space="preserve"> (le produit s'écoule par le nasopharynx vers la cavité buccale, altérant le goût pendant plusieurs minutes à heures, ce qui peut altérer l'observance) ; (ii) une </w:t>
      </w:r>
      <w:r>
        <w:rPr>
          <w:b/>
        </w:rPr>
        <w:t>somnolence légère</w:t>
      </w:r>
      <w:r>
        <w:t xml:space="preserve"> (par passage systémique minime mais réel, particulièrement marquée avec l'azélastine à la dose de 540 µg/jour, avec une incidence de 10 à 15 % vs 5 % sous placebo, contre-indiquant la conduite automobile chez certains patients sensibles) ; (iii) une </w:t>
      </w:r>
      <w:r>
        <w:rPr>
          <w:b/>
        </w:rPr>
        <w:t>irritation nasale</w:t>
      </w:r>
      <w:r>
        <w:t xml:space="preserve"> transitoire (sensation de brûlure, picotements, éternuements post-administration) ; (iv) une </w:t>
      </w:r>
      <w:r>
        <w:rPr>
          <w:b/>
        </w:rPr>
        <w:t>épistaxis</w:t>
      </w:r>
      <w:r>
        <w:t xml:space="preserve"> rare ; (v) des céphalées. La somnolence et le goût amer sont les deux principaux facteurs limitant l'observance, et doivent être systématiquement expliqués au patient au moment de la dispensation.</w:t>
      </w:r>
    </w:p>
    <w:p>
      <w:r>
        <w:t xml:space="preserve">Les antihistaminiques H1 nasaux sont indiqués dans le traitement symptomatique de la </w:t>
      </w:r>
      <w:r>
        <w:rPr>
          <w:b/>
        </w:rPr>
        <w:t>rhinite allergique saisonnière et perannuelle</w:t>
      </w:r>
      <w:r>
        <w:t xml:space="preserve"> chez l'adulte et l'enfant à partir de 5 ou 6 ans selon les molécules. Ils sont particulièrement efficaces sur le </w:t>
      </w:r>
      <w:r>
        <w:rPr>
          <w:b/>
        </w:rPr>
        <w:t>prurit nasal, les éternuements et la rhinorrhée</w:t>
      </w:r>
      <w:r>
        <w:t>, moins sur la congestion nasale (qui relève plutôt des corticoïdes nasaux). Leur délai d'action court en fait un traitement de choix pour les symptômes aigus en complément d'un corticoïde nasal en traitement de fond, ou en alternative à l'antihistaminique oral chez les patients présentant une somnolence excessive sous forme orale. L'efficacité est moindre que celle des corticoïdes nasaux dans les rhinites modérées à sévères (méta-analyses de Weiner et al., 1998), mais la rapidité d'action est un atout majeur. La spécialité internationale combinant azélastine + fluticasone propionate (Dymista®, Meda) a démontré une efficacité supérieure à chacune des composantes seules dans les rhinites allergiques modérées à sévères, mais n'est pas commercialisée en Algérie à ce jour.</w:t>
      </w:r>
    </w:p>
    <w:p>
      <w:pPr>
        <w:pStyle w:val="Heading3"/>
      </w:pPr>
      <w:r>
        <w:t>133.3.2 DCI : Azélastine (usage nasal)</w:t>
      </w:r>
    </w:p>
    <w:p>
      <w:r/>
      <w:r>
        <w:rPr>
          <w:b/>
        </w:rPr>
        <w:t>Liste des Catégories :</w:t>
      </w:r>
      <w:r>
        <w:t xml:space="preserve"> Liste I.</w:t>
      </w:r>
    </w:p>
    <w:p>
      <w:r>
        <w:t xml:space="preserve">L'azélastine est un antihistaminique H1 de deuxième génération, dérivé de la pipéridine-phthalazinone (4-[(4-chlorophényl)méthyl]-2-(hexahydro-1-méthyl-1H-azépin-4-yl)-1(2H)-phthalazinone). Décrite pour la première fois en 1981 par Asta-Werke et développée commercialement par Viatris (Madaus), l'azélastine est disponible internationalement sous trois formes : </w:t>
      </w:r>
      <w:r>
        <w:rPr>
          <w:b/>
        </w:rPr>
        <w:t>spray nasal</w:t>
      </w:r>
      <w:r>
        <w:t xml:space="preserve"> (Allergodil® en Europe, Astepro® aux États-Unis), </w:t>
      </w:r>
      <w:r>
        <w:rPr>
          <w:b/>
        </w:rPr>
        <w:t>collyre</w:t>
      </w:r>
      <w:r>
        <w:t xml:space="preserve"> (Allergodil® collyre) et </w:t>
      </w:r>
      <w:r>
        <w:rPr>
          <w:b/>
        </w:rPr>
        <w:t>comprimés oraux</w:t>
      </w:r>
      <w:r>
        <w:t xml:space="preserve"> (discontinués dans de nombreux pays en raison d'un bénéfice inférieur aux autres antihistaminiques oraux de deuxième génération). En Algérie, la nomenclature Avril 2026 ne recense que la </w:t>
      </w:r>
      <w:r>
        <w:rPr>
          <w:b/>
        </w:rPr>
        <w:t>forme injectable</w:t>
      </w:r>
      <w:r>
        <w:t xml:space="preserve"> (NASALAST, Biopharm, solution injectable IM/IV 100 mg/100 mL), qui n'est pas indiquée en rhinologie et n'a pas d'AMM dans les rhinites allergiques. Cette absence de forme nasale commerciale en Algérie est un </w:t>
      </w:r>
      <w:r>
        <w:rPr>
          <w:b/>
        </w:rPr>
        <w:t>manque thérapeutique important</w:t>
      </w:r>
      <w:r>
        <w:t xml:space="preserve"> qui prive les patients algériens d'une option thérapeutique de valeur dans les rhinites allergiques légères à modérées nécessitant un traitement symptomatique d'action rapide. Le pharmacien d'officine et le médecin doivent être informés de cette particularité du marché algérien et orienter les patients vers les alternatives disponibles : antihistaminiques oraux de deuxième génération (cétirizine, loratadine, desloratadine, fexofénadine, bilastine) et corticoïdes nasaux (mométasone, fluticasone propionate ou furoate, beclométasone, budésonide).</w:t>
      </w:r>
    </w:p>
    <w:p>
      <w:r/>
      <w:r>
        <w:rPr>
          <w:b/>
        </w:rPr>
        <w:t>Médicaments disponibles en Algérie (tableau commercial)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NASALAST</w:t>
            </w:r>
          </w:p>
        </w:tc>
        <w:tc>
          <w:tcPr>
            <w:tcW w:type="dxa" w:w="1559"/>
          </w:tcPr>
          <w:p>
            <w:r>
              <w:rPr>
                <w:sz w:val="20"/>
              </w:rPr>
              <w:t>BIOPHARM</w:t>
            </w:r>
          </w:p>
        </w:tc>
        <w:tc>
          <w:tcPr>
            <w:tcW w:type="dxa" w:w="1559"/>
          </w:tcPr>
          <w:p>
            <w:r>
              <w:rPr>
                <w:sz w:val="20"/>
              </w:rPr>
              <w:t>Solution injectable (IM/IV) 0,1 g/0,091 g pour 100 mL de solution (une dose de 0,14 mL délivre 0,127 mg d'azélastine base)</w:t>
            </w:r>
          </w:p>
        </w:tc>
        <w:tc>
          <w:tcPr>
            <w:tcW w:type="dxa" w:w="1559"/>
          </w:tcPr>
          <w:p>
            <w:r>
              <w:rPr>
                <w:sz w:val="20"/>
              </w:rPr>
              <w:t>Flacon de 120 mL</w:t>
            </w:r>
          </w:p>
        </w:tc>
        <w:tc>
          <w:tcPr>
            <w:tcW w:type="dxa" w:w="1559"/>
          </w:tcPr>
          <w:p>
            <w:r>
              <w:rPr>
                <w:sz w:val="20"/>
              </w:rPr>
              <w:t>Liste I</w:t>
            </w:r>
          </w:p>
        </w:tc>
        <w:tc>
          <w:tcPr>
            <w:tcW w:type="dxa" w:w="1559"/>
          </w:tcPr>
          <w:p>
            <w:r>
              <w:rPr>
                <w:sz w:val="20"/>
              </w:rPr>
              <w:t>Actif</w:t>
            </w:r>
          </w:p>
        </w:tc>
      </w:tr>
    </w:tbl>
    <w:p/>
    <w:p>
      <w:r/>
      <w:r>
        <w:rPr>
          <w:b/>
        </w:rPr>
        <w:t>Note importante sur la disponibilité commerciale en Algérie :</w:t>
      </w:r>
      <w:r>
        <w:t xml:space="preserve"> La forme nasale de l'azélastine (Allergodil® spray nasal, commercialisé internationalement par Viatris/Meda à 137 µg/dose) </w:t>
      </w:r>
      <w:r>
        <w:rPr>
          <w:b/>
        </w:rPr>
        <w:t>n'est pas disponible dans la nomenclature algérienne Avril 2026</w:t>
      </w:r>
      <w:r>
        <w:t>. Seule la forme injectable (NASALAST, Biopharm) est recensée, qui n'est pas indiquée dans les rhinites allergiques et n'a pas d'usage rhinologique. Cette absence d'antihistaminique nasal commercialisé en Algérie est un manque thérapeutique majeur, qui prive les patients algériens d'une option thérapeutique recommandée par les guidelines internationales (ARIA, EPOS). Les praticiens algériens doivent orienter les patients vers les alternatives disponibles : (i) antihistaminiques oraux de deuxième génération (cétirizine, loratadine, desloratadine, fexofénadine, bilastine) — traités dans un autre chapitre ; (ii) corticoïdes nasaux (mométasone, fluticasone propionate ou furoate, beclométasone, budésonide) — traités dans ce chapitre ; (iii) cromoglicate nasal (non disponible en Algérie à ce jour) ; (iv) associations fixes corticoïde + antihistaminique nasal (Dymista®, non disponible en Algérie à ce jour). Les informations cliniques qui suivent sont fournies à titre documentaire, sur la base de la littérature internationale et des recommandations ARIA/EPOS, en vue d'une éventuelle future commercialisation ou d'une importation temporaire.</w:t>
      </w:r>
    </w:p>
    <w:p>
      <w:r/>
      <w:r>
        <w:rPr>
          <w:b/>
        </w:rPr>
        <w:t>Sous-classe et Mécanisme d'action :</w:t>
      </w:r>
      <w:r/>
    </w:p>
    <w:p>
      <w:pPr>
        <w:pStyle w:val="ListBullet"/>
      </w:pPr>
      <w:r>
        <w:t>Sous-classe : Antihistaminique H1 de deuxième génération (topique nasal). Liste I.</w:t>
      </w:r>
    </w:p>
    <w:p>
      <w:pPr>
        <w:pStyle w:val="ListBullet"/>
      </w:pPr>
      <w:r>
        <w:t xml:space="preserve">Mécanisme d'action : L'azélastine est un </w:t>
      </w:r>
      <w:r>
        <w:rPr>
          <w:b/>
        </w:rPr>
        <w:t>antagoniste compétitif du récepteur H1 de l'histamine</w:t>
      </w:r>
      <w:r>
        <w:t xml:space="preserve">. Le récepteur H1 appartient à la superfamille des récepteurs couplés aux protéines G (RCPG à 7 domaines transmembranaires, famille des rhodopsines). L'histamine, libérée par les mastocytes et les basophiles lors de la réaction allergique (réaction immédiate de phase précoce, dans les minutes suivant l'exposition allergénique), se fixe sur le récepteur H1 et provoque, via la protéine Gq et l'activation de la phospholipase C : augmentation du calcium intracellulaire, activation de la NOS endothéliale, synthèse de monoxyde d'azote, activation de la vasodilatation, augmentation de la perméabilité vasculaire post-capillaire (œdème), stimulation des terminaisons nerveuses sensitives du trijumeau (prurit nasal, éternuements), stimulation des glandes muqueuses (rhinorrhée). L'azélastine occupe le site de fixation de l'histamine sur le récepteur H1 et empêche cette cascade, ce qui bloque les effets de l'histamine sur la muqueuse nasale : réduction du prurit nasal, des éternuements, de la rhinorrhée, et dans une moindre mesure de la congestion nasale (la congestion est en effet médiée à la fois par l'histamine et par les leucotriènes, d'où l'efficacité supérieure des corticoïdes qui bloquent les deux voies). L'azélastine possède par ailleurs une </w:t>
      </w:r>
      <w:r>
        <w:rPr>
          <w:b/>
        </w:rPr>
        <w:t>activité anti-allergique additionnelle</w:t>
      </w:r>
      <w:r>
        <w:t xml:space="preserve"> indépendante du blocage H1 : (i) inhibition de la libération d'histamine et de leucotriènes (LTC4, LTD4) par les mastocytes (stabilisation membranaire) ; (ii) inhibition de la migration et de l'activation des éosinophiles et des neutrophiles ; (iii) inhibition de l'expression des molécules d'adhésion (ICAM-1, VCAM-1) sur les cellules endothéliales ; (iv) inhibition de la production de cytokines Th2 (IL-4, IL-5, IL-13) ; (v) inhibition de la production de radicaux libres oxygénés par les polynucléaires. Cette activité multiple explique que l'azélastine nasale ait une efficacité supérieure à celle d'un simple antihistaminique oral dans certaines études comparatives, en particulier sur la congestion nasale (effet modeste mais significatif). L'effet est local (muqueuse nasale) avec une biodisponibilité systémique orale de 40 à 80 % (la molécule est partiellement métabolisée par le CYP3A4 et le CYP2D6 en métabolites actifs et inactifs), ce qui explique la somnolence observée chez certains patients (10 à 15 % vs 5 % sous placebo). La demi-vie d'élimination plasmatique est de 22 heures, permettant une administration biquotidienne.</w:t>
      </w:r>
    </w:p>
    <w:p>
      <w:r/>
      <w:r>
        <w:rPr>
          <w:b/>
        </w:rPr>
        <w:t>Profil Pharmacologique :</w:t>
      </w:r>
      <w:r/>
    </w:p>
    <w:p>
      <w:pPr>
        <w:pStyle w:val="ListBullet"/>
      </w:pPr>
      <w:r>
        <w:t xml:space="preserve">Indications AMM (internationales, forme nasale) : (1) </w:t>
      </w:r>
      <w:r>
        <w:rPr>
          <w:b/>
        </w:rPr>
        <w:t>Rhinite allergique saisonnière et perannuelle</w:t>
      </w:r>
      <w:r>
        <w:t xml:space="preserve"> chez l'adulte et l'enfant à partir de 5 ou 6 ans (selon les spécialités et les pays) ; traitement symptomatique du prurit nasal, des éternuements, de la rhinorrhée et (modestement) de la congestion nasale. (2) </w:t>
      </w:r>
      <w:r>
        <w:rPr>
          <w:b/>
        </w:rPr>
        <w:t>Rhinite non allergique (vasomotrice)</w:t>
      </w:r>
      <w:r>
        <w:t xml:space="preserve"> en seconde intention (l'azélastine a une AMM spécifique dans cette indication, contrairement à la plupart des autres antihistaminiques). (3) Traitement d'appoint en cas de symptômes aigus en complément d'un corticoïde nasal en traitement de fond. (4) Conjunctivite allergique (collyre). (5) Forme injectable : allergie sévère (urticaire aiguë, angioedema) — à noter que la forme injectable disponible en Algérie n'est pas indiquée en rhinologie.</w:t>
      </w:r>
    </w:p>
    <w:p>
      <w:pPr>
        <w:pStyle w:val="ListBullet"/>
      </w:pPr>
      <w:r>
        <w:t>Contre-indications : Hypersensibilité à l'azélastine ou à l'un des excipients (chlorure de benzalkonium, édétate disodique, hypromellose, acide citrique, phosphate disodique, eau purifiée) ; enfant de moins de 5 ou 6 ans (selon les AMM). Prudence chez la femme enceinte (peu de données, mais compatibilité selon le CRAT), chez le sujet âgé (sensibilité accrue à la somnolence), chez le patient insuffisant hépatique ou rénal (augmentation de l'imprégnation systémique).</w:t>
      </w:r>
    </w:p>
    <w:p>
      <w:pPr>
        <w:pStyle w:val="ListBullet"/>
      </w:pPr>
      <w:r>
        <w:t>Spectre d'action locale : L'azélastine n'a pas d'activité antibiotique ni antifongique propre. Son effet anti-allergique local ne nécessite pas de couverture anti-infectieuse, mais impose la vérification préalable de l'absence d'infection nasosinusienne active.</w:t>
      </w:r>
    </w:p>
    <w:p>
      <w:r/>
      <w:r>
        <w:rPr>
          <w:b/>
        </w:rPr>
        <w:t>Effets Indésirables :</w:t>
      </w:r>
      <w:r/>
    </w:p>
    <w:p>
      <w:pPr>
        <w:pStyle w:val="ListBullet"/>
      </w:pPr>
      <w:r/>
      <w:r>
        <w:rPr>
          <w:b/>
        </w:rPr>
        <w:t>Locaux précoces</w:t>
      </w:r>
      <w:r>
        <w:t xml:space="preserve"> (très fréquents) : </w:t>
      </w:r>
      <w:r>
        <w:rPr>
          <w:b/>
        </w:rPr>
        <w:t>goût amer</w:t>
      </w:r>
      <w:r>
        <w:t xml:space="preserve"> caractéristique (20 à 30 % des patients, persistant 30 minutes à plusieurs heures, responsable d'une mauvaise observance), irritation nasale (10 à 15 %), sensation de brûlure, picotements, éternuements post-pulvérisation, sécheresse nasale, dysgueusie (modification du goût des aliments dans les heures suivant l'administration), épistaxis mineure (3 à 5 %).</w:t>
      </w:r>
    </w:p>
    <w:p>
      <w:pPr>
        <w:pStyle w:val="ListBullet"/>
      </w:pPr>
      <w:r/>
      <w:r>
        <w:rPr>
          <w:b/>
        </w:rPr>
        <w:t>Systémiques</w:t>
      </w:r>
      <w:r>
        <w:t xml:space="preserve"> : </w:t>
      </w:r>
      <w:r>
        <w:rPr>
          <w:b/>
        </w:rPr>
        <w:t>somnolence</w:t>
      </w:r>
      <w:r>
        <w:t xml:space="preserve"> (10 à 15 % vs 5 % sous placebo, par passage systémique réel, contre-indiquant la conduite automobile chez certains patients sensibles et les professions à risque), céphalées (5 à 10 %), fatigue, vertiges (rares), sécheresse buccale (par effet anticholinergique résiduel).</w:t>
      </w:r>
    </w:p>
    <w:p>
      <w:pPr>
        <w:pStyle w:val="ListBullet"/>
      </w:pPr>
      <w:r/>
      <w:r>
        <w:rPr>
          <w:b/>
        </w:rPr>
        <w:t>Oculaires</w:t>
      </w:r>
      <w:r>
        <w:t xml:space="preserve"> : rarement sécheresse oculaire, troubles de l'accommodation.</w:t>
      </w:r>
    </w:p>
    <w:p>
      <w:pPr>
        <w:pStyle w:val="ListBullet"/>
      </w:pPr>
      <w:r/>
      <w:r>
        <w:rPr>
          <w:b/>
        </w:rPr>
        <w:t>Effets paradoxaux</w:t>
      </w:r>
      <w:r>
        <w:t xml:space="preserve"> : exceptionnelles réactions allergiques de contact (à un excipient plus souvent qu'à l'azélastine elle-même).</w:t>
      </w:r>
    </w:p>
    <w:p>
      <w:r/>
      <w:r>
        <w:rPr>
          <w:b/>
        </w:rPr>
        <w:t>Prévention et Gestion des Effets Indésirables :</w:t>
      </w:r>
      <w:r/>
    </w:p>
    <w:p>
      <w:pPr>
        <w:pStyle w:val="ListBullet"/>
      </w:pPr>
      <w:r>
        <w:t xml:space="preserve">Mesures préventives : </w:t>
      </w:r>
      <w:r>
        <w:rPr>
          <w:b/>
        </w:rPr>
        <w:t>Éducation systématique à la technique de pulvérisation</w:t>
      </w:r>
      <w:r>
        <w:t xml:space="preserve"> dirigée vers la paroi latérale (jamais vers le septum, et </w:t>
      </w:r>
      <w:r>
        <w:rPr>
          <w:b/>
        </w:rPr>
        <w:t>inclinée légèrement vers l'arrière</w:t>
      </w:r>
      <w:r>
        <w:t xml:space="preserve"> pour limiter l'écoulement vers le nasopharynx et donc le goût amer) ; </w:t>
      </w:r>
      <w:r>
        <w:rPr>
          <w:b/>
        </w:rPr>
        <w:t>soufflage de nez</w:t>
      </w:r>
      <w:r>
        <w:t xml:space="preserve"> préalable léger ; information du patient sur le goût amer (« c'est normal, le produit a un goût amer caractéristique, vous pouvez rincer la bouche après administration ») ; information sur le risque de somnolence (« ne pas conduire dans l'heure qui suit la première administration, évaluer votre tolérance personnelle avant de reprendre le volant ») ; </w:t>
      </w:r>
      <w:r>
        <w:rPr>
          <w:b/>
        </w:rPr>
        <w:t>administration biquotidienne</w:t>
      </w:r>
      <w:r>
        <w:t xml:space="preserve"> (matin et soir) à la posologie standard, ou monodose le soir uniquement si la somnolence est mal tolérée (à discuter avec le médecin) ; surveillance de l'apparition d'épistaxis ; rinçage de la bouche après administration (pour limiter le goût amer).</w:t>
      </w:r>
    </w:p>
    <w:p>
      <w:pPr>
        <w:pStyle w:val="ListBullet"/>
      </w:pPr>
      <w:r>
        <w:t>Conduite à tenir : En cas de somnolence excessive, administration unique le soir et réévaluation avec le médecin (possibilité de passer à un antihistaminique oral moins sédatif ou à un corticoïde nasal) ; en cas de goût amer insupportable, rinçage de la bouche et réévaluation (possibilité de passer à l'olopatadine qui a un goût moins amer) ; en cas d'épistaxis bénigne, arrêt de 2 à 7 jours et reprise ; en cas d'absence d'efficacité à 1 semaine (délai d'action court), réévaluation diagnostique (rhinite non allergique ? polypose sous-jacente ?).</w:t>
      </w:r>
    </w:p>
    <w:p>
      <w:r/>
      <w:r>
        <w:rPr>
          <w:b/>
        </w:rPr>
        <w:t>Interactions Importantes :</w:t>
      </w:r>
      <w:r/>
    </w:p>
    <w:p>
      <w:pPr>
        <w:pStyle w:val="ListBullet"/>
      </w:pPr>
      <w:r>
        <w:t>Autres antihistaminiques (oraux, nasaux) : cumul et majoration de la somnolence.</w:t>
      </w:r>
    </w:p>
    <w:p>
      <w:pPr>
        <w:pStyle w:val="ListBullet"/>
      </w:pPr>
      <w:r>
        <w:t>Dépresseurs du système nerveux central (alcool, benzodiazépines, opiacés, antidépresseurs sédatifs, antipsychotiques) : majoration de la somnolence.</w:t>
      </w:r>
    </w:p>
    <w:p>
      <w:pPr>
        <w:pStyle w:val="ListBullet"/>
      </w:pPr>
      <w:r>
        <w:t>Inhibiteurs du CYP3A4 (kétoconazole, itraconazole, clarithromycine, érythromycine, ritonavir) : augmentation de l'imprégnation systémique par inhibition du métabolisme hépatique ; prudence et surveillance clinique.</w:t>
      </w:r>
    </w:p>
    <w:p>
      <w:pPr>
        <w:pStyle w:val="ListBullet"/>
      </w:pPr>
      <w:r>
        <w:t>Inhibiteurs du CYP2D6 (paroxétine, fluoxétine, quinidine) : augmentation de l'imprégnation systémique ; prudence.</w:t>
      </w:r>
    </w:p>
    <w:p>
      <w:pPr>
        <w:pStyle w:val="ListBullet"/>
      </w:pPr>
      <w:r>
        <w:t>Anticholinergiques (atropine, tricycliques, IMAO) : potentialisation des effets anticholinergiques (sécheresse buccale, troubles de l'accommodation, constipation, rétention urinaire).</w:t>
      </w:r>
    </w:p>
    <w:p>
      <w:pPr>
        <w:pStyle w:val="ListBullet"/>
      </w:pPr>
      <w:r>
        <w:t>Antihypertenseurs : effet additif hypotenseur possible.</w:t>
      </w:r>
    </w:p>
    <w:p>
      <w:r/>
      <w:r>
        <w:rPr>
          <w:b/>
        </w:rPr>
        <w:t>Grossesse et Allaitement :</w:t>
      </w:r>
      <w:r/>
    </w:p>
    <w:p>
      <w:pPr>
        <w:pStyle w:val="ListBullet"/>
      </w:pPr>
      <w:r>
        <w:t xml:space="preserve">Grossesse : L'azélastine nasale est classée par le CRAT comme « </w:t>
      </w:r>
      <w:r>
        <w:rPr>
          <w:b/>
        </w:rPr>
        <w:t>à éviter par mesure de prudence</w:t>
      </w:r>
      <w:r>
        <w:t xml:space="preserve"> » chez la femme enceinte, en raison du peu de données cliniques chez la femme enceinte (études animales montrant un effet tératogène à doses très supérieures aux doses thérapeutiques, sans pertinence clinique claire). Cependant, les données des registres internationaux (Suède, Norvège) ne montrent pas d'augmentation du risque malformatif chez les femmes exposées au 1er trimestre, ce qui tempère cette prudence. En pratique, l'azélastine nasale peut être utilisée chez la femme enceinte en cas de nécessité (rhinite allergique modérée à sévère non contrôlée par les antihistaminiques oraux de deuxième génération et les corticoïdes nasaux), après information éclairée de la patiente et avis médical. Privilégier les alternatives (corticoïdes nasaux, en particulier budésonide) en première intention.</w:t>
      </w:r>
    </w:p>
    <w:p>
      <w:pPr>
        <w:pStyle w:val="ListBullet"/>
      </w:pPr>
      <w:r>
        <w:t xml:space="preserve">Allaitement : L'azélastine passe dans le lait maternel en quantité non négligeable (rapport lait/plasma ≈ 1). L'allaitement est </w:t>
      </w:r>
      <w:r>
        <w:rPr>
          <w:b/>
        </w:rPr>
        <w:t>déconseillé</w:t>
      </w:r>
      <w:r>
        <w:t xml:space="preserve"> pendant le traitement par azélastine nasale, en raison du risque de somnolence chez le nourrisson. Privilégier les alternatives (corticoïdes nasaux, antihistaminiques oraux compatibles comme la loratadine ou la cétirizine) chez la femme allaitante.</w:t>
      </w:r>
    </w:p>
    <w:p>
      <w:pPr>
        <w:pStyle w:val="ListBullet"/>
      </w:pPr>
      <w:r>
        <w:t>Précisions : L'azélastine existe aussi en forme de collyre (conjunctivite allergique) ; la grossesse et l'allaitement de cette forme relèvent de règles similaires.</w:t>
      </w:r>
    </w:p>
    <w:p>
      <w:r/>
      <w:r>
        <w:rPr>
          <w:b/>
        </w:rPr>
        <w:t>Posologie et Mode d'administration (Standard) :</w:t>
      </w:r>
      <w:r/>
    </w:p>
    <w:p>
      <w:pPr>
        <w:pStyle w:val="ListBullet"/>
      </w:pPr>
      <w:r>
        <w:t xml:space="preserve">Adulte et adolescent à partir de 12 ans : </w:t>
      </w:r>
      <w:r>
        <w:rPr>
          <w:b/>
        </w:rPr>
        <w:t>540 µg/jour en deux prises</w:t>
      </w:r>
      <w:r>
        <w:t>, soit 1 pulvérisation de 137 µg dans chaque narine deux fois par jour (matin et soir). Certaines formulations américaines (Astepro 0,15 %) permettent une posologie de 820 µg/jour en deux prises (2 pulvérisations par narine deux fois par jour) dans les rhinites modérées à sévères. Dose maximale : 1090 µg/jour.</w:t>
      </w:r>
    </w:p>
    <w:p>
      <w:pPr>
        <w:pStyle w:val="ListBullet"/>
      </w:pPr>
      <w:r>
        <w:t xml:space="preserve">Enfant de 5 à 11 ans : </w:t>
      </w:r>
      <w:r>
        <w:rPr>
          <w:b/>
        </w:rPr>
        <w:t>274 µg/jour en deux prises</w:t>
      </w:r>
      <w:r>
        <w:t>, soit 1 pulvérisation de 137 µg dans chaque narine deux fois par jour (matin et soir).</w:t>
      </w:r>
    </w:p>
    <w:p>
      <w:pPr>
        <w:pStyle w:val="ListBullet"/>
      </w:pPr>
      <w:r>
        <w:t>Mode d'administration : (1) souffler doucement de nez ; (2) amorcer le flacon avant la première utilisation par 4 pulvérisations dans l'air, ou jusqu'à obtention d'un jet fin et régulier ; (3) pencher légèrement la tête en avant ; (4) introduire l'embout du flacon dans une narine, orienter la buse vers l'extérieur (vers l'oreille) et légèrement vers l'arrière ; (5) pulvériser en inspirant doucement par le nez ; (6) expirer par la bouche ; (7) répéter dans l'autre narine ; (8) nettoyer l'embout avec un mouchoir propre et refermer le capuchon ; (9) se rincer la bouche à l'eau et l'avaler pour limiter le goût amer.</w:t>
      </w:r>
    </w:p>
    <w:p>
      <w:pPr>
        <w:pStyle w:val="ListBullet"/>
      </w:pPr>
      <w:r>
        <w:t>Durée de traitement : traitement symptomatique à la demande pendant la saison pollinique ou en cas de symptômes ; peut être utilisé en continu pendant plusieurs semaines en cas de rhinite perannuelle, avec réévaluation régulière.</w:t>
      </w:r>
    </w:p>
    <w:p>
      <w:r/>
      <w:r>
        <w:rPr>
          <w:b/>
        </w:rPr>
        <w:t>Arbitrage et Bénéfices des Formes Galéniques :</w:t>
      </w:r>
      <w:r/>
    </w:p>
    <w:p>
      <w:r>
        <w:t>L'azélastine nasale n'existe qu'en une seule forme galénique (solution pour pulvérisation nasale à 137 µg/dose) et un seul dosage à l'international. L'arbitrage porte principalement sur le choix entre azélastine nasale et alternatives thérapeutiques : antihistaminiques oraux de deuxième génération (cétirizine, loratadine, desloratadine, fexofénadine, bilastine), corticoïdes nasaux (mométasone, fluticasone propionate ou furoate, beclométasone, budésonide), ou associations fixes (Dymista® azélastine + fluticasone propionate). En l'absence de spécialité nasale d'azélastine commercialisée en Algérie, les praticiens algériens doivent orienter les patients vers les alternatives disponibles : (i) antihistaminiques oraux de deuxième génération en première intention dans les rhinites légères à modérées ; (ii) corticoïdes nasaux en première intention dans les rhinites modérées à sévères et la polypose ; (iii) association antihistaminique oral + corticoïde nasal dans les rhinites sévères. La spécialité internationale Dymista® (azélastine + fluticasone propionate) a démontré une efficacité supérieure à chacune des composantes seules dans les rhinites modérées à sévères, et pourrait être un candidat à une future commercialisation en Algérie.</w:t>
      </w:r>
    </w:p>
    <w:p>
      <w:r/>
      <w:r>
        <w:rPr>
          <w:b/>
        </w:rPr>
        <w:t>Instructions et Conseils au Patient :</w:t>
      </w:r>
      <w:r/>
    </w:p>
    <w:p>
      <w:pPr>
        <w:pStyle w:val="ListBullet"/>
      </w:pPr>
      <w:r>
        <w:t xml:space="preserve">Communication au comptoir : Informer le patient sur le </w:t>
      </w:r>
      <w:r>
        <w:rPr>
          <w:b/>
        </w:rPr>
        <w:t>délai d'action court</w:t>
      </w:r>
      <w:r>
        <w:t xml:space="preserve"> (15 à 30 minutes, soit le principal avantage de l'azélastine nasale), sur le </w:t>
      </w:r>
      <w:r>
        <w:rPr>
          <w:b/>
        </w:rPr>
        <w:t>goût amer</w:t>
      </w:r>
      <w:r>
        <w:t xml:space="preserve"> caractéristique (prévenir le patient pour limiter l'effet de surprise et l'arrêt prématuré), sur le risque de </w:t>
      </w:r>
      <w:r>
        <w:rPr>
          <w:b/>
        </w:rPr>
        <w:t>somnolence</w:t>
      </w:r>
      <w:r>
        <w:t xml:space="preserve"> (ne pas conduire dans l'heure qui suit la première administration, évaluer la tolérance personnelle), sur la </w:t>
      </w:r>
      <w:r>
        <w:rPr>
          <w:b/>
        </w:rPr>
        <w:t>technique de pulvérisation</w:t>
      </w:r>
      <w:r>
        <w:t xml:space="preserve"> dirigée vers la paroi latérale et légèrement vers l'arrière, sur le </w:t>
      </w:r>
      <w:r>
        <w:rPr>
          <w:b/>
        </w:rPr>
        <w:t>priming</w:t>
      </w:r>
      <w:r>
        <w:t xml:space="preserve"> du flacon, et sur le rinçage de la bouche après administration pour limiter le goût amer.</w:t>
      </w:r>
    </w:p>
    <w:p>
      <w:pPr>
        <w:pStyle w:val="ListBullet"/>
      </w:pPr>
      <w:r>
        <w:t>Mode d'utilisation pratique : Démonstration au comptoir ; remise d'une notice simplifiée. Conserver le flacon à température ambiante (≤ 25 °C), ne pas congeler. Jeter le flacon 2 mois après la première utilisation. Ne pas partager le flacon.</w:t>
      </w:r>
    </w:p>
    <w:p>
      <w:pPr>
        <w:pStyle w:val="ListBullet"/>
      </w:pPr>
      <w:r>
        <w:t>Information sur les signes d'alerte : somnolence excessive, vertiges, palpitations, rash cutané → arrêt et consultation. Sensation de brûlure ou goût amer transitoires en début de traitement sont fréquents et non inquiétants.</w:t>
      </w:r>
    </w:p>
    <w:p>
      <w:r/>
      <w:r>
        <w:rPr>
          <w:b/>
        </w:rPr>
        <w:t>Notes, Règles d'Or &amp; Pièges au Comptoir :</w:t>
      </w:r>
      <w:r/>
    </w:p>
    <w:p>
      <w:pPr>
        <w:pStyle w:val="ListBullet"/>
      </w:pPr>
      <w:r>
        <w:t>Piège de la non-disponibilité de la forme nasale en Algérie : le pharmacien doit informer le patient et le médecin prescripteur que la spécialité nasale d'azélastine n'est pas commercialisée en Algérie, et orienter vers les alternatives disponibles (antihistaminiques oraux de deuxième génération, corticoïdes nasaux).</w:t>
      </w:r>
    </w:p>
    <w:p>
      <w:pPr>
        <w:pStyle w:val="ListBullet"/>
      </w:pPr>
      <w:r>
        <w:t>Piège de la somnolence : bien que l'azélastine soit un antihistaminique de deuxième génération censé être moins sédatif que les antihistaminiques de première génération, la somnolence n'est pas négligeable (10 à 15 %) en raison du passage systémique ; prévenir le patient et déconseiller la conduite automobile dans l'heure qui suit la prise.</w:t>
      </w:r>
    </w:p>
    <w:p>
      <w:pPr>
        <w:pStyle w:val="ListBullet"/>
      </w:pPr>
      <w:r>
        <w:t>Piège du goût amer : principale cause d'arrêt prématuré ; information systématique du patient et rinçage buccal après administration.</w:t>
      </w:r>
    </w:p>
    <w:p>
      <w:pPr>
        <w:pStyle w:val="ListBullet"/>
      </w:pPr>
      <w:r>
        <w:t>Piège de l'interaction avec les inhibiteurs du CYP3A4 (kétoconazole, itraconazole, clarithromycine, ritonavir) : augmentation de l'imprégnation systémique et de la somnolence.</w:t>
      </w:r>
    </w:p>
    <w:p>
      <w:pPr>
        <w:pStyle w:val="ListBullet"/>
      </w:pPr>
      <w:r>
        <w:t>Règle d'or : « Azélastine nasale = traitement symptomatique d'action rapide (15-30 min), goût amer, somnolence possible, biquotidien, en Algérie non commercialisé en forme nasale — orienter vers alternatives ».</w:t>
      </w:r>
    </w:p>
    <w:p>
      <w:pPr>
        <w:pStyle w:val="ListBullet"/>
      </w:pPr>
      <w:r>
        <w:t>Préparation et Conservation : Flacon fermé, à température ambiante (≤ 25 °C), à l'abri de la lumière. Jeter 2 mois après la première utilisation.</w:t>
      </w:r>
    </w:p>
    <w:p>
      <w:pPr>
        <w:pStyle w:val="ListBullet"/>
      </w:pPr>
      <w:r>
        <w:t>Piège de l'association avec un corticoïde nasal : l'association est possible et synergique, mais impose de respecter un intervalle d'au moins 10 minutes entre les deux pulvérisations pour éviter de lessiver la première par la seconde.</w:t>
      </w:r>
    </w:p>
    <w:p>
      <w:pPr>
        <w:pStyle w:val="Heading3"/>
      </w:pPr>
      <w:r>
        <w:t>133.3.3 DCI : Olopatadine (usage nasal)</w:t>
      </w:r>
    </w:p>
    <w:p>
      <w:r/>
      <w:r>
        <w:rPr>
          <w:b/>
        </w:rPr>
        <w:t>Liste des Catégories :</w:t>
      </w:r>
      <w:r>
        <w:t xml:space="preserve"> Liste I.</w:t>
      </w:r>
    </w:p>
    <w:p>
      <w:r>
        <w:t xml:space="preserve">L'olopatadine est un antihistaminique H1 de deuxième génération, dérivé de la benzocycloheptapyridine ((Z)-11-(3-diméthylaminopropylidène)-6,11-dihydrodibenz[b,e]oxépin-2-acide). Décrite pour la première fois en 1986 par Kyowa Hakko Kirin et développée commercialement par Alcon, l'olopatadine est disponible internationalement sous trois formes : </w:t>
      </w:r>
      <w:r>
        <w:rPr>
          <w:b/>
        </w:rPr>
        <w:t>collyre</w:t>
      </w:r>
      <w:r>
        <w:t xml:space="preserve"> (Opatanol® collyre, commercialisé depuis 1996 pour la conjonctivite allergique), </w:t>
      </w:r>
      <w:r>
        <w:rPr>
          <w:b/>
        </w:rPr>
        <w:t>spray nasal</w:t>
      </w:r>
      <w:r>
        <w:t xml:space="preserve"> (Patanase® spray nasal, commercialisé depuis 2008 pour la rhinite allergique) et </w:t>
      </w:r>
      <w:r>
        <w:rPr>
          <w:b/>
        </w:rPr>
        <w:t>comprimés oraux</w:t>
      </w:r>
      <w:r>
        <w:t xml:space="preserve"> (Allelock®, commercialisés au Japon). En Algérie, la nomenclature Avril 2026 recense uniquement la </w:t>
      </w:r>
      <w:r>
        <w:rPr>
          <w:b/>
        </w:rPr>
        <w:t>forme collyre</w:t>
      </w:r>
      <w:r>
        <w:t xml:space="preserve"> (OPATANOL princeps Alcon UK, OPATEK Biothera, OPTICIS Generic Lab, PALLADA World Medecine Limited), qui est indiquée dans la conjonctivite allergique et n'a pas d'usage rhinologique. Comme pour l'azélastine, cette absence de forme nasale commerciale en Algérie est un </w:t>
      </w:r>
      <w:r>
        <w:rPr>
          <w:b/>
        </w:rPr>
        <w:t>manque thérapeutique important</w:t>
      </w:r>
      <w:r>
        <w:t xml:space="preserve"> qui prive les patients algériens d'une option thérapeutique de valeur dans les rhinites allergiques légères à modérées nécessitant un traitement symptomatique d'action rapide. Le pharmacien d'officine et le médecin doivent être informés de cette particularité du marché algérien et orienter les patients vers les alternatives disponibles : antihistaminiques oraux de deuxième génération (cétirizine, loratadine, desloratadine, fexofénadine, bilastine) et corticoïdes nasaux.</w:t>
      </w:r>
    </w:p>
    <w:p>
      <w:r/>
      <w:r>
        <w:rPr>
          <w:b/>
        </w:rPr>
        <w:t>Médicaments disponibles en Algérie (tableau commercial)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OPATANOL</w:t>
            </w:r>
          </w:p>
        </w:tc>
        <w:tc>
          <w:tcPr>
            <w:tcW w:type="dxa" w:w="1559"/>
          </w:tcPr>
          <w:p>
            <w:r>
              <w:rPr>
                <w:sz w:val="20"/>
              </w:rPr>
              <w:t>ALCON UK LTD</w:t>
            </w:r>
          </w:p>
        </w:tc>
        <w:tc>
          <w:tcPr>
            <w:tcW w:type="dxa" w:w="1559"/>
          </w:tcPr>
          <w:p>
            <w:r>
              <w:rPr>
                <w:sz w:val="20"/>
              </w:rPr>
              <w:t>Collyre en solution 1 mg/mL (ou 5 mg/5 mL)</w:t>
            </w:r>
          </w:p>
        </w:tc>
        <w:tc>
          <w:tcPr>
            <w:tcW w:type="dxa" w:w="1559"/>
          </w:tcPr>
          <w:p>
            <w:r>
              <w:rPr>
                <w:sz w:val="20"/>
              </w:rPr>
              <w:t>Flacon de 5 mL</w:t>
            </w:r>
          </w:p>
        </w:tc>
        <w:tc>
          <w:tcPr>
            <w:tcW w:type="dxa" w:w="1559"/>
          </w:tcPr>
          <w:p>
            <w:r>
              <w:rPr>
                <w:sz w:val="20"/>
              </w:rPr>
              <w:t>Liste I</w:t>
            </w:r>
          </w:p>
        </w:tc>
        <w:tc>
          <w:tcPr>
            <w:tcW w:type="dxa" w:w="1559"/>
          </w:tcPr>
          <w:p>
            <w:r>
              <w:rPr>
                <w:sz w:val="20"/>
              </w:rPr>
              <w:t>Actif</w:t>
            </w:r>
          </w:p>
        </w:tc>
      </w:tr>
      <w:tr>
        <w:tc>
          <w:tcPr>
            <w:tcW w:type="dxa" w:w="1559"/>
          </w:tcPr>
          <w:p>
            <w:r>
              <w:rPr>
                <w:sz w:val="20"/>
              </w:rPr>
              <w:t>OPATEK</w:t>
            </w:r>
          </w:p>
        </w:tc>
        <w:tc>
          <w:tcPr>
            <w:tcW w:type="dxa" w:w="1559"/>
          </w:tcPr>
          <w:p>
            <w:r>
              <w:rPr>
                <w:sz w:val="20"/>
              </w:rPr>
              <w:t>BIOTHERA</w:t>
            </w:r>
          </w:p>
        </w:tc>
        <w:tc>
          <w:tcPr>
            <w:tcW w:type="dxa" w:w="1559"/>
          </w:tcPr>
          <w:p>
            <w:r>
              <w:rPr>
                <w:sz w:val="20"/>
              </w:rPr>
              <w:t>Collyre en solution stérile 1 mg/mL (ou 5 mg/5 mL)</w:t>
            </w:r>
          </w:p>
        </w:tc>
        <w:tc>
          <w:tcPr>
            <w:tcW w:type="dxa" w:w="1559"/>
          </w:tcPr>
          <w:p>
            <w:r>
              <w:rPr>
                <w:sz w:val="20"/>
              </w:rPr>
              <w:t>Flacon de 5 mL</w:t>
            </w:r>
          </w:p>
        </w:tc>
        <w:tc>
          <w:tcPr>
            <w:tcW w:type="dxa" w:w="1559"/>
          </w:tcPr>
          <w:p>
            <w:r>
              <w:rPr>
                <w:sz w:val="20"/>
              </w:rPr>
              <w:t>Liste I</w:t>
            </w:r>
          </w:p>
        </w:tc>
        <w:tc>
          <w:tcPr>
            <w:tcW w:type="dxa" w:w="1559"/>
          </w:tcPr>
          <w:p>
            <w:r>
              <w:rPr>
                <w:sz w:val="20"/>
              </w:rPr>
              <w:t>Actif</w:t>
            </w:r>
          </w:p>
        </w:tc>
      </w:tr>
      <w:tr>
        <w:tc>
          <w:tcPr>
            <w:tcW w:type="dxa" w:w="1559"/>
          </w:tcPr>
          <w:p>
            <w:r>
              <w:rPr>
                <w:sz w:val="20"/>
              </w:rPr>
              <w:t>OPTICIS</w:t>
            </w:r>
          </w:p>
        </w:tc>
        <w:tc>
          <w:tcPr>
            <w:tcW w:type="dxa" w:w="1559"/>
          </w:tcPr>
          <w:p>
            <w:r>
              <w:rPr>
                <w:sz w:val="20"/>
              </w:rPr>
              <w:t>GENERIC LAB</w:t>
            </w:r>
          </w:p>
        </w:tc>
        <w:tc>
          <w:tcPr>
            <w:tcW w:type="dxa" w:w="1559"/>
          </w:tcPr>
          <w:p>
            <w:r>
              <w:rPr>
                <w:sz w:val="20"/>
              </w:rPr>
              <w:t>Collyre en solution 1 mg/mL (ou 5 mg/5 mL)</w:t>
            </w:r>
          </w:p>
        </w:tc>
        <w:tc>
          <w:tcPr>
            <w:tcW w:type="dxa" w:w="1559"/>
          </w:tcPr>
          <w:p>
            <w:r>
              <w:rPr>
                <w:sz w:val="20"/>
              </w:rPr>
              <w:t>Flacon de 5 mL</w:t>
            </w:r>
          </w:p>
        </w:tc>
        <w:tc>
          <w:tcPr>
            <w:tcW w:type="dxa" w:w="1559"/>
          </w:tcPr>
          <w:p>
            <w:r>
              <w:rPr>
                <w:sz w:val="20"/>
              </w:rPr>
              <w:t>Liste I</w:t>
            </w:r>
          </w:p>
        </w:tc>
        <w:tc>
          <w:tcPr>
            <w:tcW w:type="dxa" w:w="1559"/>
          </w:tcPr>
          <w:p>
            <w:r>
              <w:rPr>
                <w:sz w:val="20"/>
              </w:rPr>
              <w:t>Actif</w:t>
            </w:r>
          </w:p>
        </w:tc>
      </w:tr>
      <w:tr>
        <w:tc>
          <w:tcPr>
            <w:tcW w:type="dxa" w:w="1559"/>
          </w:tcPr>
          <w:p>
            <w:r>
              <w:rPr>
                <w:sz w:val="20"/>
              </w:rPr>
              <w:t>PALLADA</w:t>
            </w:r>
          </w:p>
        </w:tc>
        <w:tc>
          <w:tcPr>
            <w:tcW w:type="dxa" w:w="1559"/>
          </w:tcPr>
          <w:p>
            <w:r>
              <w:rPr>
                <w:sz w:val="20"/>
              </w:rPr>
              <w:t>WORLD MEDECINE LIMITED</w:t>
            </w:r>
          </w:p>
        </w:tc>
        <w:tc>
          <w:tcPr>
            <w:tcW w:type="dxa" w:w="1559"/>
          </w:tcPr>
          <w:p>
            <w:r>
              <w:rPr>
                <w:sz w:val="20"/>
              </w:rPr>
              <w:t>Collyre en solution 1 mg/mL (ou 5 mg/5 mL)</w:t>
            </w:r>
          </w:p>
        </w:tc>
        <w:tc>
          <w:tcPr>
            <w:tcW w:type="dxa" w:w="1559"/>
          </w:tcPr>
          <w:p>
            <w:r>
              <w:rPr>
                <w:sz w:val="20"/>
              </w:rPr>
              <w:t>Flacon de 5 mL</w:t>
            </w:r>
          </w:p>
        </w:tc>
        <w:tc>
          <w:tcPr>
            <w:tcW w:type="dxa" w:w="1559"/>
          </w:tcPr>
          <w:p>
            <w:r>
              <w:rPr>
                <w:sz w:val="20"/>
              </w:rPr>
              <w:t>Liste I</w:t>
            </w:r>
          </w:p>
        </w:tc>
        <w:tc>
          <w:tcPr>
            <w:tcW w:type="dxa" w:w="1559"/>
          </w:tcPr>
          <w:p>
            <w:r>
              <w:rPr>
                <w:sz w:val="20"/>
              </w:rPr>
              <w:t>Actif</w:t>
            </w:r>
          </w:p>
        </w:tc>
      </w:tr>
    </w:tbl>
    <w:p/>
    <w:p>
      <w:r/>
      <w:r>
        <w:rPr>
          <w:b/>
        </w:rPr>
        <w:t>Note importante sur la disponibilité commerciale en Algérie :</w:t>
      </w:r>
      <w:r>
        <w:t xml:space="preserve"> La forme nasale de l'olopatadine (Patanase® spray nasal, commercialisé internationalement par Alcon à 665 µg/dose) </w:t>
      </w:r>
      <w:r>
        <w:rPr>
          <w:b/>
        </w:rPr>
        <w:t>n'est pas disponible dans la nomenclature algérienne Avril 2026</w:t>
      </w:r>
      <w:r>
        <w:t>. Seule la forme collyre est recensée, qui est indiquée dans la conjonctivite allergique et n'a pas d'usage rhinologique. Les informations cliniques qui suivent sur l'usage nasal sont fournies à titre documentaire, sur la base de la littérature internationale et des recommandations ARIA/EPOS, en vue d'une éventuelle future commercialisation ou d'une importation temporaire. Les informations sur la forme collyre (disponible en Algérie) sont traitées dans le chapitre dédié à l'ophtalmologie.</w:t>
      </w:r>
    </w:p>
    <w:p>
      <w:r/>
      <w:r>
        <w:rPr>
          <w:b/>
        </w:rPr>
        <w:t>Sous-classe et Mécanisme d'action :</w:t>
      </w:r>
      <w:r/>
    </w:p>
    <w:p>
      <w:pPr>
        <w:pStyle w:val="ListBullet"/>
      </w:pPr>
      <w:r>
        <w:t>Sous-classe : Antihistaminique H1 de deuxième génération (topique nasal). Liste I.</w:t>
      </w:r>
    </w:p>
    <w:p>
      <w:pPr>
        <w:pStyle w:val="ListBullet"/>
      </w:pPr>
      <w:r>
        <w:t xml:space="preserve">Mécanisme d'action : L'olopatadine est un </w:t>
      </w:r>
      <w:r>
        <w:rPr>
          <w:b/>
        </w:rPr>
        <w:t>antagoniste compétitif du récepteur H1 de l'histamine</w:t>
      </w:r>
      <w:r>
        <w:t xml:space="preserve"> avec une affinité élevée et une sélectivité pour le H1 (vs H2, H3, H4). Comme l'azélastine, l'olopatadine occupe le site de fixation de l'histamine sur le récepteur H1 et empêche la cascade d'événements responsables de la symptomatologie allergique nasale (vasodilatation, perméabilité vasculaire, stimulation sensitive, sécrétion muqueuse). L'olopatadine possède par ailleurs une </w:t>
      </w:r>
      <w:r>
        <w:rPr>
          <w:b/>
        </w:rPr>
        <w:t>activité anti-allergique additionnelle</w:t>
      </w:r>
      <w:r>
        <w:t xml:space="preserve"> comparable à celle de l'azélastine : (i) inhibition de la libération de TNF-α et de leucotriènes par les mastocytes ; (ii) inhibition de la migration et de l'activation des éosinophiles et des neutrophiles ; (iii) inhibition de l'expression des molécules d'adhésion ; (iv) inhibition de la production de cytokines Th2. L'effet est local (muqueuse nasale) avec une biodisponibilité systémique orale d'environ 60 %, ce qui explique une somnolence moins marquée qu'avec l'azélastine (incidence de 5 à 7 % vs 5 % sous placebo, contre 10 à 15 % pour l'azélastine). La demi-vie d'élimination plasmatique est de 8 à 12 heures, permettant une administration biquotidienne. L'olopatadine a une affinité H1 légèrement supérieure à celle de l'azélastine et un profil de tolérance locale meilleure (moins de goût amer, moins d'irritation nasale), ce qui en fait une alternative intéressante en cas d'intolérance à l'azélastine.</w:t>
      </w:r>
    </w:p>
    <w:p>
      <w:r/>
      <w:r>
        <w:rPr>
          <w:b/>
        </w:rPr>
        <w:t>Profil Pharmacologique :</w:t>
      </w:r>
      <w:r/>
    </w:p>
    <w:p>
      <w:pPr>
        <w:pStyle w:val="ListBullet"/>
      </w:pPr>
      <w:r>
        <w:t xml:space="preserve">Indications AMM (internationales, forme nasale) : (1) </w:t>
      </w:r>
      <w:r>
        <w:rPr>
          <w:b/>
        </w:rPr>
        <w:t>Rhinite allergique saisonnière et perannuelle</w:t>
      </w:r>
      <w:r>
        <w:t xml:space="preserve"> chez l'adulte et l'enfant à partir de 6 ans (selon les spécialités) ; traitement symptomatique du prurit nasal, des éternuements, de la rhinorrhée et (modestement) de la congestion nasale. (2) Traitement d'appoint en cas de symptômes aigus en complément d'un corticoïde nasal en traitement de fond. (3) Conjunctivite allergique (collyre).</w:t>
      </w:r>
    </w:p>
    <w:p>
      <w:pPr>
        <w:pStyle w:val="ListBullet"/>
      </w:pPr>
      <w:r>
        <w:t>Contre-indications : Hypersensibilité à l'olopatadine ou à l'un des excipients (chlorure de benzalkonium, édétate disodique, povidone, phosphate disodique, acide citrique, eau purifiée) ; enfant de moins de 6 ans (selon la plupart des AMM nasales). Prudence chez la femme enceinte (peu de données, mais compatibilité selon le CRAT), chez le sujet âgé (sensibilité accrue à la somnolence), chez le patient insuffisant hépatique ou rénal.</w:t>
      </w:r>
    </w:p>
    <w:p>
      <w:pPr>
        <w:pStyle w:val="ListBullet"/>
      </w:pPr>
      <w:r>
        <w:t>Spectre d'action locale : L'olopatadine n'a pas d'activité antibiotique ni antifongique propre.</w:t>
      </w:r>
    </w:p>
    <w:p>
      <w:r/>
      <w:r>
        <w:rPr>
          <w:b/>
        </w:rPr>
        <w:t>Effets Indésirables :</w:t>
      </w:r>
      <w:r/>
    </w:p>
    <w:p>
      <w:pPr>
        <w:pStyle w:val="ListBullet"/>
      </w:pPr>
      <w:r/>
      <w:r>
        <w:rPr>
          <w:b/>
        </w:rPr>
        <w:t>Locaux précoces</w:t>
      </w:r>
      <w:r>
        <w:t xml:space="preserve"> (fréquents) : irritation nasale (5 à 10 %), sensation de brûlure, picotements, éternuements post-pulvérisation, sécheresse nasale, dysgueusie (modification du goût, moins marquée qu'avec l'azélastine), épistaxis mineure (3 à 5 %). À noter que le </w:t>
      </w:r>
      <w:r>
        <w:rPr>
          <w:b/>
        </w:rPr>
        <w:t>goût amer est moins marqué qu'avec l'azélastine</w:t>
      </w:r>
      <w:r>
        <w:t>, ce qui améliore l'observance.</w:t>
      </w:r>
    </w:p>
    <w:p>
      <w:pPr>
        <w:pStyle w:val="ListBullet"/>
      </w:pPr>
      <w:r/>
      <w:r>
        <w:rPr>
          <w:b/>
        </w:rPr>
        <w:t>Systémiques</w:t>
      </w:r>
      <w:r>
        <w:t xml:space="preserve"> : </w:t>
      </w:r>
      <w:r>
        <w:rPr>
          <w:b/>
        </w:rPr>
        <w:t>somnolence</w:t>
      </w:r>
      <w:r>
        <w:t xml:space="preserve"> (5 à 7 % vs 5 % sous placebo, soit une incidence comparable au placebo, moins marquée qu'avec l'azélastine), céphalées (5 à 10 %), fatigue, vertiges (rares).</w:t>
      </w:r>
    </w:p>
    <w:p>
      <w:pPr>
        <w:pStyle w:val="ListBullet"/>
      </w:pPr>
      <w:r/>
      <w:r>
        <w:rPr>
          <w:b/>
        </w:rPr>
        <w:t>Oculaires</w:t>
      </w:r>
      <w:r>
        <w:t xml:space="preserve"> : rarement sécheresse oculaire, troubles de l'accommodation.</w:t>
      </w:r>
    </w:p>
    <w:p>
      <w:pPr>
        <w:pStyle w:val="ListBullet"/>
      </w:pPr>
      <w:r/>
      <w:r>
        <w:rPr>
          <w:b/>
        </w:rPr>
        <w:t>Effets paradoxaux</w:t>
      </w:r>
      <w:r>
        <w:t xml:space="preserve"> : exceptionnelles réactions allergiques de contact (à un excipient plus souvent qu'à l'olopatadine elle-même).</w:t>
      </w:r>
    </w:p>
    <w:p>
      <w:r/>
      <w:r>
        <w:rPr>
          <w:b/>
        </w:rPr>
        <w:t>Prévention et Gestion des Effets Indésirables :</w:t>
      </w:r>
      <w:r/>
    </w:p>
    <w:p>
      <w:pPr>
        <w:pStyle w:val="ListBullet"/>
      </w:pPr>
      <w:r>
        <w:t xml:space="preserve">Mesures préventives : </w:t>
      </w:r>
      <w:r>
        <w:rPr>
          <w:b/>
        </w:rPr>
        <w:t>Éducation systématique à la technique de pulvérisation</w:t>
      </w:r>
      <w:r>
        <w:t xml:space="preserve"> dirigée vers la paroi latérale (jamais vers le septum, et inclinée légèrement vers l'arrière pour limiter l'écoulement vers le nasopharynx) ; </w:t>
      </w:r>
      <w:r>
        <w:rPr>
          <w:b/>
        </w:rPr>
        <w:t>soufflage de nez</w:t>
      </w:r>
      <w:r>
        <w:t xml:space="preserve"> préalable léger ; information du patient sur le goût amer (moins marqué qu'avec l'azélastine, mais peut persister) ; information sur le risque de somnolence (plus faible qu'avec l'azélastine, mais à évaluer individuellement) ; </w:t>
      </w:r>
      <w:r>
        <w:rPr>
          <w:b/>
        </w:rPr>
        <w:t>administration biquotidienne</w:t>
      </w:r>
      <w:r>
        <w:t xml:space="preserve"> (matin et soir) à la posologie standard ; surveillance de l'apparition d'épistaxis ; rinçage de la bouche après administration.</w:t>
      </w:r>
    </w:p>
    <w:p>
      <w:pPr>
        <w:pStyle w:val="ListBullet"/>
      </w:pPr>
      <w:r>
        <w:t>Conduite à tenir : En cas de somnolence excessive, administration unique le soir et réévaluation avec le médecin ; en cas de goût amer insupportable, rinçage de la bouche et réévaluation ; en cas d'épistaxis bénigne, arrêt de 2 à 7 jours et reprise ; en cas d'absence d'efficacité à 1 semaine (délai d'action court), réévaluation diagnostique.</w:t>
      </w:r>
    </w:p>
    <w:p>
      <w:r/>
      <w:r>
        <w:rPr>
          <w:b/>
        </w:rPr>
        <w:t>Interactions Importantes :</w:t>
      </w:r>
      <w:r/>
    </w:p>
    <w:p>
      <w:pPr>
        <w:pStyle w:val="ListBullet"/>
      </w:pPr>
      <w:r>
        <w:t>Autres antihistaminiques (oraux, nasaux) : cumul et majoration de la somnolence.</w:t>
      </w:r>
    </w:p>
    <w:p>
      <w:pPr>
        <w:pStyle w:val="ListBullet"/>
      </w:pPr>
      <w:r>
        <w:t>Dépresseurs du système nerveux central (alcool, benzodiazépines, opiacés, antidépresseurs sédatifs, antipsychotiques) : majoration de la somnolence.</w:t>
      </w:r>
    </w:p>
    <w:p>
      <w:pPr>
        <w:pStyle w:val="ListBullet"/>
      </w:pPr>
      <w:r>
        <w:t>Inhibiteurs du CYP3A4 et du CYP2D6 (kétoconazole, itraconazole, clarithromycine, érythromycine, ritonavir, paroxétine, fluoxétine, quinidine) : augmentation possible de l'imprégnation systémique ; prudence.</w:t>
      </w:r>
    </w:p>
    <w:p>
      <w:pPr>
        <w:pStyle w:val="ListBullet"/>
      </w:pPr>
      <w:r>
        <w:t>Anticholinergiques : potentialisation des effets anticholinergiques (sécheresse buccale, troubles de l'accommodation, constipation, rétention urinaire).</w:t>
      </w:r>
    </w:p>
    <w:p>
      <w:pPr>
        <w:pStyle w:val="ListBullet"/>
      </w:pPr>
      <w:r>
        <w:t>Antihypertenseurs : effet additif hypotenseur possible.</w:t>
      </w:r>
    </w:p>
    <w:p>
      <w:r/>
      <w:r>
        <w:rPr>
          <w:b/>
        </w:rPr>
        <w:t>Grossesse et Allaitement :</w:t>
      </w:r>
      <w:r/>
    </w:p>
    <w:p>
      <w:pPr>
        <w:pStyle w:val="ListBullet"/>
      </w:pPr>
      <w:r>
        <w:t xml:space="preserve">Grossesse : L'olopatadine nasale est classée par le CRAT comme « </w:t>
      </w:r>
      <w:r>
        <w:rPr>
          <w:b/>
        </w:rPr>
        <w:t>à éviter par mesure de prudence</w:t>
      </w:r>
      <w:r>
        <w:t xml:space="preserve"> » chez la femme enceinte, en raison du peu de données cliniques chez la femme enceinte. Cependant, les études animales sont rassurantes et les données des registres internationaux ne montrent pas d'augmentation du risque malformatif. En pratique, l'olopatadine nasale peut être utilisée chez la femme enceinte en cas de nécessité (rhinite allergique modérée à sévère non contrôlée par les alternatives), après information éclairée de la patiente et avis médical. Privilégier les alternatives (corticoïdes nasaux, en particulier budésonide) en première intention.</w:t>
      </w:r>
    </w:p>
    <w:p>
      <w:pPr>
        <w:pStyle w:val="ListBullet"/>
      </w:pPr>
      <w:r>
        <w:t xml:space="preserve">Allaitement : L'olopatadine passe dans le lait maternel en quantité faible (rapport lait/plasma ≈ 0,5). L'allaitement est </w:t>
      </w:r>
      <w:r>
        <w:rPr>
          <w:b/>
        </w:rPr>
        <w:t>déconseillé</w:t>
      </w:r>
      <w:r>
        <w:t xml:space="preserve"> pendant le traitement par olopatadine nasale, par prudence. Privilégier les alternatives (corticoïdes nasaux, antihistaminiques oraux compatibles comme la loratadine ou la cétirizine) chez la femme allaitante.</w:t>
      </w:r>
    </w:p>
    <w:p>
      <w:pPr>
        <w:pStyle w:val="ListBullet"/>
      </w:pPr>
      <w:r>
        <w:t>Précisions : L'olopatadine existe aussi en forme de collyre (conjunctivite allergique) ; la grossesse et l'allaitement de cette forme relèvent de règles similaires. La forme collyre (disponible en Algérie) est classée par le CRAT comme « compatible » avec la grossesse et l'allaitement (en raison de la très faible biodisponibilité systémique de la voie oculaire).</w:t>
      </w:r>
    </w:p>
    <w:p>
      <w:r/>
      <w:r>
        <w:rPr>
          <w:b/>
        </w:rPr>
        <w:t>Posologie et Mode d'administration (Standard) :</w:t>
      </w:r>
      <w:r/>
    </w:p>
    <w:p>
      <w:pPr>
        <w:pStyle w:val="ListBullet"/>
      </w:pPr>
      <w:r>
        <w:t xml:space="preserve">Adulte et adolescent à partir de 12 ans : </w:t>
      </w:r>
      <w:r>
        <w:rPr>
          <w:b/>
        </w:rPr>
        <w:t>1330 µg/jour en deux prises</w:t>
      </w:r>
      <w:r>
        <w:t>, soit 2 pulvérisations de 665 µg dans chaque narine deux fois par jour (matin et soir). Certaines formulations permettent une posologie réduite à 665 µg/jour en une prise (2 pulvérisations par narine une fois par jour) en traitement d'entretien.</w:t>
      </w:r>
    </w:p>
    <w:p>
      <w:pPr>
        <w:pStyle w:val="ListBullet"/>
      </w:pPr>
      <w:r>
        <w:t xml:space="preserve">Enfant de 6 à 11 ans : </w:t>
      </w:r>
      <w:r>
        <w:rPr>
          <w:b/>
        </w:rPr>
        <w:t>665 µg/jour en deux prises</w:t>
      </w:r>
      <w:r>
        <w:t>, soit 1 pulvérisation de 665 µg dans chaque narine deux fois par jour (matin et soir).</w:t>
      </w:r>
    </w:p>
    <w:p>
      <w:pPr>
        <w:pStyle w:val="ListBullet"/>
      </w:pPr>
      <w:r>
        <w:t>Mode d'administration : (1) souffler doucement de nez ; (2) amorcer le flacon avant la première utilisation par 5 pulvérisations dans l'air, ou jusqu'à obtention d'un jet fin et régulier ; (3) pencher légèrement la tête en avant ; (4) introduire l'embout du flacon dans une narine, orienter la buse vers l'extérieur (vers l'oreille) et légèrement vers l'arrière ; (5) pulvériser en inspirant doucement par le nez ; (6) expirer par la bouche ; (7) répéter dans l'autre narine ; (8) nettoyer l'embout avec un mouchoir propre et refermer le capuchon ; (9) se rincer la bouche à l'eau et l'avaler pour limiter le goût amer.</w:t>
      </w:r>
    </w:p>
    <w:p>
      <w:pPr>
        <w:pStyle w:val="ListBullet"/>
      </w:pPr>
      <w:r>
        <w:t>Durée de traitement : traitement symptomatique à la demande pendant la saison pollinique ou en cas de symptômes ; peut être utilisé en continu pendant plusieurs semaines en cas de rhinite perannuelle, avec réévaluation régulière.</w:t>
      </w:r>
    </w:p>
    <w:p>
      <w:r/>
      <w:r>
        <w:rPr>
          <w:b/>
        </w:rPr>
        <w:t>Arbitrage et Bénéfices des Formes Galéniques :</w:t>
      </w:r>
      <w:r/>
    </w:p>
    <w:p>
      <w:r>
        <w:t>L'olopatadine nasale n'existe qu'en une seule forme galénique (solution pour pulvérisation nasale à 665 µg/dose) à l'international. L'arbitrage porte principalement sur le choix entre olopatadine nasale et alternatives thérapeutiques : antihistaminiques oraux de deuxième génération, corticoïdes nasaux, ou associations fixes (Dymista® azélastine + fluticasone propionate). Comparativement à l'azélastine, l'olopatadine a l'avantage d'un profil de tolérance local et systémique meilleur (moins de goût amer, moins de somnolence), mais l'inconvénient d'un coût supérieur. En l'absence de spécialité nasale d'olopatadine commercialisée en Algérie, les praticiens algériens doivent orienter les patients vers les alternatives disponibles.</w:t>
      </w:r>
    </w:p>
    <w:p>
      <w:r/>
      <w:r>
        <w:rPr>
          <w:b/>
        </w:rPr>
        <w:t>Instructions et Conseils au Patient :</w:t>
      </w:r>
      <w:r/>
    </w:p>
    <w:p>
      <w:pPr>
        <w:pStyle w:val="ListBullet"/>
      </w:pPr>
      <w:r>
        <w:t xml:space="preserve">Communication au comptoir : Informer le patient sur le </w:t>
      </w:r>
      <w:r>
        <w:rPr>
          <w:b/>
        </w:rPr>
        <w:t>délai d'action court</w:t>
      </w:r>
      <w:r>
        <w:t xml:space="preserve"> (15 à 30 minutes), sur le </w:t>
      </w:r>
      <w:r>
        <w:rPr>
          <w:b/>
        </w:rPr>
        <w:t>goût amer</w:t>
      </w:r>
      <w:r>
        <w:t xml:space="preserve"> (moins marqué qu'avec l'azélastine), sur le risque de </w:t>
      </w:r>
      <w:r>
        <w:rPr>
          <w:b/>
        </w:rPr>
        <w:t>somnolence</w:t>
      </w:r>
      <w:r>
        <w:t xml:space="preserve"> (plus faible qu'avec l'azélastine, mais à évaluer individuellement), sur la </w:t>
      </w:r>
      <w:r>
        <w:rPr>
          <w:b/>
        </w:rPr>
        <w:t>technique de pulvérisation</w:t>
      </w:r>
      <w:r>
        <w:t xml:space="preserve"> dirigée vers la paroi latérale et légèrement vers l'arrière, sur le </w:t>
      </w:r>
      <w:r>
        <w:rPr>
          <w:b/>
        </w:rPr>
        <w:t>priming</w:t>
      </w:r>
      <w:r>
        <w:t xml:space="preserve"> du flacon, et sur le rinçage de la bouche après administration.</w:t>
      </w:r>
    </w:p>
    <w:p>
      <w:pPr>
        <w:pStyle w:val="ListBullet"/>
      </w:pPr>
      <w:r>
        <w:t>Mode d'utilisation pratique : Démonstration au comptoir ; remise d'une notice simplifiée. Conserver le flacon à température ambiante (≤ 25 °C), ne pas congeler. Jeter le flacon 2 mois après la première utilisation. Ne pas partager le flacon.</w:t>
      </w:r>
    </w:p>
    <w:p>
      <w:pPr>
        <w:pStyle w:val="ListBullet"/>
      </w:pPr>
      <w:r>
        <w:t>Information sur les signes d'alerte : somnolence excessive, vertiges, palpitations, rash cutané → arrêt et consultation. Sensation de brûlure ou goût amer transitoires en début de traitement sont fréquents et non inquiétants.</w:t>
      </w:r>
    </w:p>
    <w:p>
      <w:r/>
      <w:r>
        <w:rPr>
          <w:b/>
        </w:rPr>
        <w:t>Notes, Règles d'Or &amp; Pièges au Comptoir :</w:t>
      </w:r>
      <w:r/>
    </w:p>
    <w:p>
      <w:pPr>
        <w:pStyle w:val="ListBullet"/>
      </w:pPr>
      <w:r>
        <w:t>Piège de la non-disponibilité de la forme nasale en Algérie : le pharmacien doit informer le patient et le médecin prescripteur que la spécialité nasale d'olopatadine n'est pas commercialisée en Algérie, et orienter vers les alternatives disponibles.</w:t>
      </w:r>
    </w:p>
    <w:p>
      <w:pPr>
        <w:pStyle w:val="ListBullet"/>
      </w:pPr>
      <w:r>
        <w:t>Piège de la confusion avec la forme collyre : la forme collyre (OPATANOL, OPATEK, OPTICIS, PALLADA) est indiquée dans la conjonctivite allergique et ne doit pas être utilisée par voie nasale.</w:t>
      </w:r>
    </w:p>
    <w:p>
      <w:pPr>
        <w:pStyle w:val="ListBullet"/>
      </w:pPr>
      <w:r>
        <w:t>Piège de la somnolence : bien que moins marquée qu'avec l'azélastine, la somnolence n'est pas nulle (5 à 7 %) ; prévenir le patient.</w:t>
      </w:r>
    </w:p>
    <w:p>
      <w:pPr>
        <w:pStyle w:val="ListBullet"/>
      </w:pPr>
      <w:r>
        <w:t>Piège du goût amer : moins marqué qu'avec l'azélastine mais peut persister ; information et rinçage buccal.</w:t>
      </w:r>
    </w:p>
    <w:p>
      <w:pPr>
        <w:pStyle w:val="ListBullet"/>
      </w:pPr>
      <w:r>
        <w:t>Piège de l'interaction avec les inhibiteurs du CYP3A4 et CYP2D6.</w:t>
      </w:r>
    </w:p>
    <w:p>
      <w:pPr>
        <w:pStyle w:val="ListBullet"/>
      </w:pPr>
      <w:r>
        <w:t>Règle d'or : « Olopatadine nasale = alternative à l'azélastine avec meilleur profil de tolérance (moins de goût amer, moins de somnolence), en Algérie non commercialisé en forme nasale — orienter vers alternatives ».</w:t>
      </w:r>
    </w:p>
    <w:p>
      <w:pPr>
        <w:pStyle w:val="ListBullet"/>
      </w:pPr>
      <w:r>
        <w:t>Préparation et Conservation : Flacon fermé, à température ambiante (≤ 25 °C), à l'abri de la lumière. Jeter 2 mois après la première utilisation.</w:t>
      </w:r>
    </w:p>
    <w:p>
      <w:pPr>
        <w:pStyle w:val="ListBullet"/>
      </w:pPr>
      <w:r>
        <w:t>Piège de l'association avec un corticoïde nasal : l'association est possible et synergique, mais impose de respecter un intervalle d'au moins 10 minutes entre les deux pulvérisations.</w:t>
      </w:r>
    </w:p>
    <w:p>
      <w:pPr>
        <w:pStyle w:val="Heading2"/>
      </w:pPr>
      <w:r>
        <w:t>133.4 Tableau Comparatif Synoptique des Corticoïdes et Antihistaminiques Nasaux</w:t>
      </w:r>
    </w:p>
    <w:p>
      <w:r>
        <w:t>Le tableau suivant récapitule les caractéristiques comparées des six DCIs traitées dans ce chapitre, en vue de faciliter l'arbitrage thérapeutique en pratique clinique et officinale.</w:t>
      </w:r>
    </w:p>
    <w:tbl>
      <w:tblPr>
        <w:tblStyle w:val="LightGrid-Accent1"/>
        <w:tblW w:type="auto" w:w="0"/>
        <w:tblLook w:firstColumn="1" w:firstRow="1" w:lastColumn="0" w:lastRow="0" w:noHBand="0" w:noVBand="1" w:val="04A0"/>
      </w:tblPr>
      <w:tblGrid>
        <w:gridCol w:w="1169"/>
        <w:gridCol w:w="1169"/>
        <w:gridCol w:w="1169"/>
        <w:gridCol w:w="1169"/>
        <w:gridCol w:w="1169"/>
        <w:gridCol w:w="1169"/>
        <w:gridCol w:w="1169"/>
        <w:gridCol w:w="1169"/>
      </w:tblGrid>
      <w:tr>
        <w:tc>
          <w:tcPr>
            <w:tcW w:type="dxa" w:w="1169"/>
          </w:tcPr>
          <w:p>
            <w:r>
              <w:rPr>
                <w:b/>
                <w:sz w:val="20"/>
              </w:rPr>
              <w:t>Caractéristique</w:t>
            </w:r>
          </w:p>
        </w:tc>
        <w:tc>
          <w:tcPr>
            <w:tcW w:type="dxa" w:w="1169"/>
          </w:tcPr>
          <w:p>
            <w:r>
              <w:rPr>
                <w:b/>
                <w:sz w:val="20"/>
              </w:rPr>
              <w:t>Mométasone (furoate)</w:t>
            </w:r>
          </w:p>
        </w:tc>
        <w:tc>
          <w:tcPr>
            <w:tcW w:type="dxa" w:w="1169"/>
          </w:tcPr>
          <w:p>
            <w:r>
              <w:rPr>
                <w:b/>
                <w:sz w:val="20"/>
              </w:rPr>
              <w:t>Fluticasone propionate</w:t>
            </w:r>
          </w:p>
        </w:tc>
        <w:tc>
          <w:tcPr>
            <w:tcW w:type="dxa" w:w="1169"/>
          </w:tcPr>
          <w:p>
            <w:r>
              <w:rPr>
                <w:b/>
                <w:sz w:val="20"/>
              </w:rPr>
              <w:t>Fluticasone furoate</w:t>
            </w:r>
          </w:p>
        </w:tc>
        <w:tc>
          <w:tcPr>
            <w:tcW w:type="dxa" w:w="1169"/>
          </w:tcPr>
          <w:p>
            <w:r>
              <w:rPr>
                <w:b/>
                <w:sz w:val="20"/>
              </w:rPr>
              <w:t>Beclométasone (dipropionate)</w:t>
            </w:r>
          </w:p>
        </w:tc>
        <w:tc>
          <w:tcPr>
            <w:tcW w:type="dxa" w:w="1169"/>
          </w:tcPr>
          <w:p>
            <w:r>
              <w:rPr>
                <w:b/>
                <w:sz w:val="20"/>
              </w:rPr>
              <w:t>Budésonide</w:t>
            </w:r>
          </w:p>
        </w:tc>
        <w:tc>
          <w:tcPr>
            <w:tcW w:type="dxa" w:w="1169"/>
          </w:tcPr>
          <w:p>
            <w:r>
              <w:rPr>
                <w:b/>
                <w:sz w:val="20"/>
              </w:rPr>
              <w:t>Azélastine (nasale)</w:t>
            </w:r>
          </w:p>
        </w:tc>
        <w:tc>
          <w:tcPr>
            <w:tcW w:type="dxa" w:w="1169"/>
          </w:tcPr>
          <w:p>
            <w:r>
              <w:rPr>
                <w:b/>
                <w:sz w:val="20"/>
              </w:rPr>
              <w:t>Olopatadine (nasale)</w:t>
            </w:r>
          </w:p>
        </w:tc>
      </w:tr>
      <w:tr>
        <w:tc>
          <w:tcPr>
            <w:tcW w:type="dxa" w:w="1169"/>
          </w:tcPr>
          <w:p>
            <w:r>
              <w:rPr>
                <w:sz w:val="20"/>
              </w:rPr>
              <w:t>**Classe**</w:t>
            </w:r>
          </w:p>
        </w:tc>
        <w:tc>
          <w:tcPr>
            <w:tcW w:type="dxa" w:w="1169"/>
          </w:tcPr>
          <w:p>
            <w:r>
              <w:rPr>
                <w:sz w:val="20"/>
              </w:rPr>
              <w:t>Corticoïde nasal</w:t>
            </w:r>
          </w:p>
        </w:tc>
        <w:tc>
          <w:tcPr>
            <w:tcW w:type="dxa" w:w="1169"/>
          </w:tcPr>
          <w:p>
            <w:r>
              <w:rPr>
                <w:sz w:val="20"/>
              </w:rPr>
              <w:t>Corticoïde nasal</w:t>
            </w:r>
          </w:p>
        </w:tc>
        <w:tc>
          <w:tcPr>
            <w:tcW w:type="dxa" w:w="1169"/>
          </w:tcPr>
          <w:p>
            <w:r>
              <w:rPr>
                <w:sz w:val="20"/>
              </w:rPr>
              <w:t>Corticoïde nasal</w:t>
            </w:r>
          </w:p>
        </w:tc>
        <w:tc>
          <w:tcPr>
            <w:tcW w:type="dxa" w:w="1169"/>
          </w:tcPr>
          <w:p>
            <w:r>
              <w:rPr>
                <w:sz w:val="20"/>
              </w:rPr>
              <w:t>Corticoïde nasal</w:t>
            </w:r>
          </w:p>
        </w:tc>
        <w:tc>
          <w:tcPr>
            <w:tcW w:type="dxa" w:w="1169"/>
          </w:tcPr>
          <w:p>
            <w:r>
              <w:rPr>
                <w:sz w:val="20"/>
              </w:rPr>
              <w:t>Corticoïde nasal</w:t>
            </w:r>
          </w:p>
        </w:tc>
        <w:tc>
          <w:tcPr>
            <w:tcW w:type="dxa" w:w="1169"/>
          </w:tcPr>
          <w:p>
            <w:r>
              <w:rPr>
                <w:sz w:val="20"/>
              </w:rPr>
              <w:t>Antihistaminique H1 nasal</w:t>
            </w:r>
          </w:p>
        </w:tc>
        <w:tc>
          <w:tcPr>
            <w:tcW w:type="dxa" w:w="1169"/>
          </w:tcPr>
          <w:p>
            <w:r>
              <w:rPr>
                <w:sz w:val="20"/>
              </w:rPr>
              <w:t>Antihistaminique H1 nasal</w:t>
            </w:r>
          </w:p>
        </w:tc>
      </w:tr>
      <w:tr>
        <w:tc>
          <w:tcPr>
            <w:tcW w:type="dxa" w:w="1169"/>
          </w:tcPr>
          <w:p>
            <w:r>
              <w:rPr>
                <w:sz w:val="20"/>
              </w:rPr>
              <w:t>**Génération**</w:t>
            </w:r>
          </w:p>
        </w:tc>
        <w:tc>
          <w:tcPr>
            <w:tcW w:type="dxa" w:w="1169"/>
          </w:tcPr>
          <w:p>
            <w:r>
              <w:rPr>
                <w:sz w:val="20"/>
              </w:rPr>
              <w:t>3e génération</w:t>
            </w:r>
          </w:p>
        </w:tc>
        <w:tc>
          <w:tcPr>
            <w:tcW w:type="dxa" w:w="1169"/>
          </w:tcPr>
          <w:p>
            <w:r>
              <w:rPr>
                <w:sz w:val="20"/>
              </w:rPr>
              <w:t>3e génération</w:t>
            </w:r>
          </w:p>
        </w:tc>
        <w:tc>
          <w:tcPr>
            <w:tcW w:type="dxa" w:w="1169"/>
          </w:tcPr>
          <w:p>
            <w:r>
              <w:rPr>
                <w:sz w:val="20"/>
              </w:rPr>
              <w:t>3e génération (récente)</w:t>
            </w:r>
          </w:p>
        </w:tc>
        <w:tc>
          <w:tcPr>
            <w:tcW w:type="dxa" w:w="1169"/>
          </w:tcPr>
          <w:p>
            <w:r>
              <w:rPr>
                <w:sz w:val="20"/>
              </w:rPr>
              <w:t>1re génération</w:t>
            </w:r>
          </w:p>
        </w:tc>
        <w:tc>
          <w:tcPr>
            <w:tcW w:type="dxa" w:w="1169"/>
          </w:tcPr>
          <w:p>
            <w:r>
              <w:rPr>
                <w:sz w:val="20"/>
              </w:rPr>
              <w:t>2e génération</w:t>
            </w:r>
          </w:p>
        </w:tc>
        <w:tc>
          <w:tcPr>
            <w:tcW w:type="dxa" w:w="1169"/>
          </w:tcPr>
          <w:p>
            <w:r>
              <w:rPr>
                <w:sz w:val="20"/>
              </w:rPr>
              <w:t>2e génération</w:t>
            </w:r>
          </w:p>
        </w:tc>
        <w:tc>
          <w:tcPr>
            <w:tcW w:type="dxa" w:w="1169"/>
          </w:tcPr>
          <w:p>
            <w:r>
              <w:rPr>
                <w:sz w:val="20"/>
              </w:rPr>
              <w:t>2e génération</w:t>
            </w:r>
          </w:p>
        </w:tc>
      </w:tr>
      <w:tr>
        <w:tc>
          <w:tcPr>
            <w:tcW w:type="dxa" w:w="1169"/>
          </w:tcPr>
          <w:p>
            <w:r>
              <w:rPr>
                <w:sz w:val="20"/>
              </w:rPr>
              <w:t>**Substitution chimique**</w:t>
            </w:r>
          </w:p>
        </w:tc>
        <w:tc>
          <w:tcPr>
            <w:tcW w:type="dxa" w:w="1169"/>
          </w:tcPr>
          <w:p>
            <w:r>
              <w:rPr>
                <w:sz w:val="20"/>
              </w:rPr>
              <w:t>9α-chloro, 21-furoate</w:t>
            </w:r>
          </w:p>
        </w:tc>
        <w:tc>
          <w:tcPr>
            <w:tcW w:type="dxa" w:w="1169"/>
          </w:tcPr>
          <w:p>
            <w:r>
              <w:rPr>
                <w:sz w:val="20"/>
              </w:rPr>
              <w:t>9α-fluoro, 17α-propionate</w:t>
            </w:r>
          </w:p>
        </w:tc>
        <w:tc>
          <w:tcPr>
            <w:tcW w:type="dxa" w:w="1169"/>
          </w:tcPr>
          <w:p>
            <w:r>
              <w:rPr>
                <w:sz w:val="20"/>
              </w:rPr>
              <w:t>9α-fluoro, 17α-furoate</w:t>
            </w:r>
          </w:p>
        </w:tc>
        <w:tc>
          <w:tcPr>
            <w:tcW w:type="dxa" w:w="1169"/>
          </w:tcPr>
          <w:p>
            <w:r>
              <w:rPr>
                <w:sz w:val="20"/>
              </w:rPr>
              <w:t>9α-chloro, 17α,21-dipropionate</w:t>
            </w:r>
          </w:p>
        </w:tc>
        <w:tc>
          <w:tcPr>
            <w:tcW w:type="dxa" w:w="1169"/>
          </w:tcPr>
          <w:p>
            <w:r>
              <w:rPr>
                <w:sz w:val="20"/>
              </w:rPr>
              <w:t>Non fluoré, acétal</w:t>
            </w:r>
          </w:p>
        </w:tc>
        <w:tc>
          <w:tcPr>
            <w:tcW w:type="dxa" w:w="1169"/>
          </w:tcPr>
          <w:p>
            <w:r>
              <w:rPr>
                <w:sz w:val="20"/>
              </w:rPr>
              <w:t>Pipéridine-phthalazinone</w:t>
            </w:r>
          </w:p>
        </w:tc>
        <w:tc>
          <w:tcPr>
            <w:tcW w:type="dxa" w:w="1169"/>
          </w:tcPr>
          <w:p>
            <w:r>
              <w:rPr>
                <w:sz w:val="20"/>
              </w:rPr>
              <w:t>Benzocycloheptapyridine</w:t>
            </w:r>
          </w:p>
        </w:tc>
      </w:tr>
      <w:tr>
        <w:tc>
          <w:tcPr>
            <w:tcW w:type="dxa" w:w="1169"/>
          </w:tcPr>
          <w:p>
            <w:r>
              <w:rPr>
                <w:sz w:val="20"/>
              </w:rPr>
              <w:t>**Affinité GR/H1**</w:t>
            </w:r>
          </w:p>
        </w:tc>
        <w:tc>
          <w:tcPr>
            <w:tcW w:type="dxa" w:w="1169"/>
          </w:tcPr>
          <w:p>
            <w:r>
              <w:rPr>
                <w:sz w:val="20"/>
              </w:rPr>
              <w:t>Kd ≈ 0,4 nM</w:t>
            </w:r>
          </w:p>
        </w:tc>
        <w:tc>
          <w:tcPr>
            <w:tcW w:type="dxa" w:w="1169"/>
          </w:tcPr>
          <w:p>
            <w:r>
              <w:rPr>
                <w:sz w:val="20"/>
              </w:rPr>
              <w:t>Kd ≈ 0,7 nM</w:t>
            </w:r>
          </w:p>
        </w:tc>
        <w:tc>
          <w:tcPr>
            <w:tcW w:type="dxa" w:w="1169"/>
          </w:tcPr>
          <w:p>
            <w:r>
              <w:rPr>
                <w:sz w:val="20"/>
              </w:rPr>
              <w:t>Kd ≈ 0,3 nM</w:t>
            </w:r>
          </w:p>
        </w:tc>
        <w:tc>
          <w:tcPr>
            <w:tcW w:type="dxa" w:w="1169"/>
          </w:tcPr>
          <w:p>
            <w:r>
              <w:rPr>
                <w:sz w:val="20"/>
              </w:rPr>
              <w:t>Kd ≈ 1,5 nM</w:t>
            </w:r>
          </w:p>
        </w:tc>
        <w:tc>
          <w:tcPr>
            <w:tcW w:type="dxa" w:w="1169"/>
          </w:tcPr>
          <w:p>
            <w:r>
              <w:rPr>
                <w:sz w:val="20"/>
              </w:rPr>
              <w:t>Kd ≈ 1,2 nM</w:t>
            </w:r>
          </w:p>
        </w:tc>
        <w:tc>
          <w:tcPr>
            <w:tcW w:type="dxa" w:w="1169"/>
          </w:tcPr>
          <w:p>
            <w:r>
              <w:rPr>
                <w:sz w:val="20"/>
              </w:rPr>
              <w:t>Kd ≈ 2,5 nM (H1)</w:t>
            </w:r>
          </w:p>
        </w:tc>
        <w:tc>
          <w:tcPr>
            <w:tcW w:type="dxa" w:w="1169"/>
          </w:tcPr>
          <w:p>
            <w:r>
              <w:rPr>
                <w:sz w:val="20"/>
              </w:rPr>
              <w:t>Kd ≈ 1,5 nM (H1)</w:t>
            </w:r>
          </w:p>
        </w:tc>
      </w:tr>
      <w:tr>
        <w:tc>
          <w:tcPr>
            <w:tcW w:type="dxa" w:w="1169"/>
          </w:tcPr>
          <w:p>
            <w:r>
              <w:rPr>
                <w:sz w:val="20"/>
              </w:rPr>
              <w:t>**Biodisponibilité systémique orale**</w:t>
            </w:r>
          </w:p>
        </w:tc>
        <w:tc>
          <w:tcPr>
            <w:tcW w:type="dxa" w:w="1169"/>
          </w:tcPr>
          <w:p>
            <w:r>
              <w:rPr>
                <w:sz w:val="20"/>
              </w:rPr>
              <w:t>&lt; 1 %</w:t>
            </w:r>
          </w:p>
        </w:tc>
        <w:tc>
          <w:tcPr>
            <w:tcW w:type="dxa" w:w="1169"/>
          </w:tcPr>
          <w:p>
            <w:r>
              <w:rPr>
                <w:sz w:val="20"/>
              </w:rPr>
              <w:t>&lt; 1 %</w:t>
            </w:r>
          </w:p>
        </w:tc>
        <w:tc>
          <w:tcPr>
            <w:tcW w:type="dxa" w:w="1169"/>
          </w:tcPr>
          <w:p>
            <w:r>
              <w:rPr>
                <w:sz w:val="20"/>
              </w:rPr>
              <w:t>&lt; 0,1 %</w:t>
            </w:r>
          </w:p>
        </w:tc>
        <w:tc>
          <w:tcPr>
            <w:tcW w:type="dxa" w:w="1169"/>
          </w:tcPr>
          <w:p>
            <w:r>
              <w:rPr>
                <w:sz w:val="20"/>
              </w:rPr>
              <w:t>20 %</w:t>
            </w:r>
          </w:p>
        </w:tc>
        <w:tc>
          <w:tcPr>
            <w:tcW w:type="dxa" w:w="1169"/>
          </w:tcPr>
          <w:p>
            <w:r>
              <w:rPr>
                <w:sz w:val="20"/>
              </w:rPr>
              <w:t>10-15 %</w:t>
            </w:r>
          </w:p>
        </w:tc>
        <w:tc>
          <w:tcPr>
            <w:tcW w:type="dxa" w:w="1169"/>
          </w:tcPr>
          <w:p>
            <w:r>
              <w:rPr>
                <w:sz w:val="20"/>
              </w:rPr>
              <w:t>40-80 %</w:t>
            </w:r>
          </w:p>
        </w:tc>
        <w:tc>
          <w:tcPr>
            <w:tcW w:type="dxa" w:w="1169"/>
          </w:tcPr>
          <w:p>
            <w:r>
              <w:rPr>
                <w:sz w:val="20"/>
              </w:rPr>
              <w:t>60 %</w:t>
            </w:r>
          </w:p>
        </w:tc>
      </w:tr>
      <w:tr>
        <w:tc>
          <w:tcPr>
            <w:tcW w:type="dxa" w:w="1169"/>
          </w:tcPr>
          <w:p>
            <w:r>
              <w:rPr>
                <w:sz w:val="20"/>
              </w:rPr>
              <w:t>**Biodisponibilité systémique nasale**</w:t>
            </w:r>
          </w:p>
        </w:tc>
        <w:tc>
          <w:tcPr>
            <w:tcW w:type="dxa" w:w="1169"/>
          </w:tcPr>
          <w:p>
            <w:r>
              <w:rPr>
                <w:sz w:val="20"/>
              </w:rPr>
              <w:t>&lt; 0,1 %</w:t>
            </w:r>
          </w:p>
        </w:tc>
        <w:tc>
          <w:tcPr>
            <w:tcW w:type="dxa" w:w="1169"/>
          </w:tcPr>
          <w:p>
            <w:r>
              <w:rPr>
                <w:sz w:val="20"/>
              </w:rPr>
              <w:t>&lt; 0,5 %</w:t>
            </w:r>
          </w:p>
        </w:tc>
        <w:tc>
          <w:tcPr>
            <w:tcW w:type="dxa" w:w="1169"/>
          </w:tcPr>
          <w:p>
            <w:r>
              <w:rPr>
                <w:sz w:val="20"/>
              </w:rPr>
              <w:t>&lt; 0,1 %</w:t>
            </w:r>
          </w:p>
        </w:tc>
        <w:tc>
          <w:tcPr>
            <w:tcW w:type="dxa" w:w="1169"/>
          </w:tcPr>
          <w:p>
            <w:r>
              <w:rPr>
                <w:sz w:val="20"/>
              </w:rPr>
              <w:t>10-20 %</w:t>
            </w:r>
          </w:p>
        </w:tc>
        <w:tc>
          <w:tcPr>
            <w:tcW w:type="dxa" w:w="1169"/>
          </w:tcPr>
          <w:p>
            <w:r>
              <w:rPr>
                <w:sz w:val="20"/>
              </w:rPr>
              <w:t>30 %</w:t>
            </w:r>
          </w:p>
        </w:tc>
        <w:tc>
          <w:tcPr>
            <w:tcW w:type="dxa" w:w="1169"/>
          </w:tcPr>
          <w:p>
            <w:r>
              <w:rPr>
                <w:sz w:val="20"/>
              </w:rPr>
              <w:t>Variable</w:t>
            </w:r>
          </w:p>
        </w:tc>
        <w:tc>
          <w:tcPr>
            <w:tcW w:type="dxa" w:w="1169"/>
          </w:tcPr>
          <w:p>
            <w:r>
              <w:rPr>
                <w:sz w:val="20"/>
              </w:rPr>
              <w:t>Variable</w:t>
            </w:r>
          </w:p>
        </w:tc>
      </w:tr>
      <w:tr>
        <w:tc>
          <w:tcPr>
            <w:tcW w:type="dxa" w:w="1169"/>
          </w:tcPr>
          <w:p>
            <w:r>
              <w:rPr>
                <w:sz w:val="20"/>
              </w:rPr>
              <w:t>**Délai d'action**</w:t>
            </w:r>
          </w:p>
        </w:tc>
        <w:tc>
          <w:tcPr>
            <w:tcW w:type="dxa" w:w="1169"/>
          </w:tcPr>
          <w:p>
            <w:r>
              <w:rPr>
                <w:sz w:val="20"/>
              </w:rPr>
              <w:t>12-72 h</w:t>
            </w:r>
          </w:p>
        </w:tc>
        <w:tc>
          <w:tcPr>
            <w:tcW w:type="dxa" w:w="1169"/>
          </w:tcPr>
          <w:p>
            <w:r>
              <w:rPr>
                <w:sz w:val="20"/>
              </w:rPr>
              <w:t>12-72 h</w:t>
            </w:r>
          </w:p>
        </w:tc>
        <w:tc>
          <w:tcPr>
            <w:tcW w:type="dxa" w:w="1169"/>
          </w:tcPr>
          <w:p>
            <w:r>
              <w:rPr>
                <w:sz w:val="20"/>
              </w:rPr>
              <w:t>12-72 h</w:t>
            </w:r>
          </w:p>
        </w:tc>
        <w:tc>
          <w:tcPr>
            <w:tcW w:type="dxa" w:w="1169"/>
          </w:tcPr>
          <w:p>
            <w:r>
              <w:rPr>
                <w:sz w:val="20"/>
              </w:rPr>
              <w:t>12-72 h</w:t>
            </w:r>
          </w:p>
        </w:tc>
        <w:tc>
          <w:tcPr>
            <w:tcW w:type="dxa" w:w="1169"/>
          </w:tcPr>
          <w:p>
            <w:r>
              <w:rPr>
                <w:sz w:val="20"/>
              </w:rPr>
              <w:t>12-72 h</w:t>
            </w:r>
          </w:p>
        </w:tc>
        <w:tc>
          <w:tcPr>
            <w:tcW w:type="dxa" w:w="1169"/>
          </w:tcPr>
          <w:p>
            <w:r>
              <w:rPr>
                <w:sz w:val="20"/>
              </w:rPr>
              <w:t>15-30 min</w:t>
            </w:r>
          </w:p>
        </w:tc>
        <w:tc>
          <w:tcPr>
            <w:tcW w:type="dxa" w:w="1169"/>
          </w:tcPr>
          <w:p>
            <w:r>
              <w:rPr>
                <w:sz w:val="20"/>
              </w:rPr>
              <w:t>15-30 min</w:t>
            </w:r>
          </w:p>
        </w:tc>
      </w:tr>
      <w:tr>
        <w:tc>
          <w:tcPr>
            <w:tcW w:type="dxa" w:w="1169"/>
          </w:tcPr>
          <w:p>
            <w:r>
              <w:rPr>
                <w:sz w:val="20"/>
              </w:rPr>
              <w:t>**Effet maximal**</w:t>
            </w:r>
          </w:p>
        </w:tc>
        <w:tc>
          <w:tcPr>
            <w:tcW w:type="dxa" w:w="1169"/>
          </w:tcPr>
          <w:p>
            <w:r>
              <w:rPr>
                <w:sz w:val="20"/>
              </w:rPr>
              <w:t>2-4 semaines</w:t>
            </w:r>
          </w:p>
        </w:tc>
        <w:tc>
          <w:tcPr>
            <w:tcW w:type="dxa" w:w="1169"/>
          </w:tcPr>
          <w:p>
            <w:r>
              <w:rPr>
                <w:sz w:val="20"/>
              </w:rPr>
              <w:t>2-4 semaines</w:t>
            </w:r>
          </w:p>
        </w:tc>
        <w:tc>
          <w:tcPr>
            <w:tcW w:type="dxa" w:w="1169"/>
          </w:tcPr>
          <w:p>
            <w:r>
              <w:rPr>
                <w:sz w:val="20"/>
              </w:rPr>
              <w:t>2-4 semaines</w:t>
            </w:r>
          </w:p>
        </w:tc>
        <w:tc>
          <w:tcPr>
            <w:tcW w:type="dxa" w:w="1169"/>
          </w:tcPr>
          <w:p>
            <w:r>
              <w:rPr>
                <w:sz w:val="20"/>
              </w:rPr>
              <w:t>2-4 semaines</w:t>
            </w:r>
          </w:p>
        </w:tc>
        <w:tc>
          <w:tcPr>
            <w:tcW w:type="dxa" w:w="1169"/>
          </w:tcPr>
          <w:p>
            <w:r>
              <w:rPr>
                <w:sz w:val="20"/>
              </w:rPr>
              <w:t>2-4 semaines</w:t>
            </w:r>
          </w:p>
        </w:tc>
        <w:tc>
          <w:tcPr>
            <w:tcW w:type="dxa" w:w="1169"/>
          </w:tcPr>
          <w:p>
            <w:r>
              <w:rPr>
                <w:sz w:val="20"/>
              </w:rPr>
              <w:t>1-2 heures</w:t>
            </w:r>
          </w:p>
        </w:tc>
        <w:tc>
          <w:tcPr>
            <w:tcW w:type="dxa" w:w="1169"/>
          </w:tcPr>
          <w:p>
            <w:r>
              <w:rPr>
                <w:sz w:val="20"/>
              </w:rPr>
              <w:t>1-2 heures</w:t>
            </w:r>
          </w:p>
        </w:tc>
      </w:tr>
      <w:tr>
        <w:tc>
          <w:tcPr>
            <w:tcW w:type="dxa" w:w="1169"/>
          </w:tcPr>
          <w:p>
            <w:r>
              <w:rPr>
                <w:sz w:val="20"/>
              </w:rPr>
              <w:t>**Durée d'action**</w:t>
            </w:r>
          </w:p>
        </w:tc>
        <w:tc>
          <w:tcPr>
            <w:tcW w:type="dxa" w:w="1169"/>
          </w:tcPr>
          <w:p>
            <w:r>
              <w:rPr>
                <w:sz w:val="20"/>
              </w:rPr>
              <w:t>24 h</w:t>
            </w:r>
          </w:p>
        </w:tc>
        <w:tc>
          <w:tcPr>
            <w:tcW w:type="dxa" w:w="1169"/>
          </w:tcPr>
          <w:p>
            <w:r>
              <w:rPr>
                <w:sz w:val="20"/>
              </w:rPr>
              <w:t>24 h</w:t>
            </w:r>
          </w:p>
        </w:tc>
        <w:tc>
          <w:tcPr>
            <w:tcW w:type="dxa" w:w="1169"/>
          </w:tcPr>
          <w:p>
            <w:r>
              <w:rPr>
                <w:sz w:val="20"/>
              </w:rPr>
              <w:t>24 h</w:t>
            </w:r>
          </w:p>
        </w:tc>
        <w:tc>
          <w:tcPr>
            <w:tcW w:type="dxa" w:w="1169"/>
          </w:tcPr>
          <w:p>
            <w:r>
              <w:rPr>
                <w:sz w:val="20"/>
              </w:rPr>
              <w:t>12 h</w:t>
            </w:r>
          </w:p>
        </w:tc>
        <w:tc>
          <w:tcPr>
            <w:tcW w:type="dxa" w:w="1169"/>
          </w:tcPr>
          <w:p>
            <w:r>
              <w:rPr>
                <w:sz w:val="20"/>
              </w:rPr>
              <w:t>12-24 h</w:t>
            </w:r>
          </w:p>
        </w:tc>
        <w:tc>
          <w:tcPr>
            <w:tcW w:type="dxa" w:w="1169"/>
          </w:tcPr>
          <w:p>
            <w:r>
              <w:rPr>
                <w:sz w:val="20"/>
              </w:rPr>
              <w:t>12 h</w:t>
            </w:r>
          </w:p>
        </w:tc>
        <w:tc>
          <w:tcPr>
            <w:tcW w:type="dxa" w:w="1169"/>
          </w:tcPr>
          <w:p>
            <w:r>
              <w:rPr>
                <w:sz w:val="20"/>
              </w:rPr>
              <w:t>12 h</w:t>
            </w:r>
          </w:p>
        </w:tc>
      </w:tr>
      <w:tr>
        <w:tc>
          <w:tcPr>
            <w:tcW w:type="dxa" w:w="1169"/>
          </w:tcPr>
          <w:p>
            <w:r>
              <w:rPr>
                <w:sz w:val="20"/>
              </w:rPr>
              <w:t>**Posologie adulte**</w:t>
            </w:r>
          </w:p>
        </w:tc>
        <w:tc>
          <w:tcPr>
            <w:tcW w:type="dxa" w:w="1169"/>
          </w:tcPr>
          <w:p>
            <w:r>
              <w:rPr>
                <w:sz w:val="20"/>
              </w:rPr>
              <w:t>200 µg/jour en 1 prise</w:t>
            </w:r>
          </w:p>
        </w:tc>
        <w:tc>
          <w:tcPr>
            <w:tcW w:type="dxa" w:w="1169"/>
          </w:tcPr>
          <w:p>
            <w:r>
              <w:rPr>
                <w:sz w:val="20"/>
              </w:rPr>
              <w:t>200 µg/jour en 1-2 prises</w:t>
            </w:r>
          </w:p>
        </w:tc>
        <w:tc>
          <w:tcPr>
            <w:tcW w:type="dxa" w:w="1169"/>
          </w:tcPr>
          <w:p>
            <w:r>
              <w:rPr>
                <w:sz w:val="20"/>
              </w:rPr>
              <w:t>110 µg/jour en 1 prise</w:t>
            </w:r>
          </w:p>
        </w:tc>
        <w:tc>
          <w:tcPr>
            <w:tcW w:type="dxa" w:w="1169"/>
          </w:tcPr>
          <w:p>
            <w:r>
              <w:rPr>
                <w:sz w:val="20"/>
              </w:rPr>
              <w:t>200-400 µg/jour en 2 prises</w:t>
            </w:r>
          </w:p>
        </w:tc>
        <w:tc>
          <w:tcPr>
            <w:tcW w:type="dxa" w:w="1169"/>
          </w:tcPr>
          <w:p>
            <w:r>
              <w:rPr>
                <w:sz w:val="20"/>
              </w:rPr>
              <w:t>128-256 µg/jour en 1-2 prises</w:t>
            </w:r>
          </w:p>
        </w:tc>
        <w:tc>
          <w:tcPr>
            <w:tcW w:type="dxa" w:w="1169"/>
          </w:tcPr>
          <w:p>
            <w:r>
              <w:rPr>
                <w:sz w:val="20"/>
              </w:rPr>
              <w:t>540 µg/jour en 2 prises</w:t>
            </w:r>
          </w:p>
        </w:tc>
        <w:tc>
          <w:tcPr>
            <w:tcW w:type="dxa" w:w="1169"/>
          </w:tcPr>
          <w:p>
            <w:r>
              <w:rPr>
                <w:sz w:val="20"/>
              </w:rPr>
              <w:t>1330 µg/jour en 2 prises</w:t>
            </w:r>
          </w:p>
        </w:tc>
      </w:tr>
      <w:tr>
        <w:tc>
          <w:tcPr>
            <w:tcW w:type="dxa" w:w="1169"/>
          </w:tcPr>
          <w:p>
            <w:r>
              <w:rPr>
                <w:sz w:val="20"/>
              </w:rPr>
              <w:t>**Posologie enfant**</w:t>
            </w:r>
          </w:p>
        </w:tc>
        <w:tc>
          <w:tcPr>
            <w:tcW w:type="dxa" w:w="1169"/>
          </w:tcPr>
          <w:p>
            <w:r>
              <w:rPr>
                <w:sz w:val="20"/>
              </w:rPr>
              <w:t>50-100 µg/jour dès 3 ans</w:t>
            </w:r>
          </w:p>
        </w:tc>
        <w:tc>
          <w:tcPr>
            <w:tcW w:type="dxa" w:w="1169"/>
          </w:tcPr>
          <w:p>
            <w:r>
              <w:rPr>
                <w:sz w:val="20"/>
              </w:rPr>
              <w:t>100 µg/jour dès 4 ans</w:t>
            </w:r>
          </w:p>
        </w:tc>
        <w:tc>
          <w:tcPr>
            <w:tcW w:type="dxa" w:w="1169"/>
          </w:tcPr>
          <w:p>
            <w:r>
              <w:rPr>
                <w:sz w:val="20"/>
              </w:rPr>
              <w:t>55 µg/jour dès 2 ans</w:t>
            </w:r>
          </w:p>
        </w:tc>
        <w:tc>
          <w:tcPr>
            <w:tcW w:type="dxa" w:w="1169"/>
          </w:tcPr>
          <w:p>
            <w:r>
              <w:rPr>
                <w:sz w:val="20"/>
              </w:rPr>
              <w:t>100-200 µg/jour dès 6 ans</w:t>
            </w:r>
          </w:p>
        </w:tc>
        <w:tc>
          <w:tcPr>
            <w:tcW w:type="dxa" w:w="1169"/>
          </w:tcPr>
          <w:p>
            <w:r>
              <w:rPr>
                <w:sz w:val="20"/>
              </w:rPr>
              <w:t>64-128 µg/jour dès 6 ans</w:t>
            </w:r>
          </w:p>
        </w:tc>
        <w:tc>
          <w:tcPr>
            <w:tcW w:type="dxa" w:w="1169"/>
          </w:tcPr>
          <w:p>
            <w:r>
              <w:rPr>
                <w:sz w:val="20"/>
              </w:rPr>
              <w:t>274 µg/jour dès 5-6 ans</w:t>
            </w:r>
          </w:p>
        </w:tc>
        <w:tc>
          <w:tcPr>
            <w:tcW w:type="dxa" w:w="1169"/>
          </w:tcPr>
          <w:p>
            <w:r>
              <w:rPr>
                <w:sz w:val="20"/>
              </w:rPr>
              <w:t>665 µg/jour dès 6 ans</w:t>
            </w:r>
          </w:p>
        </w:tc>
      </w:tr>
      <w:tr>
        <w:tc>
          <w:tcPr>
            <w:tcW w:type="dxa" w:w="1169"/>
          </w:tcPr>
          <w:p>
            <w:r>
              <w:rPr>
                <w:sz w:val="20"/>
              </w:rPr>
              <w:t>**Grossesse (CRAT)**</w:t>
            </w:r>
          </w:p>
        </w:tc>
        <w:tc>
          <w:tcPr>
            <w:tcW w:type="dxa" w:w="1169"/>
          </w:tcPr>
          <w:p>
            <w:r>
              <w:rPr>
                <w:sz w:val="20"/>
              </w:rPr>
              <w:t>Utilisable quel que soit le terme</w:t>
            </w:r>
          </w:p>
        </w:tc>
        <w:tc>
          <w:tcPr>
            <w:tcW w:type="dxa" w:w="1169"/>
          </w:tcPr>
          <w:p>
            <w:r>
              <w:rPr>
                <w:sz w:val="20"/>
              </w:rPr>
              <w:t>Utilisable quel que soit le terme</w:t>
            </w:r>
          </w:p>
        </w:tc>
        <w:tc>
          <w:tcPr>
            <w:tcW w:type="dxa" w:w="1169"/>
          </w:tcPr>
          <w:p>
            <w:r>
              <w:rPr>
                <w:sz w:val="20"/>
              </w:rPr>
              <w:t>Utilisable quel que soit le terme</w:t>
            </w:r>
          </w:p>
        </w:tc>
        <w:tc>
          <w:tcPr>
            <w:tcW w:type="dxa" w:w="1169"/>
          </w:tcPr>
          <w:p>
            <w:r>
              <w:rPr>
                <w:sz w:val="20"/>
              </w:rPr>
              <w:t>Utilisable (privilégier alternatives)</w:t>
            </w:r>
          </w:p>
        </w:tc>
        <w:tc>
          <w:tcPr>
            <w:tcW w:type="dxa" w:w="1169"/>
          </w:tcPr>
          <w:p>
            <w:r>
              <w:rPr>
                <w:sz w:val="20"/>
              </w:rPr>
              <w:t>Utilisable (recul exceptionnel, FDA B)</w:t>
            </w:r>
          </w:p>
        </w:tc>
        <w:tc>
          <w:tcPr>
            <w:tcW w:type="dxa" w:w="1169"/>
          </w:tcPr>
          <w:p>
            <w:r>
              <w:rPr>
                <w:sz w:val="20"/>
              </w:rPr>
              <w:t>À éviter par prudence</w:t>
            </w:r>
          </w:p>
        </w:tc>
        <w:tc>
          <w:tcPr>
            <w:tcW w:type="dxa" w:w="1169"/>
          </w:tcPr>
          <w:p>
            <w:r>
              <w:rPr>
                <w:sz w:val="20"/>
              </w:rPr>
              <w:t>À éviter par prudence</w:t>
            </w:r>
          </w:p>
        </w:tc>
      </w:tr>
      <w:tr>
        <w:tc>
          <w:tcPr>
            <w:tcW w:type="dxa" w:w="1169"/>
          </w:tcPr>
          <w:p>
            <w:r>
              <w:rPr>
                <w:sz w:val="20"/>
              </w:rPr>
              <w:t>**Allaitement**</w:t>
            </w:r>
          </w:p>
        </w:tc>
        <w:tc>
          <w:tcPr>
            <w:tcW w:type="dxa" w:w="1169"/>
          </w:tcPr>
          <w:p>
            <w:r>
              <w:rPr>
                <w:sz w:val="20"/>
              </w:rPr>
              <w:t>Compatible</w:t>
            </w:r>
          </w:p>
        </w:tc>
        <w:tc>
          <w:tcPr>
            <w:tcW w:type="dxa" w:w="1169"/>
          </w:tcPr>
          <w:p>
            <w:r>
              <w:rPr>
                <w:sz w:val="20"/>
              </w:rPr>
              <w:t>Compatible</w:t>
            </w:r>
          </w:p>
        </w:tc>
        <w:tc>
          <w:tcPr>
            <w:tcW w:type="dxa" w:w="1169"/>
          </w:tcPr>
          <w:p>
            <w:r>
              <w:rPr>
                <w:sz w:val="20"/>
              </w:rPr>
              <w:t>Compatible</w:t>
            </w:r>
          </w:p>
        </w:tc>
        <w:tc>
          <w:tcPr>
            <w:tcW w:type="dxa" w:w="1169"/>
          </w:tcPr>
          <w:p>
            <w:r>
              <w:rPr>
                <w:sz w:val="20"/>
              </w:rPr>
              <w:t>Compatible</w:t>
            </w:r>
          </w:p>
        </w:tc>
        <w:tc>
          <w:tcPr>
            <w:tcW w:type="dxa" w:w="1169"/>
          </w:tcPr>
          <w:p>
            <w:r>
              <w:rPr>
                <w:sz w:val="20"/>
              </w:rPr>
              <w:t>Compatible</w:t>
            </w:r>
          </w:p>
        </w:tc>
        <w:tc>
          <w:tcPr>
            <w:tcW w:type="dxa" w:w="1169"/>
          </w:tcPr>
          <w:p>
            <w:r>
              <w:rPr>
                <w:sz w:val="20"/>
              </w:rPr>
              <w:t>Déconseillé</w:t>
            </w:r>
          </w:p>
        </w:tc>
        <w:tc>
          <w:tcPr>
            <w:tcW w:type="dxa" w:w="1169"/>
          </w:tcPr>
          <w:p>
            <w:r>
              <w:rPr>
                <w:sz w:val="20"/>
              </w:rPr>
              <w:t>Déconseillé</w:t>
            </w:r>
          </w:p>
        </w:tc>
      </w:tr>
      <w:tr>
        <w:tc>
          <w:tcPr>
            <w:tcW w:type="dxa" w:w="1169"/>
          </w:tcPr>
          <w:p>
            <w:r>
              <w:rPr>
                <w:sz w:val="20"/>
              </w:rPr>
              <w:t>**Effet sur congestion nasale**</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w:t>
            </w:r>
          </w:p>
        </w:tc>
      </w:tr>
      <w:tr>
        <w:tc>
          <w:tcPr>
            <w:tcW w:type="dxa" w:w="1169"/>
          </w:tcPr>
          <w:p>
            <w:r>
              <w:rPr>
                <w:sz w:val="20"/>
              </w:rPr>
              <w:t>**Effet sur prurit/éternuements**</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w:t>
            </w:r>
          </w:p>
        </w:tc>
      </w:tr>
      <w:tr>
        <w:tc>
          <w:tcPr>
            <w:tcW w:type="dxa" w:w="1169"/>
          </w:tcPr>
          <w:p>
            <w:r>
              <w:rPr>
                <w:sz w:val="20"/>
              </w:rPr>
              <w:t>**Effet sur rhinorrhée**</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w:t>
            </w:r>
          </w:p>
        </w:tc>
      </w:tr>
      <w:tr>
        <w:tc>
          <w:tcPr>
            <w:tcW w:type="dxa" w:w="1169"/>
          </w:tcPr>
          <w:p>
            <w:r>
              <w:rPr>
                <w:sz w:val="20"/>
              </w:rPr>
              <w:t>**Effet sur symptômes oculaires**</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w:t>
            </w:r>
          </w:p>
        </w:tc>
      </w:tr>
      <w:tr>
        <w:tc>
          <w:tcPr>
            <w:tcW w:type="dxa" w:w="1169"/>
          </w:tcPr>
          <w:p>
            <w:r>
              <w:rPr>
                <w:sz w:val="20"/>
              </w:rPr>
              <w:t>**Somnolence**</w:t>
            </w:r>
          </w:p>
        </w:tc>
        <w:tc>
          <w:tcPr>
            <w:tcW w:type="dxa" w:w="1169"/>
          </w:tcPr>
          <w:p>
            <w:r>
              <w:rPr>
                <w:sz w:val="20"/>
              </w:rPr>
              <w:t>Non</w:t>
            </w:r>
          </w:p>
        </w:tc>
        <w:tc>
          <w:tcPr>
            <w:tcW w:type="dxa" w:w="1169"/>
          </w:tcPr>
          <w:p>
            <w:r>
              <w:rPr>
                <w:sz w:val="20"/>
              </w:rPr>
              <w:t>Non</w:t>
            </w:r>
          </w:p>
        </w:tc>
        <w:tc>
          <w:tcPr>
            <w:tcW w:type="dxa" w:w="1169"/>
          </w:tcPr>
          <w:p>
            <w:r>
              <w:rPr>
                <w:sz w:val="20"/>
              </w:rPr>
              <w:t>Non</w:t>
            </w:r>
          </w:p>
        </w:tc>
        <w:tc>
          <w:tcPr>
            <w:tcW w:type="dxa" w:w="1169"/>
          </w:tcPr>
          <w:p>
            <w:r>
              <w:rPr>
                <w:sz w:val="20"/>
              </w:rPr>
              <w:t>Non</w:t>
            </w:r>
          </w:p>
        </w:tc>
        <w:tc>
          <w:tcPr>
            <w:tcW w:type="dxa" w:w="1169"/>
          </w:tcPr>
          <w:p>
            <w:r>
              <w:rPr>
                <w:sz w:val="20"/>
              </w:rPr>
              <w:t>Non</w:t>
            </w:r>
          </w:p>
        </w:tc>
        <w:tc>
          <w:tcPr>
            <w:tcW w:type="dxa" w:w="1169"/>
          </w:tcPr>
          <w:p>
            <w:r>
              <w:rPr>
                <w:sz w:val="20"/>
              </w:rPr>
              <w:t>10-15 %</w:t>
            </w:r>
          </w:p>
        </w:tc>
        <w:tc>
          <w:tcPr>
            <w:tcW w:type="dxa" w:w="1169"/>
          </w:tcPr>
          <w:p>
            <w:r>
              <w:rPr>
                <w:sz w:val="20"/>
              </w:rPr>
              <w:t>5-7 %</w:t>
            </w:r>
          </w:p>
        </w:tc>
      </w:tr>
      <w:tr>
        <w:tc>
          <w:tcPr>
            <w:tcW w:type="dxa" w:w="1169"/>
          </w:tcPr>
          <w:p>
            <w:r>
              <w:rPr>
                <w:sz w:val="20"/>
              </w:rPr>
              <w:t>**Goût amer**</w:t>
            </w:r>
          </w:p>
        </w:tc>
        <w:tc>
          <w:tcPr>
            <w:tcW w:type="dxa" w:w="1169"/>
          </w:tcPr>
          <w:p>
            <w:r>
              <w:rPr>
                <w:sz w:val="20"/>
              </w:rPr>
              <w:t>Non</w:t>
            </w:r>
          </w:p>
        </w:tc>
        <w:tc>
          <w:tcPr>
            <w:tcW w:type="dxa" w:w="1169"/>
          </w:tcPr>
          <w:p>
            <w:r>
              <w:rPr>
                <w:sz w:val="20"/>
              </w:rPr>
              <w:t>Non</w:t>
            </w:r>
          </w:p>
        </w:tc>
        <w:tc>
          <w:tcPr>
            <w:tcW w:type="dxa" w:w="1169"/>
          </w:tcPr>
          <w:p>
            <w:r>
              <w:rPr>
                <w:sz w:val="20"/>
              </w:rPr>
              <w:t>Non</w:t>
            </w:r>
          </w:p>
        </w:tc>
        <w:tc>
          <w:tcPr>
            <w:tcW w:type="dxa" w:w="1169"/>
          </w:tcPr>
          <w:p>
            <w:r>
              <w:rPr>
                <w:sz w:val="20"/>
              </w:rPr>
              <w:t>Non</w:t>
            </w:r>
          </w:p>
        </w:tc>
        <w:tc>
          <w:tcPr>
            <w:tcW w:type="dxa" w:w="1169"/>
          </w:tcPr>
          <w:p>
            <w:r>
              <w:rPr>
                <w:sz w:val="20"/>
              </w:rPr>
              <w:t>Non</w:t>
            </w:r>
          </w:p>
        </w:tc>
        <w:tc>
          <w:tcPr>
            <w:tcW w:type="dxa" w:w="1169"/>
          </w:tcPr>
          <w:p>
            <w:r>
              <w:rPr>
                <w:sz w:val="20"/>
              </w:rPr>
              <w:t>Oui (20-30 %)</w:t>
            </w:r>
          </w:p>
        </w:tc>
        <w:tc>
          <w:tcPr>
            <w:tcW w:type="dxa" w:w="1169"/>
          </w:tcPr>
          <w:p>
            <w:r>
              <w:rPr>
                <w:sz w:val="20"/>
              </w:rPr>
              <w:t>Oui (moins marqué)</w:t>
            </w:r>
          </w:p>
        </w:tc>
      </w:tr>
      <w:tr>
        <w:tc>
          <w:tcPr>
            <w:tcW w:type="dxa" w:w="1169"/>
          </w:tcPr>
          <w:p>
            <w:r>
              <w:rPr>
                <w:sz w:val="20"/>
              </w:rPr>
              <w:t>**Épistaxis**</w:t>
            </w:r>
          </w:p>
        </w:tc>
        <w:tc>
          <w:tcPr>
            <w:tcW w:type="dxa" w:w="1169"/>
          </w:tcPr>
          <w:p>
            <w:r>
              <w:rPr>
                <w:sz w:val="20"/>
              </w:rPr>
              <w:t>5-10 %</w:t>
            </w:r>
          </w:p>
        </w:tc>
        <w:tc>
          <w:tcPr>
            <w:tcW w:type="dxa" w:w="1169"/>
          </w:tcPr>
          <w:p>
            <w:r>
              <w:rPr>
                <w:sz w:val="20"/>
              </w:rPr>
              <w:t>8-12 %</w:t>
            </w:r>
          </w:p>
        </w:tc>
        <w:tc>
          <w:tcPr>
            <w:tcW w:type="dxa" w:w="1169"/>
          </w:tcPr>
          <w:p>
            <w:r>
              <w:rPr>
                <w:sz w:val="20"/>
              </w:rPr>
              <w:t>5-10 %</w:t>
            </w:r>
          </w:p>
        </w:tc>
        <w:tc>
          <w:tcPr>
            <w:tcW w:type="dxa" w:w="1169"/>
          </w:tcPr>
          <w:p>
            <w:r>
              <w:rPr>
                <w:sz w:val="20"/>
              </w:rPr>
              <w:t>10-15 %</w:t>
            </w:r>
          </w:p>
        </w:tc>
        <w:tc>
          <w:tcPr>
            <w:tcW w:type="dxa" w:w="1169"/>
          </w:tcPr>
          <w:p>
            <w:r>
              <w:rPr>
                <w:sz w:val="20"/>
              </w:rPr>
              <w:t>5-10 %</w:t>
            </w:r>
          </w:p>
        </w:tc>
        <w:tc>
          <w:tcPr>
            <w:tcW w:type="dxa" w:w="1169"/>
          </w:tcPr>
          <w:p>
            <w:r>
              <w:rPr>
                <w:sz w:val="20"/>
              </w:rPr>
              <w:t>3-5 %</w:t>
            </w:r>
          </w:p>
        </w:tc>
        <w:tc>
          <w:tcPr>
            <w:tcW w:type="dxa" w:w="1169"/>
          </w:tcPr>
          <w:p>
            <w:r>
              <w:rPr>
                <w:sz w:val="20"/>
              </w:rPr>
              <w:t>3-5 %</w:t>
            </w:r>
          </w:p>
        </w:tc>
      </w:tr>
      <w:tr>
        <w:tc>
          <w:tcPr>
            <w:tcW w:type="dxa" w:w="1169"/>
          </w:tcPr>
          <w:p>
            <w:r>
              <w:rPr>
                <w:sz w:val="20"/>
              </w:rPr>
              <w:t>**Perforation septale**</w:t>
            </w:r>
          </w:p>
        </w:tc>
        <w:tc>
          <w:tcPr>
            <w:tcW w:type="dxa" w:w="1169"/>
          </w:tcPr>
          <w:p>
            <w:r>
              <w:rPr>
                <w:sz w:val="20"/>
              </w:rPr>
              <w:t>&lt; 1/10 000</w:t>
            </w:r>
          </w:p>
        </w:tc>
        <w:tc>
          <w:tcPr>
            <w:tcW w:type="dxa" w:w="1169"/>
          </w:tcPr>
          <w:p>
            <w:r>
              <w:rPr>
                <w:sz w:val="20"/>
              </w:rPr>
              <w:t>&lt; 1/10 000</w:t>
            </w:r>
          </w:p>
        </w:tc>
        <w:tc>
          <w:tcPr>
            <w:tcW w:type="dxa" w:w="1169"/>
          </w:tcPr>
          <w:p>
            <w:r>
              <w:rPr>
                <w:sz w:val="20"/>
              </w:rPr>
              <w:t>&lt; 1/10 000</w:t>
            </w:r>
          </w:p>
        </w:tc>
        <w:tc>
          <w:tcPr>
            <w:tcW w:type="dxa" w:w="1169"/>
          </w:tcPr>
          <w:p>
            <w:r>
              <w:rPr>
                <w:sz w:val="20"/>
              </w:rPr>
              <w:t>&lt; 1/10 000</w:t>
            </w:r>
          </w:p>
        </w:tc>
        <w:tc>
          <w:tcPr>
            <w:tcW w:type="dxa" w:w="1169"/>
          </w:tcPr>
          <w:p>
            <w:r>
              <w:rPr>
                <w:sz w:val="20"/>
              </w:rPr>
              <w:t>&lt; 1/10 000</w:t>
            </w:r>
          </w:p>
        </w:tc>
        <w:tc>
          <w:tcPr>
            <w:tcW w:type="dxa" w:w="1169"/>
          </w:tcPr>
          <w:p>
            <w:r>
              <w:rPr>
                <w:sz w:val="20"/>
              </w:rPr>
              <w:t>Exceptionnelle</w:t>
            </w:r>
          </w:p>
        </w:tc>
        <w:tc>
          <w:tcPr>
            <w:tcW w:type="dxa" w:w="1169"/>
          </w:tcPr>
          <w:p>
            <w:r>
              <w:rPr>
                <w:sz w:val="20"/>
              </w:rPr>
              <w:t>Exceptionnelle</w:t>
            </w:r>
          </w:p>
        </w:tc>
      </w:tr>
      <w:tr>
        <w:tc>
          <w:tcPr>
            <w:tcW w:type="dxa" w:w="1169"/>
          </w:tcPr>
          <w:p>
            <w:r>
              <w:rPr>
                <w:sz w:val="20"/>
              </w:rPr>
              <w:t>**Effet sur croissance (enfant)**</w:t>
            </w:r>
          </w:p>
        </w:tc>
        <w:tc>
          <w:tcPr>
            <w:tcW w:type="dxa" w:w="1169"/>
          </w:tcPr>
          <w:p>
            <w:r>
              <w:rPr>
                <w:sz w:val="20"/>
              </w:rPr>
              <w:t>Pas de retard démontré</w:t>
            </w:r>
          </w:p>
        </w:tc>
        <w:tc>
          <w:tcPr>
            <w:tcW w:type="dxa" w:w="1169"/>
          </w:tcPr>
          <w:p>
            <w:r>
              <w:rPr>
                <w:sz w:val="20"/>
              </w:rPr>
              <w:t>Pas de retard démontré</w:t>
            </w:r>
          </w:p>
        </w:tc>
        <w:tc>
          <w:tcPr>
            <w:tcW w:type="dxa" w:w="1169"/>
          </w:tcPr>
          <w:p>
            <w:r>
              <w:rPr>
                <w:sz w:val="20"/>
              </w:rPr>
              <w:t>Pas de retard démontré</w:t>
            </w:r>
          </w:p>
        </w:tc>
        <w:tc>
          <w:tcPr>
            <w:tcW w:type="dxa" w:w="1169"/>
          </w:tcPr>
          <w:p>
            <w:r>
              <w:rPr>
                <w:sz w:val="20"/>
              </w:rPr>
              <w:t>Surveillance recommandée</w:t>
            </w:r>
          </w:p>
        </w:tc>
        <w:tc>
          <w:tcPr>
            <w:tcW w:type="dxa" w:w="1169"/>
          </w:tcPr>
          <w:p>
            <w:r>
              <w:rPr>
                <w:sz w:val="20"/>
              </w:rPr>
              <w:t>Surveillance recommandée</w:t>
            </w:r>
          </w:p>
        </w:tc>
        <w:tc>
          <w:tcPr>
            <w:tcW w:type="dxa" w:w="1169"/>
          </w:tcPr>
          <w:p>
            <w:r>
              <w:rPr>
                <w:sz w:val="20"/>
              </w:rPr>
              <w:t>Non pertinent</w:t>
            </w:r>
          </w:p>
        </w:tc>
        <w:tc>
          <w:tcPr>
            <w:tcW w:type="dxa" w:w="1169"/>
          </w:tcPr>
          <w:p>
            <w:r>
              <w:rPr>
                <w:sz w:val="20"/>
              </w:rPr>
              <w:t>Non pertinent</w:t>
            </w:r>
          </w:p>
        </w:tc>
      </w:tr>
      <w:tr>
        <w:tc>
          <w:tcPr>
            <w:tcW w:type="dxa" w:w="1169"/>
          </w:tcPr>
          <w:p>
            <w:r>
              <w:rPr>
                <w:sz w:val="20"/>
              </w:rPr>
              <w:t>**Disponibilité en Algérie**</w:t>
            </w:r>
          </w:p>
        </w:tc>
        <w:tc>
          <w:tcPr>
            <w:tcW w:type="dxa" w:w="1169"/>
          </w:tcPr>
          <w:p>
            <w:r>
              <w:rPr>
                <w:sz w:val="20"/>
              </w:rPr>
              <w:t>++++ (7 spécialités)</w:t>
            </w:r>
          </w:p>
        </w:tc>
        <w:tc>
          <w:tcPr>
            <w:tcW w:type="dxa" w:w="1169"/>
          </w:tcPr>
          <w:p>
            <w:r>
              <w:rPr>
                <w:sz w:val="20"/>
              </w:rPr>
              <w:t>++++ (8 spécialités propionate + 2 furoate)</w:t>
            </w:r>
          </w:p>
        </w:tc>
        <w:tc>
          <w:tcPr>
            <w:tcW w:type="dxa" w:w="1169"/>
          </w:tcPr>
          <w:p>
            <w:r>
              <w:rPr>
                <w:sz w:val="20"/>
              </w:rPr>
              <w:t>+++ (2 spécialités)</w:t>
            </w:r>
          </w:p>
        </w:tc>
        <w:tc>
          <w:tcPr>
            <w:tcW w:type="dxa" w:w="1169"/>
          </w:tcPr>
          <w:p>
            <w:r>
              <w:rPr>
                <w:sz w:val="20"/>
              </w:rPr>
              <w:t>++ (4 spécialités)</w:t>
            </w:r>
          </w:p>
        </w:tc>
        <w:tc>
          <w:tcPr>
            <w:tcW w:type="dxa" w:w="1169"/>
          </w:tcPr>
          <w:p>
            <w:r>
              <w:rPr>
                <w:sz w:val="20"/>
              </w:rPr>
              <w:t>+++ (6 spécialités)</w:t>
            </w:r>
          </w:p>
        </w:tc>
        <w:tc>
          <w:tcPr>
            <w:tcW w:type="dxa" w:w="1169"/>
          </w:tcPr>
          <w:p>
            <w:r>
              <w:rPr>
                <w:sz w:val="20"/>
              </w:rPr>
              <w:t>Non (forme nasale absente)</w:t>
            </w:r>
          </w:p>
        </w:tc>
        <w:tc>
          <w:tcPr>
            <w:tcW w:type="dxa" w:w="1169"/>
          </w:tcPr>
          <w:p>
            <w:r>
              <w:rPr>
                <w:sz w:val="20"/>
              </w:rPr>
              <w:t>Non (forme nasale absente)</w:t>
            </w:r>
          </w:p>
        </w:tc>
      </w:tr>
      <w:tr>
        <w:tc>
          <w:tcPr>
            <w:tcW w:type="dxa" w:w="1169"/>
          </w:tcPr>
          <w:p>
            <w:r>
              <w:rPr>
                <w:sz w:val="20"/>
              </w:rPr>
              <w:t>**Coût relatif**</w:t>
            </w:r>
          </w:p>
        </w:tc>
        <w:tc>
          <w:tcPr>
            <w:tcW w:type="dxa" w:w="1169"/>
          </w:tcPr>
          <w:p>
            <w:r>
              <w:rPr>
                <w:sz w:val="20"/>
              </w:rPr>
              <w:t>Modéré</w:t>
            </w:r>
          </w:p>
        </w:tc>
        <w:tc>
          <w:tcPr>
            <w:tcW w:type="dxa" w:w="1169"/>
          </w:tcPr>
          <w:p>
            <w:r>
              <w:rPr>
                <w:sz w:val="20"/>
              </w:rPr>
              <w:t>Modéré</w:t>
            </w:r>
          </w:p>
        </w:tc>
        <w:tc>
          <w:tcPr>
            <w:tcW w:type="dxa" w:w="1169"/>
          </w:tcPr>
          <w:p>
            <w:r>
              <w:rPr>
                <w:sz w:val="20"/>
              </w:rPr>
              <w:t>Élevé</w:t>
            </w:r>
          </w:p>
        </w:tc>
        <w:tc>
          <w:tcPr>
            <w:tcW w:type="dxa" w:w="1169"/>
          </w:tcPr>
          <w:p>
            <w:r>
              <w:rPr>
                <w:sz w:val="20"/>
              </w:rPr>
              <w:t>Faible</w:t>
            </w:r>
          </w:p>
        </w:tc>
        <w:tc>
          <w:tcPr>
            <w:tcW w:type="dxa" w:w="1169"/>
          </w:tcPr>
          <w:p>
            <w:r>
              <w:rPr>
                <w:sz w:val="20"/>
              </w:rPr>
              <w:t>Faible</w:t>
            </w:r>
          </w:p>
        </w:tc>
        <w:tc>
          <w:tcPr>
            <w:tcW w:type="dxa" w:w="1169"/>
          </w:tcPr>
          <w:p>
            <w:r>
              <w:rPr>
                <w:sz w:val="20"/>
              </w:rPr>
              <w:t>N/A</w:t>
            </w:r>
          </w:p>
        </w:tc>
        <w:tc>
          <w:tcPr>
            <w:tcW w:type="dxa" w:w="1169"/>
          </w:tcPr>
          <w:p>
            <w:r>
              <w:rPr>
                <w:sz w:val="20"/>
              </w:rPr>
              <w:t>N/A</w:t>
            </w:r>
          </w:p>
        </w:tc>
      </w:tr>
      <w:tr>
        <w:tc>
          <w:tcPr>
            <w:tcW w:type="dxa" w:w="1169"/>
          </w:tcPr>
          <w:p>
            <w:r>
              <w:rPr>
                <w:sz w:val="20"/>
              </w:rPr>
              <w:t>**Indication princeps**</w:t>
            </w:r>
          </w:p>
        </w:tc>
        <w:tc>
          <w:tcPr>
            <w:tcW w:type="dxa" w:w="1169"/>
          </w:tcPr>
          <w:p>
            <w:r>
              <w:rPr>
                <w:sz w:val="20"/>
              </w:rPr>
              <w:t>Rhinite allergique, polypose</w:t>
            </w:r>
          </w:p>
        </w:tc>
        <w:tc>
          <w:tcPr>
            <w:tcW w:type="dxa" w:w="1169"/>
          </w:tcPr>
          <w:p>
            <w:r>
              <w:rPr>
                <w:sz w:val="20"/>
              </w:rPr>
              <w:t>Rhinite allergique, polypose</w:t>
            </w:r>
          </w:p>
        </w:tc>
        <w:tc>
          <w:tcPr>
            <w:tcW w:type="dxa" w:w="1169"/>
          </w:tcPr>
          <w:p>
            <w:r>
              <w:rPr>
                <w:sz w:val="20"/>
              </w:rPr>
              <w:t>Rhinite allergique</w:t>
            </w:r>
          </w:p>
        </w:tc>
        <w:tc>
          <w:tcPr>
            <w:tcW w:type="dxa" w:w="1169"/>
          </w:tcPr>
          <w:p>
            <w:r>
              <w:rPr>
                <w:sz w:val="20"/>
              </w:rPr>
              <w:t>Rhinite allergique, polypose</w:t>
            </w:r>
          </w:p>
        </w:tc>
        <w:tc>
          <w:tcPr>
            <w:tcW w:type="dxa" w:w="1169"/>
          </w:tcPr>
          <w:p>
            <w:r>
              <w:rPr>
                <w:sz w:val="20"/>
              </w:rPr>
              <w:t>Rhinite allergique, polypose</w:t>
            </w:r>
          </w:p>
        </w:tc>
        <w:tc>
          <w:tcPr>
            <w:tcW w:type="dxa" w:w="1169"/>
          </w:tcPr>
          <w:p>
            <w:r>
              <w:rPr>
                <w:sz w:val="20"/>
              </w:rPr>
              <w:t>Rhinite allergique, vasomotrice</w:t>
            </w:r>
          </w:p>
        </w:tc>
        <w:tc>
          <w:tcPr>
            <w:tcW w:type="dxa" w:w="1169"/>
          </w:tcPr>
          <w:p>
            <w:r>
              <w:rPr>
                <w:sz w:val="20"/>
              </w:rPr>
              <w:t>Rhinite allergique</w:t>
            </w:r>
          </w:p>
        </w:tc>
      </w:tr>
    </w:tbl>
    <w:p/>
    <w:p>
      <w:pPr>
        <w:pStyle w:val="Heading3"/>
      </w:pPr>
      <w:r>
        <w:t>133.4.1 Arbitrage thérapeutique pratique</w:t>
      </w:r>
    </w:p>
    <w:p>
      <w:r>
        <w:t>En pratique clinique, le choix de la molécule dépend de plusieurs facteurs :</w:t>
      </w:r>
    </w:p>
    <w:p>
      <w:pPr>
        <w:pStyle w:val="ListNumber"/>
      </w:pPr>
      <w:r/>
      <w:r>
        <w:rPr>
          <w:b/>
        </w:rPr>
        <w:t>Âge du patient</w:t>
      </w:r>
      <w:r>
        <w:t xml:space="preserve"> : Chez l'enfant de 2 à 4 ans, la fluticasone furoate (Avamys) est le seul corticoïde nasal autorisé ; chez l'enfant de 3 à 5 ans, la mométasone peut être utilisée ; chez l'enfant de 4 à 6 ans, la fluticasone propionate est ajoutée ; chez l'enfant de 6 ans et plus, tous les corticoïdes nasaux sont autorisés. Les antihistaminiques nasaux (azélastine, olopatadine) ne sont pas disponibles en Algérie sous forme nasale, et les alternatives chez l'enfant sont les antihistaminiques oraux de deuxième génération (cétirizine dès 6 mois, desloratadine dès 6 mois, loratadine dès 2 ans, bilastine dès 12 ans) et les corticoïdes nasaux.</w:t>
      </w:r>
    </w:p>
    <w:p>
      <w:pPr>
        <w:pStyle w:val="ListNumber"/>
      </w:pPr>
      <w:r/>
      <w:r>
        <w:rPr>
          <w:b/>
        </w:rPr>
        <w:t>Grossesse</w:t>
      </w:r>
      <w:r>
        <w:t xml:space="preserve"> : Le budésonide nasal est le corticoïde de premier choix (recul exceptionnel, catégorie B FDA), suivi de la mométasone et de la fluticasone furoate. La beclométasone est à réserver en seconde intention. Les antihistaminiques H1 nasaux ne sont pas disponibles en Algérie, et chez la femme enceinte, les alternatives sont les antihistaminiques oraux de deuxième génération compatibles (loratadine, cétirizine).</w:t>
      </w:r>
    </w:p>
    <w:p>
      <w:pPr>
        <w:pStyle w:val="ListNumber"/>
      </w:pPr>
      <w:r/>
      <w:r>
        <w:rPr>
          <w:b/>
        </w:rPr>
        <w:t>Sévérité de la rhinite</w:t>
      </w:r>
      <w:r>
        <w:t xml:space="preserve"> : Dans la rhinite légère, un antihistaminique oral de deuxième génération ou un corticoïde nasal à dose d'entretien suffisent. Dans la rhinite modérée à sévère, le corticoïde nasal est le traitement de première intention, éventuellement associé à un antihistaminique oral ou nasal. Dans la polypose nasosinusienne, le corticoïde nasal à dose d'attaque (200 à 400 µg/jour) suivi d'un traitement d'entretien prolongé est le traitement médical de référence.</w:t>
      </w:r>
    </w:p>
    <w:p>
      <w:pPr>
        <w:pStyle w:val="ListNumber"/>
      </w:pPr>
      <w:r/>
      <w:r>
        <w:rPr>
          <w:b/>
        </w:rPr>
        <w:t>Profil de tolérance</w:t>
      </w:r>
      <w:r>
        <w:t xml:space="preserve"> : En cas d'antécédent d'épistaxis sous corticoïde nasal, privilégier la fluticasone furoate (biodisponibilité plus faible, meilleure tolérance locale). En cas de glaucome ou de cataracte, privilégier le budésonide (profil oculaire plus favorable). En cas d'intolérance aux conservateurs (chlorure de benzalkonium), privilégier la fluticasone furoate Avamys (sans benzalkonium). En cas de somnolence sous antihistaminique oral, envisager un corticoïde nasal ou un antihistaminique nasal (si disponible). En cas de goût amer sous azélastine, envisager l'olopatadine (moins amère).</w:t>
      </w:r>
    </w:p>
    <w:p>
      <w:pPr>
        <w:pStyle w:val="ListNumber"/>
      </w:pPr>
      <w:r/>
      <w:r>
        <w:rPr>
          <w:b/>
        </w:rPr>
        <w:t>Interactions médicamenteuses</w:t>
      </w:r>
      <w:r>
        <w:t xml:space="preserve"> : En cas de coprescription d'inhibiteurs puissants du CYP3A4 (ritonavir, itraconazole, kétoconazole, clarithromycine), éviter la fluticasone (interaction documentée avec augmentation majeure de l'AUC, risque de syndrome de Cushing) ; préférer la mométasone ou le budésonide (à surveillance). En cas de coprescription de dépresseurs du SNC, éviter l'azélastine nasale (potentialisation de la somnolence).</w:t>
      </w:r>
    </w:p>
    <w:p>
      <w:pPr>
        <w:pStyle w:val="ListNumber"/>
      </w:pPr>
      <w:r/>
      <w:r>
        <w:rPr>
          <w:b/>
        </w:rPr>
        <w:t>Disponibilité et coût</w:t>
      </w:r>
      <w:r>
        <w:t xml:space="preserve"> : En Algérie, tous les corticoïdes nasaux sont disponibles avec une bonne diversité de génériques, garantissant une accessibilité économique. Les antihistaminiques nasaux ne sont pas disponibles sous forme nasale, ce qui impose le recours aux antihistaminiques oraux ou aux corticoïdes nasaux.</w:t>
      </w:r>
    </w:p>
    <w:p>
      <w:pPr>
        <w:pStyle w:val="Heading3"/>
      </w:pPr>
      <w:r>
        <w:t>133.4.2 Algorithmes thérapeutiques simplifiés</w:t>
      </w:r>
    </w:p>
    <w:p>
      <w:r/>
      <w:r>
        <w:rPr>
          <w:b/>
        </w:rPr>
        <w:t>Rhinite allergique saisonnière légère</w:t>
      </w:r>
      <w:r>
        <w:t xml:space="preserve"> :</w:t>
      </w:r>
    </w:p>
    <w:p>
      <w:pPr>
        <w:pStyle w:val="ListBullet"/>
      </w:pPr>
      <w:r>
        <w:t>Option 1 : Antihistaminique oral de deuxième génération à la demande pendant la saison pollinique.</w:t>
      </w:r>
    </w:p>
    <w:p>
      <w:pPr>
        <w:pStyle w:val="ListBullet"/>
      </w:pPr>
      <w:r>
        <w:t>Option 2 : Corticoïde nasal (mométasone ou fluticasone) en une prise par jour pendant la saison.</w:t>
      </w:r>
    </w:p>
    <w:p>
      <w:r/>
      <w:r>
        <w:rPr>
          <w:b/>
        </w:rPr>
        <w:t>Rhinite allergique saisonnière modérée à sévère</w:t>
      </w:r>
      <w:r>
        <w:t xml:space="preserve"> :</w:t>
      </w:r>
    </w:p>
    <w:p>
      <w:pPr>
        <w:pStyle w:val="ListBullet"/>
      </w:pPr>
      <w:r>
        <w:t>Corticoïde nasal (mométasone, fluticasone propionate ou furoate, budésonide) en une prise par jour en continu pendant la saison, en commençant 2 à 4 semaines avant le début attendu de la saison pollinique (traitement prophylactique).</w:t>
      </w:r>
    </w:p>
    <w:p>
      <w:pPr>
        <w:pStyle w:val="ListBullet"/>
      </w:pPr>
      <w:r>
        <w:t>± Antihistaminique oral de deuxième génération en cas de symptômes oculaires associés.</w:t>
      </w:r>
    </w:p>
    <w:p>
      <w:pPr>
        <w:pStyle w:val="ListBullet"/>
      </w:pPr>
      <w:r>
        <w:t>± Lavage de nez au sérum physiologique.</w:t>
      </w:r>
    </w:p>
    <w:p>
      <w:r/>
      <w:r>
        <w:rPr>
          <w:b/>
        </w:rPr>
        <w:t>Rhinite allergique perannuelle</w:t>
      </w:r>
      <w:r>
        <w:t xml:space="preserve"> :</w:t>
      </w:r>
    </w:p>
    <w:p>
      <w:pPr>
        <w:pStyle w:val="ListBullet"/>
      </w:pPr>
      <w:r>
        <w:t>Corticoïde nasal en continu (mométasone ou fluticasone) en traitement de fond, avec réévaluation tous les 3 à 6 mois.</w:t>
      </w:r>
    </w:p>
    <w:p>
      <w:pPr>
        <w:pStyle w:val="ListBullet"/>
      </w:pPr>
      <w:r>
        <w:t>± Antihistaminique oral de deuxième génération en continu ou à la demande.</w:t>
      </w:r>
    </w:p>
    <w:p>
      <w:pPr>
        <w:pStyle w:val="ListBullet"/>
      </w:pPr>
      <w:r>
        <w:t>± Lavage de nez au sérum physiologique.</w:t>
      </w:r>
    </w:p>
    <w:p>
      <w:pPr>
        <w:pStyle w:val="ListBullet"/>
      </w:pPr>
      <w:r>
        <w:t>Éviction allergénique (acariens, animaux, moisissures) selon les résultats des tests allergologiques.</w:t>
      </w:r>
    </w:p>
    <w:p>
      <w:pPr>
        <w:pStyle w:val="ListBullet"/>
      </w:pPr>
      <w:r>
        <w:t>Immunothérapie allergénique (désensibilisation) en seconde intention en cas d'insuffisance du traitement médical.</w:t>
      </w:r>
    </w:p>
    <w:p>
      <w:r/>
      <w:r>
        <w:rPr>
          <w:b/>
        </w:rPr>
        <w:t>Polypose nasosinusienne</w:t>
      </w:r>
      <w:r>
        <w:t xml:space="preserve"> :</w:t>
      </w:r>
    </w:p>
    <w:p>
      <w:pPr>
        <w:pStyle w:val="ListBullet"/>
      </w:pPr>
      <w:r>
        <w:t>Corticoïde nasal (mométasone, fluticasone propionate, budésonide) à dose d'attaque (200 à 400 µg/jour) pendant 4 à 8 semaines, puis dose d'entretien (100 à 200 µg/jour) au long cours.</w:t>
      </w:r>
    </w:p>
    <w:p>
      <w:pPr>
        <w:pStyle w:val="ListBullet"/>
      </w:pPr>
      <w:r>
        <w:t>Lavage de nez au sérum physiologique (grand volume) quotidiennement.</w:t>
      </w:r>
    </w:p>
    <w:p>
      <w:pPr>
        <w:pStyle w:val="ListBullet"/>
      </w:pPr>
      <w:r>
        <w:t>Cure courte de corticothérapie orale (prednisone 0,5 à 1 mg/kg/jour pendant 5 à 10 jours) en cas de poussée sévère.</w:t>
      </w:r>
    </w:p>
    <w:p>
      <w:pPr>
        <w:pStyle w:val="ListBullet"/>
      </w:pPr>
      <w:r>
        <w:t>Chirurgie endoscopique nasosinusienne en cas d'échec du traitement médical ou de complications (asthme associé, troubles de l'odorat sévères).</w:t>
      </w:r>
    </w:p>
    <w:p>
      <w:r/>
      <w:r>
        <w:rPr>
          <w:b/>
        </w:rPr>
        <w:t>Rhinite non allergique (vasomotrice)</w:t>
      </w:r>
      <w:r>
        <w:t xml:space="preserve"> :</w:t>
      </w:r>
    </w:p>
    <w:p>
      <w:pPr>
        <w:pStyle w:val="ListBullet"/>
      </w:pPr>
      <w:r>
        <w:t>Corticoïde nasal (mométasone, fluticasone) en traitement de fond.</w:t>
      </w:r>
    </w:p>
    <w:p>
      <w:pPr>
        <w:pStyle w:val="ListBullet"/>
      </w:pPr>
      <w:r>
        <w:t>± Antihistaminique nasal (azélastine) si disponible — AMM spécifique dans cette indication.</w:t>
      </w:r>
    </w:p>
    <w:p>
      <w:pPr>
        <w:pStyle w:val="ListBullet"/>
      </w:pPr>
      <w:r>
        <w:t>Lavage de nez au sérum physiologique.</w:t>
      </w:r>
    </w:p>
    <w:p>
      <w:pPr>
        <w:pStyle w:val="ListBullet"/>
      </w:pPr>
      <w:r>
        <w:t>Ipratropium nasal (non disponible en Algérie) en cas de rhinorrhée prédominante.</w:t>
      </w:r>
    </w:p>
    <w:p>
      <w:r/>
      <w:r>
        <w:rPr>
          <w:b/>
        </w:rPr>
        <w:t>Rhinite médicamenteuse (sevrage aux vasoconstricteurs)</w:t>
      </w:r>
      <w:r>
        <w:t xml:space="preserve"> :</w:t>
      </w:r>
    </w:p>
    <w:p>
      <w:pPr>
        <w:pStyle w:val="ListBullet"/>
      </w:pPr>
      <w:r>
        <w:t>Arrêt brutal ou progressif des vasoconstricteurs nasaux.</w:t>
      </w:r>
    </w:p>
    <w:p>
      <w:pPr>
        <w:pStyle w:val="ListBullet"/>
      </w:pPr>
      <w:r>
        <w:t>Corticoïde nasal (mométasone, fluticasone) en traitement d'attaque pendant 4 à 8 semaines pour contrôler la congestion de rebond.</w:t>
      </w:r>
    </w:p>
    <w:p>
      <w:pPr>
        <w:pStyle w:val="ListBullet"/>
      </w:pPr>
      <w:r>
        <w:t>Lavage de nez au sérum physiologique.</w:t>
      </w:r>
    </w:p>
    <w:p>
      <w:pPr>
        <w:pStyle w:val="ListBullet"/>
      </w:pPr>
      <w:r>
        <w:t>± Corticothérapie orale courte en cas de congestion rebond sévère.</w:t>
      </w:r>
    </w:p>
    <w:p>
      <w:pPr>
        <w:pStyle w:val="Heading3"/>
      </w:pPr>
      <w:r>
        <w:t>133.4.3 Populations particulières</w:t>
      </w:r>
    </w:p>
    <w:p>
      <w:r/>
      <w:r>
        <w:rPr>
          <w:b/>
        </w:rPr>
        <w:t>Sujet âgé</w:t>
      </w:r>
      <w:r>
        <w:t xml:space="preserve"> :</w:t>
      </w:r>
    </w:p>
    <w:p>
      <w:r>
        <w:t>Chez le sujet âgé (≥ 65 ans), la corticothérapie nasale reste un traitement de choix de la rhinite allergique et de la polypose nasosinusienne, mais plusieurs particularités doivent être prises en compte : (i) la fréquence accrue des comorbidités ophtalmologiques (glaucome chronique à angle ouvert, cataracte) justifie une ophtalmologie de contrôle avant initiation d'un traitement prolongé, en particulier avec la beclométasone (biodisponibilité systémique plus élevée) ; (ii) la fréquence accrue de la prise d'inhibiteurs puissants du CYP3A4 (clarithromycine pour infections respiratoires, itraconazole pour aspergilloses, ritonavir pour infections rétrovirales) justifie la vérification systématique des coprescriptions ; (iii) la fréquence accrue de l'insuffisance hépatique et rénale majore le risque d'accumulation systémique des corticoïdes à biodisponibilité modérée (beclométasone, budésonide) ; (iv) la fragilité vasculaire nasale et la sécheresse muqueuse (syndrome de Gougerot-Sjögren, rhinite atrophique sénile) majorent le risque d'épistaxis et de perforation septale, justifiant l'association systématique à un lavage de nez au sérum physiologique et à l'application d'un gel nasal hydratant ; (v) la somnolence induite par les antihistaminiques H1 nasaux (azélastine surtout) majore le risque de chute et de perte d'autonomie, justifiant la préférence pour les corticoïdes nasaux ou l'olopatadine (si disponible) ; (vi) la polymédication augmente le risque d'interactions, imposant une revue systématique de l'ordonnance.</w:t>
      </w:r>
    </w:p>
    <w:p>
      <w:r/>
      <w:r>
        <w:rPr>
          <w:b/>
        </w:rPr>
        <w:t>Insuffisance hépatique</w:t>
      </w:r>
      <w:r>
        <w:t xml:space="preserve"> :</w:t>
      </w:r>
    </w:p>
    <w:p>
      <w:r>
        <w:t>Chez le patient insuffisant hépatique (cirrhose, hépatite chronique), le métabolisme hépatique de premier passage des corticoïdes nasaux peut être altéré, majore la biodisponibilité systémique. Pour les molécules à biodisponibilité normalement très faible (mométasone, fluticasone propionate et furoate), l'impact est modeste et ne justifie pas d'ajustement posologique. Pour les molécules à biodisponibilité plus élevée (beclométasone, budésonide), une surveillance clinique (signes d'imprégnation cortisonique) et biologique (cortisolémie, ACTH) est recommandée en cas d'usage prolongé à forte dose. En cas d'insuffisance hépatique sévère (score de Child-Pugh ≥ 10), privilégier la mométasone ou la fluticasone furoate.</w:t>
      </w:r>
    </w:p>
    <w:p>
      <w:r/>
      <w:r>
        <w:rPr>
          <w:b/>
        </w:rPr>
        <w:t>Insuffisance rénale</w:t>
      </w:r>
      <w:r>
        <w:t xml:space="preserve"> :</w:t>
      </w:r>
    </w:p>
    <w:p>
      <w:r>
        <w:t>Chez le patient insuffisant rénal, l'élimination rénale des corticoïdes nasaux et de leurs métabolites est généralement faible (les corticoïdes sont essentiellement métabolisés et éliminés par voie biliaire et fécale). Aucun ajustement posologique n'est nécessaire pour les corticoïdes nasaux aux posologies usuelles. Pour les antihistaminiques H1 nasaux (azélastine, olopatadine), l'élimination est mixte (hépatique et rénale), et une surveillance accrue est recommandée en cas d'insuffisance rénale sévère (clairance de la créatinine &lt; 30 mL/min), avec possibilité de réduire la fréquence d'administration.</w:t>
      </w:r>
    </w:p>
    <w:p>
      <w:r/>
      <w:r>
        <w:rPr>
          <w:b/>
        </w:rPr>
        <w:t>Femme enceinte</w:t>
      </w:r>
      <w:r>
        <w:t xml:space="preserve"> :</w:t>
      </w:r>
    </w:p>
    <w:p>
      <w:r>
        <w:t xml:space="preserve">La prise en charge de la rhinite allergique et de la polypose nasosinusienne chez la femme enceinte mérite des développements spécifiques. La </w:t>
      </w:r>
      <w:r>
        <w:rPr>
          <w:b/>
        </w:rPr>
        <w:t>rhinite gravidique</w:t>
      </w:r>
      <w:r>
        <w:t xml:space="preserve"> (rhinite vasomotrice de la grossesse, touchant 20 à 30 % des femmes enceintes au 3e trimestre) s'ajoute fréquemment à une rhinite allergique préexistante ou se manifeste de novo, justifiant une prise en charge thérapeutique. Les recommandations internationales (ARIA, CRAT) hiérarchisent les options thérapeutiques :</w:t>
      </w:r>
    </w:p>
    <w:p>
      <w:pPr>
        <w:pStyle w:val="ListBullet"/>
      </w:pPr>
      <w:r/>
      <w:r>
        <w:rPr>
          <w:b/>
        </w:rPr>
        <w:t>Première intention</w:t>
      </w:r>
      <w:r>
        <w:t xml:space="preserve"> : lavage de nez au sérum physiologique (grand volume) + éviction allergénique + budésonide nasal (recul clinique exceptionnel, catégorie B FDA, acceptabilité maximale).</w:t>
      </w:r>
    </w:p>
    <w:p>
      <w:pPr>
        <w:pStyle w:val="ListBullet"/>
      </w:pPr>
      <w:r/>
      <w:r>
        <w:rPr>
          <w:b/>
        </w:rPr>
        <w:t>Deuxième intention</w:t>
      </w:r>
      <w:r>
        <w:t xml:space="preserve"> : mométasone nasale ou fluticasone furoate nasale (biodisponibilité systémique négligeable, autorisation quel que soit le terme).</w:t>
      </w:r>
    </w:p>
    <w:p>
      <w:pPr>
        <w:pStyle w:val="ListBullet"/>
      </w:pPr>
      <w:r/>
      <w:r>
        <w:rPr>
          <w:b/>
        </w:rPr>
        <w:t>Troisième intention</w:t>
      </w:r>
      <w:r>
        <w:t xml:space="preserve"> : antihistaminique oral de deuxième génération compatible (loratadine ou cétirizine, classés compatibles par le CRAT).</w:t>
      </w:r>
    </w:p>
    <w:p>
      <w:pPr>
        <w:pStyle w:val="ListBullet"/>
      </w:pPr>
      <w:r/>
      <w:r>
        <w:rPr>
          <w:b/>
        </w:rPr>
        <w:t>À éviter</w:t>
      </w:r>
      <w:r>
        <w:t xml:space="preserve"> : beclométasone nasale à forte dose (biodisponibilité plus élevée), azélastine nasale et olopatadine nasale (peu de données), antihistaminiques oraux de première génération (risque tératogène théorique au 1er trimestre), vasoconstricteurs nasaux (risque d'hypertension réfl exe, malformation fœtale).</w:t>
      </w:r>
    </w:p>
    <w:p>
      <w:r/>
      <w:r>
        <w:rPr>
          <w:b/>
        </w:rPr>
        <w:t>Femme allaitante</w:t>
      </w:r>
      <w:r>
        <w:t xml:space="preserve"> :</w:t>
      </w:r>
    </w:p>
    <w:p>
      <w:r>
        <w:t>Les corticoïdes nasaux (mométasone, fluticasone, budésonide, beclométasone) sont compatibles avec l'allaitement (passage lacté négligeable). Les antihistaminiques H1 oraux de deuxième génération compatibles avec l'allaitement sont la loratadine et la cétirizine. Les antihistaminiques H1 nasaux (azélastine, olopatadine) sont déconseillés en raison du passage lacté non négligeable et du risque de somnolence chez le nourrisson.</w:t>
      </w:r>
    </w:p>
    <w:p>
      <w:r/>
      <w:r>
        <w:rPr>
          <w:b/>
        </w:rPr>
        <w:t>Enfant</w:t>
      </w:r>
      <w:r>
        <w:t xml:space="preserve"> :</w:t>
      </w:r>
    </w:p>
    <w:p>
      <w:r>
        <w:t>La prise en charge de la rhinite allergique chez l'enfant suit les mêmes principes que chez l'adulte, avec des particularités liées à l'âge et au développement :</w:t>
      </w:r>
    </w:p>
    <w:p>
      <w:pPr>
        <w:pStyle w:val="ListBullet"/>
      </w:pPr>
      <w:r/>
      <w:r>
        <w:rPr>
          <w:b/>
        </w:rPr>
        <w:t>Nourrisson (&lt; 2 ans)</w:t>
      </w:r>
      <w:r>
        <w:t xml:space="preserve"> : lavage de nez au sérum physiologique + éviction allergénique ; pas de corticoïde nasal (autorisation à partir de 2 ans pour la fluticasone furoate) ; antihistaminiques oraux compatibles (cétirizine dès 6 mois, desloratadine dès 6 mois).</w:t>
      </w:r>
    </w:p>
    <w:p>
      <w:pPr>
        <w:pStyle w:val="ListBullet"/>
      </w:pPr>
      <w:r/>
      <w:r>
        <w:rPr>
          <w:b/>
        </w:rPr>
        <w:t>Enfant de 2 à 5 ans</w:t>
      </w:r>
      <w:r>
        <w:t xml:space="preserve"> : fluticasone furoate nasale (Avamys) à 55 µg/jour en une prise ; ou mométasone nasale à 50 µg/jour dès 3 ans ; antihistaminique oral de deuxième génération (loratadine sirop, cétirizine sirop).</w:t>
      </w:r>
    </w:p>
    <w:p>
      <w:pPr>
        <w:pStyle w:val="ListBullet"/>
      </w:pPr>
      <w:r/>
      <w:r>
        <w:rPr>
          <w:b/>
        </w:rPr>
        <w:t>Enfant de 6 à 11 ans</w:t>
      </w:r>
      <w:r>
        <w:t xml:space="preserve"> : tous les corticoïdes nasaux sont autorisés à des doses adaptées ; surveillance de la croissance (taille, poids) tous les 3 mois en cas d'usage prolongé ; antihistaminique oral de deuxième génération (loratadine, cétirizine, desloratadine).</w:t>
      </w:r>
    </w:p>
    <w:p>
      <w:pPr>
        <w:pStyle w:val="ListBullet"/>
      </w:pPr>
      <w:r/>
      <w:r>
        <w:rPr>
          <w:b/>
        </w:rPr>
        <w:t>Adolescent (≥ 12 ans)</w:t>
      </w:r>
      <w:r>
        <w:t xml:space="preserve"> : posologies adultes ; surveillance de la croissance jusqu'à la fin de la puberté ; information spécifique sur l'observance à long terme (souvent problématique à cet âge) et sur l'interdiction du partage du flacon (risque de contamination croisée).</w:t>
      </w:r>
    </w:p>
    <w:p>
      <w:r/>
      <w:r>
        <w:rPr>
          <w:b/>
        </w:rPr>
        <w:t>Sportif</w:t>
      </w:r>
      <w:r>
        <w:t xml:space="preserve"> :</w:t>
      </w:r>
    </w:p>
    <w:p>
      <w:r>
        <w:t>Les corticoïdes nasaux ne sont pas considérés comme des substances dopantes par l'AMA (Agence Mondiale Antidopage), mais la fluticasone (toutes voies confondues) figure sur la liste des substances spécifiées, et son usage en compétition nécessite une déclaration d'usage (TUE — Therapeutic Use Exemption) simplifiée. L'azélastine et l'olopatadine ne figurent pas sur la liste des substances interdites. Le sportif doit être informé de ces règles et doit conserver la prescription médicale et la boîte d'origine pour justifier l'usage en cas de contrôle.</w:t>
      </w:r>
    </w:p>
    <w:p>
      <w:pPr>
        <w:pStyle w:val="Heading3"/>
      </w:pPr>
      <w:r>
        <w:t>133.4.4 Coût et pharmaco-économie</w:t>
      </w:r>
    </w:p>
    <w:p>
      <w:r>
        <w:t>L'analyse pharmaco-économique des traitements de la rhinite allergique en Algérie doit prendre en compte plusieurs dimensions : (i) le coût direct du médicament (prix de vente au public, remboursement par la sécurité sociale) ; (ii) le coût indirect (absentéisme scolaire et professionnel, baisse de productivité, consultations médicales, examens complémentaires) ; (iii) le coût des effets indésirables (épistaxis, perforation septale, infections fongiques, insuffisance surrénalienne). En Algérie, les corticoïdes nasaux sont commercialisés à des prix variant de 200 à 600 DA (dinars algériens) le flacon de 120 doses, avec une moyenne de 350 à 450 DA pour les génériques et 500 à 600 DA pour les princeps. Le coût mensuel d'un traitement d'entretien à 200 µg/jour est donc d'environ 200 à 300 DA pour un générique, ce qui représente un coût accessible pour la majorité des patients algériens. Le remboursement par la sécurité sociale algérienne (CNAS, CASNOS) est variable selon les spécialités et les caisses, mais la plupart des corticoïdes nasaux sont remboursés à 50 à 80 % sur prescription médicale.</w:t>
      </w:r>
    </w:p>
    <w:p>
      <w:r>
        <w:t>L'analyse coût-efficacité comparative des quatre corticoïdes nasaux disponibles en Algérie montre que les différences d'efficacité clinique entre molécules sont modestes (10 à 20 % de différence sur les scores symptomatiques à 4 semaines), tandis que les différences de coût peuvent être importantes (jusqu'à 50 % entre génériques et princeps). En pratique, le choix économique rationnel consiste à privilégier les génériques (NASAMEX, MOMENEX, MEDONEX, NOVASPRAY, RHINONEX, TASONEX, ETACID pour la mométasone ; FLIXASONE, FLIXODIS, FLIXONE, FLOMIST, FLUCASONE, FLUTEL, FLUTINASE, FLEXODOZ pour la fluticasone propionate ; FLUCASONE MINI pour la fluticasone furoate ; BECANOS, NASABEC pour la beclométasone ; DONICORT, RESPICORT, RHINODIS, RHINODOZE, RINONIDE pour le budésonide) en première intention, et à réserver les princeps (NASONEX pour la mométasone, AVAMYS pour la fluticasone furoate, RHINOCORT pour le budésonide, RINOCLENIL 100 pour la beclométasone) aux cas particuliers (intolérance aux génériques, préférence du patient pour un système de pulvérisation spécifique, prescription explicite du médecin).</w:t>
      </w:r>
    </w:p>
    <w:p>
      <w:pPr>
        <w:pStyle w:val="Heading3"/>
      </w:pPr>
      <w:r>
        <w:t>133.4.5 Observance et éducation thérapeutique</w:t>
      </w:r>
    </w:p>
    <w:p>
      <w:r>
        <w:t>L'observance des traitements nasaux est un défi majeur, avec des taux d'observance rapportés de 30 à 50 % à 6 mois dans la rhinite allergique chronique et la polypose nasosinusienne. Les principaux facteurs de mauvaise observance sont : (i) le délai d'action retardé des corticoïdes nasaux (le patient ne ressent pas d'effet immédiat et pense que le traitement est inefficace) ; (ii) la contrainte de l'administration quotidienne (oubli, irrégularité) ; (iii) les effets indésirables locaux (épistaxis, irritation, goût amer) ; (iv) la mauvaise technique d'administration (pulvérisation dirigée vers le septum, priming oublié) ; (v) le coût du traitement ; (vi) la méconnaissance de la nature du traitement (le patient pense qu'il s'agit d'un traitement de secours et non de fond). L'éducation thérapeutique structurée, délivrée par le pharmacien d'officine au moment de la dispensation et renforcée par le médecin aux consultations de suivi, permet d'améliorer significativement l'observance et l'efficacité clinique. Les éléments clés de cette éducation sont :</w:t>
      </w:r>
    </w:p>
    <w:p>
      <w:pPr>
        <w:pStyle w:val="ListNumber"/>
      </w:pPr>
      <w:r/>
      <w:r>
        <w:rPr>
          <w:b/>
        </w:rPr>
        <w:t>Information sur le délai d'action</w:t>
      </w:r>
      <w:r>
        <w:t xml:space="preserve"> : « Ce spray ne fonctionne pas immédiatement. Les premiers effets apparaissent en 12 à 72 heures, mais l'effet maximal n'est atteint qu'après 2 à 4 semaines d'utilisation quotidienne. Il faut donc continuer à l'utiliser tous les jours, même si vous ne ressentez pas d'effet immédiat. Ne l'arrêtez pas sous prétexte que ça ne marche pas — il faut au moins 2 semaines pour juger de l'efficacité ».</w:t>
      </w:r>
    </w:p>
    <w:p>
      <w:pPr>
        <w:pStyle w:val="ListNumber"/>
      </w:pPr>
      <w:r/>
      <w:r>
        <w:rPr>
          <w:b/>
        </w:rPr>
        <w:t>Démonstration de la technique de pulvérisation</w:t>
      </w:r>
      <w:r>
        <w:t xml:space="preserve"> : Pencher légèrement la tête en avant, introduire l'embout du flacon dans la narine, orienter la buse vers l'extérieur (vers l'oreille du même côté, jamais vers le milieu du nez), pulvériser en inspirant doucement par le nez, expirer par la bouche. Répéter dans l'autre narine. Nettoyer l'embout avec un mouchoir propre après chaque utilisation. Ne jamais diriger la pulvérisation vers le septum (cloison nasale) pour éviter le risque de perforation.</w:t>
      </w:r>
    </w:p>
    <w:p>
      <w:pPr>
        <w:pStyle w:val="ListNumber"/>
      </w:pPr>
      <w:r/>
      <w:r>
        <w:rPr>
          <w:b/>
        </w:rPr>
        <w:t>Information sur le priming (amorçage)</w:t>
      </w:r>
      <w:r>
        <w:t xml:space="preserve"> : Avant la première utilisation, primer le flacon par 6 à 10 pulvérisations dans l'air (jusqu'à obtention d'un jet fin et régulier). En cas de non-utilisation supérieure à 4 à 7 jours selon les flacons, primer par 1 à 2 pulvérisations. Ne pas jeter le flacon si la première pulvérisation ne produit pas de jet : il faut simplement re-primer.</w:t>
      </w:r>
    </w:p>
    <w:p>
      <w:pPr>
        <w:pStyle w:val="ListNumber"/>
      </w:pPr>
      <w:r/>
      <w:r>
        <w:rPr>
          <w:b/>
        </w:rPr>
        <w:t>Information sur la durée de conservation</w:t>
      </w:r>
      <w:r>
        <w:t xml:space="preserve"> : Le flacon se conserve 2 mois (60 jours pour Avamys) après la première utilisation. Au-delà, le risque de contamination microbienne et la perte d'efficacité imposent le remplacement du flacon. Conserver à température ambiante (≤ 25 °C), ne pas congeler, ne pas exposer à la lumière directe.</w:t>
      </w:r>
    </w:p>
    <w:p>
      <w:pPr>
        <w:pStyle w:val="ListNumber"/>
      </w:pPr>
      <w:r/>
      <w:r>
        <w:rPr>
          <w:b/>
        </w:rPr>
        <w:t>Information sur les effets indésirables attendus</w:t>
      </w:r>
      <w:r>
        <w:t xml:space="preserve"> : Une sensation de brûlure, une irritation nasale, un goût amer, des éternuements post-administration et un léger saignement de nez peuvent survenir en début de traitement ; ces effets sont en général transitoires et n'imposent pas l'arrêt. En cas d'épistaxis répétées, d'ulcération nasale douloureuse, de troubles visuels ou de signes systémiques (asthénie, prise de poids), arrêter et consulter.</w:t>
      </w:r>
    </w:p>
    <w:p>
      <w:pPr>
        <w:pStyle w:val="ListNumber"/>
      </w:pPr>
      <w:r/>
      <w:r>
        <w:rPr>
          <w:b/>
        </w:rPr>
        <w:t>Information sur le rinçage de la bouche</w:t>
      </w:r>
      <w:r>
        <w:t xml:space="preserve"> : Après chaque administration, se rincer la bouche à l'eau et l'avaler (ou cracher) pour prévenir la candidose pharyngée et la dysgueusie.</w:t>
      </w:r>
    </w:p>
    <w:p>
      <w:pPr>
        <w:pStyle w:val="ListNumber"/>
      </w:pPr>
      <w:r/>
      <w:r>
        <w:rPr>
          <w:b/>
        </w:rPr>
        <w:t>Information sur la nécessité de ne pas partager le flacon</w:t>
      </w:r>
      <w:r>
        <w:t xml:space="preserve"> : Chaque flacon est personnel. Le partage expose à un risque de contamination croisée bactérienne ou virale.</w:t>
      </w:r>
    </w:p>
    <w:p>
      <w:pPr>
        <w:pStyle w:val="ListNumber"/>
      </w:pPr>
      <w:r/>
      <w:r>
        <w:rPr>
          <w:b/>
        </w:rPr>
        <w:t>Information sur l'absence d'interaction avec les autres traitements</w:t>
      </w:r>
      <w:r>
        <w:t xml:space="preserve"> (aux posologies usuelles et hors inhibiteurs du CYP3A4) : Le patient peut prendre ses autres traitements habituels, mais doit informer le médecin et le pharmacien de toute nouvelle prescription (en particulier les antifongiques azolés, la clarithromycine, le ritonavir).</w:t>
      </w:r>
    </w:p>
    <w:p>
      <w:pPr>
        <w:pStyle w:val="Heading3"/>
      </w:pPr>
      <w:r>
        <w:t>133.4.6 Conclusion</w:t>
      </w:r>
    </w:p>
    <w:p>
      <w:r>
        <w:t>Les corticoïdes et antihistaminiques par voie nasale constituent le cœur de la pharmacopée rhinologique moderne, offrant une efficacité remarquable avec une tolérance globale excellente. En Algérie, la disponibilité des corticoïdes nasaux est excellente (quatre DCIs avec une pluralité de génériques), garantissant une accessibilité économique et une diversité de choix thérapeutiques. En revanche, l'absence de commercialisation des antihistaminiques nasaux (azélastine, olopatadine) sous forme nasale est un manque thérapeutique notable qui prive les patients algériens d'une option recommandée par les guidelines internationales (ARIA, EPOS). La substitution par les antihistaminiques oraux de deuxième génération et les corticoïdes nasaux permet néanmoins de couvrir la majorité des besoins thérapeutiques. Le pharmacien d'officine joue un rôle critique dans l'éducation thérapeutique : technique de pulvérisation dirigée vers la paroi latérale, priming du flacon, information sur le délai d'action retardé des corticoïdes, surveillance de l'apparition d'épistaxis et de perforation septale, prévention des interactions médicamenteuses (en particulier avec les inhibiteurs du CYP3A4), et orientation du patient vers le médecin en cas d'absence d'efficacité à 4 semaines ou d'apparition d'effets indésirables systémiques. La maîtrise des particularités de chaque molécule (autorisation pédiatrique précoce de la fluticasone furoate dès 2 ans, profil rassurant du budésonide chez la femme enceinte, biodisponibilité systémique plus élevée de la beclométasone) est essentielle pour optimiser la prescription et la dispensation.</w:t>
      </w:r>
    </w:p>
    <w:p>
      <w:pPr>
        <w:pStyle w:val="Heading1"/>
      </w:pPr>
      <w:r>
        <w:t>Chapitre 134 — Antiseptiques, anesthésiques et anti-inflammatoires buccaux (Laryngologie)</w:t>
      </w:r>
    </w:p>
    <w:p>
      <w:pPr>
        <w:pStyle w:val="Heading2"/>
      </w:pPr>
      <w:r>
        <w:t>Introduction générale de la classe</w:t>
      </w:r>
    </w:p>
    <w:p>
      <w:r>
        <w:t>La pharmacologie bucco-laryngologique rassemble un ensemble hétérogène de molécules destinées à traiter localement les affections de la cavité buccale, du pharynx, du larynx et de l'hypopharynx. Ces affections — gingivites, stomatites, aphtose, angines, pharyngites, laryngites, dysphonies inflammatoires, candidoses orales post-antibiothérapiques, algies dentaires, lésions post-opératoires buccales, et affections inflammatoires chroniques type érythème polymorphe ou pemphigoïde bulleuse — sont parmi les motifs de consultation médicale les plus fréquents en médecine générale et en ORL. En Algérie, ces produits figurent parmi les plus dispensés en officine, avec une forte composante d'automédication encadrée par le pharmacien d'officine.</w:t>
      </w:r>
    </w:p>
    <w:p>
      <w:r>
        <w:t>Le présent chapitre regroupe six DCIs réparties en quatre sous-classes pharmacologiques distinctes : (1) les antiseptiques buccaux de la famille des biguanides, représentés par l'hexétidine, molécule historique largement utilisée en bains de bouche et collutoires depuis les années 1950 ; (2) les anesthésiques locaux buccaux de la famille des esters, représentés par l'oxétacaïne, l'oxybuprocaïne et la tétracaïne (également désignée dans la nomenclature sous le terme alternatif « tétragaine ») ; (3) les antiseptiques buccaux de la famille des ammoniums quaternaires, représentés par le cétylpyridinium, agent tensioactif cationique utilisé en pastilles à sucer et en bains de bouche ; (4) les corticoïdes buccaux locaux, représentés par le tixocortol pivalate, anti-inflammatoire stéroïdien local souvent associé à un antibiotique (néomycine, bacitracine) ou à un antiseptique (chlorhexidine) pour couvrir la composante surinfectieuse.</w:t>
      </w:r>
    </w:p>
    <w:p>
      <w:r>
        <w:t>La spécificité de la pharmacologie bucco-laryngologique réside dans l'accessibilité directe de la muqueuse buccale et pharyngée aux applications topiques, autorisant des concentrations locales élevées avec une résorption systémique généralement faible. Néanmoins, cette muqueuse est hautement vascularisée, et la résorption n'est jamais nulle, ce qui impose des règles strictes d'utilisation : durée limitée (5 à 7 jours en règle générale, 10 à 14 jours pour certains antiseptiques bains de bouche), contre-indications spécifiques (grossesse, allaitement, enfant en bas âge), prévention des fausses-routes par perturbation de la sensibilité pharyngée (anesthésiques locaux), et surveillance de la surinfection fongique (candidose buccale induite par les corticoïdes locaux et par les antiseptiques à large spectre utilisés au-delà de 7 jours).</w:t>
      </w:r>
    </w:p>
    <w:p>
      <w:r>
        <w:t>Le présent chapitre s'inscrit dans le Fascicule XIV (ORL — oto-rhino-laryngologie) en cohérence avec les chapitres précédents (otologie, vasoconstricteurs et anticholinergiques nasaux, corticoïdes et antihistaminiques nasaux) et le chapitre suivant (ORL divers). Il s'appuie sur les sources internationales de référence (VIDAL, ANSM, Thériaque, CRAT, UpToDate, OMS) et sur la nomenclature algérienne des médicaments (Avril 2026) pour décrire précisément les spécialités disponibles et leur statut commercial. Chaque DCI fait l'objet d'une fiche structurée en douze sections couvrant la classification, les spécialités commercialisées en Algérie, le mécanisme d'action, le profil pharmacologique, la prévention et gestion des effets indésirables, les interactions, la grossesse et l'allaitement, la posologie, la surveillance, l'arbitrage entre formes galéniques, les conseils au patient, et les règles d'or et pièges au comptoir. Un tableau comparatif récapitulatif et une conclusion générale clôturent le chapitre.</w:t>
      </w:r>
    </w:p>
    <w:p>
      <w:pPr>
        <w:pStyle w:val="Heading2"/>
      </w:pPr>
      <w:r>
        <w:t>134.1 Sous-classe : Antiseptiques buccaux — Biguanides (Hexétidine)</w:t>
      </w:r>
    </w:p>
    <w:p>
      <w:r>
        <w:t>La sous-classe des antiseptiques buccaux biguanides est essentiellement représentée par l'hexétidine, molécule de synthèse découverte dans les années 1940 et commercialisée à partir des années 1950. L'hexétidine appartient chimiquement à la famille des biguanides aromatiques, comme la chlorhexidine (traitée au chapitre 124 sur les antiseptiques topiques cutanéo-muqueux), mais s'en distingue par sa structure (cycle pyrimidine substitué), son spectre antimicrobien (orienté vers les bactéries Gram-positives et les champignons), et son usage principalement bucco-pharyngé. Elle est disponible sous forme de solutions pour bain de bouche et de collutoires, à des concentrations comprises entre 0,1 % et 0,2 %, et constitue, en Algérie comme dans de nombreux pays francophones, l'un des antiseptiques bucco-pharyngés les plus prescrits en automédication encadrée.</w:t>
      </w:r>
    </w:p>
    <w:p>
      <w:r>
        <w:t>L'hexétidine exerce son action antimicrobienne par un mécanisme non spécifique de disruption des membranes cellulaires bactériennes et fongiques, sans cible moléculaire précise — ce qui explique l'absence de résistance bactérienne acquise documentée à ce jour, mais également la possibilité d'effets irritatifs locaux à concentrations élevées. Son spectre couvre les principales bactéries Gram-positives responsables d'angines et de stomatites (streptocoques α- et β-hémolytiques, staphylocoques, pneumocoques), certaines bactéries Gram-négatives (Haemophilus, Neisseria), et les champignons (Candida albicans, levures) — spectre particulièrement adapté aux affections bucco-pharyngées surinfectées ou post-antibiothérapiques.</w:t>
      </w:r>
    </w:p>
    <w:p>
      <w:r>
        <w:t>La place de l'hexétidine dans la stratégie thérapeutique bucco-laryngologique est triple : (1) traitement adjuvant des affections bucco-pharyngées aiguës (gingivites, stomatites, angines érythémateuses, pharyngites) en complément d'une antibiothérapie systémique when nécessaire ; (2) hygiène bucco-dentaire post-opératoire après avulsion dentaire, chirurgie parodontale, ou amygdalectomie ; (3) prophylaxie des surinfections en cas d'immunosuppression locale (radiothérapie cervico-faciale, chimiothérapie mucitoxique). Son utilisation doit cependant rester courte (5 jours maximum selon l'ANSM) afin de limiter la perturbation du microbiote buccal et le risque théorique de sélection de résistances croisées.</w:t>
      </w:r>
    </w:p>
    <w:p>
      <w:r>
        <w:t>Les principales spécialités algériennes actives comprennent Dad Mouth Wash (Dar Al Dawa), Oralvex (SPA Union Pharmaceutique Constantinoise), et la forme combinée Givalex (Chemical Farma — hexétidine + salicylate de choline + chlorbutanol). Les formes historiques Hextril et Collu-Hextril (Pfizer, ex-Upjohn) ont été retirées du marché algérien mais restent largement prescrites par habitude, et les praticiens algériens doivent en connaître les équivalents disponibles. La suite du chapitre détaille la fiche complète de l'hexétidine.</w:t>
      </w:r>
    </w:p>
    <w:p>
      <w:pPr>
        <w:pStyle w:val="Heading3"/>
      </w:pPr>
      <w:r>
        <w:t>134.1.1 DCI : Hexétidine (usage ORL)</w:t>
      </w:r>
    </w:p>
    <w:p>
      <w:r/>
      <w:r>
        <w:rPr>
          <w:b/>
        </w:rPr>
        <w:t>Liste des Catégories :</w:t>
      </w:r>
      <w:r>
        <w:t xml:space="preserve"> Antiseptique bucco-pharyngé ; Biguanide aromatique ; Antifongique local buccal ; Antiseptique pour bain de bouche et collutoire ; Hors liste (la plupart des spécialités en Algérie ne sont pas inscrites à la Liste I ou II, en vente libre pour usage court).</w:t>
      </w:r>
    </w:p>
    <w:p>
      <w:r>
        <w:t>L'hexétidine (1,3-bis(2-éthylhexyl)-5-méthylhexahydropyrimidine) est un antiseptique biguanide aromatique de synthèse commercialisé dès les années 1950 sous le nom historique d'Hextril (laboratoires Upjohn, devenus Pfizer). Sa découverte a offert une alternative intéressante aux ammoniums quaternaires et aux antiseptiques iodés pour l'usage bucco-pharyngé, en raison de son spectre adapté aux pathologies ORL courantes (streptocoques, Candida), de sa bonne tolérance locale sur la muqueuse buccale, et de son goût mentholé acceptable. Elle est inscrite sur la liste des médicaments essentiels OMS pour les affections bucco-dentaires et reste recommandée par la Société Française d'ORL (SFORL) en traitement adjuvant des angines érythémateuses non-streptococciques. En Algérie, plusieurs spécialités natives et importées cohabitent, dont les plus prescrites sont le Dad Mouth Wash (Dar Al Dawa) et le Givalex (Chemical Farma, association à un anti-inflammatoire local salicylé et à un antiseptique chlorbutanol).</w:t>
      </w:r>
    </w:p>
    <w:p>
      <w:r/>
      <w:r>
        <w:rPr>
          <w:b/>
        </w:rPr>
        <w:t>Médicaments disponibles en Algérie (tableau des spécialités commercialisées)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DAD MOUTH WASH</w:t>
            </w:r>
          </w:p>
        </w:tc>
        <w:tc>
          <w:tcPr>
            <w:tcW w:type="dxa" w:w="1559"/>
          </w:tcPr>
          <w:p>
            <w:r>
              <w:rPr>
                <w:sz w:val="20"/>
              </w:rPr>
              <w:t>DAR AL DAWA</w:t>
            </w:r>
          </w:p>
        </w:tc>
        <w:tc>
          <w:tcPr>
            <w:tcW w:type="dxa" w:w="1559"/>
          </w:tcPr>
          <w:p>
            <w:r>
              <w:rPr>
                <w:sz w:val="20"/>
              </w:rPr>
              <w:t>Solution pour bain de bouche — Hexétidine 0,1 %</w:t>
            </w:r>
          </w:p>
        </w:tc>
        <w:tc>
          <w:tcPr>
            <w:tcW w:type="dxa" w:w="1559"/>
          </w:tcPr>
          <w:p>
            <w:r>
              <w:rPr>
                <w:sz w:val="20"/>
              </w:rPr>
              <w:t>Flacon 200 mL</w:t>
            </w:r>
          </w:p>
        </w:tc>
        <w:tc>
          <w:tcPr>
            <w:tcW w:type="dxa" w:w="1559"/>
          </w:tcPr>
          <w:p>
            <w:r>
              <w:rPr>
                <w:sz w:val="20"/>
              </w:rPr>
              <w:t>Hors liste</w:t>
            </w:r>
          </w:p>
        </w:tc>
        <w:tc>
          <w:tcPr>
            <w:tcW w:type="dxa" w:w="1559"/>
          </w:tcPr>
          <w:p>
            <w:r>
              <w:rPr>
                <w:sz w:val="20"/>
              </w:rPr>
              <w:t>Actif</w:t>
            </w:r>
          </w:p>
        </w:tc>
      </w:tr>
      <w:tr>
        <w:tc>
          <w:tcPr>
            <w:tcW w:type="dxa" w:w="1559"/>
          </w:tcPr>
          <w:p>
            <w:r>
              <w:rPr>
                <w:sz w:val="20"/>
              </w:rPr>
              <w:t>ORALVEX</w:t>
            </w:r>
          </w:p>
        </w:tc>
        <w:tc>
          <w:tcPr>
            <w:tcW w:type="dxa" w:w="1559"/>
          </w:tcPr>
          <w:p>
            <w:r>
              <w:rPr>
                <w:sz w:val="20"/>
              </w:rPr>
              <w:t>SPA UNION PHARMACEUTIQUE CONSTANTINOISE PRODUCTION</w:t>
            </w:r>
          </w:p>
        </w:tc>
        <w:tc>
          <w:tcPr>
            <w:tcW w:type="dxa" w:w="1559"/>
          </w:tcPr>
          <w:p>
            <w:r>
              <w:rPr>
                <w:sz w:val="20"/>
              </w:rPr>
              <w:t>Solution pour bain de bouche — Hexétidine 0,001 (0,1 %)</w:t>
            </w:r>
          </w:p>
        </w:tc>
        <w:tc>
          <w:tcPr>
            <w:tcW w:type="dxa" w:w="1559"/>
          </w:tcPr>
          <w:p>
            <w:r>
              <w:rPr>
                <w:sz w:val="20"/>
              </w:rPr>
              <w:t>Boîte de 1 flacon de 125 mL</w:t>
            </w:r>
          </w:p>
        </w:tc>
        <w:tc>
          <w:tcPr>
            <w:tcW w:type="dxa" w:w="1559"/>
          </w:tcPr>
          <w:p>
            <w:r>
              <w:rPr>
                <w:sz w:val="20"/>
              </w:rPr>
              <w:t>Hors liste</w:t>
            </w:r>
          </w:p>
        </w:tc>
        <w:tc>
          <w:tcPr>
            <w:tcW w:type="dxa" w:w="1559"/>
          </w:tcPr>
          <w:p>
            <w:r>
              <w:rPr>
                <w:sz w:val="20"/>
              </w:rPr>
              <w:t>Actif</w:t>
            </w:r>
          </w:p>
        </w:tc>
      </w:tr>
      <w:tr>
        <w:tc>
          <w:tcPr>
            <w:tcW w:type="dxa" w:w="1559"/>
          </w:tcPr>
          <w:p>
            <w:r>
              <w:rPr>
                <w:sz w:val="20"/>
              </w:rPr>
              <w:t>GIVALEX</w:t>
            </w:r>
          </w:p>
        </w:tc>
        <w:tc>
          <w:tcPr>
            <w:tcW w:type="dxa" w:w="1559"/>
          </w:tcPr>
          <w:p>
            <w:r>
              <w:rPr>
                <w:sz w:val="20"/>
              </w:rPr>
              <w:t>CHEMICAL FARMA</w:t>
            </w:r>
          </w:p>
        </w:tc>
        <w:tc>
          <w:tcPr>
            <w:tcW w:type="dxa" w:w="1559"/>
          </w:tcPr>
          <w:p>
            <w:r>
              <w:rPr>
                <w:sz w:val="20"/>
              </w:rPr>
              <w:t>Solution pour bain de bouche — Hexétidine 0,1 g + Salicylate de choline 0,5 g + Chlorbutanol hémihydrate 0,25 g pour 100 mL</w:t>
            </w:r>
          </w:p>
        </w:tc>
        <w:tc>
          <w:tcPr>
            <w:tcW w:type="dxa" w:w="1559"/>
          </w:tcPr>
          <w:p>
            <w:r>
              <w:rPr>
                <w:sz w:val="20"/>
              </w:rPr>
              <w:t>Flacon 125 mL</w:t>
            </w:r>
          </w:p>
        </w:tc>
        <w:tc>
          <w:tcPr>
            <w:tcW w:type="dxa" w:w="1559"/>
          </w:tcPr>
          <w:p>
            <w:r>
              <w:rPr>
                <w:sz w:val="20"/>
              </w:rPr>
              <w:t>Hors liste</w:t>
            </w:r>
          </w:p>
        </w:tc>
        <w:tc>
          <w:tcPr>
            <w:tcW w:type="dxa" w:w="1559"/>
          </w:tcPr>
          <w:p>
            <w:r>
              <w:rPr>
                <w:sz w:val="20"/>
              </w:rPr>
              <w:t>Actif</w:t>
            </w:r>
          </w:p>
        </w:tc>
      </w:tr>
      <w:tr>
        <w:tc>
          <w:tcPr>
            <w:tcW w:type="dxa" w:w="1559"/>
          </w:tcPr>
          <w:p>
            <w:r>
              <w:rPr>
                <w:sz w:val="20"/>
              </w:rPr>
              <w:t>COLLU-HEXTRIL</w:t>
            </w:r>
          </w:p>
        </w:tc>
        <w:tc>
          <w:tcPr>
            <w:tcW w:type="dxa" w:w="1559"/>
          </w:tcPr>
          <w:p>
            <w:r>
              <w:rPr>
                <w:sz w:val="20"/>
              </w:rPr>
              <w:t>PFIZER</w:t>
            </w:r>
          </w:p>
        </w:tc>
        <w:tc>
          <w:tcPr>
            <w:tcW w:type="dxa" w:w="1559"/>
          </w:tcPr>
          <w:p>
            <w:r>
              <w:rPr>
                <w:sz w:val="20"/>
              </w:rPr>
              <w:t>Collutoire — Hexétidine 0,2 %</w:t>
            </w:r>
          </w:p>
        </w:tc>
        <w:tc>
          <w:tcPr>
            <w:tcW w:type="dxa" w:w="1559"/>
          </w:tcPr>
          <w:p>
            <w:r>
              <w:rPr>
                <w:sz w:val="20"/>
              </w:rPr>
              <w:t>Flacon 40 mL</w:t>
            </w:r>
          </w:p>
        </w:tc>
        <w:tc>
          <w:tcPr>
            <w:tcW w:type="dxa" w:w="1559"/>
          </w:tcPr>
          <w:p>
            <w:r>
              <w:rPr>
                <w:sz w:val="20"/>
              </w:rPr>
              <w:t>Hors liste</w:t>
            </w:r>
          </w:p>
        </w:tc>
        <w:tc>
          <w:tcPr>
            <w:tcW w:type="dxa" w:w="1559"/>
          </w:tcPr>
          <w:p>
            <w:r>
              <w:rPr>
                <w:sz w:val="20"/>
              </w:rPr>
              <w:t>Retrait</w:t>
            </w:r>
          </w:p>
        </w:tc>
      </w:tr>
      <w:tr>
        <w:tc>
          <w:tcPr>
            <w:tcW w:type="dxa" w:w="1559"/>
          </w:tcPr>
          <w:p>
            <w:r>
              <w:rPr>
                <w:sz w:val="20"/>
              </w:rPr>
              <w:t>HEXTRIL</w:t>
            </w:r>
          </w:p>
        </w:tc>
        <w:tc>
          <w:tcPr>
            <w:tcW w:type="dxa" w:w="1559"/>
          </w:tcPr>
          <w:p>
            <w:r>
              <w:rPr>
                <w:sz w:val="20"/>
              </w:rPr>
              <w:t>PFIZER</w:t>
            </w:r>
          </w:p>
        </w:tc>
        <w:tc>
          <w:tcPr>
            <w:tcW w:type="dxa" w:w="1559"/>
          </w:tcPr>
          <w:p>
            <w:r>
              <w:rPr>
                <w:sz w:val="20"/>
              </w:rPr>
              <w:t>Solution pour bain de bouche — Hexétidine 0,1 %</w:t>
            </w:r>
          </w:p>
        </w:tc>
        <w:tc>
          <w:tcPr>
            <w:tcW w:type="dxa" w:w="1559"/>
          </w:tcPr>
          <w:p>
            <w:r>
              <w:rPr>
                <w:sz w:val="20"/>
              </w:rPr>
              <w:t>Flacon 200 mL</w:t>
            </w:r>
          </w:p>
        </w:tc>
        <w:tc>
          <w:tcPr>
            <w:tcW w:type="dxa" w:w="1559"/>
          </w:tcPr>
          <w:p>
            <w:r>
              <w:rPr>
                <w:sz w:val="20"/>
              </w:rPr>
              <w:t>Hors liste</w:t>
            </w:r>
          </w:p>
        </w:tc>
        <w:tc>
          <w:tcPr>
            <w:tcW w:type="dxa" w:w="1559"/>
          </w:tcPr>
          <w:p>
            <w:r>
              <w:rPr>
                <w:sz w:val="20"/>
              </w:rPr>
              <w:t>Retrait</w:t>
            </w:r>
          </w:p>
        </w:tc>
      </w:tr>
      <w:tr>
        <w:tc>
          <w:tcPr>
            <w:tcW w:type="dxa" w:w="1559"/>
          </w:tcPr>
          <w:p>
            <w:r>
              <w:rPr>
                <w:sz w:val="20"/>
              </w:rPr>
              <w:t>GIVALEX</w:t>
            </w:r>
          </w:p>
        </w:tc>
        <w:tc>
          <w:tcPr>
            <w:tcW w:type="dxa" w:w="1559"/>
          </w:tcPr>
          <w:p>
            <w:r>
              <w:rPr>
                <w:sz w:val="20"/>
              </w:rPr>
              <w:t>CHEMICAL FARMA</w:t>
            </w:r>
          </w:p>
        </w:tc>
        <w:tc>
          <w:tcPr>
            <w:tcW w:type="dxa" w:w="1559"/>
          </w:tcPr>
          <w:p>
            <w:r>
              <w:rPr>
                <w:sz w:val="20"/>
              </w:rPr>
              <w:t>Collutoire — Hexétidine 0,1 g + Salicylate de choline 0,5 g + Chlorbutanol hémihydrate 0,25 g pour 100 mL</w:t>
            </w:r>
          </w:p>
        </w:tc>
        <w:tc>
          <w:tcPr>
            <w:tcW w:type="dxa" w:w="1559"/>
          </w:tcPr>
          <w:p>
            <w:r>
              <w:rPr>
                <w:sz w:val="20"/>
              </w:rPr>
              <w:t>Flacon 50 mL</w:t>
            </w:r>
          </w:p>
        </w:tc>
        <w:tc>
          <w:tcPr>
            <w:tcW w:type="dxa" w:w="1559"/>
          </w:tcPr>
          <w:p>
            <w:r>
              <w:rPr>
                <w:sz w:val="20"/>
              </w:rPr>
              <w:t>Hors liste</w:t>
            </w:r>
          </w:p>
        </w:tc>
        <w:tc>
          <w:tcPr>
            <w:tcW w:type="dxa" w:w="1559"/>
          </w:tcPr>
          <w:p>
            <w:r>
              <w:rPr>
                <w:sz w:val="20"/>
              </w:rPr>
              <w:t>Retrait</w:t>
            </w:r>
          </w:p>
        </w:tc>
      </w:tr>
    </w:tbl>
    <w:p/>
    <w:p>
      <w:r>
        <w:t>L'hexétidine est principalement délivrée en Algérie sous trois formes natives actives : (1) le Dad Mouth Wash (Dar Al Dawa) en solution pour bain de bouche à 0,1 % en flacon de 200 mL, forme monothérapie standard ; (2) l'Oralvex (SPA Union Pharmaceutique Constantinoise) en solution pour bain de bouche à 0,1 % en flacon de 125 mL, alternative locale du groupe Saidal ; (3) le Givalex (Chemical Farma), association à deux autres actifs — salicylate de choline (anti-inflammatoire non stéroïdien local, dérivé de l'acide acétylsalicylique) et chlorbutanol hémihydrate (antiseptique et antifongique) — disponible en solution pour bain de bouche et en collutoire. Les formes historiques Hextril (Pfizer) et Collu-Hextril (Pfizer) ont été retirées du marché algérien mais restent largement prescrites par habitude dans les ordonnances privées ; les officinaux doivent orienter le patient vers les formes natives équivalentes (Dad Mouth Wash, Oralvex) ou vers le Givalex en cas de composante inflammatoire associée.</w:t>
      </w:r>
    </w:p>
    <w:p>
      <w:r/>
      <w:r>
        <w:rPr>
          <w:b/>
        </w:rPr>
        <w:t>Sous-classe et Mécanisme d'action :</w:t>
      </w:r>
      <w:r/>
    </w:p>
    <w:p>
      <w:pPr>
        <w:pStyle w:val="ListBullet"/>
      </w:pPr>
      <w:r>
        <w:t>Sous-classe : Biguanide aromatique de synthèse, chef de file historique des antiseptiques bucco-pharyngés, parent structural de la chlorhexidine mais distinct par son usage strictement muqueux.</w:t>
      </w:r>
    </w:p>
    <w:p>
      <w:pPr>
        <w:pStyle w:val="ListBullet"/>
      </w:pPr>
      <w:r>
        <w:t>Mécanisme d'action : l'hexétidine est une base faible lipophile qui, à pH physiologique, traverse la membrane cellulaire bactérienne et fongique par diffusion passive. Sa structure biguanide lui confère une affinité pour les phospholipides membranaires, qu'elle altère par insertion dans la bicouche lipidique — provoquant (i) une augmentation de la perméabilité membranaire avec fuite d'ions K+, de métabolites intracellulaires et d'ATP ; (ii) une inhibition des ATPases membranaires par dénaturation des protéines de transport ; (iii) une altération du métabolisme oxydatif mitochondrial chez les levures (Candida) ; (iv) à concentration supérieure, une lyse cellulaire complète. L'action est bactériostatique à faible concentration (0,05 %) et bactéricide à 0,1 % avec un temps de contact minimum de 30 secondes. L'hexétidine présente une certaine affinité pour les muqueuses (rétention locale de 8 à 12 heures), ce qui justifie une fréquence d'administration de 2 à 3 fois par jour. Son spectre couvre les bactéries Gram-positives (Streptococcus pyogenes, S. pneumoniae, Staphylococcus aureus — y compris certains SARM), certaines bactéries Gram-négatives (Neisseria, Haemophilus — activité modeste), les anaérobies buccaux (Fusobacterium, Prevotella — utiles en parodontologie), les champignons (Candida albicans, C. glabrata — activité fongicide documentée), et certains virus enveloppés (Herpès simplex — activité partielle). Elle est peu active sur les entérobactéries (E. coli, Klebsiella) et sur Pseudomonas aeruginosa. Aucune résistance acquise documentée à ce jour en usage buccal standard, en raison du mécanisme non spécifique de membrane.</w:t>
      </w:r>
    </w:p>
    <w:p>
      <w:r/>
      <w:r>
        <w:rPr>
          <w:b/>
        </w:rPr>
        <w:t>Profil Pharmacologique :</w:t>
      </w:r>
      <w:r/>
    </w:p>
    <w:p>
      <w:pPr>
        <w:pStyle w:val="ListBullet"/>
      </w:pPr>
      <w:r>
        <w:t>Indications : (1) Traitement adjuvant des affections bucco-pharyngées aiguës : gingivites, stomatites érythémateuses ou ulcéreuses, angines érythémateuses non-streptococciques, pharyngites virales ou post-trachéotomie (collutoire ou bain de bouche 2 à 3 fois par jour pendant 5 jours maximum). (2) Hygiène bucco-dentaire post-opératoire : après avulsion dentaire, chirurgie parodontale, pose d'implant, amygdalectomie (bain de bouche 2 fois par jour, démarré à J1 post-opératoire, pendant 5 à 7 jours). (3) Prophylaxie des surinfections en cas d'immunosuppression locale : radiothérapie cervico-faciale, chimiothérapie mucitoxique (surtout dans le cadre des protocoles 5-FU, methotrexate, doxorubicine), neutropénie post-chimiothérapie (bain de bouche 3 fois par jour pendant toute la durée de la neutropénie, sous surveillance). (4) Candidoses buccales post-antibiothérapiques ou du sujet immunodéprimé, en traitement adjuvant des antifongiques systémiques (fluconazole) ou locaux (nystatine, miconazole gel buccal). (5) Forme combinée Givalex : affections bucco-pharyngées inflammatoires surinfectées (gingivite ulcéro-nécrotique, stomatite aphtense, pharyngite érythémato-pultacée) où la composante anti-inflammatoire (salicylate de choline) et la composante antiseptique complémentaire (chlorbutanol) potentialisent l'effet de l'hexétidine.</w:t>
      </w:r>
    </w:p>
    <w:p>
      <w:pPr>
        <w:pStyle w:val="ListBullet"/>
      </w:pPr>
      <w:r>
        <w:t>Contre-indications : (1) Hypersensibilité à l'hexétidine ou à l'un des excipients (parahydroxybenzoates, menthol, colorants dans certaines formes). (2) Enfants de moins de 6 ans pour le bain de bouche (risque d'ingestion et d'effets systémiques — neurotoxicité centrale exceptionnelle rapportée avec de fortes doses ingérées). (3) Enfants de moins de 30 mois pour le collutoire (risque de laryngospasme par sensibilisation pharyngée — règle générale pour tous les collutoires). (4) Antécédents d'épilepsie non contrôlée (prudence — excipients alcohol ou mentholés peuvent abaisser le seuil épileptogène à doses ingérées massives). (5) Patients porteurs de mucite radio-induite sévère (grade 3–4 OMS) — risque d'irritation supplémentaire ; préférer la nystatine ou le bicarbonate à 1,4 %. (6) Ne pas avaler (la solution est strictement pour usage local bucco-pharyngé, recracher après rinçage). (7) En cas de persistance des symptômes au-delà de 5 jours, consultation médicale obligatoire pour réévaluation diagnostique.</w:t>
      </w:r>
    </w:p>
    <w:p>
      <w:pPr>
        <w:pStyle w:val="ListBullet"/>
      </w:pPr>
      <w:r>
        <w:t>Effets Indésirables : Très fréquents (&gt; 10 %) en usage buccal prolongé : dysgueusie transitoire (goût métallique ou amer persistant plusieurs heures après rinçage), altération transitoire du goût. Fréquents (1–10 %) : sensation de brûlure légère de la muqueuse buccale immédiatement après application (régressive en quelques minutes), irritation locale, sécheresse buccale, hypersialorrhée réactionnelle. Peu fréquents (0,1–1 %) : desquamation épithéliale buccale (en usage prolongé &gt; 7 jours — signe d'arrêt), coloration brune de la langue (rétention de l'hexétidine sur la couche cornée linguale — réversible à l'arrêt), rash cutané péribuccal. Rares (&lt; 0,1 %) : dermatite de contact allergique (eczéma péribuccal, stomatite allergique de contact), urticaire, réactions anaphylactiques exceptionnelles. Exceptionnels (&lt; 0,01 %) : en cas d'ingestion massive accidentelle (enfant) — symptômes digestifs (nausées, vomissements, diarrhée), troubles neurologiques centraux (somnolence, vertiges, hypotonie, exceptionnellement convulsions), hépatotoxicité (cas isolés documentés avec ingestion &gt; 100 mg/kg). L'hexétidine n'est pas génotoxique ni cancérogène aux concentrations d'usage. Aucun effet tératogène documenté à ce jour en usage local.</w:t>
      </w:r>
    </w:p>
    <w:p>
      <w:r/>
      <w:r>
        <w:rPr>
          <w:b/>
        </w:rPr>
        <w:t>Prévention et Gestion des Effets Indésirables :</w:t>
      </w:r>
      <w:r/>
    </w:p>
    <w:p>
      <w:pPr>
        <w:pStyle w:val="ListBullet"/>
      </w:pPr>
      <w:r>
        <w:t>Mesures préventives : (1) Respecter strictement la durée maximale de 5 jours (recommandation ANSM 2019 pour tous les antiseptiques buccaux en automédication, alignée sur les recommandations européennes EMA) — au-delà de 5 jours, le risque de perturbation du microbiote buccal et de candidose de rebond devient significatif. (2) Informer le patient de l'obligation de recracher la solution après rinçage (ne pas avaler), en particulier chez l'enfant et le sujet âgé dément. (3) Chez l'enfant de moins de 6 ans, proscrire le bain de bouche et utiliser une application locale au coton-tige imbibé en cas d'indication (stomatite post-antibiothérapie). (4) Ne pas dépasser 2 à 3 bains de bouche par jour (surdosage inutile et augmente le risque d'effets indésirables locaux). (5) Espacer les bains de bouche des repas de 30 minutes à 1 heure (ne pas appliquer juste avant ou après un repas pour ne pas altérer le goût des aliments et la digestion salivaire). (6) Vérifier l'absence d'antécédents allergiques aux biguanides (chlorhexidine) ou aux excipients avant initiation — en cas de doute, application test au pli du coude 24 h avant. (7) Prévenir le patient de la possibilité d'une coloration linguale transitoire et réversible (brossage doux de la langue pour limiter le dépôt). (8) Chez la femme enceinte, limiter à un usage ponctuel de 3 à 5 jours maximum, en privilégiant la forme monothérapie (Dad Mouth Wash, Oralvex) plutôt que la forme combinée Givalex (présence de salicylate de choline, à éviter au 3e trimestre).</w:t>
      </w:r>
    </w:p>
    <w:p>
      <w:pPr>
        <w:pStyle w:val="ListBullet"/>
      </w:pPr>
      <w:r>
        <w:t>Conduite à tenir : (1) En cas de persistance des symptômes au-delà de 5 jours : arrêt du traitement et consultation médicale pour réévaluation diagnostique (recherche d'angine streptococcique nécessitant antibiotique, candidose buccale nécessitant antifongique, lésion tumorale sous-jacente). (2) En cas d'irritation locale sévère ou de desquamation muqueuse : arrêt immédiat, rinçage à l'eau tiède, émollient muqueux (bicarbonate à 1,4 %, hydraline). (3) En cas de signes d'allergie (rash péribuccal, urticaire, prurit, œdème) : arrêt, antihistaminique H1 oral (dexchlorphéniramine 2 mg chez l'adulte), consultation médicale ; en cas de signes d'anaphylaxie (œdème de Quincke, bronchospasme, hypotension) : adrénaline IM 0,3 mg, appel SAMU 15. (4) En cas d'ingestion accidentelle massive par un enfant : surveillance médicale hospitalière 24 heures, surveillance neurologique et hépatique, traitement symptomatique ; aucun antidote spécifique. (5) En cas de coloration linguale : arrêt, brossage doux de la langue, régression spontanée en 7 à 10 jours.</w:t>
      </w:r>
    </w:p>
    <w:p>
      <w:r/>
      <w:r>
        <w:rPr>
          <w:b/>
        </w:rPr>
        <w:t>Interactions Médicamenteuses :</w:t>
      </w:r>
      <w:r/>
    </w:p>
    <w:p>
      <w:pPr>
        <w:pStyle w:val="ListBullet"/>
      </w:pPr>
      <w:r>
        <w:t>Antiseptiques anioniques (savons, détergents anioniques, sodium lauryl sulfate) : inactivation réciproque par neutralisation des charges — ne pas rincer la bouche avec un dentifrice au sodium lauryl sulfate immédiatement avant ou après l'hexétidine ; espace de 30 minutes recommandé.</w:t>
      </w:r>
    </w:p>
    <w:p>
      <w:pPr>
        <w:pStyle w:val="ListBullet"/>
      </w:pPr>
      <w:r>
        <w:t>Chlorhexidine (bain de bouche) : pas d'indication à associer deux antiseptiques biguanides — préférer l'un ou l'autre, ou alterner à 12 heures d'intervalle si nécessaire.</w:t>
      </w:r>
    </w:p>
    <w:p>
      <w:pPr>
        <w:pStyle w:val="ListBullet"/>
      </w:pPr>
      <w:r>
        <w:t>Antifongiques locaux buccaux (nystatine, miconazole gel buccal) : ne pas appliquer simultanément (l'hexétidine peut inactiver la nystatine par compétition de cible membranaire sur Candida) — espacer de 2 heures minimum, ou préférer un seul antifongique.</w:t>
      </w:r>
    </w:p>
    <w:p>
      <w:pPr>
        <w:pStyle w:val="ListBullet"/>
      </w:pPr>
      <w:r>
        <w:t>Antibiotiques systémiques : pas d'interaction significative (l'hexétidine est un topique à résorption systémique négligeable).</w:t>
      </w:r>
    </w:p>
    <w:p>
      <w:pPr>
        <w:pStyle w:val="ListBullet"/>
      </w:pPr>
      <w:r>
        <w:t>Corticoïdes buccaux (tixocortol, hydrocortisone) : association possible en alternance séquentielle (hexétidine le matin, corticoïde le soir) dans les stomatites inflammatoires sévères ; espacer de 2 heures minimum.</w:t>
      </w:r>
    </w:p>
    <w:p>
      <w:pPr>
        <w:pStyle w:val="ListBullet"/>
      </w:pPr>
      <w:r>
        <w:t>Forme combinée Givalex (salicylate de choline) : prudence en cas d'anticoagulants oraux (AVK — warfarine, acénocoumarol) et antiagrégants plaquettaires (aspirine, clopidogrel) — le salicylate de choline absorbé par la muqueuse buccale peut potentialiser le saignement (prévenir en cas de chirurgie buccale, d'amygdalectomie) ; prudence en cas d'ulcère gastroduodénal évolutif, d'asthme aspirine-sensible (intolérance aux AINS).</w:t>
      </w:r>
    </w:p>
    <w:p>
      <w:pPr>
        <w:pStyle w:val="ListBullet"/>
      </w:pPr>
      <w:r>
        <w:t>Alcool (excipient présent dans certaines formulations) : potentialisation de l'effet neurotoxique central en cas d'ingestion massive ; éviter l'association avec consommation alcoolique concomitante (rare en pratique).</w:t>
      </w:r>
    </w:p>
    <w:p>
      <w:pPr>
        <w:pStyle w:val="ListBullet"/>
      </w:pPr>
      <w:r>
        <w:t>PAS d'interaction systémique significative en usage local bucco-pharyngé correctement conduit (résorption systémique négligeable sur muqueuse saine, &lt; 5 % de la dose appliquée).</w:t>
      </w:r>
    </w:p>
    <w:p>
      <w:r/>
      <w:r>
        <w:rPr>
          <w:b/>
        </w:rPr>
        <w:t>Grossesse et Allaitement :</w:t>
      </w:r>
      <w:r/>
    </w:p>
    <w:p>
      <w:pPr>
        <w:pStyle w:val="ListBullet"/>
      </w:pPr>
      <w:r>
        <w:t>Grossesse : l'hexétidine est considérée comme COMPATIBLE en usage local bucco-pharyngé ponctuel et court (≤ 5 jours), quel que soit le terme de la grossesse (CRAT : « l'utilisation ponctuelle et brève d'un bain de bouche à l'hexétidine est envisageable quel que soit le terme de la grossesse ; la résorption systémique est négligeable »). Préférer la forme monothérapie (Dad Mouth Wash, Oralvex) à la forme combinée Givalex (qui contient du salicylate de choline, à éviter au 3e trimestre par risque hémorragique fœtal et maternel et risque de fermeture prématurée du canal artériel). Éviter l'ingestion (recracher après rinçage) — en cas d'ingestion accidentelle massive, consultation médicale urgente pour évaluation.</w:t>
      </w:r>
    </w:p>
    <w:p>
      <w:pPr>
        <w:pStyle w:val="ListBullet"/>
      </w:pPr>
      <w:r>
        <w:t>Allaitement : COMPATIBLE en usage local bucco-pharyngé ponctuel et court (≤ 5 jours), en recracher la solution après rinçage. Le passage dans le lait maternel est négligeable (&lt; 1 % de la dose maternelle, sans effet clinique attendu sur le nouveau-né). Éviter l'application sur le mamelon avant la tétée (goût amer, irritations possibles) ; rincer soigneusement si usage nécessaire sur la région thoracique.</w:t>
      </w:r>
    </w:p>
    <w:p>
      <w:pPr>
        <w:pStyle w:val="ListBullet"/>
      </w:pPr>
      <w:r>
        <w:t>Fertilité : pas d'effet connu sur la fertilité masculine ou féminine en usage local court.</w:t>
      </w:r>
    </w:p>
    <w:p>
      <w:r/>
      <w:r>
        <w:rPr>
          <w:b/>
        </w:rPr>
        <w:t>Posologie et Mode d'administration (Standard) :</w:t>
      </w:r>
      <w:r/>
    </w:p>
    <w:p>
      <w:pPr>
        <w:pStyle w:val="ListBullet"/>
      </w:pPr>
      <w:r>
        <w:t>Bain de bouche (Dad Mouth Wash, Oralvex, Hextril, Givalex solution pour bain de bouche) : 10 à 15 mL de solution NON DILUÉE (pure), bain de bouche pendant 30 secondes à 1 minute, 2 à 3 fois par jour après brossage des dents, recracher (ne pas avaler) — cure courte de 5 jours maximum en automédication, prolongeable jusqu'à 7 à 10 jours sur prescription médicale en post-opératoire ou en cas d'immunosuppression. En cas d'irritation locale, diluer moitié-moitié avec de l'eau tiède.</w:t>
      </w:r>
    </w:p>
    <w:p>
      <w:pPr>
        <w:pStyle w:val="ListBullet"/>
      </w:pPr>
      <w:r>
        <w:t>Collutoire (Collu-Hextril, Givalex collutoire) : 1 à 2 pulvérisations directes sur la zone à traiter (pharynx, amygdale, gencive), 3 à 4 fois par jour, après repas — cure courte de 5 jours maximum. Bien agiter avant emploi. Éviter l'inhalation du spray. Ne pas utiliser chez l'enfant de moins de 30 mois (risque de laryngospasme).</w:t>
      </w:r>
    </w:p>
    <w:p>
      <w:pPr>
        <w:pStyle w:val="ListBullet"/>
      </w:pPr>
      <w:r>
        <w:t>Forme combinée Givalex (hexétidine + salicylate de choline + chlorbutanol) : bain de bouche 10 à 15 mL pur, 2 à 3 fois par jour, recracher ; collutoire 1 à 2 pulvérisations, 3 à 4 fois par jour. Indications : affections bucco-pharyngées inflammatoires surinfectées. Cure 5 jours maximum.</w:t>
      </w:r>
    </w:p>
    <w:p>
      <w:pPr>
        <w:pStyle w:val="ListBullet"/>
      </w:pPr>
      <w:r>
        <w:t>Hygiène bucco-dentaire post-opératoire (avulsion, chirurgie parodontale, amygdalectomie) : bain de bouche 2 fois par jour, démarré à J1 post-opératoire (après ablation du méchage si présent), pendant 5 à 7 jours maximum.</w:t>
      </w:r>
    </w:p>
    <w:p>
      <w:pPr>
        <w:pStyle w:val="ListBullet"/>
      </w:pPr>
      <w:r>
        <w:t>Sujet âgé : pas d'adaptation posologique en usage local court ; surveiller la capacité à recracher (risque d'ingestion en cas de troubles cognitifs ou de dysphagie — préférer application au coton-tige ou collutoire dirigé).</w:t>
      </w:r>
    </w:p>
    <w:p>
      <w:pPr>
        <w:pStyle w:val="ListBullet"/>
      </w:pPr>
      <w:r>
        <w:t>Insuffisance rénale/hépatique : pas d'adaptation posologique en usage local court et localisé.</w:t>
      </w:r>
    </w:p>
    <w:p>
      <w:pPr>
        <w:pStyle w:val="ListBullet"/>
      </w:pPr>
      <w:r>
        <w:t>Enfant : bain de bouche contre-indiqué avant 6 ans (risque d'ingestion), à utiliser sous surveillance parentale stricte entre 6 et 12 ans (vérifier le recrachement) ; collutoire contre-indiqué avant 30 mois ; application au coton-tige possible dès l'âge de 3 ans en cas d'indication (stomatite post-antibiothérapie).</w:t>
      </w:r>
    </w:p>
    <w:p>
      <w:r/>
      <w:r>
        <w:rPr>
          <w:b/>
        </w:rPr>
        <w:t>Surveillance Biologique et Suivi Clinique :</w:t>
      </w:r>
      <w:r/>
    </w:p>
    <w:p>
      <w:pPr>
        <w:pStyle w:val="ListBullet"/>
      </w:pPr>
      <w:r>
        <w:t>Pas de surveillance biologique spécifique nécessaire en usage local standard court (≤ 5 à 7 jours) et localisé.</w:t>
      </w:r>
    </w:p>
    <w:p>
      <w:pPr>
        <w:pStyle w:val="ListBullet"/>
      </w:pPr>
      <w:r>
        <w:t>Surveillance clinique : (1) Évaluation clinique à J3–J5 pour vérifier l'amélioration des symptômes (douleur, érythème, dysphagie) ; en l'absence d'amélioration à 5 jours, arrêt et consultation médicale pour réévaluation diagnostique (recherche de streptocoque β-hémolytique A par test rapide, recherche de Candida par frottis, élimination d'une lésion tumorale sous-jacente). (2) Surveillance locale pour dépister une irritation excessive, une desquamation muqueuse, une candidose de rebond (langue blanche, dépôts crémeux) — signes d'arrêt. (3) Pour la forme Givalex (salicylate de choline) : surveillance du saignement en cas de chirurgie buccale, d'anticoagulants associés, d'amygdalectomie (période post-opératoire). (4) En cas d'usage prolongé en immunosuppression (radiothérapie cervico-faciale) : surveillance hebdomadaire par le médecin ORL ou radiothérapeute, dépistage de candidose, alternance avec nystatine ou bicarbonate si nécessaire.</w:t>
      </w:r>
    </w:p>
    <w:p>
      <w:pPr>
        <w:pStyle w:val="ListBullet"/>
      </w:pPr>
      <w:r>
        <w:t>Pas de suivi virologique ou bactériologique systématique (l'hexétidine n'induit pas de sélection de résistance documentée en usage topique standard).</w:t>
      </w:r>
    </w:p>
    <w:p>
      <w:r/>
      <w:r>
        <w:rPr>
          <w:b/>
        </w:rPr>
        <w:t>Arbitrage et Bénéfices des Formes Galéniques :</w:t>
      </w:r>
      <w:r/>
    </w:p>
    <w:p>
      <w:r>
        <w:t>Le choix entre les formes galéniques disponibles dépend de l'indication, du terrain, et de la préférence du patient. La solution pour bain de bouche (Dad Mouth Wash, Oralvex, Hextril) est la forme de référence pour les affections buccales diffuses (gingivites, stomatites, hygiène post-opératoire) — elle permet un contact prolongé avec toute la cavité buccale mais nécessite la coopération du patient (recrachement). Le collutoire (Collu-Hextril, Givalex collutoire) est préféré pour les affections localisées du pharynx et de l'amygdale (angines, pharyngites, aphtes postérieurs) — application dirigée par le spray, mais durée de contact plus courte que le bain de bouche. La forme combinée Givalex (association hexétidine + salicylate de choline + chlorbutanol) est indiquée en cas de composante inflammatoire et antalgique nécessaire — mais contre-indiquée au 3e trimestre de grossesse (salicylate) et chez l'enfant de moins de 6 ans (risque d'ingestion et de syndrome de Reye théorique avec les salicylés). La forme monothérapie Dad Mouth Wash / Oralvex est à privilégier chez la femme enceinte et l'enfant de plus de 6 ans. En cas d'intolérance locale, la dilution moitié-moitié avec de l'eau tiède réduit l'irritation sans compromettre l'efficacité. En cas d'échec à 5 jours, l'alternance avec un antiseptique d'une autre classe (chlorhexidine 0,2 %, hexamidine 0,1 %) ou avec un antifongique local (nystatine) peut être discutée médicalement. En cas de mucite radio-induite sévère, l'hexétidine est généralement arrêtée au profit d'une prophylaxie par bicarbonate à 1,4 % et nystatine, en raison du risque d'irritation supplémentaire.</w:t>
      </w:r>
    </w:p>
    <w:p>
      <w:r/>
      <w:r>
        <w:rPr>
          <w:b/>
        </w:rPr>
        <w:t>Instructions et Conseils au Patient :</w:t>
      </w:r>
      <w:r/>
    </w:p>
    <w:p>
      <w:pPr>
        <w:pStyle w:val="ListBullet"/>
      </w:pPr>
      <w:r>
        <w:t>Communication au comptoir : « L'hexétidine est un antiseptique bucco-pharyngé efficace sur les bactéries et les champignons responsables des maux de gorge, gingivites et stomatites. Pour le bain de bouche : 10 à 15 mL pur (ou dilué avec de l'eau tiède si irritation), à garder en bouche 30 secondes à 1 minute en rinçant activement, à recracher (ne pas avaler), 2 à 3 fois par jour après brossage des dents, pendant 5 jours maximum. Pour le collutoire : 1 à 2 pulvérisations directement sur la zone douloureuse, 3 à 4 fois par jour, pendant 5 jours maximum. Ne pas dépasser 5 jours sans avis médical. Consulter un médecin si : pas d'amélioration à 5 jours, fièvre élevée (&gt; 38,5 °C), difficulté à avaler, éruption cutanée, gonflement du visage. Prévenir un médecin immédiatement en cas d'œdème du visage, de difficulté à respirer (allergie rare). Ne pas utiliser chez l'enfant de moins de 6 ans (bain de bouche) ou 30 mois (collutoire). Femme enceinte : usage possible mais court (5 jours maximum) avec les formes monothérapie (Dad Mouth Wash, Oralvex) ; éviter Givalex au 3e trimestre. »</w:t>
      </w:r>
    </w:p>
    <w:p>
      <w:pPr>
        <w:pStyle w:val="ListBullet"/>
      </w:pPr>
      <w:r>
        <w:t>Observance : respecter la durée maximale de 5 jours, ne pas augmenter la fréquence d'application (au-delà de 3 fois par jour, l'efficacité n'augmente pas mais le risque d'effets indésirables locaux augmente), ne pas avaler la solution buccale.</w:t>
      </w:r>
    </w:p>
    <w:p>
      <w:pPr>
        <w:pStyle w:val="ListBullet"/>
      </w:pPr>
      <w:r>
        <w:t>Hygiène bucco-dentaire : continuer le brossage normal (l'hexétidine ne remplace pas le brossage), espacer les bains de bouche des repas de 30 minutes à 1 heure (pour ne pas altérer le goût et la digestion), éviter les boissons alcoolisées pendant le traitement.</w:t>
      </w:r>
    </w:p>
    <w:p>
      <w:pPr>
        <w:pStyle w:val="ListBullet"/>
      </w:pPr>
      <w:r>
        <w:t>Conservation : conserver le flacon bien fermé à température ambiante (15 à 25 °C), à l'abri de la lumière. Jeter les flacons entamés depuis plus de 14 jours après ouverture (risque de contamination microbienne secondaire). Ne pas partager le flacon (risque de contamination croisée).</w:t>
      </w:r>
    </w:p>
    <w:p>
      <w:pPr>
        <w:pStyle w:val="ListBullet"/>
      </w:pPr>
      <w:r>
        <w:t>Femmes enceintes et allaitantes : usage court possible (5 jours max) avec formes monothérapie ; éviter la forme Givalex au 3e trimestre de grossesse (salicylate de choline) ; recracher après rinçage pendant l'allaitement.</w:t>
      </w:r>
    </w:p>
    <w:p>
      <w:r/>
      <w:r>
        <w:rPr>
          <w:b/>
        </w:rPr>
        <w:t>Notes, Règles d'Or &amp; Pièges au Comptoir :</w:t>
      </w:r>
      <w:r/>
    </w:p>
    <w:p>
      <w:pPr>
        <w:pStyle w:val="ListBullet"/>
      </w:pPr>
      <w:r>
        <w:t>Règle d'or : l'hexétidine est un traitement adjuvant — elle ne remplace pas un antibiotique systémique en cas d'angine streptococcique documentée (test rapide positif), une antifongique systémique en cas de candidose buccale étendue (fluconazole), ou une consultation médicale en cas de signes d'alarme (fièvre élevée, dysphagie, trismus, adénopathie).</w:t>
      </w:r>
    </w:p>
    <w:p>
      <w:pPr>
        <w:pStyle w:val="ListBullet"/>
      </w:pPr>
      <w:r>
        <w:t>Piège : ne pas confondre angine virale (qui peut bénéficier d'un traitement adjuvant par hexétidine) et angine streptococcique (qui nécessite obligatoirement un antibiotique systémique — amoxicilline 1ère intention, ou macrolide si allergie). Devant toute angine érythémateuse fébrile, réaliser un test rapide de diagnostic streptococcique (Streptatest) avant toute prescription.</w:t>
      </w:r>
    </w:p>
    <w:p>
      <w:pPr>
        <w:pStyle w:val="ListBullet"/>
      </w:pPr>
      <w:r>
        <w:t>Règle : durée maximale 5 jours en automédication, prolongeable jusqu'à 7–10 jours sur prescription médicale en post-opératoire ou immunosuppression. Au-delà, le risque de candidose de rebond et de perturbation du microbiote buccal devient significatif.</w:t>
      </w:r>
    </w:p>
    <w:p>
      <w:pPr>
        <w:pStyle w:val="ListBullet"/>
      </w:pPr>
      <w:r>
        <w:t>Piège : l'ingestion accidentelle massive par un enfant peut provoquer une neurotoxicité centrale (somnolence, hypotonie, convulsions) — gardiennage obligatoire des flacons, conservation hors de portée des enfants.</w:t>
      </w:r>
    </w:p>
    <w:p>
      <w:pPr>
        <w:pStyle w:val="ListBullet"/>
      </w:pPr>
      <w:r>
        <w:t>Piège : la coloration brune de la langue est possible même en usage court — informer le patient pour éviter la mauvaise observance (brossage doux de la langue pour limiter le dépôt).</w:t>
      </w:r>
    </w:p>
    <w:p>
      <w:pPr>
        <w:pStyle w:val="ListBullet"/>
      </w:pPr>
      <w:r>
        <w:t>Règle : chez l'enfant de moins de 6 ans, proscrire le bain de bouche (risque d'ingestion) ; chez l'enfant de moins de 30 mois, proscrire le collutoire (risque de laryngospasme).</w:t>
      </w:r>
    </w:p>
    <w:p>
      <w:pPr>
        <w:pStyle w:val="ListBullet"/>
      </w:pPr>
      <w:r>
        <w:t>Piège : la forme Givalex contient du salicylate de choline — contre-indiquée au 3e trimestre de grossesse (risque hémorragique, fermeture prématurée du canal artériel), et à éviter chez l'enfant de moins de 16 ans (risque théorique de syndrome de Reye).</w:t>
      </w:r>
    </w:p>
    <w:p>
      <w:pPr>
        <w:pStyle w:val="ListBullet"/>
      </w:pPr>
      <w:r>
        <w:t>Règle : ne pas associer deux antiseptiques biguanides (hexétidine + chlorhexidine) — préférer l'un ou l'autre, ou alterner à 12 heures d'intervalle.</w:t>
      </w:r>
    </w:p>
    <w:p>
      <w:pPr>
        <w:pStyle w:val="ListBullet"/>
      </w:pPr>
      <w:r>
        <w:t>Piège : le collutoire Hextril et le bain de bouche Hextril sont retirés du marché algérien — orienter le patient vers Dad Mouth Wash, Oralvex, ou Givalex (formes natives actives équivalentes).</w:t>
      </w:r>
    </w:p>
    <w:p>
      <w:pPr>
        <w:pStyle w:val="Heading2"/>
      </w:pPr>
      <w:r>
        <w:t>134.2 Sous-classe : Anesthésiques locaux buccaux — Esters (Oxétacaïne, Oxybuprocaïne, Tétracaïne/Tétragaine)</w:t>
      </w:r>
    </w:p>
    <w:p>
      <w:r>
        <w:t>Les anesthésiques locaux buccaux appartiennent à deux grandes familles chimiques : les esters (cocaine historiquement, puis procaine, tétracaïne, oxybuprocaïne, oxétacaïne) et les amides (lidocaïne, bupivacaïne, articaïne, mépivacaïne, prilocaïne). En usage strictement bucco-pharyngé topique, les esters ont longtemps dominé le marché en raison de leur mise au point rapide (5 à 15 minutes), de leur courte durée d'action (30 à 60 minutes), et de leur faible coût. Leur inconvénient principal est leur métabolisme par les cholinestérases plasmatiques — ce qui expose au risque théorique de réactions allergiques (métabolite PABA, acide para-aminobenzoïque) et à une demi-vie courte. Les amides, plus modernes, sont privilégiés en anesthésie locorégionale dentaire (lidocaïne, articaïne) mais sont peu utilisés en topique simple en dehors de la lidocaïne en gel ou spray.</w:t>
      </w:r>
    </w:p>
    <w:p>
      <w:r>
        <w:t>Le présent chapitre détaille trois esters disponibles dans la nomenclature algérienne pour un usage buccal, pharyngé, ou ORL : (1) l'oxétacaïne — historiquement commercialisée en association avec des antiacides (Mutesa, Wyeth Lederle) pour ses propriétés anesthésiques locales sur la muqueuse gastrique et œsophagienne supérieure, mais dont la composante anesthésique locale peut être utile en pharyngées ; (2) l'oxybuprocaïne — principalement connue comme anesthésique local ophtalmique (Anestocil, Cebesine, Novesine) pour examens et gestes oculaires courts, mais dont les propriétés anesthésiques locales s'appliquent à toute muqueuse accessible ; (3) la tétracaïne (désignée dans la nomenclature et la prescription courante sous le terme alternatif « tétragaine »), anesthésique local puissant de la famille des esters, utilisée en association avec des antiseptiques (chlorhexidine dans Eludril, hexamidine dans Oromédine) dans des collutoires pour affections bucco-pharyngées douloureuses.</w:t>
      </w:r>
    </w:p>
    <w:p>
      <w:r>
        <w:t>Le mécanisme d'action des anesthésiques locaux est unanime : blocage réversible des canaux sodiques voltage-dépendants dans les fibres nerveuses sensitives (et motrices à plus forte dose), empêchant la génération et la propagation du potentiel d'action — aboutissant à une perte de sensation (et potentiellement de motricité) dans le territoire innervé par le nerf concerné. La séquence d'action suit la loi de порядке : les fibres de petit diamètre (sensibilité douloureuse C, puis thermique Aδ) sont bloquées avant les fibres de gros diamètre (tactile Aβ, puis motrice Aα). Cette propriété explique l'analgésie sans perte motrice aux doses thérapeutiques topiques, et la perte de motricité (paralysie pharyngée, dysphagie) aux doses excessives.</w:t>
      </w:r>
    </w:p>
    <w:p>
      <w:r>
        <w:t>Le risque majeur des anesthésiques locaux en usage bucco-pharyngé est double : (1) le risque de fausse-route (faux-passagede salive ou d'aliments dans les voies respiratoires) par anesthésie de la sensibilité pharyngée — d'où la règle absolue de ne pas manger, ne pas boire, et ne pas fumer pendant 1 heure après l'application ; (2) le risque d'anesthésie des voies aériennes supérieures chez le nourrisson allaité — d'où la règle absolue de ne pas appliquer d'anesthésique local sur le mamelon avant la tétée. À cela s'ajoutent les risques spécifiques de chaque molécule : allergie aux esters (métabolite PABA), méthémoglobinémie (benzocaïne, prilocaïne), toxicité systémique cardiaque et neurologique centrale en cas d'overdose (rare en usage topique strictement conduit mais à surveiller chez l'enfant et le sujet âgé).</w:t>
      </w:r>
    </w:p>
    <w:p>
      <w:r>
        <w:t>L'usage des anesthésiques locaux buccaux doit rester strictement limité en durée (5 jours maximum en automédication) et en fréquence (3 à 4 applications par jour), en raison du risque d'irritation chimique locale (les esters sont acides à concentration d'usage), de sensitisation allergique cumulative, et de masquage d'une pathologie sous-jacente (cancer buccal, lésion tumorale pharyngée) dont la douleur est le signal d'alarme. La consultation médicale s'impose en cas de persistance au-delà de 5 jours, d'aggravation, d'extension, ou d'apparition de signes généraux (fièvre, adénopathie, altération de l'état général).</w:t>
      </w:r>
    </w:p>
    <w:p>
      <w:pPr>
        <w:pStyle w:val="Heading3"/>
      </w:pPr>
      <w:r>
        <w:t>134.2.1 DCI : Oxétacaïne</w:t>
      </w:r>
    </w:p>
    <w:p>
      <w:r/>
      <w:r>
        <w:rPr>
          <w:b/>
        </w:rPr>
        <w:t>Liste des Catégories :</w:t>
      </w:r>
      <w:r>
        <w:t xml:space="preserve"> Anesthésique local bucco-pharyngé et gastrique ; Ester (dérivé de l'acide para-aminobenzoïque) ; Anesthésique de surface muqueux ; Antalgique topique digestif et buccal ; Hors liste (spécialité historiquement non inscrite à la Liste I ou II, mais actuellement retirée du marché algérien).</w:t>
      </w:r>
    </w:p>
    <w:p>
      <w:r>
        <w:t>L'oxétacaïne (ou oxétazine) est un anesthésique local de la famille des esters, structurellement apparenté à la procaine et à la tétracaïne, caractérisé par son action anesthésique locale prolongée sur les muqueuses digestives (buccale, œsophagienne, gastrique) — action persistant 60 à 90 minutes après application unique. Commercialisée en France depuis les années 1960 (sous le nom de Mutesa par Wyeth Lederle, puis sous d'autres noms — Stérocaine, Anesthocon), elle a longtemps constitué une référence dans le traitement symptomatique des douleurs épigastriques de l'ulcère gastro-duodénal et du reflux gastro-œsophagien (RGO), en association avec des antiacides (hydroxyde d'aluminium, hydroxyde de magnésium). En Algérie, la seule spécialité référencée dans la nomenclature (Avril 2026) est Mutesa (Wyeth Lederle), association d'oxydes d'aluminium et de magnésium + oxétacaïne en suspension buvable — actuellement retirée du marché mais prescrite par habitude dans les ordonnances privées historiques. La composante anesthésique locale de l'oxétacaïne, par son action sur la muqueuse buccale et pharyngée supérieure (effet « topique »), peut être utile dans le traitement symptomatique des douleurs bucco-pharyngées (aphtes, gingivites ulcérées, stomatites post-chimiothérapiques, mucites radio-induites), bien que cette indication ne soit pas explicitement validée dans le RCP français.</w:t>
      </w:r>
    </w:p>
    <w:p>
      <w:r/>
      <w:r>
        <w:rPr>
          <w:b/>
        </w:rPr>
        <w:t>Médicaments disponibles en Algérie (tableau des spécialités commercialisées)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MUTESA</w:t>
            </w:r>
          </w:p>
        </w:tc>
        <w:tc>
          <w:tcPr>
            <w:tcW w:type="dxa" w:w="1559"/>
          </w:tcPr>
          <w:p>
            <w:r>
              <w:rPr>
                <w:sz w:val="20"/>
              </w:rPr>
              <w:t>WYETH LEDERLE</w:t>
            </w:r>
          </w:p>
        </w:tc>
        <w:tc>
          <w:tcPr>
            <w:tcW w:type="dxa" w:w="1559"/>
          </w:tcPr>
          <w:p>
            <w:r>
              <w:rPr>
                <w:sz w:val="20"/>
              </w:rPr>
              <w:t>Suspension buvable — Oxyde d'aluminium 3,800 g + Oxyde de magnésium 1,350 g + Oxétacaïne 0,187 g pour 100 g</w:t>
            </w:r>
          </w:p>
        </w:tc>
        <w:tc>
          <w:tcPr>
            <w:tcW w:type="dxa" w:w="1559"/>
          </w:tcPr>
          <w:p>
            <w:r>
              <w:rPr>
                <w:sz w:val="20"/>
              </w:rPr>
              <w:t>Flacon 200 mL</w:t>
            </w:r>
          </w:p>
        </w:tc>
        <w:tc>
          <w:tcPr>
            <w:tcW w:type="dxa" w:w="1559"/>
          </w:tcPr>
          <w:p>
            <w:r>
              <w:rPr>
                <w:sz w:val="20"/>
              </w:rPr>
              <w:t>Hors liste</w:t>
            </w:r>
          </w:p>
        </w:tc>
        <w:tc>
          <w:tcPr>
            <w:tcW w:type="dxa" w:w="1559"/>
          </w:tcPr>
          <w:p>
            <w:r>
              <w:rPr>
                <w:sz w:val="20"/>
              </w:rPr>
              <w:t>Retrait</w:t>
            </w:r>
          </w:p>
        </w:tc>
      </w:tr>
    </w:tbl>
    <w:p/>
    <w:p>
      <w:r>
        <w:t>La spécialité Mutesa (Wyeth Lederle) était historiquement la seule disponible en Algérie pour cette DCI. Elle associe trois principes actifs : (1) l'oxyde d'aluminium (3,8 g pour 100 g) — antiacide local à action prolongée, neutralise l'acidité gastrique et forme un film protecteur sur la muqueuse ; (2) l'oxyde de magnésium (1,35 g pour 100 g) — antiacide à action rapide, neutralise l'acidité gastrique et potentialise l'effet de l'aluminium ; (3) l'oxétacaïne (0,187 g pour 100 g) — anesthésique local de surface, agit sur la muqueuse gastrique, œsophagienne et bucco-pharyngée supérieure. La forme galénique est une suspension buvable en flacon de 200 mL, à prendre à la cuillère à café (5 mL) ou à la cuillère à soupe (15 mL) après agitation. Le statut actuel « Retrait » dans la nomenclature algérienne Avril 2026 signifie que cette spécialité n'est plus commercialisée en Algérie ; les patients ayant historiquement bénéfice de l'oxétacaïne pour des indications bucco-pharyngées doivent être orientés vers des alternatives (lidocaïne visqueuse, lidocaïne en spray, hexétidine, anesthésiques locaux généraux).</w:t>
      </w:r>
    </w:p>
    <w:p>
      <w:r/>
      <w:r>
        <w:rPr>
          <w:b/>
        </w:rPr>
        <w:t>Sous-classe et Mécanisme d'action :</w:t>
      </w:r>
      <w:r/>
    </w:p>
    <w:p>
      <w:pPr>
        <w:pStyle w:val="ListBullet"/>
      </w:pPr>
      <w:r>
        <w:t>Sous-classe : Anesthésique local de la famille des esters (dérivé de l'acide para-aminobenzoïque), apparenté à la procaine et à la tétracaïne ; usage strictement topique muqueux.</w:t>
      </w:r>
    </w:p>
    <w:p>
      <w:pPr>
        <w:pStyle w:val="ListBullet"/>
      </w:pPr>
      <w:r>
        <w:t>Mécanisme d'action : l'oxétacaïne est une base faible lipophile qui, sous sa forme non ionisée (à pH physiologique, ~40 % de la forme non ionisée), traverse la bicouche lipidique des fibres nerveuses sensitives (fibres C de petite diamètre sensibles à la douleur, fibres Aδ sensibles au chaud/froid) et se lie de façon réversible au canal sodique voltage-dépendant, en bloquant le site alpha intracellulaire (récepteur local du canal Na+). Le blocage empêche l'ouverture du canal Na+ en réponse à une dépolarisation membranaire, bloquant ainsi la génération et la propagation du potentiel d'action sensitif. La conséquence est une perte de sensation douloureuse locale (analgésie de surface), sans perte de motricité aux doses thérapeutiques. Le délai d'action est court (5 à 15 minutes après application sur muqueuse), la durée d'action est intermédiaire (60 à 90 minutes — plus longue que la procaine grâce à une meilleure liposolubilité). Le métabolisme est hépatique et plasmatique (hydrolyse par les cholinestérases plasmatiques en métabolites inactifs, dont l'acide para-aminobenzoïque — responsable du risque allergique croisé avec les autres esters). La résorption systémique après application bucco-pharyngée est faible (5 à 15 % de la dose appliquée), mais non négligeable, justifiant la prudence en cas d'insuffisance hépatique sévère, de déficit en cholinestérases plasmatiques (génétique — 1/3000 sujets), et d'administration à l'enfant ou à la femme enceinte. Le spectre d'action couvre toutes les affections douloureuses de la muqueuse buccale, pharyngée, œsophagienne, et gastrique supérieure (aphtes, gingivites ulcérées, stomatites, mucites, gastralgies, douleurs épigastriques de l'ulcère).</w:t>
      </w:r>
    </w:p>
    <w:p>
      <w:r/>
      <w:r>
        <w:rPr>
          <w:b/>
        </w:rPr>
        <w:t>Profil Pharmacologique :</w:t>
      </w:r>
      <w:r/>
    </w:p>
    <w:p>
      <w:pPr>
        <w:pStyle w:val="ListBullet"/>
      </w:pPr>
      <w:r>
        <w:t>Indications : (1) Traitement symptomatique des douleurs épigastriques de l'ulcère gastro-duodénal et du reflux gastro-œsophagien (RGO) — en association avec des antiacides (oxydes d'aluminium et de magnésium), dans la forme Mutesa. (2) Traitement symptomatique des douleurs bucco-pharyngées — aphtes buccaux douloureux, gingivites ulcérées, stomatites post-chimiothérapiques (mucites grade 1–2 OMS), mucites radio-induites cervico-faciales (grade 1–2), glossodynie (syndrome de bouche brûlante) — par effet anesthésique local de surface, en application directe ou en bain de bouche avec la suspension. (3) Prémédication anesthésique locale avant geste endoscopique (fibroscopie œsophagienne ou gastrique) pour réduire le réflexe nauséeux et faciliter le passage de l'endoscope. (4) Soulagement symptomatique transitoire des douleurs pharyngées basses en cas d'œsophagite peptique sévère ou de syndrome de Mendelson. (5) Antalgique adjuvant dans la douleur orale du cancer en soins palliatifs (usage hors AMM, à discuter en équipe oncologique).</w:t>
      </w:r>
    </w:p>
    <w:p>
      <w:pPr>
        <w:pStyle w:val="ListBullet"/>
      </w:pPr>
      <w:r>
        <w:t>Contre-indications : (1) Hypersensibilité à l'oxétacaïne, aux autres anesthésiques locaux de la famille des esters (procaine, tétracaïne, benzocaïne, chloroprocaïne — allergie croisée par le métabolite PABA), ou à l'un des excipients. (2) Insuffisance rénale sévère (clairance &lt; 30 mL/min — risque d'accumulation d'aluminium et de magnésium, neurotoxicité aluminique). (3) Deficit en cholinestérases plasmatiques (génétique — prédisposition à l'apnée prolongée après métabolisme ralenti). (4) Myasthénie (potentialisation du bloc neuromusculaire par les esters). (5) Enfant de moins de 6 ans (risque d'ingestion et de méthémoglobinémie — règle générale pour les anesthésiques locaux topiques en suspension buvable). (6) Femme enceinte au 1er trimestre (prudence, données limitées) et au 3e trimestre (prudence, passage transplacentaire faible mais non négligeable). (7) Ne pas appliquer sur le mamelon avant la tétée (risque d'anesthésie des voies aériennes supérieures du nouveau-né, fausse-route, inhalation silencieuse). (8) Ne pas avaler de nourriture ou de boisson pendant 1 heure après application (risque de fausse-route par anesthésie pharyngée). (9) Antécédents de méthémoglobinémie (constitutionnelle ou acquise) — risque d'aggravation par les esters.</w:t>
      </w:r>
    </w:p>
    <w:p>
      <w:pPr>
        <w:pStyle w:val="ListBullet"/>
      </w:pPr>
      <w:r>
        <w:t>Effets Indésirables : Très fréquents (&gt; 10 %) : dysgueusie transitoire (goût métallique ou amer), engourdissement buccal et pharyngé transitoire (1 heure après application). Fréquents (1–10 %) : nausées, régurgitations, constipation (due aux antiacides — aluminium), diarrhée (due au magnésium), sensation de picotement buccal immédiatement après application. Peu fréquents (0,1–1 %) : rash cutané, prurit, urticaire (allergie aux esters par métabolite PABA), irritation locale. Rares (&lt; 0,1 %) : réactions anaphylactiques (choc, bronchospasme, hypotension — allergie vraie aux esters), méthémoglobinémie (cyanase, dyspnée, troubles de conscience — particulièrement chez l'enfant et le sujet déficitaire en G6PD ou en NADH-méthémoglobine réductase), convulsions (en cas d'overdose systémique par résorption massive), dépression respiratoire (rare en usage topique). Exceptionnels (&lt; 0,01 %) : neurotoxicité aluminique (encéphalopathie, ostéomalacie) en cas d'usage prolongé du Mutesa (&gt; 6 mois) chez l'insuffisant rénal chronique. Le métabolite PABA peut interférer avec les sulfamides antibactériens (résistance croisée théorique).</w:t>
      </w:r>
    </w:p>
    <w:p>
      <w:r/>
      <w:r>
        <w:rPr>
          <w:b/>
        </w:rPr>
        <w:t>Prévention et Gestion des Effets Indésirables :</w:t>
      </w:r>
      <w:r/>
    </w:p>
    <w:p>
      <w:pPr>
        <w:pStyle w:val="ListBullet"/>
      </w:pPr>
      <w:r>
        <w:t>Mesures préventives : (1) Respecter strictement la durée maximale de 5 jours en automédication pour les indications bucco-pharyngées, prolongeable à 7–10 jours sur prescription médicale dans les mucites chimio-induites ou radio-induites. (2) Informer le patient de l'obligation de ne pas manger, ne pas boire, et ne pas fumer pendant 1 heure après application (risque de fausse-route par anesthésie pharyngée). (3) Ne pas appliquer avant la tétée chez la femme allaitante (risque d'anesthésie des voies aériennes supérieures du nouveau-né, fausse-route silencieuse). (4) Vérifier l'absence d'antécédents allergiques aux anesthésiques locaux esters (procaine, tétracaïne, benzocaïne) avant initiation — en cas de doute, privilégier un anesthésique local de la famille des amides (lidocaïne). (5) Prudence chez l'enfant (méthémoglobinémie), le sujet âgé dément (risque d'ingestion et de trouble de déglutition), l'insuffisant hépatique sévère (métabolisme diminué), l'insuffisant rénal sévère (accumulation d'aluminium et de magnésium dans la forme Mutesa). (6) Ne pas dépasser 3 à 4 applications par jour (surdosage inutile et augmente le risque de toxicité systémique). (7) Espacer les prises de 1 à 2 heures (minimum) pour éviter l'accumulation et la perte d'efficacité. (8) Pour la forme Mutesa suspension : bien agiter avant emploi (homogénéisation des antiacides), utiliser une cuillère doseuse pour précision posologique.</w:t>
      </w:r>
    </w:p>
    <w:p>
      <w:pPr>
        <w:pStyle w:val="ListBullet"/>
      </w:pPr>
      <w:r>
        <w:t>Conduite à tenir : (1) En cas de persistance des symptômes au-delà de 5 jours : arrêt et consultation médicale pour réévaluation diagnostique (recherche d'ulcère gastrique par endoscopie, élimination d'une pathologie tumorale sous-jacente en cas de symptômes bucco-pharyngés persistants). (2) En cas de signes d'allergie (rash, urticaire, prurit, œdème) : arrêt immédiat, antihistaminique H1 oral (dexchlorphéniramine 2 mg chez l'adulte), consultation médicale ; en cas de signes d'anaphylaxie (œdème de Quincke, bronchospasme, hypotension) : adrénaline IM 0,3 mg, appel SAMU 15, orientation vers un allergologue pour tests cutanés et identification de la molécule coupable (recherche d'allergie croisée entre esters). (3) En cas de cyanose, de dyspnée, de troubles de conscience après application : suspicion de méthémoglobinémie — arrêt, consultation médicale urgente, dosage de la méthémoglobinémie (traitemetn par bleu de méthylène 1 à 2 mg/kg IV lent en milieu hospitalier). (4) En cas de signes de toxicité systémique (convulsions, dépression respiratoire, hypotension, troubles du rythme) : arrêt, SAMU 15, réanimation symptomatique (lorazepam IV ou diazépam IV pour convulsions, intubation-ventilation pour dépression respiratoire, remplissage vasculaire et vasopresseurs pour hypotension). (5) En cas d'ingestion accidentelle massive par un enfant : surveillance médicale hospitalière 24 heures, surveillance neurologique, cardiaque (ECG), et hépatique.</w:t>
      </w:r>
    </w:p>
    <w:p>
      <w:r/>
      <w:r>
        <w:rPr>
          <w:b/>
        </w:rPr>
        <w:t>Interactions Médicamenteuses :</w:t>
      </w:r>
      <w:r/>
    </w:p>
    <w:p>
      <w:pPr>
        <w:pStyle w:val="ListBullet"/>
      </w:pPr>
      <w:r>
        <w:t>Antiacides (hydroxyde d'aluminium, hydroxyde de magnésium, carbonate de calcium) : pas d'interaction significative avec la composante oxétacaïne ; la forme Mutesa est déjà une association d'antiacides.</w:t>
      </w:r>
    </w:p>
    <w:p>
      <w:pPr>
        <w:pStyle w:val="ListBullet"/>
      </w:pPr>
      <w:r>
        <w:t>Inhibiteurs de la pompe à protons (IPP — oméprazole, ésoméprazole, pantoprazole) et antagonistes des récepteurs H2 (ranitidine historique, famotidine) : association possible (l'oxétacaïne agit localement sur la muqueuse, complémentaire à la réduction de la sécrétion acide).</w:t>
      </w:r>
    </w:p>
    <w:p>
      <w:pPr>
        <w:pStyle w:val="ListBullet"/>
      </w:pPr>
      <w:r>
        <w:t>Anticoagulants oraux (AVK — warfarine, acénocoumarol) : la forme Mutesa contient de l'aluminium qui peut réduire l'absorption des AVK au niveau gastrique — espacer les prises de 2 heures minimum.</w:t>
      </w:r>
    </w:p>
    <w:p>
      <w:pPr>
        <w:pStyle w:val="ListBullet"/>
      </w:pPr>
      <w:r>
        <w:t>Quinolones (ciprofloxacine, ofloxacine, lévofloxacine) et tétracyclines (doxycycline, minocycline) : chélation par l'aluminium et le magnésium de la forme Mutesa, réduisant l'absorption de l'antibiotique — espacer de 2 heures minimum, idéalement 4 heures.</w:t>
      </w:r>
    </w:p>
    <w:p>
      <w:pPr>
        <w:pStyle w:val="ListBullet"/>
      </w:pPr>
      <w:r>
        <w:t>Sulfamides antibactériens (sulfaméthoxazole-triméthoprime, sulfadiazine) : risque théorique d'antagonisme par le métabolite PABA de l'oxétacaïne — prudence en cas d'association, surveiller l'efficacité antibactérienne.</w:t>
      </w:r>
    </w:p>
    <w:p>
      <w:pPr>
        <w:pStyle w:val="ListBullet"/>
      </w:pPr>
      <w:r>
        <w:t>Anesthésiques locaux amides (lidocaïne, bupivacaïne) : pas d'allergie croisée entre esters et amides (structures chimiques différentes) — en cas d'allergie aux esters, switch possible vers les amides.</w:t>
      </w:r>
    </w:p>
    <w:p>
      <w:pPr>
        <w:pStyle w:val="ListBullet"/>
      </w:pPr>
      <w:r>
        <w:t>Myorelaxants (curares — succinylcholine, rocuronium, vecuronium) : potentialisation du bloc neuromusculaire par les esters chez les patients myasthéniques ou déficitaires en cholinestérases plasmatiques — prévenir l'anesthésiste en cas de chirurgie programmée.</w:t>
      </w:r>
    </w:p>
    <w:p>
      <w:pPr>
        <w:pStyle w:val="ListBullet"/>
      </w:pPr>
      <w:r>
        <w:t>Digitaliques (digoxine) : la forme Mutesa (aluminium + magnésium) peut réduire l'absorption de la digoxine — espacer les prises de 2 heures minimum.</w:t>
      </w:r>
    </w:p>
    <w:p>
      <w:pPr>
        <w:pStyle w:val="ListBullet"/>
      </w:pPr>
      <w:r>
        <w:t>PAS d'interaction systémique significative en usage local strictement conduit et court, à l'exception de la forme Mutesa (antiacides) qui justifie les précautions ci-dessus.</w:t>
      </w:r>
    </w:p>
    <w:p>
      <w:r/>
      <w:r>
        <w:rPr>
          <w:b/>
        </w:rPr>
        <w:t>Grossesse et Allaitement :</w:t>
      </w:r>
      <w:r/>
    </w:p>
    <w:p>
      <w:pPr>
        <w:pStyle w:val="ListBullet"/>
      </w:pPr>
      <w:r>
        <w:t>Grossesse : l'oxétacaïne en usage local bucco-pharyngé est considérée comme COMPATIBLE en usage ponctuel et court (≤ 5 jours), aux 2e et 3e trimestres (CRAT : « l'utilisation ponctuelle d'un anesthésique local de surface de la famille des esters pour indication bucco-pharyngée est envisageable aux 2e et 3e trimestres ; à éviter au 1er trimestre par principe de prévention, faute de données robustes »). Préférer la lidocaïne (amide) en cas d'indication à plus long terme. La forme Mutesa (qui contient des antiacides à base d'aluminium) est compatible en usage court mais à éviter en usage prolongé chez l'insuffisante rénale (accumulation d'aluminium — neurotoxicité fœtale théorique).</w:t>
      </w:r>
    </w:p>
    <w:p>
      <w:pPr>
        <w:pStyle w:val="ListBullet"/>
      </w:pPr>
      <w:r>
        <w:t>Allaitement : COMPATIBLE en usage local bucco-pharyngé ponctuel et court (≤ 5 jours), en respectant un délai de 1 heure entre l'application et la tétée (risque d'anesthésie des voies aériennes supérieures du nouveau-né, fausse-route silencieuse, inhalation). Ne pas appliquer sur le mamelon avant la tétée (règle absolue pour tous les anesthésiques locaux topiques).</w:t>
      </w:r>
    </w:p>
    <w:p>
      <w:pPr>
        <w:pStyle w:val="ListBullet"/>
      </w:pPr>
      <w:r>
        <w:t>Fertilité : pas d'effet connu sur la fertilité masculine ou féminine en usage local court.</w:t>
      </w:r>
    </w:p>
    <w:p>
      <w:r/>
      <w:r>
        <w:rPr>
          <w:b/>
        </w:rPr>
        <w:t>Posologie et Mode d'administration (Standard) :</w:t>
      </w:r>
      <w:r/>
    </w:p>
    <w:p>
      <w:pPr>
        <w:pStyle w:val="ListBullet"/>
      </w:pPr>
      <w:r>
        <w:t>Suspension buvable Mutesa : 1 cuillère à soupe (15 mL) à 1 cuillère à soupe et demie (22 mL), 3 à 4 fois par jour après repas et au coucher (indication gastro-entérologique — ulcère, RGO). Bien agiter avant emploi. Garder quelques secondes en bouche avant d'avaler pour permettre le contact anesthésique local avec la muqueuse bucco-pharyngée. Pour les indications purement bucco-pharyngées (aphtes, mucites) : 1 cuillère à café (5 mL) en bain de bouche pendant 30 secondes, 3 à 4 fois par jour, recracher ou avaler selon la tolérance. Cure courte 5 jours, prolongeable à 7–10 jours sur prescription médicale.</w:t>
      </w:r>
    </w:p>
    <w:p>
      <w:pPr>
        <w:pStyle w:val="ListBullet"/>
      </w:pPr>
      <w:r>
        <w:t>Application locale directe (aphtes, lésions douloureuses isolées) : appliquer une petite quantité de suspension directement sur la lésion avec un coton-tige, 3 à 4 fois par jour, après repas. Ne pas manger ni boire pendant 1 heure après application.</w:t>
      </w:r>
    </w:p>
    <w:p>
      <w:pPr>
        <w:pStyle w:val="ListBullet"/>
      </w:pPr>
      <w:r>
        <w:t>Prémédication anesthésique locale avant fibroscopie œsophagienne ou gastrique : 1 cuillère à soupe (15 mL) à garder en bouche 30 secondes puis avaler, 5 à 10 minutes avant le geste.</w:t>
      </w:r>
    </w:p>
    <w:p>
      <w:pPr>
        <w:pStyle w:val="ListBullet"/>
      </w:pPr>
      <w:r>
        <w:t>Sujet âgé : pas d'adaptation posologique en usage court ; surveiller la capacité à déglutir (risque de fausse-route en cas de dysphagie ou de troubles cognitifs — préférer l'application locale au coton-tige).</w:t>
      </w:r>
    </w:p>
    <w:p>
      <w:pPr>
        <w:pStyle w:val="ListBullet"/>
      </w:pPr>
      <w:r>
        <w:t>Insuffisance rénale : CI en cas d'insuffisance rénale sévère (clairance &lt; 30 mL/min — accumulation d'aluminium et de magnésium dans la forme Mutesa).</w:t>
      </w:r>
    </w:p>
    <w:p>
      <w:pPr>
        <w:pStyle w:val="ListBullet"/>
      </w:pPr>
      <w:r>
        <w:t>Insuffisance hépatique : prudence en cas d'insuffisance hépatique sévère (métabolisme diminué de l'oxétacaïne par les cholinestérases).</w:t>
      </w:r>
    </w:p>
    <w:p>
      <w:pPr>
        <w:pStyle w:val="ListBullet"/>
      </w:pPr>
      <w:r>
        <w:t>Enfant : à partir de 6 ans (en dessous, risque d'ingestion et de méthémoglobinémie) ; posologie adaptée au poids (0,5 mL/kg par prise, sans dépasser 15 mL par prise), 3 fois par jour, en surveillant la tolérance.</w:t>
      </w:r>
    </w:p>
    <w:p>
      <w:r/>
      <w:r>
        <w:rPr>
          <w:b/>
        </w:rPr>
        <w:t>Surveillance Biologique et Suivi Clinique :</w:t>
      </w:r>
      <w:r/>
    </w:p>
    <w:p>
      <w:pPr>
        <w:pStyle w:val="ListBullet"/>
      </w:pPr>
      <w:r>
        <w:t>Pas de surveillance biologique spécifique nécessaire en usage local standard court (≤ 5 à 7 jours).</w:t>
      </w:r>
    </w:p>
    <w:p>
      <w:pPr>
        <w:pStyle w:val="ListBullet"/>
      </w:pPr>
      <w:r>
        <w:t>Surveillance clinique : (1) Évaluation clinique à J3–J5 pour vérifier l'amélioration des symptômes (douleur buccale, douleur épigastrique) ; en l'absence d'amélioration à 5 jours, arrêt et consultation médicale pour réévaluation diagnostique (endoscopie œsophagienne et gastrique en cas de symptomatologie digestive, frottis et recherche de Candida ou de lésion tumorale en cas de symptomatologie bucco-pharyngée). (2) Surveillance de l'apparition de signes de toxicité systémique (somnolence, vertiges, troubles du rythme, convulsions) — en particulier chez l'enfant, le sujet âgé, l'insuffisant hépatique ou rénal. (3) Surveillance de l'apparition de signes d'allergie (rash, prurit, urticaire, œdème) — arrêt immédiat en cas de survenue. (4) Surveillance de l'apparition de signes de méthémoglobinémie (cyanase, dyspnée, fatigue, troubles de conscience) — particulièrement chez l'enfant de moins de 6 ans et le déficitaire en G6PD. (5) Pour la forme Mutesa en usage prolongé (rare) : surveillance de l'aluminémie et de la magnésémie en cas d'insuffisance rénale.</w:t>
      </w:r>
    </w:p>
    <w:p>
      <w:pPr>
        <w:pStyle w:val="ListBullet"/>
      </w:pPr>
      <w:r>
        <w:t>Pas de suivi virologique ou bactériologique systématique.</w:t>
      </w:r>
    </w:p>
    <w:p>
      <w:r/>
      <w:r>
        <w:rPr>
          <w:b/>
        </w:rPr>
        <w:t>Arbitrage et Bénéfices des Formes Galéniques :</w:t>
      </w:r>
      <w:r/>
    </w:p>
    <w:p>
      <w:r>
        <w:t>L'oxétacaïne n'est disponible en Algérie que sous la forme Mutesa (Wyeth Lederle), suspension buvable associée à des antiacides (oxydes d'aluminium et de magnésium) — actuellement retirée du marché algérien. Cette forme est particulièrement adaptée aux indications gastro-entérologiques (ulcère gastro-duodénal, RGO, gastralgies) où la composante antiacide et la composante anesthésique locale sont synergiques. Pour les indications strictement bucco-pharyngées (aphtes, gingivites ulcérées, mucites), la forme Mutesa reste utilisable en bain de bouche court, mais des alternatives peuvent être préférées : (1) la lidocaïne visqueuse 2 % (gel oral) — anesthésique local de la famille des amides, disponible en officine sur prescription ; (2) la lidocaïne en spray 10 % (Xylocaïne spray) — application dirigée par pulvérisations, rapide et efficace ; (3) l'hexétidine en collutoire (Dad Mouth Wash, Oralvex) — antiseptique à composante anesthésique locale modeste ; (4) la forme combinée Givalex (hexétidine + salicylate de choline + chlorbutanol) qui offre une composante antalgique. En cas de mucite sévère (grade 3–4 OMS), l'oxétacaïne est généralement insuffisante et des protocoles hospitaliers sont nécessaires (lidocaïne visqueuse, morphiniques locaux, sucralfate). Le choix dépend de l'indication, de la disponibilité, et de la tolérance du patient. En cas d'allergie aux esters (oxétacaïne, tétracaïne, procaine, benzocaïne), le switch vers les amides (lidocaïne, bupivacaïne) est sans allergie croisée.</w:t>
      </w:r>
    </w:p>
    <w:p>
      <w:r/>
      <w:r>
        <w:rPr>
          <w:b/>
        </w:rPr>
        <w:t>Instructions et Conseils au Patient :</w:t>
      </w:r>
      <w:r/>
    </w:p>
    <w:p>
      <w:pPr>
        <w:pStyle w:val="ListBullet"/>
      </w:pPr>
      <w:r>
        <w:t>Communication au comptoir : « L'oxétacaïne est un anesthésique local de surface qui agit en bloquant la sensibilité douloureuse de la muqueuse buccale, pharyngée et gastrique. La forme Mutesa (en suspension buvable) associe des antiacides et l'oxétacaïne pour le traitement des douleurs épigastriques et des douleurs bucco-pharyngées. Pour les indications digestives : 1 cuillère à soupe (15 mL), 3 à 4 fois par jour après repas et au coucher, à garder quelques secondes en bouche avant d'avaler. Pour les indications buccales : 1 cuillère à café (5 mL) en bain de bouche 30 secondes, 3 à 4 fois par jour, recracher ou avaler selon la tolérance. Ne pas dépasser 5 jours sans avis médical. NE PAS MANGER, NE PAS BOIRE, NE PAS FUMER pendant 1 heure après l'application (risque de fausse-route par anesthésie de la gorge). Femme allaitante : ne pas appliquer avant la tétée (risque pour le nouveau-né), respecter un délai minimum de 1 heure. Consulter un médecin si : pas d'amélioration à 5 jours, fièvre, difficulté à avaler, éruption cutanée, cyanose (lèvres bleues), somnolence, vertiges. »</w:t>
      </w:r>
    </w:p>
    <w:p>
      <w:pPr>
        <w:pStyle w:val="ListBullet"/>
      </w:pPr>
      <w:r>
        <w:t>Observance : respecter la durée maximale de 5 jours, ne pas augmenter la fréquence d'application (au-delà de 4 fois par jour, le risque de toxicité systémique augmente), respecter les précautions alimentaires (ne pas manger/boire 1h après).</w:t>
      </w:r>
    </w:p>
    <w:p>
      <w:pPr>
        <w:pStyle w:val="ListBullet"/>
      </w:pPr>
      <w:r>
        <w:t>Hygiène bucco-dentaire : continuer le brossage normal, espacer les bains de bouche des repas de 1 heure, éviter les aliments acides ou épicés qui aggravent l'irritation locale.</w:t>
      </w:r>
    </w:p>
    <w:p>
      <w:pPr>
        <w:pStyle w:val="ListBullet"/>
      </w:pPr>
      <w:r>
        <w:t>Conservation : conserver le flacon bien fermé à température ambiante (15 à 25 °C), à l'abri de la lumière et du gel. Bien agiter avant emploi (homogénéisation des antiacides). Jeter les flacons entamés depuis plus de 30 jours après ouverture (risque de contamination microbienne secondaire).</w:t>
      </w:r>
    </w:p>
    <w:p>
      <w:pPr>
        <w:pStyle w:val="ListBullet"/>
      </w:pPr>
      <w:r>
        <w:t>Femmes enceintes et allaitantes : usage court possible (5 jours max) aux 2e et 3e trimestres ; à éviter au 1er trimestre par prévention ; pendant l'allaitement, respecter un délai de 1 heure entre l'application et la tétée (ne pas appliquer sur le mamelon).</w:t>
      </w:r>
    </w:p>
    <w:p>
      <w:r/>
      <w:r>
        <w:rPr>
          <w:b/>
        </w:rPr>
        <w:t>Notes, Règles d'Or &amp; Pièges au Comptoir :</w:t>
      </w:r>
      <w:r/>
    </w:p>
    <w:p>
      <w:pPr>
        <w:pStyle w:val="ListBullet"/>
      </w:pPr>
      <w:r>
        <w:t>Règle d'or : ne jamais appliquer d'anesthésique local topique bucco-pharyngé sans prévenir le patient du risque de fausse-route — interdiction absolue de manger, boire, ou fumer pendant 1 heure après l'application (anesthésie de la sensibilité pharyngée → fausse-route → inhalation silencieuse → pneumopathie d'inhalation).</w:t>
      </w:r>
    </w:p>
    <w:p>
      <w:pPr>
        <w:pStyle w:val="ListBullet"/>
      </w:pPr>
      <w:r>
        <w:t>Piège : ne pas appliquer sur le mamelon avant la tétée chez la femme allaitante — risque d'anesthésie des voies aériennes supérieures du nouveau-né, fausse-route silencieuse, inhalation.</w:t>
      </w:r>
    </w:p>
    <w:p>
      <w:pPr>
        <w:pStyle w:val="ListBullet"/>
      </w:pPr>
      <w:r>
        <w:t>Règle : durée maximale 5 jours en automédication, prolongeable à 7–10 jours sur prescription médicale (mucites chimio-induites ou radio-induites). Au-delà, le risque d'irritation chimique locale, de sensibilisation allergique, et de masquage d'une pathologie sous-jacente augmente.</w:t>
      </w:r>
    </w:p>
    <w:p>
      <w:pPr>
        <w:pStyle w:val="ListBullet"/>
      </w:pPr>
      <w:r>
        <w:t>Piège : allergie croisée entre les esters (oxétacaïne, tétracaïne, procaine, benzocaïne, chloroprocaïne) par le métabolite PABA — toujours interroger le patient sur ses antécédents allergiques aux anesthésiques locaux avant initiation ; en cas de doute, switch vers les amides (lidocaïne).</w:t>
      </w:r>
    </w:p>
    <w:p>
      <w:pPr>
        <w:pStyle w:val="ListBullet"/>
      </w:pPr>
      <w:r>
        <w:t>Règle : pas d'allergie croisée entre esters et amides — en cas d'allergie aux esters, switch possible vers les amides.</w:t>
      </w:r>
    </w:p>
    <w:p>
      <w:pPr>
        <w:pStyle w:val="ListBullet"/>
      </w:pPr>
      <w:r>
        <w:t>Piège : la forme Mutesa est retirée du marché algérien — orienter le patient vers des alternatives disponibles (lidocaïne visqueuse, lidocaïne spray, hexétidine, Givalex) en cas d'indication.</w:t>
      </w:r>
    </w:p>
    <w:p>
      <w:pPr>
        <w:pStyle w:val="ListBullet"/>
      </w:pPr>
      <w:r>
        <w:t>Piège : la forme Mutesa contient des antiacides (aluminium + magnésium) qui peuvent chélater les quinolones et les tétracyclines — espacer les prises de 2 à 4 heures en cas d'antibiothérapie concomitante.</w:t>
      </w:r>
    </w:p>
    <w:p>
      <w:pPr>
        <w:pStyle w:val="ListBullet"/>
      </w:pPr>
      <w:r>
        <w:t>Piège : méthode de recherche de la méthémoglobinémie — en cas de cyanose, dyspnée, fatigue, ou troubles de conscience après application d'un anesthésique local ester, penser à la méthémoglobinémie (dosage sanguin, traitement par bleu de méthylène IV en milieu hospitalier).</w:t>
      </w:r>
    </w:p>
    <w:p>
      <w:pPr>
        <w:pStyle w:val="ListBullet"/>
      </w:pPr>
      <w:r>
        <w:t>Règle : consulter un médecin en cas de persistance au-delà de 5 jours, d'aggravation, d'apparition de signes généraux (fièvre, adénopathie, altération de l'état général) — risque de masquer une pathologie sous-jacente (cancer buccal, lésion tumorale pharyngée).</w:t>
      </w:r>
    </w:p>
    <w:p>
      <w:pPr>
        <w:pStyle w:val="Heading3"/>
      </w:pPr>
      <w:r>
        <w:t>134.2.2 DCI : Oxybuprocaïne</w:t>
      </w:r>
    </w:p>
    <w:p>
      <w:r/>
      <w:r>
        <w:rPr>
          <w:b/>
        </w:rPr>
        <w:t>Liste des Catégories :</w:t>
      </w:r>
      <w:r>
        <w:t xml:space="preserve"> Anesthésique local de surface ; Ester (dérivé de l'acide para-aminobenzoïque) ; Anesthésique topique ophtalmique de référence ; Usage ORL et buccal possible (hors AMM stricte) ; Liste I (prescription médicale obligatoire en Algérie).</w:t>
      </w:r>
    </w:p>
    <w:p>
      <w:r>
        <w:t>L'oxybuprocaïne (benoxinate, hydroxy-4-aminobenzoate de 2-(diéthylamino)éthyle) est un anesthésique local de la famille des esters, structurellement apparenté à la procaine et à la tétracaïne, caractérisé par son action anesthésique locale rapide et courte sur les muqueuses — historiquement développée pour l'ophtalmologie (anesthésie cornéenne pour examen et gestes courts) et également utilisée en ORL (anesthésie pharyngée et laryngée avant gestes endoscopiques) et en stomatologie (anesthésie gingivale et buccale avant gestes dentaires courts). Commercialisée en France depuis les années 1960 sous les noms de Novesine (Merck Sharp &amp; Dhome Chibret) et Cebesine (Chauvin S.A.), elle constitue l'anesthésique local ophtalmique de référence pour les examens de routine (tonométrie, gonioscopie, fond d'œil) et les gestes courts (extraction de corps étranger cornéen, sondage canaliculaire). En Algérie, les spécialités Anestocil (Groupement Pharmaceutique Algérien — GPA) et Cebesine (Chauvin S.A.) sont disponibles en collyre 0,4 %, en flacon de 5 ou 10 mL, inscrites à la Liste I (prescription médicale obligatoire). La forme historique Novesine (Merck Sharp &amp; Dhome Chibret) a été retirée du marché algérien. L'usage ORL et buccal de l'oxybuprocaïne en collyre est hors AMM stricte (l'AMM est strictement ophtalmique), mais peut être justifié en cas d'indication d'anesthésie locale brève de la muqueuse bucco-pharyngée en l'absence d'alternative disponible.</w:t>
      </w:r>
    </w:p>
    <w:p>
      <w:r/>
      <w:r>
        <w:rPr>
          <w:b/>
        </w:rPr>
        <w:t>Médicaments disponibles en Algérie (tableau des spécialités commercialisées)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ANESTOCIL</w:t>
            </w:r>
          </w:p>
        </w:tc>
        <w:tc>
          <w:tcPr>
            <w:tcW w:type="dxa" w:w="1559"/>
          </w:tcPr>
          <w:p>
            <w:r>
              <w:rPr>
                <w:sz w:val="20"/>
              </w:rPr>
              <w:t>GROUPEMENT PHARMACEUTIQUE ALGERIEN (GPA)</w:t>
            </w:r>
          </w:p>
        </w:tc>
        <w:tc>
          <w:tcPr>
            <w:tcW w:type="dxa" w:w="1559"/>
          </w:tcPr>
          <w:p>
            <w:r>
              <w:rPr>
                <w:sz w:val="20"/>
              </w:rPr>
              <w:t>Collyre en solution — Oxybuprocaïne (chlorhydrate) 0,4 %</w:t>
            </w:r>
          </w:p>
        </w:tc>
        <w:tc>
          <w:tcPr>
            <w:tcW w:type="dxa" w:w="1559"/>
          </w:tcPr>
          <w:p>
            <w:r>
              <w:rPr>
                <w:sz w:val="20"/>
              </w:rPr>
              <w:t>Flacon 10 mL</w:t>
            </w:r>
          </w:p>
        </w:tc>
        <w:tc>
          <w:tcPr>
            <w:tcW w:type="dxa" w:w="1559"/>
          </w:tcPr>
          <w:p>
            <w:r>
              <w:rPr>
                <w:sz w:val="20"/>
              </w:rPr>
              <w:t>Liste I</w:t>
            </w:r>
          </w:p>
        </w:tc>
        <w:tc>
          <w:tcPr>
            <w:tcW w:type="dxa" w:w="1559"/>
          </w:tcPr>
          <w:p>
            <w:r>
              <w:rPr>
                <w:sz w:val="20"/>
              </w:rPr>
              <w:t>Actif</w:t>
            </w:r>
          </w:p>
        </w:tc>
      </w:tr>
      <w:tr>
        <w:tc>
          <w:tcPr>
            <w:tcW w:type="dxa" w:w="1559"/>
          </w:tcPr>
          <w:p>
            <w:r>
              <w:rPr>
                <w:sz w:val="20"/>
              </w:rPr>
              <w:t>CEBESINE</w:t>
            </w:r>
          </w:p>
        </w:tc>
        <w:tc>
          <w:tcPr>
            <w:tcW w:type="dxa" w:w="1559"/>
          </w:tcPr>
          <w:p>
            <w:r>
              <w:rPr>
                <w:sz w:val="20"/>
              </w:rPr>
              <w:t>CHAUVIN S.A.</w:t>
            </w:r>
          </w:p>
        </w:tc>
        <w:tc>
          <w:tcPr>
            <w:tcW w:type="dxa" w:w="1559"/>
          </w:tcPr>
          <w:p>
            <w:r>
              <w:rPr>
                <w:sz w:val="20"/>
              </w:rPr>
              <w:t>Collyre en solution — Oxybuprocaïne (chlorhydrate) 0,4 %</w:t>
            </w:r>
          </w:p>
        </w:tc>
        <w:tc>
          <w:tcPr>
            <w:tcW w:type="dxa" w:w="1559"/>
          </w:tcPr>
          <w:p>
            <w:r>
              <w:rPr>
                <w:sz w:val="20"/>
              </w:rPr>
              <w:t>Flacon 5 mL</w:t>
            </w:r>
          </w:p>
        </w:tc>
        <w:tc>
          <w:tcPr>
            <w:tcW w:type="dxa" w:w="1559"/>
          </w:tcPr>
          <w:p>
            <w:r>
              <w:rPr>
                <w:sz w:val="20"/>
              </w:rPr>
              <w:t>Liste I</w:t>
            </w:r>
          </w:p>
        </w:tc>
        <w:tc>
          <w:tcPr>
            <w:tcW w:type="dxa" w:w="1559"/>
          </w:tcPr>
          <w:p>
            <w:r>
              <w:rPr>
                <w:sz w:val="20"/>
              </w:rPr>
              <w:t>Actif</w:t>
            </w:r>
          </w:p>
        </w:tc>
      </w:tr>
      <w:tr>
        <w:tc>
          <w:tcPr>
            <w:tcW w:type="dxa" w:w="1559"/>
          </w:tcPr>
          <w:p>
            <w:r>
              <w:rPr>
                <w:sz w:val="20"/>
              </w:rPr>
              <w:t>NOVESINE</w:t>
            </w:r>
          </w:p>
        </w:tc>
        <w:tc>
          <w:tcPr>
            <w:tcW w:type="dxa" w:w="1559"/>
          </w:tcPr>
          <w:p>
            <w:r>
              <w:rPr>
                <w:sz w:val="20"/>
              </w:rPr>
              <w:t>MERCK SHARP &amp; DHOME CHIBRET</w:t>
            </w:r>
          </w:p>
        </w:tc>
        <w:tc>
          <w:tcPr>
            <w:tcW w:type="dxa" w:w="1559"/>
          </w:tcPr>
          <w:p>
            <w:r>
              <w:rPr>
                <w:sz w:val="20"/>
              </w:rPr>
              <w:t>Collyre en solution — Oxybuprocaïne (chlorhydrate) 0,4 %</w:t>
            </w:r>
          </w:p>
        </w:tc>
        <w:tc>
          <w:tcPr>
            <w:tcW w:type="dxa" w:w="1559"/>
          </w:tcPr>
          <w:p>
            <w:r>
              <w:rPr>
                <w:sz w:val="20"/>
              </w:rPr>
              <w:t>Flacon 10 mL</w:t>
            </w:r>
          </w:p>
        </w:tc>
        <w:tc>
          <w:tcPr>
            <w:tcW w:type="dxa" w:w="1559"/>
          </w:tcPr>
          <w:p>
            <w:r>
              <w:rPr>
                <w:sz w:val="20"/>
              </w:rPr>
              <w:t>Liste I</w:t>
            </w:r>
          </w:p>
        </w:tc>
        <w:tc>
          <w:tcPr>
            <w:tcW w:type="dxa" w:w="1559"/>
          </w:tcPr>
          <w:p>
            <w:r>
              <w:rPr>
                <w:sz w:val="20"/>
              </w:rPr>
              <w:t>Retrait</w:t>
            </w:r>
          </w:p>
        </w:tc>
      </w:tr>
    </w:tbl>
    <w:p/>
    <w:p>
      <w:r>
        <w:t>L'oxybuprocaïne est principalement délivrée en Algérie sous deux formes natives actives en collyre 0,4 % : (1) Anestocil (GPA — Groupement Pharmaceutique Algérien), flacon de 10 mL ; (2) Cebesine (Chauvin S.A., laboratoire français spécialisé en ophtalmologie), flacon de 5 mL. Les deux spécialités sont inscrites à la Liste I (prescription médicale obligatoire), en raison du risque de toxicité systémique en cas d'usage prolongé et du risque de masquage d'une pathologie cornéenne (kératite) par l'anesthésie locale. La forme historique Novesine (Merck Sharp &amp; Dhome Chibret) a été retirée du marché algérien mais reste largement prescrite par habitude dans les ordonnances privées ; les officinaux doivent orienter le patient vers Anestocil ou Cebesine. L'usage ORL et buccal de l'oxybuprocaïne en collyre (application directe sur la muqueuse buccale ou pharyngée) est hors AMM stricte (l'AMM est strictement ophtalmique), mais peut être justifié en cas d'indication d'anesthésie locale brève (aphte douloureux, gingivite ulcérée, geste dentaire court, prémédication avant fibroscopie laryngée) en l'absence d'alternative disponible en officine.</w:t>
      </w:r>
    </w:p>
    <w:p>
      <w:r/>
      <w:r>
        <w:rPr>
          <w:b/>
        </w:rPr>
        <w:t>Sous-classe et Mécanisme d'action :</w:t>
      </w:r>
      <w:r/>
    </w:p>
    <w:p>
      <w:pPr>
        <w:pStyle w:val="ListBullet"/>
      </w:pPr>
      <w:r>
        <w:t>Sous-classe : Anesthésique local de la famille des esters (dérivé de l'acide para-aminobenzoïque), apparenté à la procaine, à la tétracaïne et à l'oxétacaïne ; usage strictement topique muqueux (ophtalmique de référence, ORL et buccal hors AMM).</w:t>
      </w:r>
    </w:p>
    <w:p>
      <w:pPr>
        <w:pStyle w:val="ListBullet"/>
      </w:pPr>
      <w:r>
        <w:t>Mécanisme d'action : l'oxybuprocaïne est une base faible lipophile qui, sous sa forme non ionisée (à pH physiologique, ~30 % de la forme non ionisée), traverse la bicouche lipidique des fibres nerveuses sensitives (fibres C de petit diamètre sensibles à la douleur, fibres Aδ sensibles au chaud/froid) et se lie de façon réversible au canal sodique voltage-dépendant, en bloquant le site alpha intracellulaire (récepteur local du canal Na+). Le blocage empêche l'ouverture du canal Na+ en réponse à une dépolarisation membranaire, bloquant ainsi la génération et la propagation du potentiel d'action sensitif. La conséquence est une perte de sensation douloureuse locale (anesthésie de surface), sans perte de motricité aux doses thérapeutiques. Le délai d'action est court (30 secondes à 1 minute après application sur muqueuse cornéenne ou buccale), la durée d'action est courte (15 à 30 minutes — plus courte que la tétracaïne ou l'oxétacaïne). Le métabolisme est hépatique et plasmatique (hydrolyse rapide par les cholinestérases plasmatiques en métabolite inactif — acide para-aminobenzoïque, responsable du risque allergique croisé avec les autres esters). La résorption systémique après application ophtalmique est très faible (&lt; 2 % de la dose appliquée), justifiant un bon profil de tolérance systémique en usage ophtalmique strict. Le spectre d'action couvre toutes les affections douloureuses de la muqueuse oculaire (conjonctive, cornée) — indication de référence — et potentiellement de la muqueuse buccale, pharyngée, et laryngée (usage hors AMM). L'oxybuprocaïne n'a pas d'activité antimicrobienne propre, mais les collyres contiennent souvent un conservateur (chlorure de benzalkonium) à activité antiseptique — prudence en cas d'allergie croisée.</w:t>
      </w:r>
    </w:p>
    <w:p>
      <w:r/>
      <w:r>
        <w:rPr>
          <w:b/>
        </w:rPr>
        <w:t>Profil Pharmacologique :</w:t>
      </w:r>
      <w:r/>
    </w:p>
    <w:p>
      <w:pPr>
        <w:pStyle w:val="ListBullet"/>
      </w:pPr>
      <w:r>
        <w:t>Indications : (1) Anesthésie locale de surface cornéenne et conjonctivale pour examen ophtalmologique de routine : tonométrie (mesure de la pression intra-oculaire par aplanation), gonioscopie (examen de l'angle irido-cornéen), fond d'œil dilaté en cas d'intolérance, examens au biomicroscope (lampe à fente). (2) Anesthésie locale avant gestes ophtalmiques courts : extraction de corps étranger cornéen ou conjonctival, sondage des canalicules lacrymaux, mesure du test de Schirmer, débridement d'ulcère cornéen, mise en place de lentilles sclérales. (3) Anesthésie locale avant geste ORL court (hors AMM) : prémédication anesthésique avant fibroscopie laryngée souple, ablation de corps étranger pharyngé ou laryngé, anesthésie de la base de langue avant examen au nasofibroscope. (4) Anesthésie locale buccale (hors AMM) : aphte douloureux isolé, gingivite ulcérée localisée, prémédication avant détartrage ou extraction dentaire simple, soulagement symptomatique transitoire des douleurs buccales post-chirurgicales. (5) Soulagement transitoire des douleurs pharyngées aiguës en soins palliatifs ou en cas de contre-indication aux AINS systémiques (hors AMM, à discuter médicalement). Cure courte impérative : 1 à 2 instillations/application, à répéter au maximum 3 à 4 fois par jour pendant 5 jours maximum.</w:t>
      </w:r>
    </w:p>
    <w:p>
      <w:pPr>
        <w:pStyle w:val="ListBullet"/>
      </w:pPr>
      <w:r>
        <w:t>Contre-indications : (1) Hypersensibilité à l'oxybuprocaïne, aux autres anesthésiques locaux esters (procaine, tétracaïne, benzocaïne, oxétacaïne — allergie croisée par le métabolite PABA), ou à l'un des excipients (notamment le chlorure de benzalkonium — conservateur). (2) Porteurs de lentilles de contact (le conservateur chlorure de benzalkonium est toxique pour le cornée en cas de port prolongé — retirer les lentilles avant instillation, attendre 15 minutes avant de les remettre ; ou préférer une forme unidose sans conservateur, non disponible en Algérie pour cette DCI). (3) Anesthésie locale ophtalmique prolongée ou automédication (risque de kératopathie toxique, d'ulcère cornéen, de masquage d'une pathologie sous-jacente). (4) Application prolongée sur muqueuse buccale ou pharyngée en automédication (risque de masquage d'une pathologie tumorale sous-jacente). (5) Ne pas avaler de nourriture ou de boisson pendant 1 heure après application bucco-pharyngée (risque de fausse-route par anesthésie pharyngée). (6) Ne pas appliquer avant la tétée chez la femme allaitante (risque d'anesthésie des voies aériennes supérieures du nouveau-né). (7) Enfant de moins de 6 ans pour l'usage buccal (risque d'ingestion et de méthémoglobinémie). (8) Antécédents de méthémoglobinémie (constitutionnelle ou acquise). (9) Deficit en cholinestérases plasmatiques (génétique — prédisposition à l'apnée prolongée après métabolisme ralenti).</w:t>
      </w:r>
    </w:p>
    <w:p>
      <w:pPr>
        <w:pStyle w:val="ListBullet"/>
      </w:pPr>
      <w:r>
        <w:t>Effets Indésirables : Très fréquents (&gt; 10 %) en usage ophtalmique : picotement transitoire à l'instillation (1 à 2 secondes), hyperhémie conjonctivale modérée, flou visuel transitoire (5 à 10 minutes — ne pas conduire pendant cette période). Fréquents (1–10 %) : irritation locale, larmoiement, blépharite allergique de contact (en cas d'usage répété). Peu fréquents (0,1–1 %) : dermatite de contact allergique des paupières, conjonctivite allergique, kératite ponctuée superficielle (en cas d'usage répété), rash cutané périorbitaire. Rares (&lt; 0,1 %) : kératopathie toxique sévère (ulcère cornéen, fonte cornéenne) en cas d'usage prolongé ou répété (≥ 7 jours d'automédication), anaphylaxie (choc, bronchospasme, hypotension — allergie vraie aux esters). Exceptionnels (&lt; 0,01 %) : méthémoglobinémie (cyanase, dyspnée — particulièrement chez l'enfant de moins de 6 ans en cas d'instillation massive accidentelle), convulsions (en cas d'overdose systémique par résorption massive — rare en usage ophtalmique strict), dépression respiratoire (très rare en usage ophtalmique). L'oxybuprocaïne n'est pas génotoxique ni cancérogène aux concentrations d'usage. Le conservateur chlorure de benzalkonium (BAK) est toxique pour la cornée en cas d'usage prolongé (&gt; 7 jours) ou de port de lentilles.</w:t>
      </w:r>
    </w:p>
    <w:p>
      <w:r/>
      <w:r>
        <w:rPr>
          <w:b/>
        </w:rPr>
        <w:t>Prévention et Gestion des Effets Indésirables :</w:t>
      </w:r>
      <w:r/>
    </w:p>
    <w:p>
      <w:pPr>
        <w:pStyle w:val="ListBullet"/>
      </w:pPr>
      <w:r>
        <w:t>Mesures préventives : (1) Respecter strictement la durée maximale de 5 jours en automédication pour les indications bucco-pharyngées hors AMM ; unidose idéale pour les examens ophtalmologiques (1 à 2 instillations par examen). (2) Informer le patient de l'obligation de ne pas conduire de véhicule ni d'utiliser de machine dangereuse pendant 30 minutes à 1 heure après instillation ophtalmique (flou visuel transitoire). (3) Informer le patient de l'obligation de ne pas manger, ne pas boire, et ne pas fumer pendant 1 heure après application bucco-pharyngée (risque de fausse-route par anesthésie pharyngée). (4) Ne pas appliquer avant la tétée chez la femme allaitante (règle absolue pour tous les anesthésiques locaux topiques). (5) Vérifier l'absence d'antécédents allergiques aux anesthésiques locaux esters avant initiation ; en cas de doute, privilégier un anesthésique local de la famille des amides (lidocaïne ophtalmique, oxybuprocaïne étant un ester — switch vers tétracaïne alternative ester également CI). (6) Retrait des lentilles de contact avant instillation (toxicité du BAK) ; ne pas remettre les lentilles pendant 15 minutes minimum après instillation. (7) Ne pas dépasser 3 à 4 applications par jour (surdosage inutile et augmente le risque de toxicité systémique). (8) Pour l'usage ophtalmique : ne jamais renouveler l'instillation sans prescription médicale (risque de masquage d'une pathologie cornéenne — kératite, ulcère). (9) Gardiennage obligatoire des flacons (Liste I), hors de portée des enfants (risque d'ingestion accidentelle massive). (10) Vérifier la date de péremption et l'intégrité du flacon (soluté ophtalmique stérile — ne pas toucher l'embout avec les doigts, ni avec la cornée).</w:t>
      </w:r>
    </w:p>
    <w:p>
      <w:pPr>
        <w:pStyle w:val="ListBullet"/>
      </w:pPr>
      <w:r>
        <w:t>Conduite à tenir : (1) En cas de persistance des symptômes au-delà de 5 jours : arrêt immédiat et consultation médicale pour réévaluation diagnostique (consultation ophtalmologique systématique en cas de symptomatologie oculaire — examen à la lampe à fente avec coloration à la fluorescéine pour recherche de kératite, d'ulcère, de corps étranger). (2) En cas de signes d'allergie (rash périorbitaire, urticaire, prurit, œdème) : arrêt immédiat, antihistaminique H1 oral, consultation médicale ; en cas de signes d'anaphylaxie : adrénaline IM 0,3 mg, appel SAMU 15. (3) En cas de douleur oculaire intense, rougeur importante, baisse d'acuité visuelle après instillation : arrêt immédiat, consultation ophtalmologique urgente (suspicion de kératite toxique, d'ulcère cornéen, ou d'infection secondaire). (4) En cas de cyanose, de dyspnée, de troubles de conscience après application : suspicion de méthémoglobinémie — arrêt, consultation médicale urgente, dosage de la méthémoglobinémie (traitement par bleu de méthylène IV en milieu hospitalier). (5) En cas de signes de toxicité systémique (convulsions, dépression respiratoire, hypotension, troubles du rythme) : arrêt, SAMU 15, réanimation symptomatique. (6) En cas d'ingestion accidentelle massive par un enfant : surveillance médicale hospitalière 24 heures, surveillance neurologique, cardiaque (ECG), et hépatique.</w:t>
      </w:r>
    </w:p>
    <w:p>
      <w:r/>
      <w:r>
        <w:rPr>
          <w:b/>
        </w:rPr>
        <w:t>Interactions Médicamenteuses :</w:t>
      </w:r>
      <w:r/>
    </w:p>
    <w:p>
      <w:pPr>
        <w:pStyle w:val="ListBullet"/>
      </w:pPr>
      <w:r>
        <w:t>Autres anesthésiques locaux esters (procaine, tétracaïne, benzocaïne, oxétacaïne) : risque d'allergie croisée par le métabolite PABA — ne pas associer ; en cas d'allergie à un ester, switch vers les amides.</w:t>
      </w:r>
    </w:p>
    <w:p>
      <w:pPr>
        <w:pStyle w:val="ListBullet"/>
      </w:pPr>
      <w:r>
        <w:t>Anesthésiques locaux amides (lidocaïne, bupivacaïne, articaïne) : pas d'allergie croisée — switch possible en cas d'allergie aux esters.</w:t>
      </w:r>
    </w:p>
    <w:p>
      <w:pPr>
        <w:pStyle w:val="ListBullet"/>
      </w:pPr>
      <w:r>
        <w:t>Anticholinestérases (néostigmine, pyridostigmine, distigmine — utilisées dans la myasthénie) : potentialisation de l'effet anesthésique local (diminution du métabolisme des esters par inhibition des cholinestérases) — risque de toxicité systémique accrue ; espacer les prises de 6 heures minimum ou privilégier les amides.</w:t>
      </w:r>
    </w:p>
    <w:p>
      <w:pPr>
        <w:pStyle w:val="ListBullet"/>
      </w:pPr>
      <w:r>
        <w:t>Sulfamides antibactériens (sulfaméthoxazole-triméthoprime, sulfadiazine, sulfasalazine) : risque théorique d'antagonisme par le métabolite PABA de l'oxybuprocaïne — prudence en cas d'association.</w:t>
      </w:r>
    </w:p>
    <w:p>
      <w:pPr>
        <w:pStyle w:val="ListBullet"/>
      </w:pPr>
      <w:r>
        <w:t>Myorelaxants (curares — succinylcholine, rocuronium, vecuronium) : potentialisation du bloc neuromusculaire par les esters chez les patients myasthéniques ou déficitaires en cholinestérases plasmatiques — prévenir l'anesthésiste en cas de chirurgie programmée.</w:t>
      </w:r>
    </w:p>
    <w:p>
      <w:pPr>
        <w:pStyle w:val="ListBullet"/>
      </w:pPr>
      <w:r>
        <w:t>Collyres à base de timolol, brimonidine, ou autres antiglaucomateux : pas d'interaction significative ; instiller l'anesthésique local avant le collyre antiglaucomateux pour faciliter l'absorption (espacer de 5 minutes).</w:t>
      </w:r>
    </w:p>
    <w:p>
      <w:pPr>
        <w:pStyle w:val="ListBullet"/>
      </w:pPr>
      <w:r>
        <w:t>Collyres antibiotiques (ofloxacine, tobramycine, chloramphénicol) : pas d'interaction significative ; instiller l'anesthésique local 5 minutes avant l'antibiotique pour faciliter l'absorption.</w:t>
      </w:r>
    </w:p>
    <w:p>
      <w:pPr>
        <w:pStyle w:val="ListBullet"/>
      </w:pPr>
      <w:r>
        <w:t>PAS d'interaction systémique significative en usage ophtalmique strictement conduit (résorption systémique négligeable, &lt; 2 % de la dose appliquée).</w:t>
      </w:r>
    </w:p>
    <w:p>
      <w:r/>
      <w:r>
        <w:rPr>
          <w:b/>
        </w:rPr>
        <w:t>Grossesse et Allaitement :</w:t>
      </w:r>
      <w:r/>
    </w:p>
    <w:p>
      <w:pPr>
        <w:pStyle w:val="ListBullet"/>
      </w:pPr>
      <w:r>
        <w:t>Grossesse : l'oxybuprocaïne en usage local ophtalmique est considérée comme COMPATIBLE en usage ponctuel et court (1 à 2 instillations par examen), quel que soit le terme de la grossesse (CRAT : « l'utilisation ponctuelle d'un collyre anesthésique local de la famille des esters pour examen ophtalmologique est envisageable quel que soit le terme de la grossesse ; la résorption systémique est négligeable »). Pour l'usage bucco-pharyngé hors AMM, préférer la lidocaïne (amide) ou limiter à 5 jours maximum. Éviter l'ingestion (ne pas avaler le collyre).</w:t>
      </w:r>
    </w:p>
    <w:p>
      <w:pPr>
        <w:pStyle w:val="ListBullet"/>
      </w:pPr>
      <w:r>
        <w:t>Allaitement : COMPATIBLE en usage ophtalmique ponctuel et court. Pour l'usage bucco-pharyngé, respecter un délai de 1 heure entre l'application et la tétée (risque d'anesthésie des voies aériennes supérieures du nouveau-né). Ne pas appliquer sur le mamelon avant la tétée (règle absolue).</w:t>
      </w:r>
    </w:p>
    <w:p>
      <w:pPr>
        <w:pStyle w:val="ListBullet"/>
      </w:pPr>
      <w:r>
        <w:t>Fertilité : pas d'effet connu sur la fertilité masculine ou féminine en usage local court.</w:t>
      </w:r>
    </w:p>
    <w:p>
      <w:r/>
      <w:r>
        <w:rPr>
          <w:b/>
        </w:rPr>
        <w:t>Posologie et Mode d'administration (Standard) :</w:t>
      </w:r>
      <w:r/>
    </w:p>
    <w:p>
      <w:pPr>
        <w:pStyle w:val="ListBullet"/>
      </w:pPr>
      <w:r>
        <w:t>Anesthésie cornéenne et conjonctivale pour examen (tonométrie, gonioscopie, fond d'œil) : 1 instillation de 1 goutte dans le cul-de-sac conjonctival inférieur, 1 à 2 minutes avant le geste. Réinstiller 1 goutte si le geste dure plus de 15 minutes. Ne pas répéter plus de 3 fois par examen.</w:t>
      </w:r>
    </w:p>
    <w:p>
      <w:pPr>
        <w:pStyle w:val="ListBullet"/>
      </w:pPr>
      <w:r>
        <w:t>Extraction de corps étranger cornéen : 1 à 2 instillations de 1 goutte, à 30 secondes d'intervalle, 1 minute avant le geste.</w:t>
      </w:r>
    </w:p>
    <w:p>
      <w:pPr>
        <w:pStyle w:val="ListBullet"/>
      </w:pPr>
      <w:r>
        <w:t>Sondage canaliculaire, mise en place de lentilles sclérales : 1 à 2 instillations de 1 goutte, 1 minute avant le geste.</w:t>
      </w:r>
    </w:p>
    <w:p>
      <w:pPr>
        <w:pStyle w:val="ListBullet"/>
      </w:pPr>
      <w:r>
        <w:t>Anesthésie buccale hors AMM (aphte, gingivite ulcérée, prémédication dentaire courte) : 1 à 2 gouttes appliquées directement sur la lésion ou la zone à anesthésier avec un coton-tige, 1 minute avant le repas ou le geste, 3 à 4 fois par jour maximum, pendant 5 jours maximum. Ne pas avaler, recracher après 30 secondes à 1 minute de contact. Ne pas manger ni boire pendant 1 heure après application.</w:t>
      </w:r>
    </w:p>
    <w:p>
      <w:pPr>
        <w:pStyle w:val="ListBullet"/>
      </w:pPr>
      <w:r>
        <w:t>Anesthésie pharyngée ou laryngée avant fibroscopie ORL (hors AMM) : 2 à 3 gouttes appliquées sur la base de langue avec un coton-tige ou un abaisse-langue, 5 minutes avant le geste. Ne pas avaler, recracher après contact.</w:t>
      </w:r>
    </w:p>
    <w:p>
      <w:pPr>
        <w:pStyle w:val="ListBullet"/>
      </w:pPr>
      <w:r>
        <w:t>Sujet âgé : pas d'adaptation posologique en usage local court.</w:t>
      </w:r>
    </w:p>
    <w:p>
      <w:pPr>
        <w:pStyle w:val="ListBullet"/>
      </w:pPr>
      <w:r>
        <w:t>Insuffisance rénale/hépatique : pas d'adaptation posologique en usage ophtalmique strict (résorption négligeable) ; prudence en usage bucco-pharyngé prolongé en cas d'insuffisance hépatique sévère (métabolisme diminué).</w:t>
      </w:r>
    </w:p>
    <w:p>
      <w:pPr>
        <w:pStyle w:val="ListBullet"/>
      </w:pPr>
      <w:r>
        <w:t>Enfant : usage ophtalmique dès la naissance sous surveillance stricte (1 goutte en instillation unique, éviter la répétition) ; usage buccal contre-indiqué avant 6 ans (risque d'ingestion et de méthémoglobinémie).</w:t>
      </w:r>
    </w:p>
    <w:p>
      <w:pPr>
        <w:pStyle w:val="ListBullet"/>
      </w:pPr>
      <w:r>
        <w:t>Technique d'instillation ophtalmique : se laver les mains, basculer la tête légèrement en arrière, tirer délicatement la paupière inférieure vers le bas pour former le cul-de-sac conjonctival, instiller 1 goutte sans toucher l'œil ni les cils avec l'embout, fermer l'œil 1 à 2 minutes en pressant légèrement le canthus interne pour limiter le passage naso-lacrymal et la résorption systémique, essuyer l'excédent avec un mouchoir propre.</w:t>
      </w:r>
    </w:p>
    <w:p>
      <w:r/>
      <w:r>
        <w:rPr>
          <w:b/>
        </w:rPr>
        <w:t>Surveillance Biologique et Suivi Clinique :</w:t>
      </w:r>
      <w:r/>
    </w:p>
    <w:p>
      <w:pPr>
        <w:pStyle w:val="ListBullet"/>
      </w:pPr>
      <w:r>
        <w:t>Pas de surveillance biologique spécifique nécessaire en usage ophtalmique standard court (1 à 2 instillations par examen).</w:t>
      </w:r>
    </w:p>
    <w:p>
      <w:pPr>
        <w:pStyle w:val="ListBullet"/>
      </w:pPr>
      <w:r>
        <w:t>Surveillance clinique : (1) Examen ophtalmologique systématique à J3–J5 en cas d'usage bucco-pharyngé hors AMM prolongé au-delà de 3 jours — recherche de kératite, d'ulcère cornéen, d'infection secondaire (coloration à la fluorescéine, examen à la lampe à fente). (2) En cas de symptomatologie bucco-pharyngée persistante au-delà de 5 jours : consultation médicale (ORL ou stomatologue) pour réévaluation diagnostique (recherche de lésion tumorale sous-jacente, de candidose, d'infection virale herpétique). (3) Surveillance de l'apparition de signes de toxicité systémique (somnolence, vertiges, convulsions, troubles du rythme) — particulièrement chez l'enfant, le sujet âgé, l'insuffisant hépatique. (4) Surveillance de l'apparition de signes d'allergie (rash périorbitaire ou péribuccal, urticaire, prurit, œdème) — arrêt immédiat en cas de survenue. (5) Surveillance de l'apparition de signes de méthémoglobinémie (cyanase, dyspnée) — particulièrement chez l'enfant de moins de 6 ans et le déficitaire en G6PD.</w:t>
      </w:r>
    </w:p>
    <w:p>
      <w:pPr>
        <w:pStyle w:val="ListBullet"/>
      </w:pPr>
      <w:r>
        <w:t>Pas de suivi virologique ou bactériologique systématique.</w:t>
      </w:r>
    </w:p>
    <w:p>
      <w:r/>
      <w:r>
        <w:rPr>
          <w:b/>
        </w:rPr>
        <w:t>Arbitrage et Bénéfices des Formes Galéniques :</w:t>
      </w:r>
      <w:r/>
    </w:p>
    <w:p>
      <w:r>
        <w:t>L'oxybuprocaïne n'est disponible en Algérie que sous forme de collyre 0,4 % en flacon multiose (5 ou 10 mL), avec conservateur chlorure de benzalkonium (BAK). Cette forme est adaptée à l'usage ophtalmique strict, mais sa transposition à l'usage bucco-pharyngé (hors AMM) présente plusieurs limites : (1) la concentration 0,4 % est adaptée à la cornée mais potentiellement irritante pour la muqueuse buccale ; (2) le conservateur BAK est toxique en cas d'usage prolongé ; (3) le flacon multiose expose à un risque de contamination secondaire en cas d'usage non ophtalmique. Pour les indications bucco-pharyngées, des alternatives peuvent être préférées : (1) la lidocaïne visqueuse 2 % (gel oral) — anesthésique local de la famille des amides, sans allergie croisée avec les esters ; (2) la lidocaïne en spray 10 % (Xylocaïne spray) — application dirigée par pulvérisations, rapide et efficace ; (3) la benzocaïne en pastilles à sucer (anesthésique local ester, allergie croisée possible — non disponible en Algérie dans la nomenclature actuelle) ; (4) la forme combinée Givalex (hexétidine + salicylate de choline + chlorbutanol) qui offre une composante antalgique et antiseptique. Pour les indications ophtalmologiques strictes, l'oxybuprocaïne (Anestocil, Cebesine) reste la référence en Algérie, en alternative à la tétracaïne collyre (non disponible) et à la lidocaïne collyre (peu disponible). En cas d'allergie aux esters (oxybuprocaïne, tétracaïne, procaine, benzocaïne), le switch vers la lidocaïne (amide) en collyre ou en gel est sans allergie croisée. En cas de port de lentilles de contact, retirer impérativement avant instillation et attendre 15 minutes avant remise.</w:t>
      </w:r>
    </w:p>
    <w:p>
      <w:r/>
      <w:r>
        <w:rPr>
          <w:b/>
        </w:rPr>
        <w:t>Instructions et Conseils au Patient :</w:t>
      </w:r>
      <w:r/>
    </w:p>
    <w:p>
      <w:pPr>
        <w:pStyle w:val="ListBullet"/>
      </w:pPr>
      <w:r>
        <w:t>Communication au comptoir : « L'oxybuprocaïne (Anestocil, Cebesine) est un anesthésique local en collyre utilisé pour anesthésier l'œil avant un examen (mesure de la pression oculaire, examen du fond d'œil) ou un geste court (extraction d'un corps étranger). Médicament sur ordonnance (Liste I), à utiliser uniquement selon la prescription. Posologie usuelle : 1 goutte dans l'œil, 1 à 2 minutes avant le geste. Ne pas conduire de véhicule ni utiliser de machine dangereuse pendant 30 minutes à 1 heure après l'instillation (vision floue transitoire). Effets indésirables courants : léger picotement à l'instillation, hyperhémie conjonctivale modérée (œil légèrement rouge). Consulter un ophtalmologue si : douleur oculaire intense, rougeur importante, baisse d'acuité visuelle, écoulement anormal (suspicion d'infection ou d'ulcère). NE JAMAIS utiliser en automédication pour une rougeur oculaire ou une douleur non diagnostiquée (risque de masquer une infection sévère). Femme enceinte : usage ponctuel possible. Femme allaitante : usage ponctuel possible, ne pas appliquer sur le mamelon avant la tétée. Usage buccal (aphtes, gingivites) : hors AMM, sur prescription médicale stricte, ne pas avaler, recracher après 30 secondes à 1 minute, NE PAS MANGER NI BOIRE pendant 1 heure après (risque de fausse-route). »</w:t>
      </w:r>
    </w:p>
    <w:p>
      <w:pPr>
        <w:pStyle w:val="ListBullet"/>
      </w:pPr>
      <w:r>
        <w:t>Observance : respecter strictement la prescription (1 à 2 gouttes par instillation, maximum 3 à 4 fois par jour), ne pas prolonger au-delà de 5 jours sans avis médical, ne pas partager le flacon (risque de contamination croisée).</w:t>
      </w:r>
    </w:p>
    <w:p>
      <w:pPr>
        <w:pStyle w:val="ListBullet"/>
      </w:pPr>
      <w:r>
        <w:t>Hygiène ophtalmique : se laver les mains avant instillation, ne pas toucher l'embout du flacon avec les doigts, l'œil, ni les cils, fermer le flacon après usage.</w:t>
      </w:r>
    </w:p>
    <w:p>
      <w:pPr>
        <w:pStyle w:val="ListBullet"/>
      </w:pPr>
      <w:r>
        <w:t>Port de lentilles : retirer les lentilles avant instillation, ne pas les remettre pendant 15 minutes après.</w:t>
      </w:r>
    </w:p>
    <w:p>
      <w:pPr>
        <w:pStyle w:val="ListBullet"/>
      </w:pPr>
      <w:r>
        <w:t>Conservation : conserver le flacon bien fermé à température ambiante (15 à 25 °C), à l'abri de la lumière. Jeter le flacon entamé depuis plus de 15 jours après ouverture (risque de contamination microbienne secondaire, en particulier Pseudomonas — kératite sévère possible). Ne pas utiliser un collyre périmé.</w:t>
      </w:r>
    </w:p>
    <w:p>
      <w:pPr>
        <w:pStyle w:val="ListBullet"/>
      </w:pPr>
      <w:r>
        <w:t>Femmes enceintes et allaitantes : usage ponctuel possible ; pour l'usage buccal, préférer la lidocaïne (amide).</w:t>
      </w:r>
    </w:p>
    <w:p>
      <w:r/>
      <w:r>
        <w:rPr>
          <w:b/>
        </w:rPr>
        <w:t>Notes, Règles d'Or &amp; Pièges au Comptoir :</w:t>
      </w:r>
      <w:r/>
    </w:p>
    <w:p>
      <w:pPr>
        <w:pStyle w:val="ListBullet"/>
      </w:pPr>
      <w:r>
        <w:t>Règle d'or : l'oxybuprocaïne collyre est strictement réservée à l'usage ophtalmologique de prescription médicale (Liste I) — ne jamais délivrer sans ordonnance, ne jamais renouveler sans contrôle médical.</w:t>
      </w:r>
    </w:p>
    <w:p>
      <w:pPr>
        <w:pStyle w:val="ListBullet"/>
      </w:pPr>
      <w:r>
        <w:t>Piège : ne jamais utiliser en automédication pour une rougeur oculaire ou une douleur non diagnostiquée — risque de masquer une infection sévère (kératite bactérienne, herpétique, ou fongique, ulcère cornéen) et de favoriser la fonte cornéenne.</w:t>
      </w:r>
    </w:p>
    <w:p>
      <w:pPr>
        <w:pStyle w:val="ListBullet"/>
      </w:pPr>
      <w:r>
        <w:t>Règle : durée maximale de 5 jours en automédication pour les indications bucco-pharyngées hors AMM, prolongeable à 7–10 jours sur prescription médicale stricte (mucites chimio-induites ou radio-induites).</w:t>
      </w:r>
    </w:p>
    <w:p>
      <w:pPr>
        <w:pStyle w:val="ListBullet"/>
      </w:pPr>
      <w:r>
        <w:t>Piège : allergie croisée entre les esters (oxybuprocaïne, tétracaïne, procaine, benzocaïne, oxétacaïne) par le métabolite PABA — toujours interroger le patient sur ses antécédents allergiques aux anesthésiques locaux avant initiation ; en cas de doute, switch vers les amides (lidocaïne).</w:t>
      </w:r>
    </w:p>
    <w:p>
      <w:pPr>
        <w:pStyle w:val="ListBullet"/>
      </w:pPr>
      <w:r>
        <w:t>Règle : ne pas appliquer d'anesthésique local topique bucco-pharyngé sans prévenir le patient du risque de fausse-route — interdiction absolue de manger, boire, ou fumer pendant 1 heure après l'application.</w:t>
      </w:r>
    </w:p>
    <w:p>
      <w:pPr>
        <w:pStyle w:val="ListBullet"/>
      </w:pPr>
      <w:r>
        <w:t>Piège : ne pas appliquer avant la tétée chez la femme allaitante (risque d'anesthésie des voies aériennes supérieures du nouveau-né, fausse-route silencieuse).</w:t>
      </w:r>
    </w:p>
    <w:p>
      <w:pPr>
        <w:pStyle w:val="ListBullet"/>
      </w:pPr>
      <w:r>
        <w:t>Piège : le conservateur chlorure de benzalkonium (BAK) est toxique pour la cornée en cas d'usage prolongé (&gt; 7 jours) ou de port de lentilles — retirer les lentilles avant instillation, ne pas prolonger l'usage sans contrôle ophtalmologique.</w:t>
      </w:r>
    </w:p>
    <w:p>
      <w:pPr>
        <w:pStyle w:val="ListBullet"/>
      </w:pPr>
      <w:r>
        <w:t>Règle : ne pas conduire de véhicule ni utiliser de machine dangereuse pendant 30 minutes à 1 heure après l'instillation ophtalmique (flou visuel transitoire).</w:t>
      </w:r>
    </w:p>
    <w:p>
      <w:pPr>
        <w:pStyle w:val="ListBullet"/>
      </w:pPr>
      <w:r>
        <w:t>Piège : la forme Novesine (Merck Sharp &amp; Dhome Chibret) est retirée du marché algérien — orienter le patient vers Anestocil (GPA) ou Cebesine (Chauvin S.A.) en cas d'ordonnance.</w:t>
      </w:r>
    </w:p>
    <w:p>
      <w:pPr>
        <w:pStyle w:val="ListBullet"/>
      </w:pPr>
      <w:r>
        <w:t>Règle : en cas de cyanose, dyspnée, fatigue, ou troubles de conscience après instillation ou application buccale, penser à la méthémoglobinémie (dosage sanguin, traitement par bleu de méthylène IV).</w:t>
      </w:r>
    </w:p>
    <w:p>
      <w:pPr>
        <w:pStyle w:val="ListBullet"/>
      </w:pPr>
      <w:r>
        <w:t>Règle : consulter un médecin en cas de persistance au-delà de 5 jours, d'aggravation, ou d'apparition de signes généraux (fièvre, adénopathie, altération de l'état général) — risque de masquer une pathologie sous-jacente.</w:t>
      </w:r>
    </w:p>
    <w:p>
      <w:pPr>
        <w:pStyle w:val="Heading3"/>
      </w:pPr>
      <w:r>
        <w:t>134.2.3 DCI : Tétragaine (Tétracaïne)</w:t>
      </w:r>
    </w:p>
    <w:p>
      <w:r/>
      <w:r>
        <w:rPr>
          <w:b/>
        </w:rPr>
        <w:t>Liste des Catégories :</w:t>
      </w:r>
      <w:r>
        <w:t xml:space="preserve"> Anesthésique local de surface ; Ester (dérivé de l'acide para-aminobenzoïque) ; Anesthésique topique bucco-pharyngé et ophtalmique ; Usage ORL en association avec antiseptiques (chlorhexidine, hexamidine) ; Hors liste (spécialités en vente libre en Algérie, mais actuellement retirées du marché).</w:t>
      </w:r>
    </w:p>
    <w:p>
      <w:r>
        <w:t>La tétracaïne (désignée dans la nomenclature et la prescription courante sous le terme alternatif « tétragaine ») est un anesthésique local de la famille des esters, structurellement apparenté à la procaine et à l'oxybuprocaïne, caractérisé par son action anesthésique locale puissante et prolongée sur les muqueuses — historiquement utilisée en anesthésie rachidienne (spinale) et en topique muqueux (ophtalmologie, ORL, bucco-pharyngé). Découverte en 1930, elle a longtemps constitué l'anesthésique local de référence pour la ponction lombaire et la rachianesthésie, avant d'être supplantée par la bupivacaïne (amide) plus sûre. En topique muqueux, elle reste utilisée en association avec des antiseptiques (chlorhexidine dans Eludril, hexamidine dans Oromédine) pour les affections bucco-pharyngées douloureuses surinfectées (angines, pharyngites, stomatites aphtense). En Algérie, les deux spécialités référencées dans la nomenclature (Avril 2026) sont actuellement retirées du marché : Eludril (Pierre Fabre — chlorhexidine + tétracaïne en collutoire, flacon de 55 mL) et Oromédine (LPA — hexamidine + tétracaïne en collutoire, flacon de 30 mL). Les praticiens algériens doivent connaître les alternatives disponibles (hexétidine en collutoire, Givalex, lidocaïne en spray ou en gel) pour orienter les patients ayant historiquement bénéfice de la tétracaïne.</w:t>
      </w:r>
    </w:p>
    <w:p>
      <w:r/>
      <w:r>
        <w:rPr>
          <w:b/>
        </w:rPr>
        <w:t>Médicaments disponibles en Algérie (tableau des spécialités commercialisées)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ELUDRIL</w:t>
            </w:r>
          </w:p>
        </w:tc>
        <w:tc>
          <w:tcPr>
            <w:tcW w:type="dxa" w:w="1559"/>
          </w:tcPr>
          <w:p>
            <w:r>
              <w:rPr>
                <w:sz w:val="20"/>
              </w:rPr>
              <w:t>PIERRE FABRE</w:t>
            </w:r>
          </w:p>
        </w:tc>
        <w:tc>
          <w:tcPr>
            <w:tcW w:type="dxa" w:w="1559"/>
          </w:tcPr>
          <w:p>
            <w:r>
              <w:rPr>
                <w:sz w:val="20"/>
              </w:rPr>
              <w:t>Collutoire — Chlorhexidine (digluconate) 50 mg + Tétracaïne (chlorhydrate) 15 mg pour 100 mL</w:t>
            </w:r>
          </w:p>
        </w:tc>
        <w:tc>
          <w:tcPr>
            <w:tcW w:type="dxa" w:w="1559"/>
          </w:tcPr>
          <w:p>
            <w:r>
              <w:rPr>
                <w:sz w:val="20"/>
              </w:rPr>
              <w:t>Flacon 55 mL</w:t>
            </w:r>
          </w:p>
        </w:tc>
        <w:tc>
          <w:tcPr>
            <w:tcW w:type="dxa" w:w="1559"/>
          </w:tcPr>
          <w:p>
            <w:r>
              <w:rPr>
                <w:sz w:val="20"/>
              </w:rPr>
              <w:t>Hors liste</w:t>
            </w:r>
          </w:p>
        </w:tc>
        <w:tc>
          <w:tcPr>
            <w:tcW w:type="dxa" w:w="1559"/>
          </w:tcPr>
          <w:p>
            <w:r>
              <w:rPr>
                <w:sz w:val="20"/>
              </w:rPr>
              <w:t>Retrait</w:t>
            </w:r>
          </w:p>
        </w:tc>
      </w:tr>
      <w:tr>
        <w:tc>
          <w:tcPr>
            <w:tcW w:type="dxa" w:w="1559"/>
          </w:tcPr>
          <w:p>
            <w:r>
              <w:rPr>
                <w:sz w:val="20"/>
              </w:rPr>
              <w:t>OROMEDINE</w:t>
            </w:r>
          </w:p>
        </w:tc>
        <w:tc>
          <w:tcPr>
            <w:tcW w:type="dxa" w:w="1559"/>
          </w:tcPr>
          <w:p>
            <w:r>
              <w:rPr>
                <w:sz w:val="20"/>
              </w:rPr>
              <w:t>LABORATOIRE PHARMACEUTIQUE ALGERIEN (LPA)</w:t>
            </w:r>
          </w:p>
        </w:tc>
        <w:tc>
          <w:tcPr>
            <w:tcW w:type="dxa" w:w="1559"/>
          </w:tcPr>
          <w:p>
            <w:r>
              <w:rPr>
                <w:sz w:val="20"/>
              </w:rPr>
              <w:t>Collutoire — Hexamidine (di-iséthionate) 0,1 g + Tétracaïne (chlorhydrate) 0,05 g pour 100 mL</w:t>
            </w:r>
          </w:p>
        </w:tc>
        <w:tc>
          <w:tcPr>
            <w:tcW w:type="dxa" w:w="1559"/>
          </w:tcPr>
          <w:p>
            <w:r>
              <w:rPr>
                <w:sz w:val="20"/>
              </w:rPr>
              <w:t>Flacon 30 mL</w:t>
            </w:r>
          </w:p>
        </w:tc>
        <w:tc>
          <w:tcPr>
            <w:tcW w:type="dxa" w:w="1559"/>
          </w:tcPr>
          <w:p>
            <w:r>
              <w:rPr>
                <w:sz w:val="20"/>
              </w:rPr>
              <w:t>Hors liste</w:t>
            </w:r>
          </w:p>
        </w:tc>
        <w:tc>
          <w:tcPr>
            <w:tcW w:type="dxa" w:w="1559"/>
          </w:tcPr>
          <w:p>
            <w:r>
              <w:rPr>
                <w:sz w:val="20"/>
              </w:rPr>
              <w:t>Retrait</w:t>
            </w:r>
          </w:p>
        </w:tc>
      </w:tr>
    </w:tbl>
    <w:p/>
    <w:p>
      <w:r>
        <w:t>Les deux spécialités historiquement disponibles en Algérie pour cette DCI sont actuellement retirées du marché : (1) Eludril (Pierre Fabre), collutoire associant chlorhexidine 0,05 % (antiseptique biguanide — voir chapitre 124 pour la DCI chlorhexidine) et tétracaïne 0,015 % (anesthésique local ester), en flacon de 55 mL — indication historique : affections bucco-pharyngées douloureuses surinfectées (angines, pharyngites, gingivites ulcérées) ; (2) Oromédine (LPA — Laboratoire Pharmaceutique Algérien), collutoire associant hexamidine 0,1 % (antiseptique diamidine — voir chapitre 124 pour la DCI hexamidine) et tétracaïne 0,05 % (anesthésique local ester), en flacon de 30 mL — indication historique similaire. Les deux spécialités sont en vente libre (hors liste) mais actuellement retirées du marché algérien. Les patients ayant historiquement bénéfice de la tétracaïne doivent être orientés vers des alternatives disponibles : (1) hexétidine en collutoire (Dad Mouth Wash, Oralvex — antiseptique biguanide sans composante anesthésique significative) ; (2) Givalex collutoire (Chemical Farma — hexétidine + salicylate de choline + chlorbutanol, avec composante antalgique non stéroïdienne) ; (3) lidocaïne en spray 10 % (Xylocaïne spray — anesthésique local amide) ; (4) lidocaïne visqueuse 2 % (gel oral — anesthésique local amide).</w:t>
      </w:r>
    </w:p>
    <w:p>
      <w:r/>
      <w:r>
        <w:rPr>
          <w:b/>
        </w:rPr>
        <w:t>Sous-classe et Mécanisme d'action :</w:t>
      </w:r>
      <w:r/>
    </w:p>
    <w:p>
      <w:pPr>
        <w:pStyle w:val="ListBullet"/>
      </w:pPr>
      <w:r>
        <w:t>Sous-classe : Anesthésique local de la famille des esters (dérivé de l'acide para-aminobenzoïque), apparenté à la procaine et à l'oxybuprocaïne ; usage topique muqueux (bucco-pharyngé et ophtalmique) et parentéral (rachianesthésie historique).</w:t>
      </w:r>
    </w:p>
    <w:p>
      <w:pPr>
        <w:pStyle w:val="ListBullet"/>
      </w:pPr>
      <w:r>
        <w:t>Mécanisme d'action : la tétracaïne est une base faible lipophile qui, sous sa forme non ionisée (à pH physiologique, ~5 % de la forme non ionisée — plus lipophile que la procaine grâce à son groupe butyle), traverse la bicouche lipidique des fibres nerveuses sensitives (fibres C de petit diamètre sensibles à la douleur, fibres Aδ sensibles au chaud/froid) et se lie de façon réversible au canal sodique voltage-dépendant, en bloquant le site alpha intracellulaire (récepteur local du canal Na+). Le blocage empêche l'ouverture du canal Na+ en réponse à une dépolarisation membranaire, bloquant ainsi la génération et la propagation du potentiel d'action sensitif. La conséquence est une perte de sensation douloureuse locale (anesthésie de surface), sans perte de motricité aux doses thérapeutiques. Le délai d'action est court (5 à 10 minutes après application sur muqueuse), la durée d'action est prolongée (45 à 60 minutes — plus longue que la procaine et l'oxybuprocaïne grâce à sa forte liposolubilité). Le métabolisme est plasmatique (hydrolyse rapide par les cholinestérases plasmatiques en métabolite inactif — acide para-aminobenzoïque, responsable du risque allergique croisé avec les autres esters) et hépatique. La résorption systémique après application bucco-pharyngée est modérée (10 à 20 % de la dose appliquée — plus élevée que la lidocaïne en raison de la liposolubilité), justifiant une prudence particulière en cas d'insuffisance hépatique sévère, de déficit en cholinestérases plasmatiques, et d'administration à l'enfant ou à la femme enceinte. Le spectre d'action couvre toutes les affections douloureuses de la muqueuse buccale, pharyngée, laryngée, et cornéenne. La tétracaïne est l'un des anesthésiques locaux les plus puissants (puissance 5 à 8 fois supérieure à la procaine), mais aussi l'un des plus toxiques en cas d'overdose systémique (marge thérapeutique étroite). Elle est inactivée par les oxydants (hypochlorite, povidone iodée) et par les savons anioniques.</w:t>
      </w:r>
    </w:p>
    <w:p>
      <w:r/>
      <w:r>
        <w:rPr>
          <w:b/>
        </w:rPr>
        <w:t>Profil Pharmacologique :</w:t>
      </w:r>
      <w:r/>
    </w:p>
    <w:p>
      <w:pPr>
        <w:pStyle w:val="ListBullet"/>
      </w:pPr>
      <w:r>
        <w:t>Indications : (1) Traitement symptomatique des affections bucco-pharyngées douloureuses surinfectées : angines érythémateuses ou érythémato-pultacées (en complément éventuel d'une antibiothérapie systémique si streptococcique documentée), pharyngites virales, gingivites ulcérées, stomatites aphtense, laryngites sous-glottiques aiguës (en complément d'une corticothérapie locale ou systémique) — en association avec un antiseptique (chlorhexidine dans Eludril, hexamidine dans Oromédine). (2) Anesthésie locale de surface cornéenne et conjonctivale pour examen ophtalmologique (indication historique, non disponible en Algérie actuellement pour la forme collyre). (3) Rachianesthésie (anesthésie spinale) pour chirurgie abdominale basse, pelvienne, et des membres inférieurs (indication historique, supplantée par la bupivacaïne). (4) Prémédication anesthésique locale avant gestes endoscopiques ORL (fibroscopie laryngée, bronchoscopie souple). Cure courte impérative : 1 à 2 pulvérisations ou applications, 3 à 4 fois par jour, pendant 5 jours maximum.</w:t>
      </w:r>
    </w:p>
    <w:p>
      <w:pPr>
        <w:pStyle w:val="ListBullet"/>
      </w:pPr>
      <w:r>
        <w:t>Contre-indications : (1) Hypersensibilité à la tétracaïne (tétragaine), aux autres anesthésiques locaux esters (procaine, oxybuprocaïne, benzocaïne, oxétacaïne — allergie croisée par le métabolite PABA), ou à l'un des excipients. (2) Ne pas avaler de nourriture ou de boisson pendant 1 heure après application (risque de fausse-route par anesthésie pharyngée). (3) Ne pas appliquer avant la tétée chez la femme allaitante (risque d'anesthésie des voies aériennes supérieures du nouveau-né, fausse-route silencieuse). (4) Enfant de moins de 6 ans (risque d'ingestion et de méthémoglobinémie). (5) Antécédents de méthémoglobinémie (constitutionnelle ou acquise). (6) Deficit en cholinestérases plasmatiques (génétique — prédisposition à l'apnée prolongée après métabolisme ralenti). (7) Myasthénie (potentialisation du bloc neuromusculaire par les esters). (8) Enfant de moins de 30 mois pour le collutoire (risque de laryngospasme — règle générale pour tous les collutoires). (9) Application prolongée en automédication (risque de masquage d'une pathologie tumorale sous-jacente, de sensibilisation allergique, de candidose de rebond).</w:t>
      </w:r>
    </w:p>
    <w:p>
      <w:pPr>
        <w:pStyle w:val="ListBullet"/>
      </w:pPr>
      <w:r>
        <w:t>Effets Indésirables : Très fréquents (&gt; 10 %) : picotement transitoire à l'application (1 à 2 secondes), engourdissement buccal et pharyngé transitoire (45 à 60 minutes après application), dysgueusie transitoire. Fréquents (1–10 %) : sensation de brûlure légère de la muqueuse buccale immédiatement après application, irritation locale, hypersialorrhée réactionnelle. Peu fréquents (0,1–1 %) : rash cutané péribuccal, prurit, urticaire (allergie aux esters par métabolite PABA), dermatite de contact allergique. Rares (&lt; 0,1 %) : réactions anaphylactiques (choc, bronchospasme, hypotension — allergie vraie aux esters), méthémoglobinémie (cyanase, dyspnée, troubles de conscience — particulièrement chez l'enfant de moins de 6 ans et le déficitaire en G6PD), convulsions (en cas d'overdose systémique par résorption massive — marge thérapeutique étroite), dépression respiratoire (rare en usage topique mais possible en cas d'application étendue ou répétée). Exceptionnels (&lt; 0,01 %) : arrêt cardiaque (toxicité systémique cardiaque en cas d'overdose massive — particularly dangerous pour la tétracaïne en raison de sa marge thérapeutique étroite). La tétracaïne n'est pas génotoxique ni cancérogène aux concentrations d'usage. Le risque de méthémoglobinémie est plus élevé qu'avec d'autres esters en raison du métabolisme spécifique de la tétracaïne en métabolites oxydants.</w:t>
      </w:r>
    </w:p>
    <w:p>
      <w:r/>
      <w:r>
        <w:rPr>
          <w:b/>
        </w:rPr>
        <w:t>Prévention et Gestion des Effets Indésirables :</w:t>
      </w:r>
      <w:r/>
    </w:p>
    <w:p>
      <w:pPr>
        <w:pStyle w:val="ListBullet"/>
      </w:pPr>
      <w:r>
        <w:t>Mesures préventives : (1) Respecter strictement la durée maximale de 5 jours en automédication, prolongeable à 7–10 jours sur prescription médicale stricte. (2) Informer le patient de l'obligation de ne pas manger, ne pas boire, et ne pas fumer pendant 1 heure après application (risque de fausse-route par anesthésie pharyngée). (3) Ne pas appliquer avant la tétée chez la femme allaitante (règle absolue pour tous les anesthésiques locaux topiques). (4) Vérifier l'absence d'antécédents allergiques aux anesthésiques locaux esters (procaine, tétracaïne, benzocaïne, oxybuprocaïne, oxétacaïne) avant initiation ; en cas de doute, privilégier un anesthésique local de la famille des amides (lidocaïne, bupivacaïne). (5) Prudence particulière chez l'enfant (méthémoglobinémie), le sujet âgé dément (risque d'ingestion et de trouble de déglutition), l'insuffisant hépatique sévère (métabolisme diminué), le déficitaire en cholinestérases plasmatiques (génétique). (6) Ne pas dépasser 3 à 4 applications par jour (surdosage inutile et augmente le risque de toxicité systémique). (7) Espacer les applications de 1 à 2 heures minimum pour éviter l'accumulation. (8) Gardiennage obligatoire des flacons, hors de portée des enfants (risque d'ingestion accidentelle massive — marge thérapeutique étroite, arrêt cardiaque possible). (9) Prévenir le patient de la possibilité d'une coloration brune transitoire de la langue (due à la chlorhexidine dans Eludril, ou à l'hexamidine dans Oromédine) et de son caractère réversible.</w:t>
      </w:r>
    </w:p>
    <w:p>
      <w:pPr>
        <w:pStyle w:val="ListBullet"/>
      </w:pPr>
      <w:r>
        <w:t>Conduite à tenir : (1) En cas de persistance des symptômes au-delà de 5 jours : arrêt immédiat et consultation médicale pour réévaluation diagnostique (recherche de streptocoque β-hémolytique A par test rapide, recherche de Candida par frottis, élimination d'une lésion tumorale sous-jacente). (2) En cas de signes d'allergie (rash, urticaire, prurit, œdème) : arrêt immédiat, antihistaminique H1 oral (dexchlorphéniramine 2 mg chez l'adulte), consultation médicale ; en cas de signes d'anaphylaxie (œdème de Quincke, bronchospasme, hypotension) : adrénaline IM 0,3 mg, appel SAMU 15. (3) En cas de cyanose, de dyspnée, de troubles de conscience après application : suspicion de méthémoglobinémie — arrêt, consultation médicale urgente, dosage de la méthémoglobinémie (traitement par bleu de méthylène 1 à 2 mg/kg IV lent en milieu hospitalier). (4) En cas de signes de toxicité systémique (convulsions, dépression respiratoire, hypotension, troubles du rythme, arrêt cardiaque) : arrêt, SAMU 15, réanimation symptomatique (lorazepam IV ou diazépam IV pour convulsions, intubation-ventilation pour dépression respiratoire, remplissage vasculaire et vasopresseurs pour hypotension, massage cardiaque et défibrillation pour arrêt cardiaque). (5) En cas d'ingestion accidentelle massive par un enfant : surveillance médicale hospitalière 24 heures, surveillance neurologique, cardiaque (ECG continu), et hépatique ; préparer le matériel de réanimation (risque d'arrêt cardiaque par toxicité systémique).</w:t>
      </w:r>
    </w:p>
    <w:p>
      <w:r/>
      <w:r>
        <w:rPr>
          <w:b/>
        </w:rPr>
        <w:t>Interactions Médicamenteuses :</w:t>
      </w:r>
      <w:r/>
    </w:p>
    <w:p>
      <w:pPr>
        <w:pStyle w:val="ListBullet"/>
      </w:pPr>
      <w:r>
        <w:t>Autres anesthésiques locaux esters (procaine, oxybuprocaïne, benzocaïne, oxétacaïne) : risque d'allergie croisée par le métabolite PABA — ne pas associer ; en cas d'allergie à un ester, switch vers les amides.</w:t>
      </w:r>
    </w:p>
    <w:p>
      <w:pPr>
        <w:pStyle w:val="ListBullet"/>
      </w:pPr>
      <w:r>
        <w:t>Anesthésiques locaux amides (lidocaïne, bupivacaïne, articaïne, prilocaïne) : pas d'allergie croisée entre esters et amides — switch possible en cas d'allergie aux esters ; prudence en cas d'association (potentialisation de l'effet anesthésique local, augmentation du risque de toxicité systémique).</w:t>
      </w:r>
    </w:p>
    <w:p>
      <w:pPr>
        <w:pStyle w:val="ListBullet"/>
      </w:pPr>
      <w:r>
        <w:t>Anticholinestérases (néostigmine, pyridostigmine, distigmine — utilisées dans la myasthénie) : potentialisation de l'effet anesthésique local (diminution du métabolisme des esters par inhibition des cholinestérases) — risque de toxicité systémique accrue ; espacer les prises de 6 heures minimum ou privilégier les amides.</w:t>
      </w:r>
    </w:p>
    <w:p>
      <w:pPr>
        <w:pStyle w:val="ListBullet"/>
      </w:pPr>
      <w:r>
        <w:t>Sulfamides antibactériens (sulfaméthoxazole-triméthoprime, sulfadiazine, sulfasalazine) : risque théorique d'antagonisme par le métabolite PABA de la tétracaïne — prudence en cas d'association.</w:t>
      </w:r>
    </w:p>
    <w:p>
      <w:pPr>
        <w:pStyle w:val="ListBullet"/>
      </w:pPr>
      <w:r>
        <w:t>Myorelaxants (curares — succinylcholine, rocuronium, vecuronium) : potentialisation du bloc neuromusculaire par les esters chez les patients myasthéniques ou déficitaires en cholinestérases plasmatiques — prévenir l'anesthésiste en cas de chirurgie programmée.</w:t>
      </w:r>
    </w:p>
    <w:p>
      <w:pPr>
        <w:pStyle w:val="ListBullet"/>
      </w:pPr>
      <w:r>
        <w:t>Antiseptiques oxydants (povidone iodée, hypochlorite) : inactivation chimique de la tétracaïne par oxydation — ne pas appliquer simultanément, espacer de 1 heure minimum.</w:t>
      </w:r>
    </w:p>
    <w:p>
      <w:pPr>
        <w:pStyle w:val="ListBullet"/>
      </w:pPr>
      <w:r>
        <w:t>Savons anioniques, détergents anioniques, sodium lauryl sulfate : inactivation de la tétracaïne par neutralisation des charges — rincer soigneusement avant application.</w:t>
      </w:r>
    </w:p>
    <w:p>
      <w:pPr>
        <w:pStyle w:val="ListBullet"/>
      </w:pPr>
      <w:r>
        <w:t>Antisepsie par chlorhexidine (associée dans Eludril) : association synergique (antiseptique + anesthésique) — respecter les contre-indications de la chlorhexidine (ototoxicité, oculotoxicité — voir chapitre 124).</w:t>
      </w:r>
    </w:p>
    <w:p>
      <w:pPr>
        <w:pStyle w:val="ListBullet"/>
      </w:pPr>
      <w:r>
        <w:t>Antisepsie par hexamidine (associée dans Oromédine) : association synergique (antiseptique + anesthésique) — respecter les contre-indications de l'hexamidine.</w:t>
      </w:r>
    </w:p>
    <w:p>
      <w:pPr>
        <w:pStyle w:val="ListBullet"/>
      </w:pPr>
      <w:r>
        <w:t>PAS d'interaction systémique significative en usage local strictement conduit et court, à l'exception de la marge thérapeutique étroite (toxicité systémique cardiaque et neurologique en cas d'overdose).</w:t>
      </w:r>
    </w:p>
    <w:p>
      <w:r/>
      <w:r>
        <w:rPr>
          <w:b/>
        </w:rPr>
        <w:t>Grossesse et Allaitement :</w:t>
      </w:r>
      <w:r/>
    </w:p>
    <w:p>
      <w:pPr>
        <w:pStyle w:val="ListBullet"/>
      </w:pPr>
      <w:r>
        <w:t>Grossesse : la tétracaïne en usage local bucco-pharyngé est considérée comme COMPATIBLE en usage ponctuel et court (≤ 5 jours), quel que soit le terme de la grossesse, en raison de la résorption systémique modérée mais non négligeable (10 à 20 % de la dose appliquée). Préférer la lidocaïne (amide) en cas d'indication à plus long terme ou en cas de doute. Éviter l'ingestion (recracher après rinçage ou pulvérisation). La CRAT considère que « l'utilisation ponctuelle et brève d'un collutoire associant un antiseptique et un anesthésique local ester pour indication bucco-pharyngée est envisageable quel que soit le terme de la grossesse ; la résorption systémique est modérée, sans effet tératogène documenté à ce jour ».</w:t>
      </w:r>
    </w:p>
    <w:p>
      <w:pPr>
        <w:pStyle w:val="ListBullet"/>
      </w:pPr>
      <w:r>
        <w:t>Allaitement : COMPATIBLE en usage local bucco-pharyngé ponctuel et court (≤ 5 jours), en respectant un délai de 1 heure entre l'application et la tétée (risque d'anesthésie des voies aériennes supérieures du nouveau-né, fausse-route silencieuse, inhalation). Ne pas appliquer sur le mamelon avant la tétée (règle absolue pour tous les anesthésiques locaux topiques).</w:t>
      </w:r>
    </w:p>
    <w:p>
      <w:pPr>
        <w:pStyle w:val="ListBullet"/>
      </w:pPr>
      <w:r>
        <w:t>Fertilité : pas d'effet connu sur la fertilité masculine ou féminine en usage local court.</w:t>
      </w:r>
    </w:p>
    <w:p>
      <w:r/>
      <w:r>
        <w:rPr>
          <w:b/>
        </w:rPr>
        <w:t>Posologie et Mode d'administration (Standard) :</w:t>
      </w:r>
      <w:r/>
    </w:p>
    <w:p>
      <w:pPr>
        <w:pStyle w:val="ListBullet"/>
      </w:pPr>
      <w:r>
        <w:t>Collutoire bucco-pharyngé (Eludril, Oromédine) : 1 à 2 pulvérisations dirigées sur la zone à traiter (pharynx, amygdale, gencive, base de langue), 3 à 4 fois par jour, après repas. Bien agiter avant emploi. Éviter l'inhalation du spray. Ne pas utiliser chez l'enfant de moins de 30 mois (risque de laryngospasme). Ne pas avaler, recracher après contact prolongé (1 à 2 minutes). Cure courte 5 jours maximum en automédication, prolongeable à 7–10 jours sur prescription médicale.</w:t>
      </w:r>
    </w:p>
    <w:p>
      <w:pPr>
        <w:pStyle w:val="ListBullet"/>
      </w:pPr>
      <w:r>
        <w:t>Forme diluée pour bain de bouche (Eludril — utilisation possible) : 2 à 3 pulvérisations dans un demi-verre d'eau tiède, bain de bouche pendant 30 secondes à 1 minute, 2 à 3 fois par jour, recracher. Cure courte 5 jours maximum.</w:t>
      </w:r>
    </w:p>
    <w:p>
      <w:pPr>
        <w:pStyle w:val="ListBullet"/>
      </w:pPr>
      <w:r>
        <w:t>Sujet âgé : pas d'adaptation posologique en usage court ; surveiller la capacité à recracher (risque d'ingestion en cas de troubles cognitifs ou de dysphagie — préférer application locale au coton-tige).</w:t>
      </w:r>
    </w:p>
    <w:p>
      <w:pPr>
        <w:pStyle w:val="ListBullet"/>
      </w:pPr>
      <w:r>
        <w:t>Insuffisance hépatique : prudence en cas d'insuffisance hépatique sévère (métabolisme diminué de la tétracaïne par les cholinestérases) ; réduire la fréquence à 2 fois par jour maximum.</w:t>
      </w:r>
    </w:p>
    <w:p>
      <w:pPr>
        <w:pStyle w:val="ListBullet"/>
      </w:pPr>
      <w:r>
        <w:t>Insuffisance rénale : pas d'adaptation posologique en usage local court.</w:t>
      </w:r>
    </w:p>
    <w:p>
      <w:pPr>
        <w:pStyle w:val="ListBullet"/>
      </w:pPr>
      <w:r>
        <w:t>Enfant : collutoire contre-indiqué avant 30 mois (risque de laryngospasme) ; bain de bouche contre-indiqué avant 6 ans (risque d'ingestion) ; à utiliser sous surveillance parentale stricte entre 6 et 12 ans, en vérifiant le recrachement.</w:t>
      </w:r>
    </w:p>
    <w:p>
      <w:pPr>
        <w:pStyle w:val="ListBullet"/>
      </w:pPr>
      <w:r>
        <w:t>Ne pas manger, ne pas boire, ne pas fumer pendant 1 heure après application (règle absolue).</w:t>
      </w:r>
    </w:p>
    <w:p>
      <w:pPr>
        <w:pStyle w:val="ListBullet"/>
      </w:pPr>
      <w:r>
        <w:t>Ne pas appliquer avant la tétée chez la femme allaitante (règle absolue).</w:t>
      </w:r>
    </w:p>
    <w:p>
      <w:r/>
      <w:r>
        <w:rPr>
          <w:b/>
        </w:rPr>
        <w:t>Surveillance Biologique et Suivi Clinique :</w:t>
      </w:r>
      <w:r/>
    </w:p>
    <w:p>
      <w:pPr>
        <w:pStyle w:val="ListBullet"/>
      </w:pPr>
      <w:r>
        <w:t>Pas de surveillance biologique spécifique nécessaire en usage local standard court (≤ 5 à 7 jours).</w:t>
      </w:r>
    </w:p>
    <w:p>
      <w:pPr>
        <w:pStyle w:val="ListBullet"/>
      </w:pPr>
      <w:r>
        <w:t>Surveillance clinique : (1) Évaluation clinique à J3–J5 pour vérifier l'amélioration des symptômes (douleur, dysphagie, érythème) ; en l'absence d'amélioration à 5 jours, arrêt et consultation médicale pour réévaluation diagnostique (recherche de streptocoque β-hémolytique A par test rapide, recherche de Candida par frottis, élimination d'une lésion tumorale sous-jacente). (2) Surveillance de l'apparition de signes de toxicité systémique (somnolence, vertiges, convulsions, troubles du rythme, hypotension) — particulièrement chez l'enfant, le sujet âgé, l'insuffisant hépatique, le déficitaire en cholinestérases plasmatiques. (3) Surveillance de l'apparition de signes d'allergie (rash péribuccal, urticaire, prurit, œdème) — arrêt immédiat en cas de survenue. (4) Surveillance de l'apparition de signes de méthémoglobinémie (cyanase, dyspnée, fatigue, troubles de conscience) — particulièrement chez l'enfant de moins de 6 ans et le déficitaire en G6PD ou en NADH-méthémoglobine réductase. (5) Surveillance de l'apparition d'une candidose de rebond (langue blanche, dépôts crémeux) en cas d'usage prolongé au-delà de 7 jours (due à la perturbation du microbiote buccal par l'antiseptique associé).</w:t>
      </w:r>
    </w:p>
    <w:p>
      <w:pPr>
        <w:pStyle w:val="ListBullet"/>
      </w:pPr>
      <w:r>
        <w:t>Pas de suivi virologique ou bactériologique systématique.</w:t>
      </w:r>
    </w:p>
    <w:p>
      <w:r/>
      <w:r>
        <w:rPr>
          <w:b/>
        </w:rPr>
        <w:t>Arbitrage et Bénéfices des Formes Galéniques :</w:t>
      </w:r>
      <w:r/>
    </w:p>
    <w:p>
      <w:r>
        <w:t>La tétracaïne n'est disponible en Algérie que sous forme de collutoires associés à un antiseptique (Eludril — chlorhexidine + tétracaïne ; Oromédine — hexamidine + tétracaïne) — actuellement retirés du marché algérien. Les praticiens algériens doivent orienter les patients vers des alternatives disponibles : (1) hexétidine en collutoire (Dad Mouth Wash, Oralvex — antiseptique biguanide sans composante anesthésique significative, mais avec activité antifongique utile en cas de suspicion de candidose) ; (2) Givalex collutoire (Chemical Farma — hexétidine + salicylate de choline + chlorbutanol, avec composante antalgique non stéroïdienne et antiseptique complémentaire) — alternative de choix pour les affections inflammatoires surinfectées ; (3) lidocaïne en spray 10 % (Xylocaïne spray — anesthésique local amide, sans allergie croisée avec les esters, disponible sur prescription) ; (4) lidocaïne visqueuse 2 % (gel oral — anesthésique local amide, pour bain de bouche ou application locale). En cas d'allergie aux esters (tétracaïne, oxybuprocaïne, procaine, benzocaïne, oxétacaïne), le switch vers les amides (lidocaïne) est sans allergie croisée. En cas d'association nécessaire antiseptique + anesthésique, la forme Givalex (hexétidine + salicylate de choline + chlorbutanol) ou la lidocaïne spray + hexétidine en bain de bouche séparés peuvent être utilisées. Pour les affections sévères (mucites chimio-induites grade 3–4, radio-induites), des protocoles hospitaliers sont nécessaires (lidocaïne visqueuse, sucralfate, morphiniques locaux).</w:t>
      </w:r>
    </w:p>
    <w:p>
      <w:r/>
      <w:r>
        <w:rPr>
          <w:b/>
        </w:rPr>
        <w:t>Instructions et Conseils au Patient :</w:t>
      </w:r>
      <w:r/>
    </w:p>
    <w:p>
      <w:pPr>
        <w:pStyle w:val="ListBullet"/>
      </w:pPr>
      <w:r>
        <w:t>Communication au comptoir : « La tétracaïne est un anesthésique local puissant de la famille des esters, utilisé en collutoire bucco-pharyngé en association avec un antiseptique (chlorhexidine dans Eludril, hexamidine dans Oromédine) pour le traitement des maux de gorge et des affections bucco-pharyngées douloureuses. Posologie usuelle : 1 à 2 pulvérisations dirigées sur la zone douloureuse, 3 à 4 fois par jour, après repas, pendant 5 jours maximum. Bien agiter avant emploi. Éviter l'inhalation du spray. NE PAS AVALER, recracher après 1 à 2 minutes de contact. NE PAS MANGER, NE PAS BOIRE, NE PAS FUMER pendant 1 heure après l'application (risque de fausse-route par anesthésie de la gorge). Femme allaitante : ne pas appliquer avant la tétée (risque pour le nouveau-né), respecter un délai minimum de 1 heure. Ne pas utiliser chez l'enfant de moins de 30 mois (collutoire) ou 6 ans (bain de bouche). Consulter un médecin si : pas d'amélioration à 5 jours, fièvre élevée, difficulté à avaler, éruption cutanée, cyanose (lèvres bleues), somnolence, vertiges. ATTENTION : les spécialités Eludril et Oromédine sont actuellement retirées du marché algérien — votre pharmacien peut vous orienter vers des alternatives disponibles (hexétidine, Givalex, lidocaïne). »</w:t>
      </w:r>
    </w:p>
    <w:p>
      <w:pPr>
        <w:pStyle w:val="ListBullet"/>
      </w:pPr>
      <w:r>
        <w:t>Observance : respecter la durée maximale de 5 jours, ne pas augmenter la fréquence d'application (au-delà de 4 fois par jour, le risque de toxicité systémique augmente), respecter les précautions alimentaires (ne pas manger/boire 1h après).</w:t>
      </w:r>
    </w:p>
    <w:p>
      <w:pPr>
        <w:pStyle w:val="ListBullet"/>
      </w:pPr>
      <w:r>
        <w:t>Hygiène bucco-dentaire : continuer le brossage normal, espacer les collutoires des repas de 1 heure, éviter les aliments acides ou épicés qui aggravent l'irritation locale.</w:t>
      </w:r>
    </w:p>
    <w:p>
      <w:pPr>
        <w:pStyle w:val="ListBullet"/>
      </w:pPr>
      <w:r>
        <w:t>Conservation : conserver le flacon bien fermé à température ambiante (15 à 25 °C), à l'abri de la lumière. Jeter les flacons entamés depuis plus de 14 jours après ouverture (risque de contamination microbienne secondaire).</w:t>
      </w:r>
    </w:p>
    <w:p>
      <w:pPr>
        <w:pStyle w:val="ListBullet"/>
      </w:pPr>
      <w:r>
        <w:t>Femmes enceintes et allaitantes : usage court possible (5 jours max) ; recracher après rinçage ; pendant l'allaitement, respecter un délai de 1 heure entre l'application et la tétée.</w:t>
      </w:r>
    </w:p>
    <w:p>
      <w:r/>
      <w:r>
        <w:rPr>
          <w:b/>
        </w:rPr>
        <w:t>Notes, Règles d'Or &amp; Pièges au Comptoir :</w:t>
      </w:r>
      <w:r/>
    </w:p>
    <w:p>
      <w:pPr>
        <w:pStyle w:val="ListBullet"/>
      </w:pPr>
      <w:r>
        <w:t>Règle d'or : ne jamais appliquer d'anesthésique local topique bucco-pharyngé sans prévenir le patient du risque de fausse-route — interdiction absolue de manger, boire, ou fumer pendant 1 heure après l'application.</w:t>
      </w:r>
    </w:p>
    <w:p>
      <w:pPr>
        <w:pStyle w:val="ListBullet"/>
      </w:pPr>
      <w:r>
        <w:t>Piège : ne pas appliquer avant la tétée chez la femme allaitante (risque d'anesthésie des voies aériennes supérieures du nouveau-né, fausse-route silencieuse).</w:t>
      </w:r>
    </w:p>
    <w:p>
      <w:pPr>
        <w:pStyle w:val="ListBullet"/>
      </w:pPr>
      <w:r>
        <w:t>Règle : durée maximale 5 jours en automédication, prolongeable à 7–10 jours sur prescription médicale stricte. Au-delà, le risque de masquage d'une pathologie sous-jacente, de sensibilisation allergique, et de candidose de rebond augmente.</w:t>
      </w:r>
    </w:p>
    <w:p>
      <w:pPr>
        <w:pStyle w:val="ListBullet"/>
      </w:pPr>
      <w:r>
        <w:t>Piège : allergie croisée entre les esters (tétracaïne, oxybuprocaïne, procaine, benzocaïne, oxétacaïne) par le métabolite PABA — toujours interroger le patient sur ses antécédents allergiques aux anesthésiques locaux avant initiation ; en cas de doute, switch vers les amides (lidocaïne).</w:t>
      </w:r>
    </w:p>
    <w:p>
      <w:pPr>
        <w:pStyle w:val="ListBullet"/>
      </w:pPr>
      <w:r>
        <w:t>Règle : pas d'allergie croisée entre esters et amides — en cas d'allergie aux esters, switch possible vers les amides.</w:t>
      </w:r>
    </w:p>
    <w:p>
      <w:pPr>
        <w:pStyle w:val="ListBullet"/>
      </w:pPr>
      <w:r>
        <w:t>Piège : la tétracaïne a une marge thérapeutique étroite (toxicité systémique cardiaque et neurologique en cas d'overdose) — ne jamais dépasser les doses recommandées, surveillance neurologique et cardiaque en cas d'ingestion accidentelle massive.</w:t>
      </w:r>
    </w:p>
    <w:p>
      <w:pPr>
        <w:pStyle w:val="ListBullet"/>
      </w:pPr>
      <w:r>
        <w:t>Piège : risque de méthémoglobinémie plus élevé qu'avec d'autres esters — particulièrement chez l'enfant de moins de 6 ans et le déficitaire en G6PD.</w:t>
      </w:r>
    </w:p>
    <w:p>
      <w:pPr>
        <w:pStyle w:val="ListBullet"/>
      </w:pPr>
      <w:r>
        <w:t>Piège : les spécialités Eludril et Oromédine sont retirées du marché algérien — orienter le patient vers des alternatives disponibles (hexétidine, Givalex, lidocaïne).</w:t>
      </w:r>
    </w:p>
    <w:p>
      <w:pPr>
        <w:pStyle w:val="ListBullet"/>
      </w:pPr>
      <w:r>
        <w:t>Piège : la chlorhexidine associée dans Eludril est ototoxique (CI oreille) et oculotoxique (CI œil) — ne jamais instiller dans le conduit auditif ni au contact de l'œil.</w:t>
      </w:r>
    </w:p>
    <w:p>
      <w:pPr>
        <w:pStyle w:val="ListBullet"/>
      </w:pPr>
      <w:r>
        <w:t>Règle : en cas de cyanose, dyspnée, fatigue, ou troubles de conscience après application, penser à la méthémoglobinémie (dosage sanguin, traitement par bleu de méthylène IV en milieu hospitalier).</w:t>
      </w:r>
    </w:p>
    <w:p>
      <w:pPr>
        <w:pStyle w:val="ListBullet"/>
      </w:pPr>
      <w:r>
        <w:t>Règle : consulter un médecin en cas de persistance au-delà de 5 jours, d'aggravation, ou d'apparition de signes généraux (fièvre, adénopathie, altération de l'état général) — risque de masquer une pathologie sous-jacente (cancer buccal, lésion tumorale pharyngée).</w:t>
      </w:r>
    </w:p>
    <w:p>
      <w:pPr>
        <w:pStyle w:val="Heading2"/>
      </w:pPr>
      <w:r>
        <w:t>134.3 Sous-classe : Antiseptiques buccaux — Ammoniums quaternaires (Cétylpyridinium)</w:t>
      </w:r>
    </w:p>
    <w:p>
      <w:r>
        <w:t>La sous-classe des antiseptiques buccaux ammoniums quaternaires est représentée par le cétylpyridinium, molécule de synthèse cationique tensioactive découverte dans les années 1930 et commercialisée à partir des années 1940. Le cétylpyridinium (chlorure le plus fréquemment) appartient chimiquement à la famille des ammoniums quaternaires cationiques, dont font également partie le benzalkonium, le cetrimide, et le chlorure de dodécyldiméthylbenzylammonium — tous caractérisés par un atome d'azote porteur d'une charge positive permanente, leur conférant des propriétés tensioactives cationiques (détergentes) responsables de leur activité antimicrobienne par disruption des membranes cellulaires. Le cétylpyridinium se distingue des autres ammoniums quaternaires par sa structure en pyridine substituée par une longue chaîne alkyle en C16, qui lui confère une meilleure affinité pour les muqueuses buccales et une activité antimicrobienne supérieure sur les bactéries Gram-positives (streptocoques, staphylocoques) — cibles principales des affections bucco-pharyngées.</w:t>
      </w:r>
    </w:p>
    <w:p>
      <w:r>
        <w:t>Le cétylpyridinium est principalement utilisé en pastilles à sucer (en association avec le lysozyme, enzyme muramidase à activité bactériolytique naturelle) et en solutions pour bain de bouche (en association avec d'autres antiseptiques comme le chlorbutanol ou l'eugénol). Son spectre couvre les bactéries Gram-positives (Streptococcus pyogenes, S. pneumoniae, Staphylococcus aureus), certaines bactéries Gram-négatives (Neisseria, Haemophilus — activité modeste), et les champignons (Candida — activité modeste). Il est moins actif que la chlorhexidine ou l'hexétidine sur les bactéries Gram-négatives et sur Pseudomonas, mais offre une meilleure tolérance locale sur la muqueuse buccale et un goût moins amer.</w:t>
      </w:r>
    </w:p>
    <w:p>
      <w:r>
        <w:t>Sa place dans la stratégie thérapeutique bucco-laryngologique est double : (1) traitement adjuvant des affections bucco-pharyngées aiguës peu sévères (pharyngites virales, gingivites légères, post-amygdalectomie) — en pastilles à sucer pour l'effet antiseptique local prolongé par la salivation induite ; (2) alternative à la chlorhexidine ou à l'hexétidine en cas d'intolérance ou de contre-indication (allergie, coloration dentaire à éviter). Son utilisation doit cependant rester courte (5 à 7 jours maximum selon l'ANSM) afin de limiter la perturbation du microbiote buccal et le risque théorique de sélection de résistance croisée avec les autres ammoniums quaternaires.</w:t>
      </w:r>
    </w:p>
    <w:p>
      <w:r>
        <w:t>La principale spécialité algérienne active est Lysopaïne Sans Sucre (Boehringer Ingelheim France), association de cétylpyridinium 1,5 mg + lysozyme 20 mg en comprimés à sucer édulcorés au sorbitol et à la saccharine — adaptée aux patients diabétiques. La forme historique Alodont (Pfizer — cétylpyridinium + chlorbutanol + eugénol en solution pour bain de bouche) a été retirée du marché algérien. Les praticiens algériens doivent connaître les équivalents disponibles (hexétidine, chlorhexidine en bain de bouche) en cas d'ordonnance d'Alodont.</w:t>
      </w:r>
    </w:p>
    <w:p>
      <w:pPr>
        <w:pStyle w:val="Heading3"/>
      </w:pPr>
      <w:r>
        <w:t>134.3.1 DCI : Cétylpyridinium (usage ORL)</w:t>
      </w:r>
    </w:p>
    <w:p>
      <w:r/>
      <w:r>
        <w:rPr>
          <w:b/>
        </w:rPr>
        <w:t>Liste des Catégories :</w:t>
      </w:r>
      <w:r>
        <w:t xml:space="preserve"> Antiseptique bucco-pharyngé ; Ammonium quaternaire cationique (chlorure) ; Tensioactif cationique ; Antiseptique en pastilles à sucer et en bain de bouche ; Hors liste (spécialités en vente libre en Algérie, en automédication encadrée par le pharmacien d'officine).</w:t>
      </w:r>
    </w:p>
    <w:p>
      <w:r>
        <w:t>Le cétylpyridinium (chlorure de cétylpyridinium, CPC) est un antiseptique de la famille des ammoniums quaternaires cationiques, synthétisé dans les années 1930 et commercialisé en France depuis les années 1940. Sa structure chimique — un noyau pyridine substitué par une longue chaîne alkyle en C16 (cétyl) et porteur d'une charge positive permanente sur l'azote — lui confère des propriétés tensioactives cationiques (détergentes) responsables de son activité antimicrobienne par disruption des membranes cellulaires. Le cétylpyridinium a longtemps constitué une alternative intéressante à la chlorhexidine pour l'antisepsie bucco-pharyngée, en raison de sa meilleure tolérance locale (absence de coloration dentaire, goût moins amer), mais avec une activité antimicrobienne globalement inférieure (spectre plus étroit, rémanence moindre). Il est inscrit sur la liste des antiseptiques buccaux recommandés par l'American Dental Association (ADA) en complément du brossage pour la prévention de la plaque dentaire, à concentration 0,05 %. En Algérie, la spécialité la plus prescrite est Lysopaïne Sans Sucre (Boehringer Ingelheim France), association de cétylpyridinium + lysozyme en comprimés à sucer — particulièrement adaptée aux patients diabétiques (édulcoration au sorbitol et à la saccharine, sans sucre). La forme historique Alodont (Pfizer — cétylpyridinium + chlorbutanol + eugénol en bain de bouche) a été retirée du marché algérien.</w:t>
      </w:r>
    </w:p>
    <w:p>
      <w:r/>
      <w:r>
        <w:rPr>
          <w:b/>
        </w:rPr>
        <w:t>Médicaments disponibles en Algérie (tableau des spécialités commercialisées)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LYSOPAINE SANS SUCRE</w:t>
            </w:r>
          </w:p>
        </w:tc>
        <w:tc>
          <w:tcPr>
            <w:tcW w:type="dxa" w:w="1559"/>
          </w:tcPr>
          <w:p>
            <w:r>
              <w:rPr>
                <w:sz w:val="20"/>
              </w:rPr>
              <w:t>BOEHRINGER INGELHEIM FRANCE</w:t>
            </w:r>
          </w:p>
        </w:tc>
        <w:tc>
          <w:tcPr>
            <w:tcW w:type="dxa" w:w="1559"/>
          </w:tcPr>
          <w:p>
            <w:r>
              <w:rPr>
                <w:sz w:val="20"/>
              </w:rPr>
              <w:t>Comprimé à sucer édulcoré au sorbitol et à la saccharine — Cétylpyridinium (chlorure) 1,5 mg + Lysozyme (chlorhydrate) 20 mg</w:t>
            </w:r>
          </w:p>
        </w:tc>
        <w:tc>
          <w:tcPr>
            <w:tcW w:type="dxa" w:w="1559"/>
          </w:tcPr>
          <w:p>
            <w:r>
              <w:rPr>
                <w:sz w:val="20"/>
              </w:rPr>
              <w:t>Boîte de 1 tube de 18 comprimés ; boîte de 2 tubes de 18 comprimés (36)</w:t>
            </w:r>
          </w:p>
        </w:tc>
        <w:tc>
          <w:tcPr>
            <w:tcW w:type="dxa" w:w="1559"/>
          </w:tcPr>
          <w:p>
            <w:r>
              <w:rPr>
                <w:sz w:val="20"/>
              </w:rPr>
              <w:t>Hors liste</w:t>
            </w:r>
          </w:p>
        </w:tc>
        <w:tc>
          <w:tcPr>
            <w:tcW w:type="dxa" w:w="1559"/>
          </w:tcPr>
          <w:p>
            <w:r>
              <w:rPr>
                <w:sz w:val="20"/>
              </w:rPr>
              <w:t>Actif</w:t>
            </w:r>
          </w:p>
        </w:tc>
      </w:tr>
      <w:tr>
        <w:tc>
          <w:tcPr>
            <w:tcW w:type="dxa" w:w="1559"/>
          </w:tcPr>
          <w:p>
            <w:r>
              <w:rPr>
                <w:sz w:val="20"/>
              </w:rPr>
              <w:t>ALODONT</w:t>
            </w:r>
          </w:p>
        </w:tc>
        <w:tc>
          <w:tcPr>
            <w:tcW w:type="dxa" w:w="1559"/>
          </w:tcPr>
          <w:p>
            <w:r>
              <w:rPr>
                <w:sz w:val="20"/>
              </w:rPr>
              <w:t>PFIZER</w:t>
            </w:r>
          </w:p>
        </w:tc>
        <w:tc>
          <w:tcPr>
            <w:tcW w:type="dxa" w:w="1559"/>
          </w:tcPr>
          <w:p>
            <w:r>
              <w:rPr>
                <w:sz w:val="20"/>
              </w:rPr>
              <w:t>Solution pour bain de bouche — Cétylpyridinium (chlorure) + Chlorbutanol + Eugénol</w:t>
            </w:r>
          </w:p>
        </w:tc>
        <w:tc>
          <w:tcPr>
            <w:tcW w:type="dxa" w:w="1559"/>
          </w:tcPr>
          <w:p>
            <w:r>
              <w:rPr>
                <w:sz w:val="20"/>
              </w:rPr>
              <w:t>Flacon 200 mL</w:t>
            </w:r>
          </w:p>
        </w:tc>
        <w:tc>
          <w:tcPr>
            <w:tcW w:type="dxa" w:w="1559"/>
          </w:tcPr>
          <w:p>
            <w:r>
              <w:rPr>
                <w:sz w:val="20"/>
              </w:rPr>
              <w:t>Hors liste</w:t>
            </w:r>
          </w:p>
        </w:tc>
        <w:tc>
          <w:tcPr>
            <w:tcW w:type="dxa" w:w="1559"/>
          </w:tcPr>
          <w:p>
            <w:r>
              <w:rPr>
                <w:sz w:val="20"/>
              </w:rPr>
              <w:t>Retrait</w:t>
            </w:r>
          </w:p>
        </w:tc>
      </w:tr>
    </w:tbl>
    <w:p/>
    <w:p>
      <w:r>
        <w:t>Le cétylpyridinium est principalement délivré en Algérie sous la forme Lysopaïne Sans Sucre (Boehringer Ingelheim France), en comprimés à sucer édulcorés au sorbitol et à la saccharine, associant cétylpyridinium 1,5 mg (antiseptique ammonium quaternaire) et lysozyme 20 mg (enzyme muramidase naturelle extraite du blanc d'œuf, à activité bactériolytique sur les bactéries Gram-positives). Cette association synergique cible les affections bucco-pharyngées aiguës peu sévères (pharyngites virales, gingivites légères, enrouement, irritation pharyngée post-tabagique). Le conditionnement standard est un tube de 18 comprimés, ou une boîte de 2 tubes (36 comprimés au total). L'édulcoration sans sucre (sorbitol + saccharine) permet l'usage chez les patients diabétiques sans impact glycémique significatif (le sorbitol a un index glycémique nul, mais peut induire une diarrhée osmotique en cas de surdosage &gt; 20 g/jour). La forme historique Alodont (Pfizer — cétylpyridinium + chlorbutanol + eugénol en bain de bouche, flacon de 200 mL) a été retirée du marché algérien mais reste parfois prescrite par habitude ; les patients ayant historiquement bénéfice de cette forme doivent être orientés vers des alternatives disponibles (hexétidine en bain de bouche — Dad Mouth Wash, Oralvex ; chlorhexidine en bain de bouche — Hysadril ; Givalex si composante inflammatoire associée).</w:t>
      </w:r>
    </w:p>
    <w:p>
      <w:r/>
      <w:r>
        <w:rPr>
          <w:b/>
        </w:rPr>
        <w:t>Sous-classe et Mécanisme d'action :</w:t>
      </w:r>
      <w:r/>
    </w:p>
    <w:p>
      <w:pPr>
        <w:pStyle w:val="ListBullet"/>
      </w:pPr>
      <w:r>
        <w:t>Sous-classe : Ammonium quaternaire cationique de synthèse (chlorure de cétylpyridinium, CPC), chef de file des antiseptiques tensioactifs cationiques pour usage bucco-pharyngé ; parent structural du benzalkonium et du cetrimide (voir chapitre 124 sur les antiseptiques topiques cutanéo-muqueux).</w:t>
      </w:r>
    </w:p>
    <w:p>
      <w:pPr>
        <w:pStyle w:val="ListBullet"/>
      </w:pPr>
      <w:r>
        <w:t>Mécanisme d'action : le cétylpyridinium est une molécule cationique (positivement chargée) à pH physiologique, qui se lie par attraction électrostatique aux charges négatives de la membrane bactérienne et fongique (phospholipides, lipopolysaccharides des Gram-négatifs, acides téichoïques des Gram-positifs). Cette interaction entraîne une séquence d'événements : (i) altération rapide de la perméabilité membranaire par insertion de la longue chaîne alkyle C16 dans la bicouche lipidique (effet tensioactif détergent, formation de pores transmembranaires) ; (ii) fuite d'ions K+, de métabolites intracellulaires de faible poids moléculaire et d'ATP ; (iii) dénaturation et précipitation des protéines cytoplasmiques par dénaturation des pontures hydrogènes ; (iv) inactivation des enzymes membranaires (ATPases) ; (v) lyse cellulaire avec mort bactérienne. Le cétylpyridinium est bactéricide à partir de 1 minute de contact. Sa propriété distinctive par rapport à la chlorhexidine est l'absence de rémanence cutanée significative (il ne se lie pas fortement à la kératine ni aux muqueuses), ce qui impose une fréquence d'administration plus élevée (4 à 6 prises par jour en pastilles à sucer). Son spectre couvre les bactéries Gram-positives (Streptococcus pyogenes, S. pneumoniae, Staphylococcus aureus — y compris certains SARM), certaines bactéries Gram-négatives (Neisseria, Haemophilus — activité modeste), les champignons (Candida albicans — activité modeste), et certains virus enveloppés (VIH, HSV — activité partielle). Il est peu actif sur les entérobactéries (E. coli, Klebsiella), sur Pseudomonas aeruginosa, sur les mycobactéries, sur les spores bactériennes, et sur les virus non enveloppés (entérovirus, rotavirus). Aucune résistance acquise documentée à ce jour en usage buccal standard, en raison du mécanisme non spécifique de membrane ; prudence théorique vis-à-vis de la sélection de souches qac+ (pompes à efflux pour ammoniums quaternaires) en cas d'usage prolongé en milieu hospitalier. L'association au lysozyme (dans Lysopaïne Sans Sucre) potentialise l'activité antimicrobienne : le lysozyme est une muramidase naturelle qui hydrolyse la paroi bactérienne des Gram-positives (en coupant la liaison β-1,4 entre l'acide N-acétylmuramique et la N-acétylglucosamine), entraînant la lyse bactérienne — effet synergique avec la disruption membranaire du cétylpyridinium.</w:t>
      </w:r>
    </w:p>
    <w:p>
      <w:r/>
      <w:r>
        <w:rPr>
          <w:b/>
        </w:rPr>
        <w:t>Profil Pharmacologique :</w:t>
      </w:r>
      <w:r/>
    </w:p>
    <w:p>
      <w:pPr>
        <w:pStyle w:val="ListBullet"/>
      </w:pPr>
      <w:r>
        <w:t>Indications : (1) Traitement adjuvant des affections bucco-pharyngées aiguës peu sévères : pharyngites virales (rhinopharyngite, pharyngite érythémateuse aiguë virale), gingivites légères, enrouement, irritation pharyngée post-tabagique ou post-vocale, aphtose buccale mineure — en comprimés à sucer (Lysopaïne Sans Sucre), 4 à 6 comprimés par jour, pendant 5 à 7 jours maximum. (2) Hygiène bucco-dentaire adjuvante du brossage, en alternative à la chlorhexidine en cas d'intolérance ou de coloration dentaire à éviter (indication historique de la forme Alodont bain de bouche, retirée du marché algérien). (3) Prophylaxie des surinfections bucco-pharyngées en cas d'immunosuppression modérée (corticothérapie inhalée au long cours, chimiothérapie mucitoxique grade 1, radiothérapie cervico-faciale grade 1) — en complément d'une hygiène bucco-dentaire rigoureuse. (4) Alternative à l'hexétidine ou à la chlorhexidine en cas d'allergie avérée aux biguanides. (5) Traitement symptomatique des maux de gorge chez le patient diabétique (forme Sans Sucre édulcorée au sorbitol et à la saccharine, sans impact glycémique significatif).</w:t>
      </w:r>
    </w:p>
    <w:p>
      <w:pPr>
        <w:pStyle w:val="ListBullet"/>
      </w:pPr>
      <w:r>
        <w:t>Contre-indications : (1) Hypersensibilité au cétylpyridinium, aux autres ammoniums quaternaires (benzalkonium, cetrimide — allergie croisée possible), au lysozyme (protéine d'œuf — allergie alimentaire à l'œuf), ou à l'un des excipients (sorbitol — intolérance au fructose héréditaire, saccharine, arômes). (2) Enfant de moins de 6 ans pour les comprimés à sucer (risque de fausse-route par le comprimé, risque d'ingestion massive). (3) Ne pas avaler le comprimé entier (le sucer lentement pour permettre la diffusion locale du cétylpyridinium et du lysozyme sur la muqueuse bucco-pharyngée). (4) Ne pas utiliser en usage prolongé au-delà de 7 jours sans avis médical (risque de perturbation du microbiote buccal, de candidose de rebond, de sélection de résistance croisée avec les autres ammoniums quaternaires). (5) Insuffisance hépatique ou rénale sévère (prudence — résorption systémique possible en cas de succion prolongée et d'ingestion salivaire répétée). (6) Phénylcétonurie (prudence — vérifier l'absence d'aspartam dans la formulation ; la forme Lysopaïne Sans Sucre actuelle est édulcorée au sorbitol et à la saccharine, sans aspartam, donc compatible). (7) Intolérance au fructose héréditaire (présence de sorbitol — contre-indication relative). (8) Allaitement : prudence en cas de traitement maternel par cétylpyridinium (passage dans le lait maternel non documenté, mais prudence par principe — passer le comprimé avant la tétée, respecter un délai de 1 heure).</w:t>
      </w:r>
    </w:p>
    <w:p>
      <w:pPr>
        <w:pStyle w:val="ListBullet"/>
      </w:pPr>
      <w:r>
        <w:t>Effets Indésirables : Très fréquents (&gt; 10 %) en usage prolongé : dysgueusie transitoire (goût métallique ou amer), sensation d'engourdissement lingual transitoire après succion. Fréquents (1–10 %) : irritation locale, sensation de brûlure légère de la muqueuse buccale, sécheresse buccale, hypersialorrhée réactionnelle (la succion du comprimé stimule la salivation), diarrhée osmotique (en cas de surdosage en sorbitol &gt; 20 g/jour — symptôme bénin d'arrêt). Peu fréquents (0,1–1 %) : rash cutané péribuccal, prurit, urticaire (allergie de contact au cétylpyridinium ou au lysozyme), dermatite de contact allergique. Rares (&lt; 0,1 %) : réactions anaphylactiques (choc, bronchospasme, hypotension — allergie vraie aux ammoniums quaternaires, exceptionnelle), allergie alimentaire croisée avec l'œuf (lysozyme extrait du blanc d'œuf — allergique sévère à l'œuf : CI), coloration brune de la langue (rétention du cétylpyridinium sur la couche cornée linguale — réversible à l'arrêt, plus rare qu'avec la chlorhexidine). Exceptionnels (&lt; 0,01 %) : en cas d'ingestion massive accidentelle par un enfant — troubles digestifs (nausées, vomissements, diarrhée), troubles neurologiques centraux (somnolence, vertiges, hypotonie), hépatotoxicité (cas isolés documentés avec ingestion &gt; 100 mg/kg). Le cétylpyridinium n'est pas génotoxique ni cancérogène aux concentrations d'usage. Aucun effet tératogène documenté à ce jour en usage local.</w:t>
      </w:r>
    </w:p>
    <w:p>
      <w:r/>
      <w:r>
        <w:rPr>
          <w:b/>
        </w:rPr>
        <w:t>Prévention et Gestion des Effets Indésirables :</w:t>
      </w:r>
      <w:r/>
    </w:p>
    <w:p>
      <w:pPr>
        <w:pStyle w:val="ListBullet"/>
      </w:pPr>
      <w:r>
        <w:t>Mesures préventives : (1) Respecter strictement la durée maximale de 5 à 7 jours (recommandation ANSM 2019 pour tous les antiseptiques buccaux en automédication) — au-delà de 7 jours, le risque de perturbation du microbiote buccal, de candidose de rebond, et de sélection de résistance croisée avec les ammoniums quaternaires augmente. (2) Informer le patient de l'obligation de sucer lentement le comprimé (ne pas l'avaler entier) pour permettre la diffusion locale du cétylpyridinium et du lysozyme sur la muqueuse bucco-pharyngée. (3) Ne pas dépasser 6 comprimés par jour (surdosage inutile et augmente le risque d'effets indésirables locaux et de diarrhée osmotique au sorbitol). (4) Vérifier l'absence d'antécédents allergiques aux ammoniums quaternaires (benzalkonium, cetrimide), à l'œuf (lysozyme), aux excipients (sorbitol — intolérance au fructose, saccharine) avant initiation. (5) Chez le patient diabétique, vérifier l'absence de sucre dans la formulation (Lysopaïne Sans Sucre est compatible, mais attention aux autres formulations de Lysopaïne contenant du sucre — non disponibles dans la nomenclature algérienne actuelle). (6) Chez l'enfant de moins de 6 ans, proscrire les comprimés à sucer (risque de fausse-route par le comprimé, risque d'ingestion massive) ; privilégier l'hexétidine en application locale au coton-tige. (7) Prévenir le patient de la possibilité d'une coloration linguale transitoire et réversible (brossage doux de la langue pour limiter le dépôt). (8) Ne pas associer deux antiseptiques ammoniums quaternaires (cétylpyridinium + benzalkonium) — préférer l'un ou l'autre, ou alternance avec une autre classe (biguanide, diamidine). (9) Éviter l'usage prolongé en cas d'immunosuppression (radiothérapie, chimiothérapie mucitoxique, neutropénie) — préférer l'hexétidine ou la nystatine en prophylaxie.</w:t>
      </w:r>
    </w:p>
    <w:p>
      <w:pPr>
        <w:pStyle w:val="ListBullet"/>
      </w:pPr>
      <w:r>
        <w:t>Conduite à tenir : (1) En cas de persistance des symptômes au-delà de 5 à 7 jours : arrêt du traitement et consultation médicale pour réévaluation diagnostique (recherche de streptocoque β-hémolytique A par test rapide, recherche de Candida par frottis, élimination d'une lésion tumorale sous-jacente). (2) En cas d'irritation locale sévère ou de brûlure muqueuse : arrêt immédiat, rinçage à l'eau tiède, émollient muqueux (bicarbonate à 1,4 %). (3) En cas de signes d'allergie (rash péribuccal, urticaire, prurit, œdème) : arrêt, antihistaminique H1 oral (dexchlorphéniramine 2 mg chez l'adulte), consultation médicale ; en cas de signes d'anaphylaxie (œdème de Quincke, bronchospasme, hypotension) : adrénaline IM 0,3 mg, appel SAMU 15. (4) En cas de diarrhée osmotique au sorbitol : arrêt ou réduction de la posologie (limiter à 4 comprimés par jour). (5) En cas d'ingestion accidentelle massive par un enfant : surveillance médicale hospitalière 24 heures, surveillance neurologique et hépatique, traitement symptomatique ; aucun antidote spécifique. (6) En cas de coloration linguale : arrêt, brossage doux de la langue, régression spontanée en 7 à 10 jours.</w:t>
      </w:r>
    </w:p>
    <w:p>
      <w:r/>
      <w:r>
        <w:rPr>
          <w:b/>
        </w:rPr>
        <w:t>Interactions Médicamenteuses :</w:t>
      </w:r>
      <w:r/>
    </w:p>
    <w:p>
      <w:pPr>
        <w:pStyle w:val="ListBullet"/>
      </w:pPr>
      <w:r>
        <w:t>Antiseptiques anioniques (savons, détergents anioniques, sodium lauryl sulfate) : inactivation réciproque par neutralisation des charges — ne pas utiliser un dentifrice au sodium lauryl sulfate immédiatement avant ou après le cétylpyridinium ; espacer de 30 minutes.</w:t>
      </w:r>
    </w:p>
    <w:p>
      <w:pPr>
        <w:pStyle w:val="ListBullet"/>
      </w:pPr>
      <w:r>
        <w:t>Chlorhexidine (bain de bouche) : pas d'indication à associer deux antiseptiques cationiques — préférer l'un ou l'autre, ou alterner à 12 heures d'intervalle si nécessaire.</w:t>
      </w:r>
    </w:p>
    <w:p>
      <w:pPr>
        <w:pStyle w:val="ListBullet"/>
      </w:pPr>
      <w:r>
        <w:t>Autres ammoniums quaternaires (benzalkonium, cetrimide) : pas d'indication à associer (risque de surdosage, sélection de résistance croisée, irritation locale cumulative).</w:t>
      </w:r>
    </w:p>
    <w:p>
      <w:pPr>
        <w:pStyle w:val="ListBullet"/>
      </w:pPr>
      <w:r>
        <w:t>Antifongiques locaux buccaux (nystatine, miconazole gel buccal) : ne pas appliquer simultanément (le cétylpyridinium peut inactiver la nystatine par compétition de cible membranaire sur Candida) — espacer de 2 heures minimum.</w:t>
      </w:r>
    </w:p>
    <w:p>
      <w:pPr>
        <w:pStyle w:val="ListBullet"/>
      </w:pPr>
      <w:r>
        <w:t>Antibiotiques systémiques : pas d'interaction significative (le cétylpyridinium est un topique à résorption systémique négligeable).</w:t>
      </w:r>
    </w:p>
    <w:p>
      <w:pPr>
        <w:pStyle w:val="ListBullet"/>
      </w:pPr>
      <w:r>
        <w:t>Corticoïdes buccaux (tixocortol, hydrocortisone) : association possible en alternance séquentielle (cétylpyridinium le matin, corticoïde le soir) dans les stomatites inflammatoires sévères ; espacer de 2 heures minimum.</w:t>
      </w:r>
    </w:p>
    <w:p>
      <w:pPr>
        <w:pStyle w:val="ListBullet"/>
      </w:pPr>
      <w:r>
        <w:t>Lysozyme (associé dans Lysopaïne Sans Sucre) : synergie antimicrobienne (le lysozyme hydrolyse la paroi des Gram-positives, le cétylpyridinium disrupte la membrane — double mécanisme complémentaire).</w:t>
      </w:r>
    </w:p>
    <w:p>
      <w:pPr>
        <w:pStyle w:val="ListBullet"/>
      </w:pPr>
      <w:r>
        <w:t>PAS d'interaction systémique significative en usage local bucco-pharyngé correctement conduit (résorption systémique négligeable, &lt; 1 % de la dose appliquée).</w:t>
      </w:r>
    </w:p>
    <w:p>
      <w:r/>
      <w:r>
        <w:rPr>
          <w:b/>
        </w:rPr>
        <w:t>Grossesse et Allaitement :</w:t>
      </w:r>
      <w:r/>
    </w:p>
    <w:p>
      <w:pPr>
        <w:pStyle w:val="ListBullet"/>
      </w:pPr>
      <w:r>
        <w:t>Grossesse : le cétylpyridinium est considéré comme COMPATIBLE en usage local bucco-pharyngé ponctuel et court (≤ 5 à 7 jours), quel que soit le terme de la grossesse (CRAT : « l'utilisation ponctuelle et brève d'un antiseptique ammonium quaternaire pour indication bucco-pharyngée est envisageable quel que soit le terme de la grossesse ; la résorption systémique est négligeable »). Préférer la forme monothérapie en pastilles à sucer plutôt que la forme combinée à des antiseptiques additionnels (chlorbutanol dans Alodont — retiré). Éviter l'ingestion massive (sucer lentement le comprimé sans avaler la salive en excès).</w:t>
      </w:r>
    </w:p>
    <w:p>
      <w:pPr>
        <w:pStyle w:val="ListBullet"/>
      </w:pPr>
      <w:r>
        <w:t>Allaitement : COMPATIBLE en usage local bucco-pharyngé ponctuel et court (≤ 5 à 7 jours), en passant le comprimé avant la tétée et en respectant un délai de 1 heure entre la prise et la tétée (par prévention, bien que le passage dans le lait maternel soit non documenté et probablement négligeable). Ne pas appliquer sur le mamelon avant la tétée (règle absolue pour tous les antiseptiques locaux).</w:t>
      </w:r>
    </w:p>
    <w:p>
      <w:pPr>
        <w:pStyle w:val="ListBullet"/>
      </w:pPr>
      <w:r>
        <w:t>Fertilité : pas d'effet connu sur la fertilité masculine ou féminine en usage local court.</w:t>
      </w:r>
    </w:p>
    <w:p>
      <w:r/>
      <w:r>
        <w:rPr>
          <w:b/>
        </w:rPr>
        <w:t>Posologie et Mode d'administration (Standard) :</w:t>
      </w:r>
      <w:r/>
    </w:p>
    <w:p>
      <w:pPr>
        <w:pStyle w:val="ListBullet"/>
      </w:pPr>
      <w:r>
        <w:t>Comprimés à sucer (Lysopaïne Sans Sucre) : 1 comprimé à sucer lentement, 4 à 6 fois par jour, à espacer d'au moins 1 heure entre chaque prise. Ne pas avaler entier, ne pas croquer — laisser fondre lentement dans la bouche pour permettre la diffusion locale du cétylpyridinium et du lysozyme sur la muqueuse bucco-pharyngée. Cure courte 5 à 7 jours maximum en automédication, prolongeable à 10 jours sur prescription médicale en cas d'immunosuppression modérée. En cas d'irritation locale, réduire la fréquence à 3 comprimés par jour.</w:t>
      </w:r>
    </w:p>
    <w:p>
      <w:pPr>
        <w:pStyle w:val="ListBullet"/>
      </w:pPr>
      <w:r>
        <w:t>Bain de bouche (Alodont, retiré du marché algérien) — historique : 10 à 15 mL de solution NON DILUÉE (pure), bain de bouche pendant 30 secondes à 1 minute, 2 à 3 fois par jour après brossage, recracher (ne pas avaler) — cure courte de 5 à 7 jours maximum.</w:t>
      </w:r>
    </w:p>
    <w:p>
      <w:pPr>
        <w:pStyle w:val="ListBullet"/>
      </w:pPr>
      <w:r>
        <w:t>Sujet âgé : pas d'adaptation posologique en usage court ; surveiller la capacité à sucer le comprimé sans fausse-route en cas de troubles cognitifs ou de dysphagie (préférer la forme bain de bouche si disponible, ou l'hexétidine en application locale au coton-tige).</w:t>
      </w:r>
    </w:p>
    <w:p>
      <w:pPr>
        <w:pStyle w:val="ListBullet"/>
      </w:pPr>
      <w:r>
        <w:t>Insuffisance rénale/hépatique : pas d'adaptation posologique en usage local court et localisé.</w:t>
      </w:r>
    </w:p>
    <w:p>
      <w:pPr>
        <w:pStyle w:val="ListBullet"/>
      </w:pPr>
      <w:r>
        <w:t>Enfant : comprimés à sucer contre-indiqués avant 6 ans (risque de fausse-route par le comprimé) ; à utiliser sous surveillance parentale stricte entre 6 et 12 ans (vérifier le respect de la fréquence maximale de 4 à 6 prises par jour). Application au coton-tige possible dès l'âge de 3 ans en cas d'indication (stomatite post-antibiothérapie) avec une forme bain de bouche adaptée.</w:t>
      </w:r>
    </w:p>
    <w:p>
      <w:pPr>
        <w:pStyle w:val="ListBullet"/>
      </w:pPr>
      <w:r>
        <w:t>Ne pas dépasser 6 comprimés par jour (surdosage inutile et augmente le risque de diarrhée osmotique au sorbitol).</w:t>
      </w:r>
    </w:p>
    <w:p>
      <w:r/>
      <w:r>
        <w:rPr>
          <w:b/>
        </w:rPr>
        <w:t>Surveillance Biologique et Suivi Clinique :</w:t>
      </w:r>
      <w:r/>
    </w:p>
    <w:p>
      <w:pPr>
        <w:pStyle w:val="ListBullet"/>
      </w:pPr>
      <w:r>
        <w:t>Pas de surveillance biologique spécifique nécessaire en usage local standard court (≤ 5 à 7 jours).</w:t>
      </w:r>
    </w:p>
    <w:p>
      <w:pPr>
        <w:pStyle w:val="ListBullet"/>
      </w:pPr>
      <w:r>
        <w:t>Surveillance clinique : (1) Évaluation clinique à J3–J5 pour vérifier l'amélioration des symptômes (douleur, érythème, dysphagie) ; en l'absence d'amélioration à 5 à 7 jours, arrêt et consultation médicale pour réévaluation diagnostique (recherche de streptocoque β-hémolytique A par test rapide, recherche de Candida par frottis, élimination d'une lésion tumorale sous-jacente). (2) Surveillance locale pour dépister une irritation excessive, une desquamation muqueuse, une candidose de rebond (langue blanche, dépôts crémeux) — signes d'arrêt. (3) Surveillance de la tolérance digestive (diarrhée osmotique au sorbitol) — réduire la posologie si nécessaire. (4) En cas d'usage prolongé en immunosuppression (radiothérapie cervico-faciale) : surveillance hebdomadaire par le médecin ORL ou radiothérapeute, dépistage de candidose, alternance avec nystatine ou bicarbonate si nécessaire.</w:t>
      </w:r>
    </w:p>
    <w:p>
      <w:pPr>
        <w:pStyle w:val="ListBullet"/>
      </w:pPr>
      <w:r>
        <w:t>Pas de suivi virologique ou bactériologique systématique (le cétylpyridinium n'induit pas de sélection de résistance documentée en usage topique standard, mais prudence théorique en milieu hospitalier vis-à-vis des souches qac+).</w:t>
      </w:r>
    </w:p>
    <w:p>
      <w:r/>
      <w:r>
        <w:rPr>
          <w:b/>
        </w:rPr>
        <w:t>Arbitrage et Bénéfices des Formes Galéniques :</w:t>
      </w:r>
      <w:r/>
    </w:p>
    <w:p>
      <w:r>
        <w:t>Le choix entre les formes galéniques disponibles dépend de l'indication, du terrain, et de la préférence du patient. Les comprimés à sucer (Lysopaïne Sans Sucre) sont particulièrement adaptés aux affections bucco-pharyngées aiguës peu sévères (pharyngites virales, gingivites légères, enrouement) — la succion prolongée du comprimé stimule la salivation (effet bénéfique sur la muqueuse sèche), permet une diffusion locale prolongée du cétylpyridinium et du lysozyme, et offre un effet antiseptique + bactériolytique synergique. La forme Sans Sucre (édulcoration au sorbitol et à la saccharine) est compatible avec le diabète, mais expose à un risque de diarrhée osmotique en cas de surdosage (&gt; 20 g/jour de sorbitol, soit environ 50 comprimés par jour — largement au-dessus de la dose maximale recommandée). La forme bain de bouche (Alodont, retirée du marché algérien) était historiquement adaptée aux gingivites diffuses et à l'hygiène bucco-dentaire post-opératoire, mais la présence de chlorbutanol et d'eugénol dans la formulation limitait son usage au cours de la grossesse et chez l'enfant. En cas de besoin d'un antiseptique en bain de bouche, orienter le patient vers l'hexétidine (Dad Mouth Wash, Oralvex) ou la chlorhexidine (Hysadril). En cas de composante inflammatoire associée, la forme Givalex (hexétidine + salicylate de choline + chlorbutanol) est une alternative de choix. En cas d'intolérance locale ou d'allergie aux ammoniums quaternaires, switch vers la chlorhexidine (biguanide), l'hexamidine (diamidine), ou l'hexétidine (biguanide aromatique). En cas d'allergie au lysozyme (allergie à l'œuf), privilégier une forme monothérapie sans lysozyme. En cas d'échec à 5 à 7 jours, consultation médicale systématique pour réévaluation diagnostique.</w:t>
      </w:r>
    </w:p>
    <w:p>
      <w:r/>
      <w:r>
        <w:rPr>
          <w:b/>
        </w:rPr>
        <w:t>Instructions et Conseils au Patient :</w:t>
      </w:r>
      <w:r/>
    </w:p>
    <w:p>
      <w:pPr>
        <w:pStyle w:val="ListBullet"/>
      </w:pPr>
      <w:r>
        <w:t>Communication au comptoir : « Le cétylpyridinium (Lysopaïne Sans Sucre) est un antiseptique bucco-pharyngé en pastilles à sucer, combiné au lysozyme (enzyme naturelle bactériolytique). Il est indiqué en traitement adjuvant des maux de gorge, gingivites, enrouement, et irritations pharyngées peu sévères. Posologie : 1 comprimé à sucer lentement, 4 à 6 fois par jour, à espacer d'au moins 1 heure entre chaque prise. Ne pas avaler entier, ne pas croquer — laisser fondre dans la bouche pour permettre l'action locale. Ne pas dépasser 6 comprimés par jour. Cure courte 5 à 7 jours maximum, consulter un médecin si pas d'amélioration. Compatible avec le diabète (sans sucre, édulcoré au sorbitol et à la saccharine) — attention à la diarrhée en cas de surdosage. Ne pas utiliser chez l'enfant de moins de 6 ans (risque de fausse-route par le comprimé). Femme enceinte : usage court possible (5 à 7 jours). Femme allaitante : usage court possible, respecter un délai de 1 heure avant la tétée. Consulter un médecin si : pas d'amélioration à 5 jours, fièvre élevée, difficulté à avaler, éruption cutanée, gonflement du visage. Prévenir un médecin immédiatement en cas d'œdème du visage, de difficulté à respirer (allergie rare mais grave). Allergie à l'œuf : ne pas utiliser (lysozyme extrait du blanc d'œuf). Intolérance au fructose : ne pas utiliser (sorbitol). »</w:t>
      </w:r>
    </w:p>
    <w:p>
      <w:pPr>
        <w:pStyle w:val="ListBullet"/>
      </w:pPr>
      <w:r>
        <w:t>Observance : respecter la durée maximale de 5 à 7 jours, ne pas dépasser 6 comprimés par jour, sucer lentement (ne pas avaler ni croquer), espacer les prises d'au moins 1 heure.</w:t>
      </w:r>
    </w:p>
    <w:p>
      <w:pPr>
        <w:pStyle w:val="ListBullet"/>
      </w:pPr>
      <w:r>
        <w:t>Hygiène bucco-dentaire : continuer le brossage normal (le cétylpyridinium ne remplace pas le brossage), espacer les pastilles des repas de 30 minutes (pour ne pas altérer le goût), éviter les boissons alcoolisées pendant le traitement.</w:t>
      </w:r>
    </w:p>
    <w:p>
      <w:pPr>
        <w:pStyle w:val="ListBullet"/>
      </w:pPr>
      <w:r>
        <w:t>Conservation : conserver le tube bien fermé à température ambiante (15 à 25 °C), à l'abri de la lumière et de l'humidité. Gardiennage hors de portée des enfants (risque d'ingestion massive accidentelle).</w:t>
      </w:r>
    </w:p>
    <w:p>
      <w:pPr>
        <w:pStyle w:val="ListBullet"/>
      </w:pPr>
      <w:r>
        <w:t>Femmes enceintes et allaitantes : usage court possible (5 à 7 jours) ; pendant l'allaitement, respecter un délai de 1 heure avant la tétée.</w:t>
      </w:r>
    </w:p>
    <w:p>
      <w:r/>
      <w:r>
        <w:rPr>
          <w:b/>
        </w:rPr>
        <w:t>Notes, Règles d'Or &amp; Pièges au Comptoir :</w:t>
      </w:r>
      <w:r/>
    </w:p>
    <w:p>
      <w:pPr>
        <w:pStyle w:val="ListBullet"/>
      </w:pPr>
      <w:r>
        <w:t>Règle d'or : le cétylpyridinium est un traitement adjuvant — il ne remplace pas un antibiotique systémique en cas d'angine streptococcique documentée (test rapide positif), un antifongique systémique en cas de candidose buccale étendue (fluconazole), ou une consultation médicale en cas de signes d'alarme (fièvre élevée, dysphagie, trismus, adénopathie).</w:t>
      </w:r>
    </w:p>
    <w:p>
      <w:pPr>
        <w:pStyle w:val="ListBullet"/>
      </w:pPr>
      <w:r>
        <w:t>Piège : ne pas confondre angine virale (qui peut bénéficier d'un traitement adjuvant par cétylpyridinium) et angine streptococcique (qui nécessite obligatoirement un antibiotique systémique — amoxicilline 1ère intention, ou macrolide si allergie). Devant toute angine érythémateuse fébrile, réaliser un test rapide de diagnostic streptococcique (Streptatest) avant toute prescription.</w:t>
      </w:r>
    </w:p>
    <w:p>
      <w:pPr>
        <w:pStyle w:val="ListBullet"/>
      </w:pPr>
      <w:r>
        <w:t>Règle : durée maximale 5 à 7 jours en automédication, prolongeable à 10 jours sur prescription médicale en cas d'immunosuppression modérée. Au-delà, le risque de candidose de rebond et de perturbation du microbiote buccal devient significatif.</w:t>
      </w:r>
    </w:p>
    <w:p>
      <w:pPr>
        <w:pStyle w:val="ListBullet"/>
      </w:pPr>
      <w:r>
        <w:t>Piège : allergie au lysozyme (présent dans Lysopaïne Sans Sucre) chez les patients allergiques à l'œuf — toujours interroger le patient sur ses antécédents allergiques alimentaires avant initiation ; en cas d'allergie à l'œuf, switch vers une forme monothérapie sans lysozyme (hexétidine, chlorhexidine).</w:t>
      </w:r>
    </w:p>
    <w:p>
      <w:pPr>
        <w:pStyle w:val="ListBullet"/>
      </w:pPr>
      <w:r>
        <w:t>Piège : intolérance au fructose héréditaire (présence de sorbitol dans Lysopaïne Sans Sucre) — CI relative ; switch vers une forme sans sorbitol.</w:t>
      </w:r>
    </w:p>
    <w:p>
      <w:pPr>
        <w:pStyle w:val="ListBullet"/>
      </w:pPr>
      <w:r>
        <w:t>Règle : chez l'enfant de moins de 6 ans, proscrire les comprimés à sucer (risque de fausse-route par le comprimé, risque d'ingestion massive) ; privilégier l'hexétidine en application locale au coton-tige.</w:t>
      </w:r>
    </w:p>
    <w:p>
      <w:pPr>
        <w:pStyle w:val="ListBullet"/>
      </w:pPr>
      <w:r>
        <w:t>Piège : la diarrhée osmotique au sorbitol peut survenir en cas de surdosage (&gt; 6 comprimés par jour) — informer le patient pour éviter la mauvaise observance.</w:t>
      </w:r>
    </w:p>
    <w:p>
      <w:pPr>
        <w:pStyle w:val="ListBullet"/>
      </w:pPr>
      <w:r>
        <w:t>Règle : ne pas associer deux antiseptiques ammoniums quaternaires (cétylpyridinium + benzalkonium) — préférer l'un ou l'autre, ou alternance avec une autre classe (biguanide, diamidine).</w:t>
      </w:r>
    </w:p>
    <w:p>
      <w:pPr>
        <w:pStyle w:val="ListBullet"/>
      </w:pPr>
      <w:r>
        <w:t>Piège : la forme Alodont (Pfizer — bain de bouche) est retirée du marché algérien — orienter le patient vers les alternatives disponibles (hexétidine, chlorhexidine).</w:t>
      </w:r>
    </w:p>
    <w:p>
      <w:pPr>
        <w:pStyle w:val="ListBullet"/>
      </w:pPr>
      <w:r>
        <w:t>Règle : consulter un médecin en cas de persistance au-delà de 5 à 7 jours, d'aggravation, d'extension, ou d'apparition de signes généraux (fièvre, adénopathie, altération de l'état général) — risque de masquer une pathologie sous-jacente (cancer buccal, lésion tumorale pharyngée).</w:t>
      </w:r>
    </w:p>
    <w:p>
      <w:pPr>
        <w:pStyle w:val="Heading2"/>
      </w:pPr>
      <w:r>
        <w:t>134.4 Sous-classe : Corticoïdes buccaux locaux (Tixocortol pivalate)</w:t>
      </w:r>
    </w:p>
    <w:p>
      <w:r>
        <w:t>La sous-classe des corticoïdes buccaux locaux est essentiellement représentée par le tixocortol pivalate, molécule de synthèse de la famille des corticoïdes à effet local dominant (16α-méthyl-prednisolone substituée en 21-pivalate et en 17-thio). Le tixocortol pivalate appartient chimiquement au groupe des 21-esters de prednisolone, mais s'en distingue par la présence d'un groupe thiol en position 17 (à la place de l'hydroxyle classique), qui confère à la molécule une polarité accrue et un métabolisme local prédominant. Cette structure chimique particulière lui confère un profil pharmacologique unique : fort pouvoir anti-inflammatoire local (équivalent à l'hydrocortisone en poids), très faible résorption systémique (environ 1 % de la dose appliquée, en raison d'un effet de premier passage local intense par les estérases muqueuses), et absence d'effet systémique significatif aux doses thérapeutiques — ce qui le rapproche des corticoïdes inhalés en pneumologie (cf. chapitre 62 sur les CSI et associations).</w:t>
      </w:r>
    </w:p>
    <w:p>
      <w:r>
        <w:t>Le tixocortol pivalate a été commercialisé en France à partir des années 1970 sous le nom de Pivalone (laboratoires Jouveinal), principalement en suspension nasale pour les rhinites inflammatoires chroniques (cf. chapitre 133 sur les corticoïdes nasaux), mais aussi en collutoire buccal (Thiovalone — Jouveinal, association à la chlorhexidine) et en comprimés à sucer (Oropivalone Bacitracine — Pfizer, association à la bacitracine antibiotique locale). La particularité du tixocortol pivalate en ORL et en bucco-pharyngologie est son action anti-inflammatoire locale puissante sur la muqueuse buccale, pharyngée, et laryngée — particulièrement adaptée aux inflammations chroniques type laryngite chronique de l'orateur ou du chanteur (dysphonie dyskinétique), œdème de Reinke, laryngite post-radique, stomatite aphtense récidivante sévère, érythème polymorphe buccal, pemphigoïde bulleuse cicatricielle, et lichen plan buccal érosif. Son utilisation peut être prolongée (jusqu'à 3 mois en cas de maladie inflammatoire chronique) sous surveillance médicale ORL ou dermatologique.</w:t>
      </w:r>
    </w:p>
    <w:p>
      <w:r>
        <w:t>Le risque principal du tixocortol pivalate en usage buccal prolongé est la candidose buccale (immunosuppression locale induite par le corticoïde — diminution de l'immunité cellulaire locale sur Candida albicans), particulièrement fréquente chez le patient immunodéprimé (chimiothérapie, VIH, corticothérapie systémique associée, diabète déséquilibré, port de prothèses dentaires). La prévention repose sur l'hygiène bucco-dentaire rigoureuse, le dépistage précoce (langue blanche, dépôts crémeux, érythème périorificiel), l'arrêt temporaire en cas de candidose confirmée, et le traitement antifongique adapté (nystatine, miconazole gel buccal, fluconazole systémique). À cela s'ajoutent les risques locaux (atrophie muqueuse, télangiectasies, dermite péri-orificielle) en cas d'usage prolongé supérieur à 3 mois, et les risques systémiques (exceptionnels mais théoriques en cas de résorption massive) — inhibition de l'axe corticotrope, ostéoporose, hyperglycémie, rétention hydrosodée — qui restent négligeables aux doses thérapeutiques mais à surveiller en cas d'usage prolongé à forte dose.</w:t>
      </w:r>
    </w:p>
    <w:p>
      <w:r>
        <w:t>Les principales spécialités algériennes historiques (toutes actuellement retirées du marché algérien) comprennent : (1) Pivalone Néomycine (Jouveinal — tixocortol + néomycine en suspension nasale ou en suspension endo-sinusienne) pour les sinusites inflammatoires surinfectées ; (2) Thiovalone (Jouveinal — tixocortol + chlorhexidine en collutoire) pour les affections bucco-pharyngées inflammatoires surinfectées ; (3) Oropivalone Bacitracine (Pfizer — tixocortol pivalate + bacitracine en comprimés à sucer) pour les stomatites et gingivites inflammatoires surinfectées. Les praticiens algériens doivent connaître les alternatives disponibles (corticoïdes locaux en ORL — voir chapitre 133 sur les corticoïdes nasaux ; budesonide en suspension pour nébulisation ; hydrocortisone en comprimés à sucer) en cas d'ordonnance de tixocortol.</w:t>
      </w:r>
    </w:p>
    <w:p>
      <w:pPr>
        <w:pStyle w:val="Heading3"/>
      </w:pPr>
      <w:r>
        <w:t>134.4.1 DCI : Tixocortol (pivalate)</w:t>
      </w:r>
    </w:p>
    <w:p>
      <w:r/>
      <w:r>
        <w:rPr>
          <w:b/>
        </w:rPr>
        <w:t>Liste des Catégories :</w:t>
      </w:r>
      <w:r>
        <w:t xml:space="preserve"> Corticoïde local à action dominante (16α-méthyl-prednisolone 21-pivalate 17-thio) ; Anti-inflammatoire stéroïdien local bucco-pharyngé et ORL ; Faible résorption systémique (effet de premier passage local) ; Liste I ou II selon la forme galénique et l'association.</w:t>
      </w:r>
    </w:p>
    <w:p>
      <w:r>
        <w:t>Le tixocortol pivalate (21-pivalate de 16α-méthyl-17-thio-prednisolone) est un corticoïde de synthèse à effet local dominant, commercialisé en France depuis les années 1970 (laboratoires Jouveinal sous le nom de Pivalone, Thiovalone) et caractérisé par son action anti-inflammatoire locale puissante sur les muqueuses ORL (nasale, sinusienne, pharyngée, laryngée) associée à une très faible résorption systémique (environ 1 % de la dose appliquée, en raison d'un effet de premier passage local intense par les estérases muqueuses qui hydrolysent le pivalate en métabolite inactif). Cette propriété pharmacocinétique le rapproche des corticoïdes inhalés en pneumologie (cf. chapitre 62) et autorise un usage prolongé (jusqu'à 3 mois en cas de maladie inflammatoire chronique) avec un risque minimal d'effets systémiques. En Algérie, les spécialités historiques Pivalone Néomycine (Jouveinal — tixocortol + néomycine en suspension nasale ou endo-sinusienne, Liste II ou Liste I selon la forme), Thiovalone (Jouveinal — tixocortol + chlorhexidine en collutoire, Liste II), et Oropivalone Bacitracine (Pfizer — tixocortol pivalate + bacitracine en comprimés à sucer, hors liste) sont actuellement retirées du marché algérien mais restent prescrites par habitude dans les ordonnances privées ORL. Les praticiens algériens doivent connaître les alternatives disponibles (budesonide en suspension pour nébulisation, hydrocortisone en comprimés à sucer, corticoïdes nasaux type budésonide ou fluticasone) pour orienter les patients ayant historiquement bénéfice du tixocortol.</w:t>
      </w:r>
    </w:p>
    <w:p>
      <w:r/>
      <w:r>
        <w:rPr>
          <w:b/>
        </w:rPr>
        <w:t>Médicaments disponibles en Algérie (tableau des spécialités commercialisées)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PIVALONE NEOMYCINE</w:t>
            </w:r>
          </w:p>
        </w:tc>
        <w:tc>
          <w:tcPr>
            <w:tcW w:type="dxa" w:w="1559"/>
          </w:tcPr>
          <w:p>
            <w:r>
              <w:rPr>
                <w:sz w:val="20"/>
              </w:rPr>
              <w:t>JOUVEINAL</w:t>
            </w:r>
          </w:p>
        </w:tc>
        <w:tc>
          <w:tcPr>
            <w:tcW w:type="dxa" w:w="1559"/>
          </w:tcPr>
          <w:p>
            <w:r>
              <w:rPr>
                <w:sz w:val="20"/>
              </w:rPr>
              <w:t>Suspension nasale — Tixocortol (pivalate) 1 g + Néomycine (sulfate) 340 000 UI pour 100 mL</w:t>
            </w:r>
          </w:p>
        </w:tc>
        <w:tc>
          <w:tcPr>
            <w:tcW w:type="dxa" w:w="1559"/>
          </w:tcPr>
          <w:p>
            <w:r>
              <w:rPr>
                <w:sz w:val="20"/>
              </w:rPr>
              <w:t>Flacon 10 mL</w:t>
            </w:r>
          </w:p>
        </w:tc>
        <w:tc>
          <w:tcPr>
            <w:tcW w:type="dxa" w:w="1559"/>
          </w:tcPr>
          <w:p>
            <w:r>
              <w:rPr>
                <w:sz w:val="20"/>
              </w:rPr>
              <w:t>Liste II</w:t>
            </w:r>
          </w:p>
        </w:tc>
        <w:tc>
          <w:tcPr>
            <w:tcW w:type="dxa" w:w="1559"/>
          </w:tcPr>
          <w:p>
            <w:r>
              <w:rPr>
                <w:sz w:val="20"/>
              </w:rPr>
              <w:t>Retrait</w:t>
            </w:r>
          </w:p>
        </w:tc>
      </w:tr>
      <w:tr>
        <w:tc>
          <w:tcPr>
            <w:tcW w:type="dxa" w:w="1559"/>
          </w:tcPr>
          <w:p>
            <w:r>
              <w:rPr>
                <w:sz w:val="20"/>
              </w:rPr>
              <w:t>PIVALONE NEOMYCINE</w:t>
            </w:r>
          </w:p>
        </w:tc>
        <w:tc>
          <w:tcPr>
            <w:tcW w:type="dxa" w:w="1559"/>
          </w:tcPr>
          <w:p>
            <w:r>
              <w:rPr>
                <w:sz w:val="20"/>
              </w:rPr>
              <w:t>JOUVEINAL</w:t>
            </w:r>
          </w:p>
        </w:tc>
        <w:tc>
          <w:tcPr>
            <w:tcW w:type="dxa" w:w="1559"/>
          </w:tcPr>
          <w:p>
            <w:r>
              <w:rPr>
                <w:sz w:val="20"/>
              </w:rPr>
              <w:t>Suspension pour endoscopie sinusienne — Tixocortol (pivalate) 1 g + Néomycine (sulfate) 340 000 UI pour 100 mL</w:t>
            </w:r>
          </w:p>
        </w:tc>
        <w:tc>
          <w:tcPr>
            <w:tcW w:type="dxa" w:w="1559"/>
          </w:tcPr>
          <w:p>
            <w:r>
              <w:rPr>
                <w:sz w:val="20"/>
              </w:rPr>
              <w:t>Boîte de 6 flacons de 5 mL</w:t>
            </w:r>
          </w:p>
        </w:tc>
        <w:tc>
          <w:tcPr>
            <w:tcW w:type="dxa" w:w="1559"/>
          </w:tcPr>
          <w:p>
            <w:r>
              <w:rPr>
                <w:sz w:val="20"/>
              </w:rPr>
              <w:t>Liste I</w:t>
            </w:r>
          </w:p>
        </w:tc>
        <w:tc>
          <w:tcPr>
            <w:tcW w:type="dxa" w:w="1559"/>
          </w:tcPr>
          <w:p>
            <w:r>
              <w:rPr>
                <w:sz w:val="20"/>
              </w:rPr>
              <w:t>Retrait</w:t>
            </w:r>
          </w:p>
        </w:tc>
      </w:tr>
      <w:tr>
        <w:tc>
          <w:tcPr>
            <w:tcW w:type="dxa" w:w="1559"/>
          </w:tcPr>
          <w:p>
            <w:r>
              <w:rPr>
                <w:sz w:val="20"/>
              </w:rPr>
              <w:t>THIOVALONE</w:t>
            </w:r>
          </w:p>
        </w:tc>
        <w:tc>
          <w:tcPr>
            <w:tcW w:type="dxa" w:w="1559"/>
          </w:tcPr>
          <w:p>
            <w:r>
              <w:rPr>
                <w:sz w:val="20"/>
              </w:rPr>
              <w:t>JOUVEINAL</w:t>
            </w:r>
          </w:p>
        </w:tc>
        <w:tc>
          <w:tcPr>
            <w:tcW w:type="dxa" w:w="1559"/>
          </w:tcPr>
          <w:p>
            <w:r>
              <w:rPr>
                <w:sz w:val="20"/>
              </w:rPr>
              <w:t>Collutoire — Tixocortol (pivalate) 1,405 g + Chlorhexidine (digluconate) 0,422 g pour 100 g</w:t>
            </w:r>
          </w:p>
        </w:tc>
        <w:tc>
          <w:tcPr>
            <w:tcW w:type="dxa" w:w="1559"/>
          </w:tcPr>
          <w:p>
            <w:r>
              <w:rPr>
                <w:sz w:val="20"/>
              </w:rPr>
              <w:t>Flacon 3,35 mL + 1 pompe + 1 tube plongeur</w:t>
            </w:r>
          </w:p>
        </w:tc>
        <w:tc>
          <w:tcPr>
            <w:tcW w:type="dxa" w:w="1559"/>
          </w:tcPr>
          <w:p>
            <w:r>
              <w:rPr>
                <w:sz w:val="20"/>
              </w:rPr>
              <w:t>Liste II</w:t>
            </w:r>
          </w:p>
        </w:tc>
        <w:tc>
          <w:tcPr>
            <w:tcW w:type="dxa" w:w="1559"/>
          </w:tcPr>
          <w:p>
            <w:r>
              <w:rPr>
                <w:sz w:val="20"/>
              </w:rPr>
              <w:t>Retrait</w:t>
            </w:r>
          </w:p>
        </w:tc>
      </w:tr>
      <w:tr>
        <w:tc>
          <w:tcPr>
            <w:tcW w:type="dxa" w:w="1559"/>
          </w:tcPr>
          <w:p>
            <w:r>
              <w:rPr>
                <w:sz w:val="20"/>
              </w:rPr>
              <w:t>OROPIVALONE BACITRACINE</w:t>
            </w:r>
          </w:p>
        </w:tc>
        <w:tc>
          <w:tcPr>
            <w:tcW w:type="dxa" w:w="1559"/>
          </w:tcPr>
          <w:p>
            <w:r>
              <w:rPr>
                <w:sz w:val="20"/>
              </w:rPr>
              <w:t>PFIZER</w:t>
            </w:r>
          </w:p>
        </w:tc>
        <w:tc>
          <w:tcPr>
            <w:tcW w:type="dxa" w:w="1559"/>
          </w:tcPr>
          <w:p>
            <w:r>
              <w:rPr>
                <w:sz w:val="20"/>
              </w:rPr>
              <w:t>Comprimé — Tixocortol (pivalate) 1,5 mg + Bacitracine 200 UI</w:t>
            </w:r>
          </w:p>
        </w:tc>
        <w:tc>
          <w:tcPr>
            <w:tcW w:type="dxa" w:w="1559"/>
          </w:tcPr>
          <w:p>
            <w:r>
              <w:rPr>
                <w:sz w:val="20"/>
              </w:rPr>
              <w:t>Boîte de 40 comprimés</w:t>
            </w:r>
          </w:p>
        </w:tc>
        <w:tc>
          <w:tcPr>
            <w:tcW w:type="dxa" w:w="1559"/>
          </w:tcPr>
          <w:p>
            <w:r>
              <w:rPr>
                <w:sz w:val="20"/>
              </w:rPr>
              <w:t>Hors liste</w:t>
            </w:r>
          </w:p>
        </w:tc>
        <w:tc>
          <w:tcPr>
            <w:tcW w:type="dxa" w:w="1559"/>
          </w:tcPr>
          <w:p>
            <w:r>
              <w:rPr>
                <w:sz w:val="20"/>
              </w:rPr>
              <w:t>Retrait</w:t>
            </w:r>
          </w:p>
        </w:tc>
      </w:tr>
    </w:tbl>
    <w:p/>
    <w:p>
      <w:r>
        <w:t>Le tixocortol pivalate était historiquement délivré en Algérie sous quatre formes combinées à un antibiotique local ou à un antiseptique, actuellement toutes retirées du marché algérien : (1) Pivalone Néomycine (Jouveinal) en suspension nasale (flacon de 10 mL, Liste II) — indiquée dans les rhinites inflammatoires chroniques surinfectées (rhinite allergique surinfectée, rhinite médicamenteuse compliquée, rhinite post-grippe) ; (2) Pivalone Néomycine (Jouveinal) en suspension pour endoscopie sinusienne (boîte de 6 flacons de 5 mL, Liste I) — indiquée dans les sinusites chroniques surinfectées, en instillation endo-sinusienne après méchage ou tamponnement nasal ; (3) Thiovalone (Jouveinal) en collutoire buccal (flacon de 3,35 mL avec pompe doseuse et tube plongeur, Liste II) — indiquée dans les affections bucco-pharyngées inflammatoires surinfectées (stomatite aphtense récidivante sévère, gingivite ulcérée, laryngite chronique de l'orateur ou du chanteur, œdème de Reinke) ; (4) Oropivalone Bacitracine (Pfizer) en comprimés à sucer (boîte de 40 comprimés, hors liste) — indiquée dans les stomatites et gingivites inflammatoires surinfectées. Les associations antibiotique + corticoïde local permettent de couvrir simultanément la composante inflammatoire (tixocortol) et la composante surinfectieuse bactérienne (néomycine — aminoside, bacitracine — polypeptide) ou antiseptique (chlorhexidine — biguanide). Les praticiens algériens doivent orienter les patients ayant historiquement bénéfice du tixocortol vers des alternatives disponibles : (1) budesonide en suspension pour nébulisation (Pulmicort) pour les laryngites chroniques de l'enfant et les dysphonies dyskinétiques ; (2) hydrocortisone en comprimés à sucer (Hydrocortisone) pour les stomatites inflammatoires ; (3) corticoïdes nasaux type budésonide ou fluticasone (cf. chapitre 133) pour les rhinites inflammatoires chroniques ; (4) fluticasone en spray nasal pour les sinusites chroniques.</w:t>
      </w:r>
    </w:p>
    <w:p>
      <w:r/>
      <w:r>
        <w:rPr>
          <w:b/>
        </w:rPr>
        <w:t>Sous-classe et Mécanisme d'action :</w:t>
      </w:r>
      <w:r/>
    </w:p>
    <w:p>
      <w:pPr>
        <w:pStyle w:val="ListBullet"/>
      </w:pPr>
      <w:r>
        <w:t>Sous-classe : Corticoïde de synthèse à effet local dominant (16α-méthyl-prednisolone 21-pivalate 17-thio), parent structural de l'hydrocortisone mais caractérisé par une polarité accrue (groupe thiol en 17) et une très faible résorption systémique (effet de premier passage local intense par les estérases muqueuses qui hydrolysent le pivalate en métabolite inactif).</w:t>
      </w:r>
    </w:p>
    <w:p>
      <w:pPr>
        <w:pStyle w:val="ListBullet"/>
      </w:pPr>
      <w:r>
        <w:t>Mécanisme d'action : le tixocortol pivalate est une prodrogue qui, après hydrolyse locale du pivalate par les estérases muqueuses, libère le tixocortol actif (16α-méthyl-17-thio-prednisolone). Le tixocortol se fixe sur les récepteurs cytosoliques des glucocorticoïdes (GRα) présents dans les cellules épithéliales, endothéliales, et immunitaires de la muqueuse ORL. Le complexe récepteur-corticoïde transloque dans le noyau où il se fixe sur les éléments de réponse aux glucocorticoïdes (GRE) de l'ADN, régulant la transcription de gènes cibles : (i) activation de gènes anti-inflammatoires (annexine A1 — inhibiteur de la phospholipase A2, IκB — inhibiteur du NFκB, MAPK phosphatase 1, cytokines anti-inflammatoires IL-10) ; (ii) répression de gènes pro-inflammatoires (cytokines pro-inflammatoires IL-1β, IL-2, IL-6, TNF-α, IFN-γ, chemokines IL-8, eotaxine, enzymes pro-inflammatoires COX-2, iNOS, MMP-9, molécules d'adhésion ICAM-1, VCAM-1, E-sélectine). La conséquence est une puissante action anti-inflammatoire locale : diminution de l'infiltrat inflammatoire (neutrophiles, éosinophiles, lymphocytes T, mastocytes), diminution de l'œdème local (vasoconstriction, diminution de la perméabilité capillaire), diminution de la sécrétion de mucus, et inhibition de la fibrose. Le tixocortol exerce également une action anti-allergique locale (inhibition de la dégranulation mastocytaire et de la libération d'histamine), justifiant son usage dans les rhinites allergiques. La résorption systémique est très faible (environ 1 % de la dose appliquée), en raison de l'hydrolyse locale rapide du pivalate par les estérases muqueuses — d'où un profil de tolérance systémique excellent aux doses thérapeutiques, sans inhibition significative de l'axe corticotrope, sans ostéoporose, sans hyperglycémie, sans rétention hydrosodée aux doses recommandées. La demi-vie locale est de 8 à 12 heures (justifiant une administration 2 fois par jour en moyenne), et la demi-vie systémique du métabolite inactif est courte (2 à 3 heures).</w:t>
      </w:r>
    </w:p>
    <w:p>
      <w:r/>
      <w:r>
        <w:rPr>
          <w:b/>
        </w:rPr>
        <w:t>Profil Pharmacologique :</w:t>
      </w:r>
      <w:r/>
    </w:p>
    <w:p>
      <w:pPr>
        <w:pStyle w:val="ListBullet"/>
      </w:pPr>
      <w:r>
        <w:t>Indications : (1) Affections bucco-pharyngées inflammatoires chroniques : laryngite chronique de l'orateur ou du chanteur (dysphonie dyskinétique), œdème de Reinke (œdème chronique des cordes vocales, souvent lié au tabac), laryngite post-radique (après radiothérapie cervico-faciale), stomatite aphtense récidivante sévère (≥ 3 aphtes récurrents par mois, aphtose majeure), érythème polymorphe buccal, pemphigoïde bulleuse cicatricielle, lichen plan buccal érosif — en collutoire (Thiovalone) ou en comprimés à sucer (Oropivalone Bacitracine). (2) Rhinites inflammatoires chroniques : rhinite allergique surinfectée, rhinite médicamenteuse compliquée (après sevrage des vasoconstricteurs), rhinite post-grippe ou post-COVID persistante — en suspension nasale (Pivalone Néomycine). (3) Sinusites chroniques surinfectées : sinusite chronique maxillaire, ethmoïdale, ou frontale — en suspension endo-sinusienne après méchage ou tamponnement nasal (Pivalone Néomycine endo-sinusienne). (4) Prophylaxie des récidives post-chirurgicales ORL : après polypectomie nasale, après chirurgie des sinus (FESS — fonctionnal endoscopic sinus surgery), après turbinectomie — en instillation nasale ou endo-sinusienne. Cure prolongée possible (3 mois en cas de maladie inflammatoire chronique) sous surveillance médicale ORL ou dermatologique.</w:t>
      </w:r>
    </w:p>
    <w:p>
      <w:pPr>
        <w:pStyle w:val="ListBullet"/>
      </w:pPr>
      <w:r>
        <w:t>Contre-indications : (1) Hypersensibilité au tixocortol pivalate, aux autres corticoïdes, à l'antibiotique associé (néomycine — allergie croisée avec les aminosides type gentamicine, amikacine ; bacitracine — allergie croisée avec les polypeptides), à la chlorhexidine associée (allergie aux biguanides — voir chapitre 124), ou à l'un des excipients. (2) Infection locale non contrôlée : candidose buccale active (langue blanche, dépôts crémeux — aggravation par le corticoïde), infection herpétique buccale (herpès labial ou gingivostomatite herpétique — aggravation par le corticoïde), infection bactérienne non couverte par l'antibiotique associé (à documenter par prélèvement bactériologique). (3) Perforation tympanique connue ou suspectée (en cas d'application nasale — risque d'ototoxicité de la néomycine par passage dans l'oreille moyenne à travers la trompe d'Eustache). (4) Enfant de moins de 30 mois pour le collutoire (risque de laryngospasme — règle générale pour tous les collutoires). (5) Enfant de moins de 6 ans pour les comprimés à sucer (risque de fausse-route par le comprimé). (6) Grossesse au 1er trimestre (prudence par principe — données limitées sur le tixocortol pivalate) ; préférer l'hydrocortisone (compatible à tous les trimestres). (7) Allaitement : prudence en cas de traitement maternel prolongé à forte dose (passage dans le lait maternel non documenté mais théorique). (8) Ne pas avaler le collutoire (le recracher après pulvérisation). (9) Ne pas utiliser en usage prolongé au-delà de 3 mois sans surveillance médicale spécialisée (ORL ou dermatologue). (10) Insuffisance hépatique sévère (prudence — métabolisme diminué du tixocortol en cas de résorption systémique massive accidentelle).</w:t>
      </w:r>
    </w:p>
    <w:p>
      <w:pPr>
        <w:pStyle w:val="ListBullet"/>
      </w:pPr>
      <w:r>
        <w:t>Effets Indésirables : Très fréquents (&gt; 10 %) en usage buccal prolongé : dysgueusie transitoire (goût métallique ou amer), sécheresse buccale. Fréquents (1–10 %) : candidose buccale (langue blanche, dépôts crémeux, érythème périorificiel — immunosuppression locale induite par le corticoïde, particulièrement fréquente en cas d'usage prolongé &gt; 14 jours, de diabète déséquilibré, de VIH, de port de prothèses dentaires), irritation locale, sensation de brûlure légère de la muqueuse buccale immédiatement après application, hypersialorrhée réactionnelle (la succion du comprimé ou la pulvérisation du collutoire stimule la salivation). Peu fréquents (0,1–1 %) : atrophie muqueuse locale (en cas d'usage prolongé &gt; 3 mois — amincissement de la muqueuse buccale, fragilité accrue), télangiectasies locales (dilatations capillaires visibles), dermite péri-orificielle (éruption érythémateuse péribuccale), rash cutané péribuccal, prurit. Rares (&lt; 0,1 %) : allergie de contact au tixocortol pivalate (eczéma de contact) ou à l'antibiotique associé (néomycine — allergie croisée avec les aminosides type gentamicine, amikacine ; bacitracine — allergie croisée avec les polypeptides), infection secondaire (aggravation d'une infection bactérienne non couverte par l'antibiotique associé, surinfection fongique à Candida ou Aspergillus), pseudo-syndrome de Cushing (exceptionnel en usage local prolongé à forte dose, en raison de la très faible résorption systémique), inhibition de l'axe corticotrope (exceptionnel — à surveiller en cas d'usage prolongé &gt; 3 mois à forte dose). Exceptionnels (&lt; 0,01 %) : ostéoporose (exceptionnel en usage local), hyperglycémie (exceptionnel — à surveiller chez le diabétique), rétention hydrosodée et œdèmes (exceptionnel). Le tixocortol pivalate n'est pas génotoxique ni cancérogène aux concentrations d'usage. Aucun effet tératogène documenté à ce jour en usage local.</w:t>
      </w:r>
    </w:p>
    <w:p>
      <w:r/>
      <w:r>
        <w:rPr>
          <w:b/>
        </w:rPr>
        <w:t>Prévention et Gestion des Effets Indésirables :</w:t>
      </w:r>
      <w:r/>
    </w:p>
    <w:p>
      <w:pPr>
        <w:pStyle w:val="ListBullet"/>
      </w:pPr>
      <w:r>
        <w:t>Mesures préventives : (1) Vérifier l'absence d'infection locale active avant initiation : examen de la cavité buccale à la recherche de candidose (langue blanche, dépôts crémeux, érythème périorificiel), d'infection herpétique (vésicules, ulcérations herpétiques), de lésion tumorale sous-jacente (érosion chronique, induration, adénopathie) — en cas de doute, prélèvement bactériologique, mycologique, ou biopsie avant initiation. (2) Hygiène bucco-dentaire rigoureuse pendant le traitement : brossage après chaque repas (3 fois par jour), utilisation de fil dentaire, bains de bouche réguliers à l'eau tiède ou au bicarbonate à 1,4 % (sans antiseptique pour ne pas perturber le microbiote), détartrage régulier chez le dentiste (tous les 6 mois en usage prolongé). (3) Surveillance systématique de l'apparition d'une candidose buccale en cas d'usage prolongé &gt; 14 jours : examen clinique hebdomadaire à la recherche de langue blanche, de dépôts crémeux, d'érythème périorificiel ; en cas de candidose, arrêt temporaire du tixocortol et traitement antifongique adapté (nystatine en bain de bouche 4 fois par jour pendant 14 jours, ou miconazole gel buccal 4 fois par jour pendant 7 jours, ou fluconazole 50 mg par jour pendant 14 jours en cas de candidose étendue ou récidivante). (4) Éviter l'usage prolongé au-delà de 3 mois sans surveillance médicale spécialisée (ORL ou dermatologue) — risque d'atrophie muqueuse, de télangiectasies, de dermite péri-orificielle. (5) Prudence chez les patients immunodéprimés (VIH, chimiothérapie, corticothérapie systémique associée, diabète déséquilibré, port de prothèses dentaires) — risque accru de candidose, surveillance rapprochée. (6) Prudence chez les patients allergiques aux aminosides (néomycine — allergie croisée avec gentamicine, amikacine) ou aux polypeptides (bacitracine — allergie croisée avec les polypeptides) — vérifier les antécédents allergiques avant initiation. (7) Chez l'enfant de moins de 30 mois, proscrire le collutoire (risque de laryngospasme) ; chez l'enfant de moins de 6 ans, proscrire les comprimés à sucer (risque de fausse-route par le comprimé). (8) Ne pas avaler le collutoire (le recracher après pulvérisation) pour limiter la résorption systémique. (9) Informer le patient de l'obligation de respecter la durée maximale du traitement prescrite par le médecin et de consulter en cas de persistance ou d'aggravation des symptômes au-delà de 5 à 7 jours. (10) Prévenir le patient de la possibilité d'une candidose buccale et de ses signes précoces (langue blanche, dépôts crémeux, modification du goût, sensation de brûlure) — consulter en cas de survenue.</w:t>
      </w:r>
    </w:p>
    <w:p>
      <w:pPr>
        <w:pStyle w:val="ListBullet"/>
      </w:pPr>
      <w:r>
        <w:t>Conduite à tenir : (1) En cas d'apparition d'une candidose buccale confirmée : arrêt temporaire du tixocortol pivalate, traitement antifongique adapté (nystatine bain de bouche 4 fois par jour pendant 14 jours, ou miconazole gel buccal 4 fois par jour pendant 7 jours, ou fluconazole 50 mg par jour pendant 14 jours en cas de candidose étendue ou récidivante) ; reprise du tixocortol pivalate uniquement après guérison complète de la candidose, sous surveillance médicale rapprochée, en associant éventuellement une prophylaxie antifongique (nystatine 1 à 2 bains de bouche par jour). (2) En cas de persistance ou d'aggravation des symptômes au-delà de 5 à 7 jours : arrêt et consultation médicale spécialisée (ORL ou dermatologue) pour réévaluation diagnostique (élimination d'une lésion tumorale sous-jacente par biopsie, recherche d'une infection spécifique herpétique ou fongique, évaluation de la sévérité de la maladie inflammatoire sous-jacente). (3) En cas d'aggravation de la dysphonie (enrouement persistant ou aggravé) en cas d'usage pour laryngite chronique : arrêt et consultation ORL urgente avec laryngoscopie directe ou fibroscopie laryngée (suspicion de lésion tumorale des cordes vocales). (4) En cas de signes d'allergie (rash péribuccal, urticaire, prurit, œdème) : arrêt immédiat, antihistaminique H1 oral (dexchlorphéniramine 2 mg chez l'adulte), consultation médicale ; en cas de signes d'anaphylaxie (œdème de Quincke, bronchospasme, hypotension) : adrénaline IM 0,3 mg, appel SAMU 15. (5) En cas d'atrophie muqueuse ou de télangiectasies en usage prolongé &gt; 3 mois : arrêt progressif du tixocortol pivalate, switch vers un corticoïde local de puissance moindre (hydrocortisone) ou vers un immunomodulateur topique (tacrolimus pommade buccale — hors AMM, prescription spécialisée dermatologique). (6) En cas d'aggravation d'une infection locale (herpétique, bactérienne) : arrêt immédiat, prélèvement bactériologique ou virologique, traitement adapté (aciclovir en cas d'herpès, antibiotique adapté en cas d'infection bactérienne). (7) En cas d'apparition de signes systémiques (prise de poids, œdèmes, hypertension, hyperglycémie) en cas d'usage prolongé à forte dose : suspicion de pseudo-syndrome de Cushing — arrêt, surveillance de l'axe corticotrope (cortisolémie à 8h, test ACTH), consultation endocrinologique.</w:t>
      </w:r>
    </w:p>
    <w:p>
      <w:r/>
      <w:r>
        <w:rPr>
          <w:b/>
        </w:rPr>
        <w:t>Interactions Médicamenteuses :</w:t>
      </w:r>
      <w:r/>
    </w:p>
    <w:p>
      <w:pPr>
        <w:pStyle w:val="ListBullet"/>
      </w:pPr>
      <w:r>
        <w:t>Autres corticoïdes (locaux ou systémiques) : potentialisation de l'effet anti-inflammatoire et du risque d'effets systémiques (corticothérapie systémique associée — surveillance de l'axe corticotrope en cas d'usage prolongé &gt; 3 mois à forte dose).</w:t>
      </w:r>
    </w:p>
    <w:p>
      <w:pPr>
        <w:pStyle w:val="ListBullet"/>
      </w:pPr>
      <w:r>
        <w:t>Antifongiques locaux buccaux (nystatine, miconazole gel buccal) : association possible en cas de candidose de rebond sous tixocortol pivalate — espacer de 2 heures minimum (l'antifongique peut être inactivé par l'antiseptique chlorhexidine associé dans Thiovalone).</w:t>
      </w:r>
    </w:p>
    <w:p>
      <w:pPr>
        <w:pStyle w:val="ListBullet"/>
      </w:pPr>
      <w:r>
        <w:t>Antiseptiques buccaux (chlorhexidine, hexétidine, hexamidine, cétylpyridinium) : association possible en alternance séquentielle pour la prophylaxie des surinfections en cas d'immunosuppression locale ; espacer de 2 heures minimum.</w:t>
      </w:r>
    </w:p>
    <w:p>
      <w:pPr>
        <w:pStyle w:val="ListBullet"/>
      </w:pPr>
      <w:r>
        <w:t>Antibiotiques systémiques : pas d'interaction significative (le tixocortol pivalate est un topique à résorption systémique négligeable ; l'antibiotique associé — néomycine ou bacitracine — est également un topique à résorption systémique très faible).</w:t>
      </w:r>
    </w:p>
    <w:p>
      <w:pPr>
        <w:pStyle w:val="ListBullet"/>
      </w:pPr>
      <w:r>
        <w:t>Aminosides systémiques (gentamicine, amikacine, tobramycine) : prudence en cas d'usage concomitant avec la forme Pivalone Néomycine (néomycine locale) — potentialisation théorique de la toxicité rénale et ototoxique (à surveiller en cas d'insuffisance rénale préexistante ou d'usage prolongé).</w:t>
      </w:r>
    </w:p>
    <w:p>
      <w:pPr>
        <w:pStyle w:val="ListBullet"/>
      </w:pPr>
      <w:r>
        <w:t>Vaccins vivants atténués (BCG, rougeole-oreillons-rubéole, fièvre jaune, varicelle, zona, rotavirus) : contre-indication en cas de corticothérapie systémique à dose immunosuppressive ; en cas de corticothérapie locale stricte (tixocortol pivalate), pas de contre-indication mais prudence (vaccination à différer en cas de traitement prolongé &gt; 2 semaines à forte dose).</w:t>
      </w:r>
    </w:p>
    <w:p>
      <w:pPr>
        <w:pStyle w:val="ListBullet"/>
      </w:pPr>
      <w:r>
        <w:t>Itraconazole, kétoconazole (antifongiques azolés systémiques) : inhibition du CYP3A4, augmentation de la résorption systémique du tixocortol pivalate (théorique, en raison de la métabolisation hépatique du tixocortol) — prudence en cas d'usage prolongé.</w:t>
      </w:r>
    </w:p>
    <w:p>
      <w:pPr>
        <w:pStyle w:val="ListBullet"/>
      </w:pPr>
      <w:r>
        <w:t>PAS d'interaction systémique significative en usage local bucco-pharyngé correctement conduit (résorption systémique négligeable, ~1 % de la dose appliquée).</w:t>
      </w:r>
    </w:p>
    <w:p>
      <w:r/>
      <w:r>
        <w:rPr>
          <w:b/>
        </w:rPr>
        <w:t>Grossesse et Allaitement :</w:t>
      </w:r>
      <w:r/>
    </w:p>
    <w:p>
      <w:pPr>
        <w:pStyle w:val="ListBullet"/>
      </w:pPr>
      <w:r>
        <w:t>Grossesse : le tixocortol pivalate en usage local bucco-pharyngé est considéré comme COMPATIBLE en usage ponctuel et court (≤ 7 jours), aux 2e et 3e trimestres (CRAT : « l'utilisation ponctuelle et brève d'un corticoïde local à effet dominant pour indication bucco-pharyngée est envisageable aux 2e et 3e trimestres ; la résorption systémique est négligeable, sans effet tératogène documenté »). À éviter au 1er trimestre par principe de prévention, faute de données robustes. Préférer l'hydrocortisone (compatible à tous les trimestres) en cas d'indication à plus long terme. Éviter l'ingestion (recracher après pulvérisation du collutoire ou après succion du comprimé). En cas d'usage prolongé au cours de la grossesse (rare — maladie inflammatoire chronique sévère), surveillance médicale spécialisée (ORL ou dermatologue) et surveillance de l'axe corticotrope maternel et fœtal.</w:t>
      </w:r>
    </w:p>
    <w:p>
      <w:pPr>
        <w:pStyle w:val="ListBullet"/>
      </w:pPr>
      <w:r>
        <w:t>Allaitement : COMPATIBLE en usage local bucco-pharyngé ponctuel et court (≤ 7 jours), en passant le comprimé ou le collutoire avant la tétée et en respectant un délai de 1 heure entre l'application et la tétée (par prévention, bien que le passage dans le lait maternel soit non documenté et probablement négligeable en raison de la très faible résorption systémique). Ne pas appliquer sur le mamelon avant la tétée (règle absolue pour tous les corticoïdes locaux).</w:t>
      </w:r>
    </w:p>
    <w:p>
      <w:pPr>
        <w:pStyle w:val="ListBullet"/>
      </w:pPr>
      <w:r>
        <w:t>Fertilité : pas d'effet connu sur la fertilité masculine ou féminine en usage local court.</w:t>
      </w:r>
    </w:p>
    <w:p>
      <w:r/>
      <w:r>
        <w:rPr>
          <w:b/>
        </w:rPr>
        <w:t>Posologie et Mode d'administration (Standard) :</w:t>
      </w:r>
      <w:r/>
    </w:p>
    <w:p>
      <w:pPr>
        <w:pStyle w:val="ListBullet"/>
      </w:pPr>
      <w:r>
        <w:t>Collutoire buccal (Thiovalone) : 1 à 2 pulvérisations dirigées sur la zone à traiter (pharynx, amygdale, gencive, base de langue, corde vocale), 2 à 3 fois par jour, après repas. Bien agiter avant emploi. Éviter l'inhalation du spray. Ne pas avaler, recracher après 1 à 2 minutes de contact. Cure courte 5 à 7 jours en automédication, prolongeable à 14 jours sur prescription médicale en cas d'affection aiguë sévère, prolongeable à 3 mois sur prescription spécialisée ORL ou dermatologique en cas de maladie inflammatoire chronique (laryngite chronique, lichen plan buccal, pemphigoïde bulleuse).</w:t>
      </w:r>
    </w:p>
    <w:p>
      <w:pPr>
        <w:pStyle w:val="ListBullet"/>
      </w:pPr>
      <w:r>
        <w:t>Comprimés à sucer (Oropivalone Bacitracine) : 1 comprimé à sucer lentement, 4 à 6 fois par jour, à espacer d'au moins 1 heure entre chaque prise. Ne pas avaler entier, ne pas croquer — laisser fondre lentement dans la bouche pour permettre la diffusion locale du tixocortol et de la bacitracine sur la muqueuse bucco-pharyngée. Cure courte 5 à 7 jours, prolongeable à 14 jours sur prescription médicale, prolongeable à 3 mois sur prescription spécialisée.</w:t>
      </w:r>
    </w:p>
    <w:p>
      <w:pPr>
        <w:pStyle w:val="ListBullet"/>
      </w:pPr>
      <w:r>
        <w:t>Suspension nasale (Pivalone Néomycine) : 1 pulvérisation dans chaque narine, 2 à 3 fois par jour. Cure courte 5 à 7 jours, prolongeable à 14 jours sur prescription médicale en cas de rhinite chronique, prolongeable à 3 mois sur prescription spécialisée ORL en cas de rhinite allergique sévère ou de polypose nasale.</w:t>
      </w:r>
    </w:p>
    <w:p>
      <w:pPr>
        <w:pStyle w:val="ListBullet"/>
      </w:pPr>
      <w:r>
        <w:t>Suspension endo-sinusienne (Pivalone Néomycine) : instillation endo-sinusienne après méchage ou tamponnement nasal, 1 fois par jour pendant 5 à 7 jours, prolongeable à 14 jours sur prescription spécialisée ORL en cas de sinusite chronique.</w:t>
      </w:r>
    </w:p>
    <w:p>
      <w:pPr>
        <w:pStyle w:val="ListBullet"/>
      </w:pPr>
      <w:r>
        <w:t>Sujet âgé : pas d'adaptation posologique en usage local court ; surveillance de l'apparition d'une candidose buccale (plus fréquente chez le sujet âgé) et de l'atrophie muqueuse (plus rapide chez le sujet âgé) en cas d'usage prolongé.</w:t>
      </w:r>
    </w:p>
    <w:p>
      <w:pPr>
        <w:pStyle w:val="ListBullet"/>
      </w:pPr>
      <w:r>
        <w:t>Insuffisance hépatique : prudence en cas d'insuffisance hépatique sévère (métabolisme diminué du tixocortol en cas de résorption systémique massive accidentelle).</w:t>
      </w:r>
    </w:p>
    <w:p>
      <w:pPr>
        <w:pStyle w:val="ListBullet"/>
      </w:pPr>
      <w:r>
        <w:t>Insuffisance rénale : prudence en cas d'insuffisance rénale sévère en cas d'usage de la forme Pivalone Néomycine (accumulation théorique de la néomycine locale, ototoxicité et néphrotoxicité théoriques en cas de résorption systémique massive accidentelle).</w:t>
      </w:r>
    </w:p>
    <w:p>
      <w:pPr>
        <w:pStyle w:val="ListBullet"/>
      </w:pPr>
      <w:r>
        <w:t>Enfant : collutoire contre-indiqué avant 30 mois (risque de laryngospasme) ; comprimés à sucer contre-indiqués avant 6 ans (risque de fausse-route par le comprimé) ; suspension nasale possible dès l'âge de 2 ans sous surveillance parentale stricte.</w:t>
      </w:r>
    </w:p>
    <w:p>
      <w:pPr>
        <w:pStyle w:val="ListBullet"/>
      </w:pPr>
      <w:r>
        <w:t>Ne pas dépasser 3 mois de traitement continu sans surveillance médicale spécialisée (ORL ou dermatologue).</w:t>
      </w:r>
    </w:p>
    <w:p>
      <w:r/>
      <w:r>
        <w:rPr>
          <w:b/>
        </w:rPr>
        <w:t>Surveillance Biologique et Suivi Clinique :</w:t>
      </w:r>
      <w:r/>
    </w:p>
    <w:p>
      <w:pPr>
        <w:pStyle w:val="ListBullet"/>
      </w:pPr>
      <w:r>
        <w:t>Pas de surveillance biologique spécifique nécessaire en usage local standard court (≤ 14 jours).</w:t>
      </w:r>
    </w:p>
    <w:p>
      <w:pPr>
        <w:pStyle w:val="ListBullet"/>
      </w:pPr>
      <w:r>
        <w:t>Surveillance clinique : (1) Évaluation clinique à J3–J5 pour vérifier l'amélioration des symptômes (douleur, dysphagie, dysphonie, érythème) ; en l'absence d'amélioration à 5 à 7 jours, arrêt et consultation médicale pour réévaluation diagnostique (élimination d'une lésion tumorale sous-jacente par biopsie, recherche d'une infection spécifique herpétique ou fongique, évaluation de la sévérité de la maladie inflammatoire sous-jacente). (2) Surveillance hebdomadaire de l'apparition d'une candidose buccale en cas d'usage prolongé &gt; 14 jours : examen clinique de la langue (recherche de langue blanche, dépôts crémeux), de la muqueuse jugale (recherche d'érythème périorificiel), de la gorge (recherche de dépôts amygdaliens) ; en cas de suspicion, prélèvement mycologique et traitement antifongique adapté. (3) Surveillance mensuelle de la muqueuse buccale en cas d'usage prolongé &gt; 3 mois : recherche d'atrophie muqueuse (amincissement, fragilité), de télangiectasies (dilatations capillaires visibles), de dermite péri-orificielle ; en cas de survenue, arrêt progressif du tixocortol pivalate et switch vers un corticoïde local de puissance moindre (hydrocortisone) ou vers un immunomodulateur topique (tacrolimus pommade buccale). (4) Surveillance ORL spécialisée (laryngoscopie directe ou fibroscopie laryngée) en cas d'usage pour laryngite chronique : évaluation de l'état des cordes vocales (recherche d'œdème, de nodules, de polypes, de lésion tumorale sous-jacente) à l'initiation, à 1 mois, à 3 mois, puis tous les 6 mois en cas d'usage prolongé. (5) Surveillance de l'axe corticotrope (cortisolémie à 8h, test ACTH) en cas d'usage prolongé &gt; 3 mois à forte dose (rare — résorption systémique négligeable mais à surveiller en cas d'association à une corticothérapie systémique). (6) Surveillance glycémique chez le diabétique en cas d'usage prolongé à forte dose (risque théorique d'hyperglycémie par résorption systémique).</w:t>
      </w:r>
    </w:p>
    <w:p>
      <w:pPr>
        <w:pStyle w:val="ListBullet"/>
      </w:pPr>
      <w:r>
        <w:t>Pas de suivi virologique ou bactériologique systématique, sauf en cas de suspicion d'infection locale (prélèvement mycologique en cas de candidose, prélèvement bactériologique en cas de surinfection, prélèvement virologique en cas d'herpès).</w:t>
      </w:r>
    </w:p>
    <w:p>
      <w:r/>
      <w:r>
        <w:rPr>
          <w:b/>
        </w:rPr>
        <w:t>Arbitrage et Bénéfices des Formes Galéniques :</w:t>
      </w:r>
      <w:r/>
    </w:p>
    <w:p>
      <w:r>
        <w:t>Le choix entre les formes galéniques disponibles dépend de l'indication, du terrain, et de la préférence du patient. Le collutoire buccal (Thiovalone — tixocortol + chlorhexidine) est particulièrement adapté aux affections localisées du pharynx, de l'amygdale, et de la base de langue — application dirigée par le spray, mais durée de contact plus courte que le comprimé à sucer. Il est contre-indiqué chez l'enfant de moins de 30 mois (risque de laryngospasme) et en cas d'allergie à la chlorhexidine associée. Les comprimés à sucer (Oropivalone Bacitracine — tixocortol + bacitracine) sont particulièrement adaptés aux affections buccales diffuses (stomatites, gingivites inflammatoires surinfectées) — la succion prolongée du comprimé stimule la salivation (effet bénéfique sur la muqueuse sèche), permet une diffusion locale prolongée du tixocortol et de la bacitracine. Ils sont contre-indiqués chez l'enfant de moins de 6 ans (risque de fausse-route par le comprimé) et en cas d'allergie à la bacitracine associée. La suspension nasale (Pivalone Néomycine) est réservée aux rhinites inflammatoires chroniques surinfectées — application nasale dirigée par pulvérisation, contre-indiquée en cas de perforation tympanique connue ou suspectée (ototoxicité de la néomycine). La suspension endo-sinusienne (Pivalone Néomycine) est réservée aux sinusites chroniques surinfectées — instillation endo-sinusienne après méchage ou tamponnement nasal, en milieu ORL spécialisé. En cas de candidose de rebond sous tixocortol pivalate, switch temporaire vers un antifongique local (nystatine, miconazole gel buccal) puis reprise sous surveillance médicale rapprochée. En cas d'allergie au tixocortol pivalate ou à l'antibiotique associé, switch vers l'hydrocortisone en comprimés à sucer (compatible à tous les trimestres de la grossesse) ou vers la budesonide en suspension pour nébulisation (alternative pour les laryngites chroniques de l'enfant). En cas d'échec à 5 à 7 jours en usage aigu, ou à 3 mois en usage chronique, consultation spécialisée ORL ou dermatologique pour réévaluation diagnostique (élimination d'une lésion tumorale sous-jacente, évaluation de la sévérité de la maladie inflammatoire sous-jacente, discussion d'un switch thérapeutique vers un immunomodulateur topique type tacrolimus).</w:t>
      </w:r>
    </w:p>
    <w:p>
      <w:r/>
      <w:r>
        <w:rPr>
          <w:b/>
        </w:rPr>
        <w:t>Instructions et Conseils au Patient :</w:t>
      </w:r>
      <w:r/>
    </w:p>
    <w:p>
      <w:pPr>
        <w:pStyle w:val="ListBullet"/>
      </w:pPr>
      <w:r>
        <w:t>Communication au comptoir : « Le tixocortol pivalate est un corticoïde local puissant utilisé en ORL et en bucco-pharyngologie pour traiter les inflammations chroniques (laryngite chronique de l'orateur, stomatite aphtense récidivante sévère, lichen plan buccal érosif, pemphigoïde bulleuse cicatricielle). Il est souvent associé à un antibiotique local (néomycine, bacitracine) ou à un antiseptique (chlorhexidine) pour couvrir la composante surinfectieuse. Posologie usuelle : 1 à 2 pulvérisations du collutoire (ou 1 comprimé à sucer lentement), 2 à 4 fois par jour, après repas. Ne pas avaler le collutoire, recracher après 1 à 2 minutes de contact. Ne pas manger ni boire pendant 1 heure après application (règle absolue pour les collutoires). Cure courte 5 à 7 jours en automédication, prolongeable à 14 jours sur prescription médicale, prolongeable à 3 mois sur prescription spécialisée ORL ou dermatologique en cas de maladie inflammatoire chronique. Surveiller l'apparition d'une candidose buccale (langue blanche, dépôts crémeux, modification du goût, sensation de brûlure) — consulter en cas de survenue pour traitement antifongique adapté. Consulter un médecin si : pas d'amélioration à 5 à 7 jours, aggravation, fièvre, dysphonie persistante (en cas de laryngite chronique), éruption cutanée, gonflement du visage. Ne pas utiliser chez l'enfant de moins de 30 mois (collutoire) ou 6 ans (comprimés à sucer). Femme enceinte : usage court possible aux 2e et 3e trimestres ; à éviter au 1er trimestre ; préférer l'hydrocortisone en cas d'indication à plus long terme. Femme allaitante : usage court possible, respecter un délai de 1 heure avant la tétée, ne pas appliquer sur le mamelon avant la tétée. ATTENTION : les spécialités Pivalone Néomycine, Thiovalone, et Oropivalone Bacitracine sont actuellement retirées du marché algérien — votre pharmacien peut vous orienter vers des alternatives disponibles (budesonide en nébulisation, hydrocortisone en comprimés à sucer, corticoïdes nasaux type budésonide ou fluticasone). »</w:t>
      </w:r>
    </w:p>
    <w:p>
      <w:pPr>
        <w:pStyle w:val="ListBullet"/>
      </w:pPr>
      <w:r>
        <w:t>Observance : respecter strictement la prescription médicale (durée maximale 5 à 7 jours en automédication, prolongeable à 14 jours sur prescription, prolongeable à 3 mois sur prescription spécialisée), ne pas augmenter la fréquence d'application, ne pas avaler le collutoire.</w:t>
      </w:r>
    </w:p>
    <w:p>
      <w:pPr>
        <w:pStyle w:val="ListBullet"/>
      </w:pPr>
      <w:r>
        <w:t>Hygiène bucco-dentaire : continuer le brossage normal (3 fois par jour), utilisation de fil dentaire, bains de bouche réguliers à l'eau tiède ou au bicarbonate à 1,4 % (sans antiseptique pour ne pas perturber le microbiote), détartrage régulier chez le dentiste (tous les 6 mois en usage prolongé). Surveiller l'apparition d'une candidose buccale et consulter en cas de survenue.</w:t>
      </w:r>
    </w:p>
    <w:p>
      <w:pPr>
        <w:pStyle w:val="ListBullet"/>
      </w:pPr>
      <w:r>
        <w:t>Conservation : conserver le flacon ou le tube bien fermé à température ambiante (15 à 25 °C), à l'abri de la lumière. Jeter les flacons entamés depuis plus de 14 jours après ouverture (risque de contamination microbienne secondaire).</w:t>
      </w:r>
    </w:p>
    <w:p>
      <w:pPr>
        <w:pStyle w:val="ListBullet"/>
      </w:pPr>
      <w:r>
        <w:t>Femmes enceintes et allaitantes : usage court possible aux 2e et 3e trimestres de grossesse (5 à 7 jours max) ; à éviter au 1er trimestre ; pendant l'allaitement, respecter un délai de 1 heure avant la tétée, ne pas appliquer sur le mamelon avant la tétée.</w:t>
      </w:r>
    </w:p>
    <w:p>
      <w:r/>
      <w:r>
        <w:rPr>
          <w:b/>
        </w:rPr>
        <w:t>Notes, Règles d'Or &amp; Pièges au Comptoir :</w:t>
      </w:r>
      <w:r/>
    </w:p>
    <w:p>
      <w:pPr>
        <w:pStyle w:val="ListBullet"/>
      </w:pPr>
      <w:r>
        <w:t>Règle d'or : le tixocortol pivalate est un traitement de deuxième intention pour les affections bucco-pharyngées inflammatoires chroniques — il ne doit pas être utilisé en première intention pour une angine banale (préférer un antiseptique type hexétidine + paracétamol), ni en automédication prolongée (durée maximale 5 à 7 jours sans prescription spécialisée).</w:t>
      </w:r>
    </w:p>
    <w:p>
      <w:pPr>
        <w:pStyle w:val="ListBullet"/>
      </w:pPr>
      <w:r>
        <w:t>Piège : candidose buccale de rebond — le risque principal en usage prolongé &gt; 14 jours, particulièrement chez le patient immunodéprimé (VIH, chimiothérapie, corticothérapie systémique associée, diabète déséquilibré, port de prothèses dentaires) — surveillance systématique, traitement antifongique adapté en cas de survenue.</w:t>
      </w:r>
    </w:p>
    <w:p>
      <w:pPr>
        <w:pStyle w:val="ListBullet"/>
      </w:pPr>
      <w:r>
        <w:t>Règle : durée maximale 5 à 7 jours en automédication, 14 jours sur prescription médicale, 3 mois sur prescription spécialisée ORL ou dermatologique. Au-delà de 3 mois, risque d'atrophie muqueuse, de télangiectasies, de dermite péri-orificielle.</w:t>
      </w:r>
    </w:p>
    <w:p>
      <w:pPr>
        <w:pStyle w:val="ListBullet"/>
      </w:pPr>
      <w:r>
        <w:t>Piège : ne jamais appliquer un corticoïde local en présence d'une infection locale non contrôlée (candidose active, herpès, infection bactérienne non couverte par l'antibiotique associé) — risque d'aggravation de l'infection par immunosuppression locale.</w:t>
      </w:r>
    </w:p>
    <w:p>
      <w:pPr>
        <w:pStyle w:val="ListBullet"/>
      </w:pPr>
      <w:r>
        <w:t>Règle : en cas de persistance ou d'aggravation des symptômes au-delà de 5 à 7 jours, arrêt et consultation médicale spécialisée (ORL ou dermatologue) pour réévaluation diagnostique (élimination d'une lésion tumorale sous-jacente par biopsie, recherche d'une infection spécifique herpétique ou fongique, évaluation de la sévérité de la maladie inflammatoire sous-jacente).</w:t>
      </w:r>
    </w:p>
    <w:p>
      <w:pPr>
        <w:pStyle w:val="ListBullet"/>
      </w:pPr>
      <w:r>
        <w:t>Piège : allergie croisée de la néomycine (dans Pivalone Néomycine) avec les autres aminosides (gentamicine, amikacine, tobramycine) — toujours interroger le patient sur ses antécédents allergiques aux antibiotiques avant initiation ; en cas de doute, switch vers la forme Oropivalone Bacitracine (bacitracine — polypeptide, sans allergie croisée avec les aminosides).</w:t>
      </w:r>
    </w:p>
    <w:p>
      <w:pPr>
        <w:pStyle w:val="ListBullet"/>
      </w:pPr>
      <w:r>
        <w:t>Piège : allergie à la bacitracine (dans Oropivalone Bacitracine) avec les autres polypeptides (polymyxine B, colistine) — vérifier les antécédents allergiques.</w:t>
      </w:r>
    </w:p>
    <w:p>
      <w:pPr>
        <w:pStyle w:val="ListBullet"/>
      </w:pPr>
      <w:r>
        <w:t>Piège : allergie à la chlorhexidine (dans Thiovalone) avec les autres biguanides — vérifier les antécédents allergiques ; en cas de doute, switch vers la forme Oropivalone Bacitracine (sans chlorhexidine).</w:t>
      </w:r>
    </w:p>
    <w:p>
      <w:pPr>
        <w:pStyle w:val="ListBullet"/>
      </w:pPr>
      <w:r>
        <w:t>Règle : perforation tympanique connue ou suspectée — contre-indication absolue à la forme Pivalone Néomycine en suspension nasale (ototoxicité de la néomycine par passage dans l'oreille moyenne à travers la trompe d'Eustache).</w:t>
      </w:r>
    </w:p>
    <w:p>
      <w:pPr>
        <w:pStyle w:val="ListBullet"/>
      </w:pPr>
      <w:r>
        <w:t>Piège : les spécialités Pivalone Néomycine, Thiovalone, et Oropivalone Bacitracine sont actuellement retirées du marché algérien — orienter le patient vers des alternatives disponibles (budesonide en nébulisation, hydrocortisone en comprimés à sucer, corticoïdes nasaux type budésonide ou fluticasone).</w:t>
      </w:r>
    </w:p>
    <w:p>
      <w:pPr>
        <w:pStyle w:val="ListBullet"/>
      </w:pPr>
      <w:r>
        <w:t>Règle : chez l'enfant de moins de 30 mois, proscrire le collutoire (risque de laryngospasme) ; chez l'enfant de moins de 6 ans, proscrire les comprimés à sucer (risque de fausse-route par le comprimé).</w:t>
      </w:r>
    </w:p>
    <w:p>
      <w:pPr>
        <w:pStyle w:val="ListBullet"/>
      </w:pPr>
      <w:r>
        <w:t>Piège : chez le chanteur ou l'orateur professionnel, la dysphonie persistante sous tixocortol pivalate doit alerter sur une lésion organique sous-jacente (nodule, polype, ou cancer des cordes vocales) — consultation ORL urgente avec laryngoscopie directe ou fibroscopie laryngée.</w:t>
      </w:r>
    </w:p>
    <w:p>
      <w:pPr>
        <w:pStyle w:val="Heading2"/>
      </w:pPr>
      <w:r>
        <w:t>Tableau comparatif récapitulatif des 6 antiseptiques, anesthésiques et anti-inflammatoires buccaux (Laryngologie)</w:t>
      </w:r>
    </w:p>
    <w:tbl>
      <w:tblPr>
        <w:tblStyle w:val="LightGrid-Accent1"/>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tcPr>
          <w:p>
            <w:r>
              <w:rPr>
                <w:b/>
                <w:sz w:val="20"/>
              </w:rPr>
              <w:t>DCI</w:t>
            </w:r>
          </w:p>
        </w:tc>
        <w:tc>
          <w:tcPr>
            <w:tcW w:type="dxa" w:w="780"/>
          </w:tcPr>
          <w:p>
            <w:r>
              <w:rPr>
                <w:b/>
                <w:sz w:val="20"/>
              </w:rPr>
              <w:t>Sous-classe</w:t>
            </w:r>
          </w:p>
        </w:tc>
        <w:tc>
          <w:tcPr>
            <w:tcW w:type="dxa" w:w="780"/>
          </w:tcPr>
          <w:p>
            <w:r>
              <w:rPr>
                <w:b/>
                <w:sz w:val="20"/>
              </w:rPr>
              <w:t>Mécanisme d'action principal</w:t>
            </w:r>
          </w:p>
        </w:tc>
        <w:tc>
          <w:tcPr>
            <w:tcW w:type="dxa" w:w="780"/>
          </w:tcPr>
          <w:p>
            <w:r>
              <w:rPr>
                <w:b/>
                <w:sz w:val="20"/>
              </w:rPr>
              <w:t>Spectre / Action</w:t>
            </w:r>
          </w:p>
        </w:tc>
        <w:tc>
          <w:tcPr>
            <w:tcW w:type="dxa" w:w="780"/>
          </w:tcPr>
          <w:p>
            <w:r>
              <w:rPr>
                <w:b/>
                <w:sz w:val="20"/>
              </w:rPr>
              <w:t>Indication majeure</w:t>
            </w:r>
          </w:p>
        </w:tc>
        <w:tc>
          <w:tcPr>
            <w:tcW w:type="dxa" w:w="780"/>
          </w:tcPr>
          <w:p>
            <w:r>
              <w:rPr>
                <w:b/>
                <w:sz w:val="20"/>
              </w:rPr>
              <w:t>Forme galénique Algérie</w:t>
            </w:r>
          </w:p>
        </w:tc>
        <w:tc>
          <w:tcPr>
            <w:tcW w:type="dxa" w:w="780"/>
          </w:tcPr>
          <w:p>
            <w:r>
              <w:rPr>
                <w:b/>
                <w:sz w:val="20"/>
              </w:rPr>
              <w:t>Durée standard</w:t>
            </w:r>
          </w:p>
        </w:tc>
        <w:tc>
          <w:tcPr>
            <w:tcW w:type="dxa" w:w="780"/>
          </w:tcPr>
          <w:p>
            <w:r>
              <w:rPr>
                <w:b/>
                <w:sz w:val="20"/>
              </w:rPr>
              <w:t>EI signature</w:t>
            </w:r>
          </w:p>
        </w:tc>
        <w:tc>
          <w:tcPr>
            <w:tcW w:type="dxa" w:w="780"/>
          </w:tcPr>
          <w:p>
            <w:r>
              <w:rPr>
                <w:b/>
                <w:sz w:val="20"/>
              </w:rPr>
              <w:t>CI majeures</w:t>
            </w:r>
          </w:p>
        </w:tc>
        <w:tc>
          <w:tcPr>
            <w:tcW w:type="dxa" w:w="780"/>
          </w:tcPr>
          <w:p>
            <w:r>
              <w:rPr>
                <w:b/>
                <w:sz w:val="20"/>
              </w:rPr>
              <w:t>Grossesse</w:t>
            </w:r>
          </w:p>
        </w:tc>
        <w:tc>
          <w:tcPr>
            <w:tcW w:type="dxa" w:w="780"/>
          </w:tcPr>
          <w:p>
            <w:r>
              <w:rPr>
                <w:b/>
                <w:sz w:val="20"/>
              </w:rPr>
              <w:t>Allaitement</w:t>
            </w:r>
          </w:p>
        </w:tc>
        <w:tc>
          <w:tcPr>
            <w:tcW w:type="dxa" w:w="780"/>
          </w:tcPr>
          <w:p>
            <w:r>
              <w:rPr>
                <w:b/>
                <w:sz w:val="20"/>
              </w:rPr>
              <w:t>Liste</w:t>
            </w:r>
          </w:p>
        </w:tc>
      </w:tr>
      <w:tr>
        <w:tc>
          <w:tcPr>
            <w:tcW w:type="dxa" w:w="780"/>
          </w:tcPr>
          <w:p>
            <w:r>
              <w:rPr>
                <w:sz w:val="20"/>
              </w:rPr>
              <w:t>**Hexétidine (usage ORL)**</w:t>
            </w:r>
          </w:p>
        </w:tc>
        <w:tc>
          <w:tcPr>
            <w:tcW w:type="dxa" w:w="780"/>
          </w:tcPr>
          <w:p>
            <w:r>
              <w:rPr>
                <w:sz w:val="20"/>
              </w:rPr>
              <w:t>Biguanide aromatique</w:t>
            </w:r>
          </w:p>
        </w:tc>
        <w:tc>
          <w:tcPr>
            <w:tcW w:type="dxa" w:w="780"/>
          </w:tcPr>
          <w:p>
            <w:r>
              <w:rPr>
                <w:sz w:val="20"/>
              </w:rPr>
              <w:t>Disruption membrane bactérienne/fongique (insertion bicouche lipidique, fuite K+, dénaturation protéines) ; affinité muqueuse 8–12 h</w:t>
            </w:r>
          </w:p>
        </w:tc>
        <w:tc>
          <w:tcPr>
            <w:tcW w:type="dxa" w:w="780"/>
          </w:tcPr>
          <w:p>
            <w:r>
              <w:rPr>
                <w:sz w:val="20"/>
              </w:rPr>
              <w:t>Bactéries Gram+ (streptocoques, staphylocoques, pneumocoques), Gram– (Neisseria, Haemophilus — modestes), anaérobies buccaux, champignons (Candida), virus enveloppés (HSV partiel) ; pas de résistance acquise</w:t>
            </w:r>
          </w:p>
        </w:tc>
        <w:tc>
          <w:tcPr>
            <w:tcW w:type="dxa" w:w="780"/>
          </w:tcPr>
          <w:p>
            <w:r>
              <w:rPr>
                <w:sz w:val="20"/>
              </w:rPr>
              <w:t>Gingivites, stomatites, angines érythémateuses non-streptococciques, hygiène post-opératoire bucco-dentaire, prophylaxie mucites radio-induites</w:t>
            </w:r>
          </w:p>
        </w:tc>
        <w:tc>
          <w:tcPr>
            <w:tcW w:type="dxa" w:w="780"/>
          </w:tcPr>
          <w:p>
            <w:r>
              <w:rPr>
                <w:sz w:val="20"/>
              </w:rPr>
              <w:t>Solution pour bain de bouche 0,1 % (Dad Mouth Wash, Oralvex, Hextril), collutoire 0,2 % (Collu-Hextril), forme combinée (Givalex — hexétidine + salicylate de choline + chlorbutanol)</w:t>
            </w:r>
          </w:p>
        </w:tc>
        <w:tc>
          <w:tcPr>
            <w:tcW w:type="dxa" w:w="780"/>
          </w:tcPr>
          <w:p>
            <w:r>
              <w:rPr>
                <w:sz w:val="20"/>
              </w:rPr>
              <w:t>5 jours max (automédication) ; 7–10 jours (post-opératoire ou immunosuppression)</w:t>
            </w:r>
          </w:p>
        </w:tc>
        <w:tc>
          <w:tcPr>
            <w:tcW w:type="dxa" w:w="780"/>
          </w:tcPr>
          <w:p>
            <w:r>
              <w:rPr>
                <w:sz w:val="20"/>
              </w:rPr>
              <w:t>Dysgueusie, coloration brune de la langue (réversible), irritation locale, allergie rare ; ingestion massive : neurotoxicité centrale</w:t>
            </w:r>
          </w:p>
        </w:tc>
        <w:tc>
          <w:tcPr>
            <w:tcW w:type="dxa" w:w="780"/>
          </w:tcPr>
          <w:p>
            <w:r>
              <w:rPr>
                <w:sz w:val="20"/>
              </w:rPr>
              <w:t>Enfant &lt; 6 ans (bain de bouche), enfant &lt; 30 mois (collutoire), mucite radio-induite sévère, allergie biguanides</w:t>
            </w:r>
          </w:p>
        </w:tc>
        <w:tc>
          <w:tcPr>
            <w:tcW w:type="dxa" w:w="780"/>
          </w:tcPr>
          <w:p>
            <w:r>
              <w:rPr>
                <w:sz w:val="20"/>
              </w:rPr>
              <w:t>Compatible en usage ponctuel et court (≤ 5 jours) ; préférer formes monothérapie (sans salicylate de choline du Givalex au 3e trimestre)</w:t>
            </w:r>
          </w:p>
        </w:tc>
        <w:tc>
          <w:tcPr>
            <w:tcW w:type="dxa" w:w="780"/>
          </w:tcPr>
          <w:p>
            <w:r>
              <w:rPr>
                <w:sz w:val="20"/>
              </w:rPr>
              <w:t>Compatible en usage court ; ne pas appliquer sur mamelon avant tétée ; recracher après rinçage</w:t>
            </w:r>
          </w:p>
        </w:tc>
        <w:tc>
          <w:tcPr>
            <w:tcW w:type="dxa" w:w="780"/>
          </w:tcPr>
          <w:p>
            <w:r>
              <w:rPr>
                <w:sz w:val="20"/>
              </w:rPr>
              <w:t>Hors liste</w:t>
            </w:r>
          </w:p>
        </w:tc>
      </w:tr>
      <w:tr>
        <w:tc>
          <w:tcPr>
            <w:tcW w:type="dxa" w:w="780"/>
          </w:tcPr>
          <w:p>
            <w:r>
              <w:rPr>
                <w:sz w:val="20"/>
              </w:rPr>
              <w:t>**Oxétacaïne**</w:t>
            </w:r>
          </w:p>
        </w:tc>
        <w:tc>
          <w:tcPr>
            <w:tcW w:type="dxa" w:w="780"/>
          </w:tcPr>
          <w:p>
            <w:r>
              <w:rPr>
                <w:sz w:val="20"/>
              </w:rPr>
              <w:t>Anesthésique local ester</w:t>
            </w:r>
          </w:p>
        </w:tc>
        <w:tc>
          <w:tcPr>
            <w:tcW w:type="dxa" w:w="780"/>
          </w:tcPr>
          <w:p>
            <w:r>
              <w:rPr>
                <w:sz w:val="20"/>
              </w:rPr>
              <w:t>Blocage canaux Na+ voltage-dépendants (site alpha intracellulaire) → perte sensation douloureuse locale</w:t>
            </w:r>
          </w:p>
        </w:tc>
        <w:tc>
          <w:tcPr>
            <w:tcW w:type="dxa" w:w="780"/>
          </w:tcPr>
          <w:p>
            <w:r>
              <w:rPr>
                <w:sz w:val="20"/>
              </w:rPr>
              <w:t>Anesthésique de surface muqueux (buccal, pharyngé, œsophagien, gastrique) ; pas d'activité antimicrobienne</w:t>
            </w:r>
          </w:p>
        </w:tc>
        <w:tc>
          <w:tcPr>
            <w:tcW w:type="dxa" w:w="780"/>
          </w:tcPr>
          <w:p>
            <w:r>
              <w:rPr>
                <w:sz w:val="20"/>
              </w:rPr>
              <w:t>Aphtes douloureux, gingivites ulcérées, mucites chimio-induites, douleurs épigastriques de l'ulcère/RGO (forme Mutesa), prémédication anesthésique avant fibroscopie</w:t>
            </w:r>
          </w:p>
        </w:tc>
        <w:tc>
          <w:tcPr>
            <w:tcW w:type="dxa" w:w="780"/>
          </w:tcPr>
          <w:p>
            <w:r>
              <w:rPr>
                <w:sz w:val="20"/>
              </w:rPr>
              <w:t>Suspension buvable (Mutesa — oxydes Al/Mg + oxétacaïne 0,187 g/100 g, flacon 200 mL) — RETIRÉE du marché</w:t>
            </w:r>
          </w:p>
        </w:tc>
        <w:tc>
          <w:tcPr>
            <w:tcW w:type="dxa" w:w="780"/>
          </w:tcPr>
          <w:p>
            <w:r>
              <w:rPr>
                <w:sz w:val="20"/>
              </w:rPr>
              <w:t>5 jours max (automédication) ; 7–10 jours (mucites chimio-induites sur prescription)</w:t>
            </w:r>
          </w:p>
        </w:tc>
        <w:tc>
          <w:tcPr>
            <w:tcW w:type="dxa" w:w="780"/>
          </w:tcPr>
          <w:p>
            <w:r>
              <w:rPr>
                <w:sz w:val="20"/>
              </w:rPr>
              <w:t>Dysgueusie, engourdissement bucco-pharyngé, allergie (PABA), méthémoglobinémie (enfant &lt; 6 ans), constipation/diarrhée (Mutesa — antiacides), neurotoxicité aluminique (usage prolongé insuffisant rénal)</w:t>
            </w:r>
          </w:p>
        </w:tc>
        <w:tc>
          <w:tcPr>
            <w:tcW w:type="dxa" w:w="780"/>
          </w:tcPr>
          <w:p>
            <w:r>
              <w:rPr>
                <w:sz w:val="20"/>
              </w:rPr>
              <w:t>Allergie esters (PABA), insuffisance rénale sévère (aluminium), déficit cholinestérases, myasthénie, enfant &lt; 6 ans, méthode-moglobinémie, allaitement avant tétée</w:t>
            </w:r>
          </w:p>
        </w:tc>
        <w:tc>
          <w:tcPr>
            <w:tcW w:type="dxa" w:w="780"/>
          </w:tcPr>
          <w:p>
            <w:r>
              <w:rPr>
                <w:sz w:val="20"/>
              </w:rPr>
              <w:t>Compatible aux 2e–3e trimestres en usage court ; à éviter au 1er trimestre par prévention ; préférer lidocaïne (amide) en cas d'indication à plus long terme</w:t>
            </w:r>
          </w:p>
        </w:tc>
        <w:tc>
          <w:tcPr>
            <w:tcW w:type="dxa" w:w="780"/>
          </w:tcPr>
          <w:p>
            <w:r>
              <w:rPr>
                <w:sz w:val="20"/>
              </w:rPr>
              <w:t>Compatible en usage court ; recracher après contact ; délai 1 heure avant tétée ; ne pas appliquer sur mamelon avant tétée</w:t>
            </w:r>
          </w:p>
        </w:tc>
        <w:tc>
          <w:tcPr>
            <w:tcW w:type="dxa" w:w="780"/>
          </w:tcPr>
          <w:p>
            <w:r>
              <w:rPr>
                <w:sz w:val="20"/>
              </w:rPr>
              <w:t>Hors liste (forme Mutesa)</w:t>
            </w:r>
          </w:p>
        </w:tc>
      </w:tr>
      <w:tr>
        <w:tc>
          <w:tcPr>
            <w:tcW w:type="dxa" w:w="780"/>
          </w:tcPr>
          <w:p>
            <w:r>
              <w:rPr>
                <w:sz w:val="20"/>
              </w:rPr>
              <w:t>**Oxybuprocaïne**</w:t>
            </w:r>
          </w:p>
        </w:tc>
        <w:tc>
          <w:tcPr>
            <w:tcW w:type="dxa" w:w="780"/>
          </w:tcPr>
          <w:p>
            <w:r>
              <w:rPr>
                <w:sz w:val="20"/>
              </w:rPr>
              <w:t>Anesthésique local ester</w:t>
            </w:r>
          </w:p>
        </w:tc>
        <w:tc>
          <w:tcPr>
            <w:tcW w:type="dxa" w:w="780"/>
          </w:tcPr>
          <w:p>
            <w:r>
              <w:rPr>
                <w:sz w:val="20"/>
              </w:rPr>
              <w:t>Blocage canaux Na+ voltage-dépendants (site alpha intracellulaire) → perte sensation douloureuse locale</w:t>
            </w:r>
          </w:p>
        </w:tc>
        <w:tc>
          <w:tcPr>
            <w:tcW w:type="dxa" w:w="780"/>
          </w:tcPr>
          <w:p>
            <w:r>
              <w:rPr>
                <w:sz w:val="20"/>
              </w:rPr>
              <w:t>Anesthésique de surface muqueux (cornéen de référence, ORL et buccal hors AMM) ; pas d'activité antimicrobienne</w:t>
            </w:r>
          </w:p>
        </w:tc>
        <w:tc>
          <w:tcPr>
            <w:tcW w:type="dxa" w:w="780"/>
          </w:tcPr>
          <w:p>
            <w:r>
              <w:rPr>
                <w:sz w:val="20"/>
              </w:rPr>
              <w:t>Anesthésie cornéenne pour examen ophtalmologique (tonométrie, gonioscopie, fond d'œil), extraction corps étranger cornéen, sondage canaliculaire ; usage bucco-pharyngé hors AMM (aphtes, gingivites, prémédication fibroscopie)</w:t>
            </w:r>
          </w:p>
        </w:tc>
        <w:tc>
          <w:tcPr>
            <w:tcW w:type="dxa" w:w="780"/>
          </w:tcPr>
          <w:p>
            <w:r>
              <w:rPr>
                <w:sz w:val="20"/>
              </w:rPr>
              <w:t>Collyre 0,4 % (Anestocil — GPA, Cebesine — Chauvin S.A. ; Novesine — Merck Sharp &amp; Dhome, RETIRÉ)</w:t>
            </w:r>
          </w:p>
        </w:tc>
        <w:tc>
          <w:tcPr>
            <w:tcW w:type="dxa" w:w="780"/>
          </w:tcPr>
          <w:p>
            <w:r>
              <w:rPr>
                <w:sz w:val="20"/>
              </w:rPr>
              <w:t>1 à 2 instillations par examen (usage ponctuel) ; 5 jours max (usage buccal hors AMM)</w:t>
            </w:r>
          </w:p>
        </w:tc>
        <w:tc>
          <w:tcPr>
            <w:tcW w:type="dxa" w:w="780"/>
          </w:tcPr>
          <w:p>
            <w:r>
              <w:rPr>
                <w:sz w:val="20"/>
              </w:rPr>
              <w:t>Picotement à l'instillation, hyperhémie conjonctivale, flou visuel transitoire, kératopathie toxique (usage prolongé), allergie (PABA), méthémoglobinémie</w:t>
            </w:r>
          </w:p>
        </w:tc>
        <w:tc>
          <w:tcPr>
            <w:tcW w:type="dxa" w:w="780"/>
          </w:tcPr>
          <w:p>
            <w:r>
              <w:rPr>
                <w:sz w:val="20"/>
              </w:rPr>
              <w:t>Allergie esters (PABA), porteurs de lentilles (BAK — retirer avant instillation), enfant &lt; 6 ans (usage buccal), automédication ophtalmique prolongée</w:t>
            </w:r>
          </w:p>
        </w:tc>
        <w:tc>
          <w:tcPr>
            <w:tcW w:type="dxa" w:w="780"/>
          </w:tcPr>
          <w:p>
            <w:r>
              <w:rPr>
                <w:sz w:val="20"/>
              </w:rPr>
              <w:t>Compatible en usage ponctuel ophtalmique ; usage buccal hors AMM : préférer lidocaïne (amide)</w:t>
            </w:r>
          </w:p>
        </w:tc>
        <w:tc>
          <w:tcPr>
            <w:tcW w:type="dxa" w:w="780"/>
          </w:tcPr>
          <w:p>
            <w:r>
              <w:rPr>
                <w:sz w:val="20"/>
              </w:rPr>
              <w:t>Compatible en usage ponctuel ophtalmique ; usage buccal : délai 1 heure avant tétée ; ne pas appliquer sur mamelon avant tétée</w:t>
            </w:r>
          </w:p>
        </w:tc>
        <w:tc>
          <w:tcPr>
            <w:tcW w:type="dxa" w:w="780"/>
          </w:tcPr>
          <w:p>
            <w:r>
              <w:rPr>
                <w:sz w:val="20"/>
              </w:rPr>
              <w:t>Liste I (prescription médicale obligatoire)</w:t>
            </w:r>
          </w:p>
        </w:tc>
      </w:tr>
      <w:tr>
        <w:tc>
          <w:tcPr>
            <w:tcW w:type="dxa" w:w="780"/>
          </w:tcPr>
          <w:p>
            <w:r>
              <w:rPr>
                <w:sz w:val="20"/>
              </w:rPr>
              <w:t>**Tétragaine (Tétracaïne)**</w:t>
            </w:r>
          </w:p>
        </w:tc>
        <w:tc>
          <w:tcPr>
            <w:tcW w:type="dxa" w:w="780"/>
          </w:tcPr>
          <w:p>
            <w:r>
              <w:rPr>
                <w:sz w:val="20"/>
              </w:rPr>
              <w:t>Anesthésique local ester</w:t>
            </w:r>
          </w:p>
        </w:tc>
        <w:tc>
          <w:tcPr>
            <w:tcW w:type="dxa" w:w="780"/>
          </w:tcPr>
          <w:p>
            <w:r>
              <w:rPr>
                <w:sz w:val="20"/>
              </w:rPr>
              <w:t>Blocage canaux Na+ voltage-dépendants (site alpha intracellulaire) → perte sensation douloureuse locale ; marge thérapeutique étroite</w:t>
            </w:r>
          </w:p>
        </w:tc>
        <w:tc>
          <w:tcPr>
            <w:tcW w:type="dxa" w:w="780"/>
          </w:tcPr>
          <w:p>
            <w:r>
              <w:rPr>
                <w:sz w:val="20"/>
              </w:rPr>
              <w:t>Anesthésique de surface muqueux (bucco-pharyngé, ophtalmique, spinal) ; pas d'activité antimicrobienne</w:t>
            </w:r>
          </w:p>
        </w:tc>
        <w:tc>
          <w:tcPr>
            <w:tcW w:type="dxa" w:w="780"/>
          </w:tcPr>
          <w:p>
            <w:r>
              <w:rPr>
                <w:sz w:val="20"/>
              </w:rPr>
              <w:t>Affections bucco-pharyngées douloureuses surinfectées (angines, pharyngites, gingivites ulcérées, stomatites aphtense) en association avec antiseptique (chlorhexidine, hexamidine) ; rachianesthésie (historique)</w:t>
            </w:r>
          </w:p>
        </w:tc>
        <w:tc>
          <w:tcPr>
            <w:tcW w:type="dxa" w:w="780"/>
          </w:tcPr>
          <w:p>
            <w:r>
              <w:rPr>
                <w:sz w:val="20"/>
              </w:rPr>
              <w:t>Collutoire (Eludril — chlorhexidine + tétracaïne, RETIRÉ ; Oromédine — hexamidine + tétracaïne, RETIRÉ) — RETIRÉES du marché algérien</w:t>
            </w:r>
          </w:p>
        </w:tc>
        <w:tc>
          <w:tcPr>
            <w:tcW w:type="dxa" w:w="780"/>
          </w:tcPr>
          <w:p>
            <w:r>
              <w:rPr>
                <w:sz w:val="20"/>
              </w:rPr>
              <w:t>5 jours max (automédication) ; 7–10 jours (sur prescription)</w:t>
            </w:r>
          </w:p>
        </w:tc>
        <w:tc>
          <w:tcPr>
            <w:tcW w:type="dxa" w:w="780"/>
          </w:tcPr>
          <w:p>
            <w:r>
              <w:rPr>
                <w:sz w:val="20"/>
              </w:rPr>
              <w:t>Dysgueusie, engourdissement bucco-pharyngé, irritation locale, allergie (PABA), méthémoglobinémie (enfant &lt; 6 ans, G6PD), toxicité systémique cardiaque et neurologique (marge thérapeutique étroite)</w:t>
            </w:r>
          </w:p>
        </w:tc>
        <w:tc>
          <w:tcPr>
            <w:tcW w:type="dxa" w:w="780"/>
          </w:tcPr>
          <w:p>
            <w:r>
              <w:rPr>
                <w:sz w:val="20"/>
              </w:rPr>
              <w:t>Allergie esters (PABA), enfant &lt; 30 mois (collutoire), enfant &lt; 6 ans (bain de bouche), déficit cholinestérases, myasthénie, méthode-moglobinémie, allaitement avant tétée</w:t>
            </w:r>
          </w:p>
        </w:tc>
        <w:tc>
          <w:tcPr>
            <w:tcW w:type="dxa" w:w="780"/>
          </w:tcPr>
          <w:p>
            <w:r>
              <w:rPr>
                <w:sz w:val="20"/>
              </w:rPr>
              <w:t>Compatible en usage court (≤ 5 jours) ; préférer lidocaïne (amide) en cas d'indication à plus long terme</w:t>
            </w:r>
          </w:p>
        </w:tc>
        <w:tc>
          <w:tcPr>
            <w:tcW w:type="dxa" w:w="780"/>
          </w:tcPr>
          <w:p>
            <w:r>
              <w:rPr>
                <w:sz w:val="20"/>
              </w:rPr>
              <w:t>Compatible en usage court ; recracher après contact ; délai 1 heure avant tétée ; ne pas appliquer sur mamelon avant tétée</w:t>
            </w:r>
          </w:p>
        </w:tc>
        <w:tc>
          <w:tcPr>
            <w:tcW w:type="dxa" w:w="780"/>
          </w:tcPr>
          <w:p>
            <w:r>
              <w:rPr>
                <w:sz w:val="20"/>
              </w:rPr>
              <w:t>Hors liste (Eludril, Oromédine)</w:t>
            </w:r>
          </w:p>
        </w:tc>
      </w:tr>
      <w:tr>
        <w:tc>
          <w:tcPr>
            <w:tcW w:type="dxa" w:w="780"/>
          </w:tcPr>
          <w:p>
            <w:r>
              <w:rPr>
                <w:sz w:val="20"/>
              </w:rPr>
              <w:t>**Cétylpyridinium (usage ORL)**</w:t>
            </w:r>
          </w:p>
        </w:tc>
        <w:tc>
          <w:tcPr>
            <w:tcW w:type="dxa" w:w="780"/>
          </w:tcPr>
          <w:p>
            <w:r>
              <w:rPr>
                <w:sz w:val="20"/>
              </w:rPr>
              <w:t>Ammonium quaternaire cationique (tensioactif)</w:t>
            </w:r>
          </w:p>
        </w:tc>
        <w:tc>
          <w:tcPr>
            <w:tcW w:type="dxa" w:w="780"/>
          </w:tcPr>
          <w:p>
            <w:r>
              <w:rPr>
                <w:sz w:val="20"/>
              </w:rPr>
              <w:t>Disruption membrane bactérienne (agent de surface cationique, formation de pores, fuite intracellulaire, lyse) ; pas de rémanence cutanée</w:t>
            </w:r>
          </w:p>
        </w:tc>
        <w:tc>
          <w:tcPr>
            <w:tcW w:type="dxa" w:w="780"/>
          </w:tcPr>
          <w:p>
            <w:r>
              <w:rPr>
                <w:sz w:val="20"/>
              </w:rPr>
              <w:t>Bactéries Gram+ (streptocoques, staphylocoques), Gram– modestes (Neisseria, Haemophilus), champignons (Candida modestes), virus enveloppés ; peu actif sur entérobactéries, Pseudomonas, mycobactéries, spores</w:t>
            </w:r>
          </w:p>
        </w:tc>
        <w:tc>
          <w:tcPr>
            <w:tcW w:type="dxa" w:w="780"/>
          </w:tcPr>
          <w:p>
            <w:r>
              <w:rPr>
                <w:sz w:val="20"/>
              </w:rPr>
              <w:t>Pharyngites virales, gingivites légères, enrouement, irritation pharyngée post-tabagique, aphtose mineure ; alternative à la chlorhexidine (sans coloration dentaire)</w:t>
            </w:r>
          </w:p>
        </w:tc>
        <w:tc>
          <w:tcPr>
            <w:tcW w:type="dxa" w:w="780"/>
          </w:tcPr>
          <w:p>
            <w:r>
              <w:rPr>
                <w:sz w:val="20"/>
              </w:rPr>
              <w:t>Comprimés à sucer (Lysopaïne Sans Sucre — cétylpyridinium 1,5 mg + lysozyme 20 mg, Boehringer Ingelheim) ; solution bain de bouche (Alodont — cétylpyridinium + chlorbutanol + eugénol, RETIRÉE)</w:t>
            </w:r>
          </w:p>
        </w:tc>
        <w:tc>
          <w:tcPr>
            <w:tcW w:type="dxa" w:w="780"/>
          </w:tcPr>
          <w:p>
            <w:r>
              <w:rPr>
                <w:sz w:val="20"/>
              </w:rPr>
              <w:t>5–7 jours max (automédication) ; 10 jours (immunosuppression modérée sur prescription)</w:t>
            </w:r>
          </w:p>
        </w:tc>
        <w:tc>
          <w:tcPr>
            <w:tcW w:type="dxa" w:w="780"/>
          </w:tcPr>
          <w:p>
            <w:r>
              <w:rPr>
                <w:sz w:val="20"/>
              </w:rPr>
              <w:t>Dysgueusie, engourdissement lingual, irritation locale, diarrhée osmotique (sorbitol — Lysopaïne Sans Sucre), allergie (croisée ammoniums quaternaires, lysozyme — œuf), candidose de rebond (usage prolongé)</w:t>
            </w:r>
          </w:p>
        </w:tc>
        <w:tc>
          <w:tcPr>
            <w:tcW w:type="dxa" w:w="780"/>
          </w:tcPr>
          <w:p>
            <w:r>
              <w:rPr>
                <w:sz w:val="20"/>
              </w:rPr>
              <w:t>Enfant &lt; 6 ans (comprimés), allergie ammoniums quaternaires, allergie à l'œuf (lysozyme), intolérance fructose (sorbitol), usage prolongé non contrôlé</w:t>
            </w:r>
          </w:p>
        </w:tc>
        <w:tc>
          <w:tcPr>
            <w:tcW w:type="dxa" w:w="780"/>
          </w:tcPr>
          <w:p>
            <w:r>
              <w:rPr>
                <w:sz w:val="20"/>
              </w:rPr>
              <w:t>Compatible en usage court (≤ 5–7 jours) ; résorption systémique négligeable</w:t>
            </w:r>
          </w:p>
        </w:tc>
        <w:tc>
          <w:tcPr>
            <w:tcW w:type="dxa" w:w="780"/>
          </w:tcPr>
          <w:p>
            <w:r>
              <w:rPr>
                <w:sz w:val="20"/>
              </w:rPr>
              <w:t>Compatible en usage court ; respecter délai 1 heure avant tétée ; ne pas appliquer sur mamelon avant tétée</w:t>
            </w:r>
          </w:p>
        </w:tc>
        <w:tc>
          <w:tcPr>
            <w:tcW w:type="dxa" w:w="780"/>
          </w:tcPr>
          <w:p>
            <w:r>
              <w:rPr>
                <w:sz w:val="20"/>
              </w:rPr>
              <w:t>Hors liste (Lysopaïne Sans Sucre)</w:t>
            </w:r>
          </w:p>
        </w:tc>
      </w:tr>
      <w:tr>
        <w:tc>
          <w:tcPr>
            <w:tcW w:type="dxa" w:w="780"/>
          </w:tcPr>
          <w:p>
            <w:r>
              <w:rPr>
                <w:sz w:val="20"/>
              </w:rPr>
              <w:t>**Tixocortol (pivalate)**</w:t>
            </w:r>
          </w:p>
        </w:tc>
        <w:tc>
          <w:tcPr>
            <w:tcW w:type="dxa" w:w="780"/>
          </w:tcPr>
          <w:p>
            <w:r>
              <w:rPr>
                <w:sz w:val="20"/>
              </w:rPr>
              <w:t>Corticoïde local à effet dominant (16α-méthyl-prednisolone 21-pivalate 17-thio)</w:t>
            </w:r>
          </w:p>
        </w:tc>
        <w:tc>
          <w:tcPr>
            <w:tcW w:type="dxa" w:w="780"/>
          </w:tcPr>
          <w:p>
            <w:r>
              <w:rPr>
                <w:sz w:val="20"/>
              </w:rPr>
              <w:t>Liaison GRα → régulation transcription génique (activation gènes anti-inflammatoires — annexine A1, IκB, IL-10 ; répression gènes pro-inflammatoires — IL-1β, IL-6, TNF-α, COX-2, iNOS, MMP-9) ; très faible résorption systémique (~1 %)</w:t>
            </w:r>
          </w:p>
        </w:tc>
        <w:tc>
          <w:tcPr>
            <w:tcW w:type="dxa" w:w="780"/>
          </w:tcPr>
          <w:p>
            <w:r>
              <w:rPr>
                <w:sz w:val="20"/>
              </w:rPr>
              <w:t>Anti-inflammatoire stéroïdien local puissant sur muqueuse bucco-pharyngée, laryngée, nasale, sinusienne ; pas d'activité antimicrobienne</w:t>
            </w:r>
          </w:p>
        </w:tc>
        <w:tc>
          <w:tcPr>
            <w:tcW w:type="dxa" w:w="780"/>
          </w:tcPr>
          <w:p>
            <w:r>
              <w:rPr>
                <w:sz w:val="20"/>
              </w:rPr>
              <w:t>Laryngite chronique de l'orateur/chanteur, œdème de Reinke, laryngite post-radique, stomatite aphtense récidivante sévère, lichen plan buccal érosif, pemphigoïde bulleuse, rhinites inflammatoires chroniques surinfectées, sinusites chroniques</w:t>
            </w:r>
          </w:p>
        </w:tc>
        <w:tc>
          <w:tcPr>
            <w:tcW w:type="dxa" w:w="780"/>
          </w:tcPr>
          <w:p>
            <w:r>
              <w:rPr>
                <w:sz w:val="20"/>
              </w:rPr>
              <w:t>Collutoire (Thiovalone — tixocortol + chlorhexidine, RETIRÉ) ; comprimés à sucer (Oropivalone Bacitracine — tixocortol + bacitracine, RETIRÉ) ; suspension nasale (Pivalone Néomycine — tixocortol + néomycine, RETIRÉ) ; suspension endo-sinusienne (Pivalone Néomycine, RETIRÉ) — TOUTES RETIRÉES</w:t>
            </w:r>
          </w:p>
        </w:tc>
        <w:tc>
          <w:tcPr>
            <w:tcW w:type="dxa" w:w="780"/>
          </w:tcPr>
          <w:p>
            <w:r>
              <w:rPr>
                <w:sz w:val="20"/>
              </w:rPr>
              <w:t>5–7 jours (automédication) ; 14 jours (prescription médicale) ; 3 mois (prescription spécialisée ORL/dermatologique en maladie inflammatoire chronique)</w:t>
            </w:r>
          </w:p>
        </w:tc>
        <w:tc>
          <w:tcPr>
            <w:tcW w:type="dxa" w:w="780"/>
          </w:tcPr>
          <w:p>
            <w:r>
              <w:rPr>
                <w:sz w:val="20"/>
              </w:rPr>
              <w:t>Dysgueusie, sécheresse buccale, candidose buccale de rebond (immunosuppression locale — usage &gt; 14 jours), atrophie muqueuse (usage &gt; 3 mois), télangiectasies, dermite péri-orificielle, allergie de contact, pseudo-syndrome de Cushing (exceptionnel)</w:t>
            </w:r>
          </w:p>
        </w:tc>
        <w:tc>
          <w:tcPr>
            <w:tcW w:type="dxa" w:w="780"/>
          </w:tcPr>
          <w:p>
            <w:r>
              <w:rPr>
                <w:sz w:val="20"/>
              </w:rPr>
              <w:t>Infection locale non contrôlée (candidose, herpès, infection bactérienne non couverte), perforation tympanique (forme nasale — ototoxicité néomycine), enfant &lt; 30 mois (collutoire), enfant &lt; 6 ans (comprimés), allergie néomycine (aminosides), allergie bacitracine (polypeptides), allergie chlorhexidine (biguanides), grossesse 1er trimestre</w:t>
            </w:r>
          </w:p>
        </w:tc>
        <w:tc>
          <w:tcPr>
            <w:tcW w:type="dxa" w:w="780"/>
          </w:tcPr>
          <w:p>
            <w:r>
              <w:rPr>
                <w:sz w:val="20"/>
              </w:rPr>
              <w:t>Compatible aux 2e–3e trimestres en usage court (≤ 7 jours) ; à éviter au 1er trimestre ; préférer hydrocortisone en cas d'indication à plus long terme</w:t>
            </w:r>
          </w:p>
        </w:tc>
        <w:tc>
          <w:tcPr>
            <w:tcW w:type="dxa" w:w="780"/>
          </w:tcPr>
          <w:p>
            <w:r>
              <w:rPr>
                <w:sz w:val="20"/>
              </w:rPr>
              <w:t>Compatible en usage court ; respecter délai 1 heure avant tétée ; ne pas appliquer sur mamelon avant tétée ; usage prolongé : prudence</w:t>
            </w:r>
          </w:p>
        </w:tc>
        <w:tc>
          <w:tcPr>
            <w:tcW w:type="dxa" w:w="780"/>
          </w:tcPr>
          <w:p>
            <w:r>
              <w:rPr>
                <w:sz w:val="20"/>
              </w:rPr>
              <w:t>Liste II (Thiovalone, Pivalone Néomycine nasale) ; Liste I (Pivalone Néomycine endo-sinusienne) ; Hors liste (Oropivalone Bacitracine)</w:t>
            </w:r>
          </w:p>
        </w:tc>
      </w:tr>
    </w:tbl>
    <w:p/>
    <w:p>
      <w:pPr>
        <w:pStyle w:val="Heading2"/>
      </w:pPr>
      <w:r>
        <w:t>Conclusion générale du chapitre</w:t>
      </w:r>
    </w:p>
    <w:p>
      <w:r>
        <w:t>Les antiseptiques, anesthésiques et anti-inflammatoires buccaux (Laryngologie) constituent un pilier de la pharmacie d'officine algérienne et de la pratique ORL ambulatoire, à la croisée de l'automédication encadrée par le pharmacien (hexétidine, cétylpyridinium — hors liste) et de la prescription médicale obligatoire (oxybuprocaïne — Liste I, tixocortol — Liste I ou II selon la forme). Leur maîtrise par le pharmacien d'officine, le médecin généraliste, et le spécialiste ORL repose sur plusieurs principes structurants :</w:t>
      </w:r>
    </w:p>
    <w:p>
      <w:r/>
      <w:r>
        <w:rPr>
          <w:b/>
        </w:rPr>
        <w:t>1. Le principe de la durée LIMITÉE en automédication :</w:t>
      </w:r>
      <w:r>
        <w:t xml:space="preserve"> tous les antiseptiques buccaux et tous les anesthésiques locaux topiques bucco-pharyngés doivent être utilisés en cure courte de 5 jours maximum en automédication (recommandation ANSM 2019), prolongeable à 7–10 jours sur prescription médicale. Au-delà, le risque de perturbation du microbiote buccal, de candidose de rebond, de sélection de résistance croisée (ammoniums quaternaires), et de masquage d'une pathologie sous-jacente (cancer buccal, lésion tumorale pharyngée) augmente significativement. Le tixocortol pivalate (corticoïde local) peut être utilisé en cure prolongée jusqu'à 3 mois sur prescription spécialisée ORL ou dermatologique, sous surveillance systématique de l'apparition d'une candidose buccale (immunosuppression locale induite par le corticoïde).</w:t>
      </w:r>
    </w:p>
    <w:p>
      <w:r/>
      <w:r>
        <w:rPr>
          <w:b/>
        </w:rPr>
        <w:t>2. Le principe de la consultation médicale obligatoire en cas de persistance &gt; 5 jours :</w:t>
      </w:r>
      <w:r>
        <w:t xml:space="preserve"> la règle absolue est la consultation médicale en cas de persistance ou d'aggravation des symptômes au-delà de 5 jours, d'apparition de fièvre (&gt; 38,5 °C), de dysphagie, de trismus, d'adénopathie cervicale, ou d'altération de l'état général. Ces signes d'alarme peuvent révéler une pathologie sous-jacente nécessitant une prise en charge spécifique : angine streptococcique (test rapide positif — antibiothérapie systémique par amoxicilline), candidose buccale étendue (fluconazole systémique), herpès buccal (aciclovir), lésion tumorale pharyngée ou des cordes vocales (biopsie diagnostique).</w:t>
      </w:r>
    </w:p>
    <w:p>
      <w:r/>
      <w:r>
        <w:rPr>
          <w:b/>
        </w:rPr>
        <w:t>3. Le principe des précautions alimentaires pour les anesthésiques locaux :</w:t>
      </w:r>
      <w:r>
        <w:t xml:space="preserve"> l'application d'un anesthésique local topique bucco-pharyngé (oxétacaïne, oxybuprocaïne, tétracaïne) anesthésie la sensibilité pharyngée et expose au risque de fausse-route (inhalation silencieuse de salive ou d'aliments dans les voies respiratoires, pouvant conduire à une pneumopathie d'inhalation). La règle absolue est l'interdiction de manger, de boire, et de fumer pendant 1 heure après l'application. La règle absolue complémentaire est l'interdiction d'appliquer un anesthésique local sur le mamelon avant la tétée chez la femme allaitante (risque d'anesthésie des voies aériennes supérieures du nouveau-né, fausse-route silencieuse, inhalation).</w:t>
      </w:r>
    </w:p>
    <w:p>
      <w:r/>
      <w:r>
        <w:rPr>
          <w:b/>
        </w:rPr>
        <w:t>4. Le principe de l'allergie croisée entre esters :</w:t>
      </w:r>
      <w:r>
        <w:t xml:space="preserve"> les anesthésiques locaux de la famille des esters (oxétacaïne, oxybuprocaïne, tétracaïne/tétragaine, procaine, benzocaïne) partagent un métabolite commun — l'acide para-aminobenzoïque (PABA) — responsable d'un risque d'allergie croisée. Tout patient allergique à un ester doit être considéré comme allergique à tous les esters et orienté vers un anesthésique local de la famille des amides (lidocaïne, bupivacaïne, articaïne) qui n'a pas d'allergie croisée. Cette règle est particulièrement importante en cas de prémédication anesthésique avant un geste chirurgical ou endoscopique — prévenir l'anesthésiste.</w:t>
      </w:r>
    </w:p>
    <w:p>
      <w:r/>
      <w:r>
        <w:rPr>
          <w:b/>
        </w:rPr>
        <w:t>5. Le principe de la candidose de rebond sous corticoïde local :</w:t>
      </w:r>
      <w:r>
        <w:t xml:space="preserve"> le tixocortol pivalate (corticoïde local) induit une immunosuppression locale qui expose au risque de candidose buccale de rebond, particulièrement en cas d'usage prolongé &gt; 14 jours, de diabète déséquilibré, d'immunodépression (VIH, chimiothérapie, corticothérapie systémique associée), ou de port de prothèses dentaires. La prévention repose sur l'hygiène bucco-dentaire rigoureuse, le dépistage précoce (langue blanche, dépôts crémeux, érythème périorificiel), l'arrêt temporaire en cas de candidose confirmée, et le traitement antifongique adapté (nystatine, miconazole gel buccal, fluconazole). À cela s'ajoute le risque d'atrophie muqueuse, de télangiectasies, et de dermite péri-orificielle en cas d'usage prolongé &gt; 3 mois, imposant une surveillance spécialisée ORL ou dermatologique.</w:t>
      </w:r>
    </w:p>
    <w:p>
      <w:r/>
      <w:r>
        <w:rPr>
          <w:b/>
        </w:rPr>
        <w:t>6. Le principe des CONTRE-INDICATIONS spécifiques à chaque DCI :</w:t>
      </w:r>
      <w:r>
        <w:t xml:space="preserve"> (1) Hexétidine : enfant &lt; 6 ans (bain de bouche), enfant &lt; 30 mois (collutoire), mucite radio-induite sévère. (2) Oxétacaïne : allergie esters (PABA), insuffisance rénale sévère (aluminium dans Mutesa), déficit cholinestérases, myasthénie, enfant &lt; 6 ans, méthémoglobinémie. (3) Oxybuprocaïne : allergie esters (PABA), porteurs de lentilles (conservateur BAK), automédication ophtalmique prolongée. (4) Tétragaine (tétracaïne) : allergie esters (PABA), enfant &lt; 30 mois (collutoire), enfant &lt; 6 ans (bain de bouche), déficit cholinestérases, myasthénie, méthémoglobinémie, marge thérapeutique étroite (toxicité systémique cardiaque et neurologique). (5) Cétylpyridinium : allergie ammoniums quaternaires, allergie à l'œuf (lysozyme dans Lysopaïne), intolérance au fructose (sorbitol). (6) Tixocortol : infection locale non contrôlée (candidose, herpès), perforation tympanique (forme nasale Pivalone Néomycine — ototoxicité de la néomycine), allergie néomycine (aminosides), allergie bacitracine (polypeptides), allergie chlorhexidine (biguanides).</w:t>
      </w:r>
    </w:p>
    <w:p>
      <w:r/>
      <w:r>
        <w:rPr>
          <w:b/>
        </w:rPr>
        <w:t>7. Le principe de la DISPONIBILITÉ algérienne et des retraits de marché :</w:t>
      </w:r>
      <w:r>
        <w:t xml:space="preserve"> la nomenclature algérienne (Avril 2026) comprend des spécialités natives actives pour certaines DCIs (hexétidine — Dad Mouth Wash, Oralvex, Givalex ; oxybuprocaïne — Anestocil, Cebesine ; cétylpyridinium — Lysopaïne Sans Sucre) et des spécialités retirées du marché pour d'autres (oxétacaïne — Mutesa ; tétracaïne — Eludril, Oromédine ; tixocortol — Pivalone Néomycine, Thiovalone, Oropivalone Bacitracine). Les praticiens algériens doivent connaître les alternatives disponibles en cas d'ordonnance de spécialité retirée : (1) pour l'oxétacaïne — lidocaïne visqueuse 2 %, lidocaïne spray 10 % ; (2) pour la tétracaïne — hexétidine en collutoire (Dad Mouth Wash, Oralvex), Givalex collutoire, lidocaïne spray ; (3) pour le tixocortol — budesonide en nébulisation, hydrocortisone en comprimés à sucer, corticoïdes nasaux type budésonide ou fluticasone.</w:t>
      </w:r>
    </w:p>
    <w:p>
      <w:r/>
      <w:r>
        <w:rPr>
          <w:b/>
        </w:rPr>
        <w:t>8. Le principe de la GROSSESSE et de l'ALLAITEMENT :</w:t>
      </w:r>
      <w:r>
        <w:t xml:space="preserve"> la plupart de ces molécules sont compatibles en usage local court (5 à 7 jours) pendant la grossesse et l'allaitement (hexétidine, cétylpyridinium, oxétacaïne, oxybuprocaïne, tétracaïne, tixocortol pivalate — sous réserve de respecter les précautions alimentaires pour les anesthésiques locaux et de surveillance de la candidose pour le tixocortol). Cependant, certaines précautions spécifiques s'imposent : (1) hexétidine — préférer les formes monothérapie (Dad Mouth Wash, Oralvex) à la forme Givalex au 3e trimestre de grossesse (salicylate de choline) ; (2) oxétacaïne — à éviter au 1er trimestre par prévention, préférer la lidocaïne (amide) en cas d'indication à plus long terme ; (3) tixocortol — à éviter au 1er trimestre, préférer l'hydrocortisone ; (4) pendant l'allaitement, respecter un délai de 1 heure entre l'application d'un anesthésique local et la tétée, et ne pas appliquer d'anesthésique local ou de corticoïde local sur le mamelon avant la tétée (règle absolue).</w:t>
      </w:r>
    </w:p>
    <w:p>
      <w:r/>
      <w:r>
        <w:rPr>
          <w:b/>
        </w:rPr>
        <w:t>9. Le principe de l'ORIENTATION du patient vers le spécialiste :</w:t>
      </w:r>
      <w:r>
        <w:t xml:space="preserve"> le pharmacien d'officine occupe une place centrale dans la dispensation, l'éducation du patient, le dépistage des mauvais usages (automédication prolongée, application excessive, utilisation comme traitement unique d'une infection bactérienne documentée), et l'orientation vers le médecin en cas de signes d'alarme (non-amélioration à 5 jours, aggravation, extension, fièvre, adénopathie, dysphonie persistante). Le médecin généraliste réalise le diagnostic étiologique (test rapide streptococcique, prélèvement mycologique ou bactériologique, biopsie en cas de suspicion tumorale) et adapte la prise en charge (antibiothérapie systémique, antifongique systémique, switch thérapeutique vers une classe différente, orientation vers le spécialiste ORL ou dermatologue en cas de maladie inflammatoire chronique).</w:t>
      </w:r>
    </w:p>
    <w:p>
      <w:r/>
      <w:r>
        <w:rPr>
          <w:b/>
        </w:rPr>
        <w:t>10. Le principe du CHOIX ÉCLAIRÉ entre classes pharmacologiques :</w:t>
      </w:r>
      <w:r>
        <w:t xml:space="preserve"> le choix entre antiseptique (hexétidine, cétylpyridinium), anesthésique local (oxétacaïne, oxybuprocaïne, tétracaïne), et corticoïde local (tixocortol pivalate) dépend de la composante dominante de la symptomatologie : (1) composante infectieuse dominante (suspicion de surinfection bactérienne ou fongique) → antiseptique (hexétidine — spectre large, activité antifongique utile ; cétylpyridinium — alternative sans coloration dentaire) ; (2) composante douloureuse dominante (aphte, gingivite ulcérée, mucite) → anesthésique local (lidocaïne en première intention — amide, pas d'allergie croisée ; oxétacaïne, oxybuprocaïne, tétracaïne en alternative, en respectant les précautions alimentaires) ; (3) composante inflammatoire dominante (laryngite chronique, stomatite aphtense récidivante sévère, lichen plan buccal érosif) → corticoïde local (tixocortol pivalate en cure prolongée sous surveillance spécialisée ; budesonide en nébulisation, hydrocortisone en comprimés à sucer en alternatives disponibles) ; (4) composante mixte infectieuse + inflammatoire → association séquentielle (antiseptique le matin + corticoïde le soir, en espaçant de 2 heures minimum) ou forme combinée (Givalex — hexétidine + salicylate de choline + chlorbutanol pour la composante antiseptique + antalgique + antiseptique complémentaire ; Thiovalone — tixocortol + chlorhexidine pour la composante anti-inflammatoire + antiseptique, retirée du marché mais alternative possible par association séquentielle).</w:t>
      </w:r>
    </w:p>
    <w:p>
      <w:r>
        <w:t>La pratique clinique des antiseptiques, anesthésiques et anti-inflammatoires buccaux en Algérie repose ainsi sur une connaissance fine des molécules disponibles, de leurs indications, de leurs contre-indications, de leurs interactions, et de leur bon usage selon le terrain (grossesse, allaitement, nouveau-né, enfant, sujet âgé, immunodéprimé, diabétique, patient allergique). Le pharmacien d'offinicier occupe une place centrale dans la dispensation, l'éducation du patient, le dépistage des mauvais usages (automédication prolongée, application excessive, utilisation comme traitement unique d'une infection bactérienne documentée), et l'orientation vers le médecin en cas de signes d'alarme. Le médecin généraliste et le spécialiste ORL ou dermatologue assurent le diagnostic étiologique, la prescription médicamenteuse adaptée, et la surveillance à long terme en cas de maladie inflammatoire chronique.</w:t>
      </w:r>
    </w:p>
    <w:p>
      <w:r>
        <w:t>Le présent chapitre a détaillé six DCIs réparties sur quatre sous-classes pharmacologiques, en intégrant les particularités de la nomenclature algérienne (Avril 2026) et les sources internationales de référence (VIDAL, ANSM, Thériaque, CRAT, OMS, UpToDate, SFORL). Il s'inscrit dans le Fascicule XIV (ORL) en cohérence avec les chapitres précédents (otologie, vasoconstricteurs et anticholinergiques nasaux, corticoïdes et antihistaminiques nasaux) et le chapitre suivant (ORL divers), pour offrir une vision intégrée de la pharmacologie ORL algérienne.</w:t>
      </w:r>
    </w:p>
    <w:p>
      <w:r/>
      <w:r>
        <w:rPr>
          <w:i/>
        </w:rPr>
        <w:t>Sources mobilisées : VIDAL 2024, ANSM (Résumé des Caractéristiques du Produit), Thériaque, CRAT (Centre de Renseignement sur les Agents Tératogènes), OMS (Liste des médicaments essentiels), SFORL (Société Française d'Oto-Rhino-Laryngologie — recommandations sur les angines et les laryngites chroniques), HAS (Haute Autorité de Santé — recommandations sur la prescription des antibiotiques en ORL 2019-2024), UpToDate (chapitres « Topical anesthetics for mucosal surfaces », « Oral candidiasis », « Aphthous stomatitis », « Chronic laryngitis »), EMA (alerte sur les anesthésiques locaux esters et la méthémoglobinémie 2014-2017), COMER Algérie (données épidémiologiques de résistance des streptocoques ORL 2020-2024), Nomenclature algérienne des médicaments (Avril 2026).</w:t>
      </w:r>
      <w:r/>
    </w:p>
    <w:p>
      <w:pPr>
        <w:pStyle w:val="Heading1"/>
      </w:pPr>
      <w:r>
        <w:t>Fascicule XIV — Oto-Rhino-Laryngologie (ORL)</w:t>
      </w:r>
    </w:p>
    <w:p>
      <w:pPr>
        <w:pStyle w:val="Heading2"/>
      </w:pPr>
      <w:r>
        <w:t>Chapitre 135 — Lavage nasal, sevrage tabagique et sialagogues</w:t>
      </w:r>
    </w:p>
    <w:p>
      <w:pPr>
        <w:pStyle w:val="Heading3"/>
      </w:pPr>
      <w:r>
        <w:t>Introduction au chapitre 135</w:t>
      </w:r>
    </w:p>
    <w:p>
      <w:r>
        <w:t>Ce chapitre clôt le Fascicule XIV consacré à la pharmacologie ORL en abordant trois classes thérapeutiques transversales qui, sans partager de parenté chimique ou mécanistique, se rejoignent par leur rôle fonctionnel dans la prise en charge des pathologies des voies aéro-digestives supérieures et de la sphère bucco-naso-sinusienne. Ces trois classes — le lavage nasal à base de sérum physiologique et d'eau de mer, les substituts nicotiniques pour le sevrage tabagique, et la pilocarpine en tant que sialagogue — couvrent un spectre clinique allant de l'hygiène nasale pédiatrique quotidienne à la réhabilitation salivaire post-radiothérapie ORL, en passant par l'aide pharmacologique au sevrage du tabagisme, première cause évitable de mortalité en ORL (cancers du carrefour aéro-digestif supérieur, BPCO exacerbée, otites séreuses du fumeur passif).</w:t>
      </w:r>
    </w:p>
    <w:p>
      <w:r>
        <w:t>L'originalité de ce chapitre réside dans son hétérogénéité pharmacologique : on y trouve successivement un dispositif non médicamenteux (le lavage mécanique par soluté isotonique/hypertonique), une substitution hormonale d'une dépendance (la nicotine agoniste des récepteurs nicotinique α4β2 cérébraux), et un agoniste parasympathique systémique (la pilocarpine, agoniste muscarinique M3 stimulant la sécrétion salivaire). Chacune de ces trois approches illustre une logique thérapeutique différente : la première relève de la mécanique physico-chimique (drainage muco-ciliaire), la deuxième de la neuro-pharmacologie de la dépendance (réduction progressive des récepteurs nicotiniques mésolimbiques), la troisième de la neurostimulation parasymphatique périphérique (sécrétion exocrine). Le pharmacien d'offine algérien est amené à délivrer ces trois classes avec une fréquence quotidienne et doit en maîtriser les spécificités galéniques, les contre-indications souvent méconnues (eau du robinet et risque amibien pour le lavage nasal, infarctus récent et grossesse pour la nicotine, asthme et bloc auriculo-ventriculaire pour la pilocarpine), ainsi que les conseils pratiques au comptoir (technique d'administration du pulvérisateur nasal, choix du patch dosé en fonction du test de Fagerström, prise au cours du repas principal pour limiter l'intolérance digestive de la pilocarpine).</w:t>
      </w:r>
    </w:p>
    <w:p>
      <w:r>
        <w:t>L'enjeu de santé publique algérien sous-jacent est majeur : la prévalence du tabagisme en Algérie atteint 25 à 30 % chez les hommes adultes et 3 à 5 % chez les femmes, avec une incidence croissante chez les adolescentes (enquête STEPS OMS Algérie 2018-2022) ; la xérostomie post-radiothérapie ORL concerne près de 100 % des 3 500 nouveaux cancers ORL traités annuellement par irradiation ; et le lavage nasal est recommandé en première intention dans 60 % des rhinites pédiatriques vues en consultation de médecine générale. La formation du pharmacien à ces trois classes conditionne donc directement la qualité de la prise en charge ambulatoire de la sphère ORL en Algérie.</w:t>
      </w:r>
    </w:p>
    <w:p>
      <w:pPr>
        <w:pStyle w:val="Heading2"/>
      </w:pPr>
      <w:r>
        <w:t>Sous-classe 1 — Rhinologie : Lavage nasal (sérum physiologique et eau de mer)</w:t>
      </w:r>
    </w:p>
    <w:p>
      <w:pPr>
        <w:pStyle w:val="Heading3"/>
      </w:pPr>
      <w:r>
        <w:t>Introduction à la sous-classe</w:t>
      </w:r>
    </w:p>
    <w:p>
      <w:r>
        <w:t xml:space="preserve">Le lavage nasal constitue le geste rhinologique le plus ancien et le plus universellement pratiqué : décrit dès les textes ayurvédiques (jal-neti) et recommandé par les traités hippocratiques, il consiste en l'instillation ou l'irrigation des fosses nasales par une solution saline destinée à évacuer mécaniquement le mucus, les allergènes, les particules polluantes et les pathogènes (virus, bactéries, champignons) présents dans la lumière des fosses nasales et des sinus paranaux. La pharmacopée moderne a codifié deux grandes catégories de solutions nasales : (i) les solutions isotoniques (NaCl 0,9 g/100 mL, 9 g/L, osmolarité 308 mOsm/L) utilisées pour l'hygiène nasale quotidienne, le ramollissement des croûtes, la toilette du nourrisson, le drainage des rhinites virales et l'humidification des fosses nasales en climatisation chauffée ; (ii) les solutions hypertoniques (NaCl 2 à 3 g/100 mL, osmolarité 600 à 1 000 mOsm/L) qui, par appel osmotique d'eau depuis la muqueuse vers la lumière, exercent un effet décongestionnant et fluidifiant du mucus dans les rhinites chroniques, les sinusites et la rhinite allergique modérée à sévère. Les eaux de mer, généralement diluées pour atteindre l'isotonie, apportent en supplément des oligo-éléments (magnésium, calcium, potassium, sélénium, zinc) susceptibles d'exercer un effet cytoprotecteur sur l'épithélium cilié et de favoriser la récupération de la clairance mucociliaire. Le lavage nasal ne relève pas du régime des médicaments mais du dispositif médical ou du produit d'hygiène, à l'exception du chlorure de sodium injectable (NaCl 0,9 %) qui, utilisé par les médecins pour la toilette nasale en milieu hospitalier, figure sur la Liste I algérienne lorsqu'il est présenté en forme injectable. La sélection des spécialités à visée nasale doit tenir compte de la stérilité de la solution (obligatoire chez le nourrisson, le sujet âgé immunodéprimé, le patient porteur de fistule lacrymale ou de fistule cribro-éthmoïdale post-chirurgicale), du conditionnement (flacon pressurisé à gaz propulseur, flacon souple à effet squeeze, unidose stérile, nébuliseur électrique) et de la tonicité. Une attention particulière doit être portée à l'interdiction absolue d'utiliser de l'eau du robinet non bouillie pour le lavage nasal, en raison du risque documenté d'encéphalite amibienne primitive à </w:t>
      </w:r>
      <w:r>
        <w:rPr>
          <w:i/>
        </w:rPr>
        <w:t>Naegleria fowleri</w:t>
      </w:r>
      <w:r>
        <w:t xml:space="preserve"> (amibe libre thermophile contaminant les réseaux d'eau chaude), avec une mortalité dépassant 97 % des cas publiés depuis 1960.</w:t>
      </w:r>
    </w:p>
    <w:p>
      <w:pPr>
        <w:pStyle w:val="Heading3"/>
      </w:pPr>
      <w:r>
        <w:t>DCI 1 — Lavage nasal : Sérum physiologique / Eau de mer (groupe)</w:t>
      </w:r>
    </w:p>
    <w:p>
      <w:pPr>
        <w:pStyle w:val="Heading4"/>
      </w:pPr>
      <w:r>
        <w:t>1. Catégories / Liste</w:t>
      </w:r>
    </w:p>
    <w:tbl>
      <w:tblPr>
        <w:tblStyle w:val="LightGrid-Accent1"/>
        <w:tblW w:type="auto" w:w="0"/>
        <w:tblLook w:firstColumn="1" w:firstRow="1" w:lastColumn="0" w:lastRow="0" w:noHBand="0" w:noVBand="1" w:val="04A0"/>
      </w:tblPr>
      <w:tblGrid>
        <w:gridCol w:w="4677"/>
        <w:gridCol w:w="4677"/>
      </w:tblGrid>
      <w:tr>
        <w:tc>
          <w:tcPr>
            <w:tcW w:type="dxa" w:w="4677"/>
          </w:tcPr>
          <w:p>
            <w:r>
              <w:rPr>
                <w:b/>
                <w:sz w:val="20"/>
              </w:rPr>
              <w:t>Catégorie</w:t>
            </w:r>
          </w:p>
        </w:tc>
        <w:tc>
          <w:tcPr>
            <w:tcW w:type="dxa" w:w="4677"/>
          </w:tcPr>
          <w:p>
            <w:r>
              <w:rPr>
                <w:b/>
                <w:sz w:val="20"/>
              </w:rPr>
              <w:t>Statut réglementaire algérien</w:t>
            </w:r>
          </w:p>
        </w:tc>
      </w:tr>
      <w:tr>
        <w:tc>
          <w:tcPr>
            <w:tcW w:type="dxa" w:w="4677"/>
          </w:tcPr>
          <w:p>
            <w:r>
              <w:rPr>
                <w:sz w:val="20"/>
              </w:rPr>
              <w:t>Classe ATC</w:t>
            </w:r>
          </w:p>
        </w:tc>
        <w:tc>
          <w:tcPr>
            <w:tcW w:type="dxa" w:w="4677"/>
          </w:tcPr>
          <w:p>
            <w:r>
              <w:rPr>
                <w:sz w:val="20"/>
              </w:rPr>
              <w:t>R01AX10 — Solutions nasales à base de chlorure de sodium (et apparentés) ; catégorie afférente R01A (Décongestionnants nasaux) pour l'aspect hypertonique</w:t>
            </w:r>
          </w:p>
        </w:tc>
      </w:tr>
      <w:tr>
        <w:tc>
          <w:tcPr>
            <w:tcW w:type="dxa" w:w="4677"/>
          </w:tcPr>
          <w:p>
            <w:r>
              <w:rPr>
                <w:sz w:val="20"/>
              </w:rPr>
              <w:t>Réglementation</w:t>
            </w:r>
          </w:p>
        </w:tc>
        <w:tc>
          <w:tcPr>
            <w:tcW w:type="dxa" w:w="4677"/>
          </w:tcPr>
          <w:p>
            <w:r>
              <w:rPr>
                <w:sz w:val="20"/>
              </w:rPr>
              <w:t>Dispositif médical de classe IIa (solutions nasales stériles) ou produit d'hygiène (non stérile) selon présentation ; le NaCl 0,9 % injectable est Liste I lorsqu'il figure en ampoule/flacon injectable</w:t>
            </w:r>
          </w:p>
        </w:tc>
      </w:tr>
      <w:tr>
        <w:tc>
          <w:tcPr>
            <w:tcW w:type="dxa" w:w="4677"/>
          </w:tcPr>
          <w:p>
            <w:r>
              <w:rPr>
                <w:sz w:val="20"/>
              </w:rPr>
              <w:t>Prescription</w:t>
            </w:r>
          </w:p>
        </w:tc>
        <w:tc>
          <w:tcPr>
            <w:tcW w:type="dxa" w:w="4677"/>
          </w:tcPr>
          <w:p>
            <w:r>
              <w:rPr>
                <w:sz w:val="20"/>
              </w:rPr>
              <w:t>Non obligatoire — accès libre pour les formes "hygiène nasale" et "lavage nasal" ; le NaCl 0,9 % en ampoule est sur Liste I (réservé usage hospitalier ou prescription médicale)</w:t>
            </w:r>
          </w:p>
        </w:tc>
      </w:tr>
      <w:tr>
        <w:tc>
          <w:tcPr>
            <w:tcW w:type="dxa" w:w="4677"/>
          </w:tcPr>
          <w:p>
            <w:r>
              <w:rPr>
                <w:sz w:val="20"/>
              </w:rPr>
              <w:t>Remboursement</w:t>
            </w:r>
          </w:p>
        </w:tc>
        <w:tc>
          <w:tcPr>
            <w:tcW w:type="dxa" w:w="4677"/>
          </w:tcPr>
          <w:p>
            <w:r>
              <w:rPr>
                <w:sz w:val="20"/>
              </w:rPr>
              <w:t>Sécurité sociale algérienne : non remboursé pour les formes d'hygiène ; pris en charge au titre des dispositifs médicaux dans certaines pathologies chroniques (mucoviscidose, dilatation des bronches) sur dossier médical</w:t>
            </w:r>
          </w:p>
        </w:tc>
      </w:tr>
      <w:tr>
        <w:tc>
          <w:tcPr>
            <w:tcW w:type="dxa" w:w="4677"/>
          </w:tcPr>
          <w:p>
            <w:r>
              <w:rPr>
                <w:sz w:val="20"/>
              </w:rPr>
              <w:t>Indication ORL</w:t>
            </w:r>
          </w:p>
        </w:tc>
        <w:tc>
          <w:tcPr>
            <w:tcW w:type="dxa" w:w="4677"/>
          </w:tcPr>
          <w:p>
            <w:r>
              <w:rPr>
                <w:sz w:val="20"/>
              </w:rPr>
              <w:t>Hygiène nasale quotidienne, toilette du nourrisson, ramollissement des croûtes, drainage des rhinites virales et allergiques, adjuvant des sinusites, soins post-chirurgie endoscopique sinusienne, hydratation nasale en atmosphère sèche</w:t>
            </w:r>
          </w:p>
        </w:tc>
      </w:tr>
    </w:tbl>
    <w:p/>
    <w:p>
      <w:pPr>
        <w:pStyle w:val="Heading4"/>
      </w:pPr>
      <w:r>
        <w:t>2. Médicaments et spécialités disponibles en Algérie (nomenclature avril 2026)</w:t>
      </w:r>
    </w:p>
    <w:p>
      <w:r>
        <w:t>Le tableau ci-dessous recense les spécialités chlorure de sodium et solutions apparentées enregistrées dans la nomenclature algérienne. La plupart des formes injectables (ampoules et flacons) sont classées Liste I et sont parfois utilisées hors AMM en lavage nasal par les médecins hospitaliers et les pédiatres. Les spécialités dédiées au lavage nasal (unidoses, sprays, aérosols) sont commercialisées hors nomenclature officielle mais largement présentes en officine algérienne (Physiomer®, Stérimar®, Marimer®, Sterimar bébé®).</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PHYSIOL</w:t>
            </w:r>
          </w:p>
        </w:tc>
        <w:tc>
          <w:tcPr>
            <w:tcW w:type="dxa" w:w="1559"/>
          </w:tcPr>
          <w:p>
            <w:r>
              <w:rPr>
                <w:sz w:val="20"/>
              </w:rPr>
              <w:t>UNIMED</w:t>
            </w:r>
          </w:p>
        </w:tc>
        <w:tc>
          <w:tcPr>
            <w:tcW w:type="dxa" w:w="1559"/>
          </w:tcPr>
          <w:p>
            <w:r>
              <w:rPr>
                <w:sz w:val="20"/>
              </w:rPr>
              <w:t>Solution injectable NaCl 0,9 %</w:t>
            </w:r>
          </w:p>
        </w:tc>
        <w:tc>
          <w:tcPr>
            <w:tcW w:type="dxa" w:w="1559"/>
          </w:tcPr>
          <w:p>
            <w:r>
              <w:rPr>
                <w:sz w:val="20"/>
              </w:rPr>
              <w:t>B/10 flacons de 5 mL</w:t>
            </w:r>
          </w:p>
        </w:tc>
        <w:tc>
          <w:tcPr>
            <w:tcW w:type="dxa" w:w="1559"/>
          </w:tcPr>
          <w:p>
            <w:r>
              <w:rPr>
                <w:sz w:val="20"/>
              </w:rPr>
              <w:t>Hors liste</w:t>
            </w:r>
          </w:p>
        </w:tc>
        <w:tc>
          <w:tcPr>
            <w:tcW w:type="dxa" w:w="1559"/>
          </w:tcPr>
          <w:p>
            <w:r>
              <w:rPr>
                <w:sz w:val="20"/>
              </w:rPr>
              <w:t>Non Renouvelable</w:t>
            </w:r>
          </w:p>
        </w:tc>
      </w:tr>
      <w:tr>
        <w:tc>
          <w:tcPr>
            <w:tcW w:type="dxa" w:w="1559"/>
          </w:tcPr>
          <w:p>
            <w:r>
              <w:rPr>
                <w:sz w:val="20"/>
              </w:rPr>
              <w:t>PHYSIOL</w:t>
            </w:r>
          </w:p>
        </w:tc>
        <w:tc>
          <w:tcPr>
            <w:tcW w:type="dxa" w:w="1559"/>
          </w:tcPr>
          <w:p>
            <w:r>
              <w:rPr>
                <w:sz w:val="20"/>
              </w:rPr>
              <w:t>UNIMED</w:t>
            </w:r>
          </w:p>
        </w:tc>
        <w:tc>
          <w:tcPr>
            <w:tcW w:type="dxa" w:w="1559"/>
          </w:tcPr>
          <w:p>
            <w:r>
              <w:rPr>
                <w:sz w:val="20"/>
              </w:rPr>
              <w:t>Solution injectable NaCl 0,9 %</w:t>
            </w:r>
          </w:p>
        </w:tc>
        <w:tc>
          <w:tcPr>
            <w:tcW w:type="dxa" w:w="1559"/>
          </w:tcPr>
          <w:p>
            <w:r>
              <w:rPr>
                <w:sz w:val="20"/>
              </w:rPr>
              <w:t>B/15 flacons de 10 mL</w:t>
            </w:r>
          </w:p>
        </w:tc>
        <w:tc>
          <w:tcPr>
            <w:tcW w:type="dxa" w:w="1559"/>
          </w:tcPr>
          <w:p>
            <w:r>
              <w:rPr>
                <w:sz w:val="20"/>
              </w:rPr>
              <w:t>Hors liste</w:t>
            </w:r>
          </w:p>
        </w:tc>
        <w:tc>
          <w:tcPr>
            <w:tcW w:type="dxa" w:w="1559"/>
          </w:tcPr>
          <w:p>
            <w:r>
              <w:rPr>
                <w:sz w:val="20"/>
              </w:rPr>
              <w:t>Non Renouvelable</w:t>
            </w:r>
          </w:p>
        </w:tc>
      </w:tr>
      <w:tr>
        <w:tc>
          <w:tcPr>
            <w:tcW w:type="dxa" w:w="1559"/>
          </w:tcPr>
          <w:p>
            <w:r>
              <w:rPr>
                <w:sz w:val="20"/>
              </w:rPr>
              <w:t>CHLORURE DE SODIUM 0,9 % GIFRER</w:t>
            </w:r>
          </w:p>
        </w:tc>
        <w:tc>
          <w:tcPr>
            <w:tcW w:type="dxa" w:w="1559"/>
          </w:tcPr>
          <w:p>
            <w:r>
              <w:rPr>
                <w:sz w:val="20"/>
              </w:rPr>
              <w:t>GIFRER BARBEZAT</w:t>
            </w:r>
          </w:p>
        </w:tc>
        <w:tc>
          <w:tcPr>
            <w:tcW w:type="dxa" w:w="1559"/>
          </w:tcPr>
          <w:p>
            <w:r>
              <w:rPr>
                <w:sz w:val="20"/>
              </w:rPr>
              <w:t>Solution injectable NaCl 0,9 %</w:t>
            </w:r>
          </w:p>
        </w:tc>
        <w:tc>
          <w:tcPr>
            <w:tcW w:type="dxa" w:w="1559"/>
          </w:tcPr>
          <w:p>
            <w:r>
              <w:rPr>
                <w:sz w:val="20"/>
              </w:rPr>
              <w:t>Ampoule de 5 mL</w:t>
            </w:r>
          </w:p>
        </w:tc>
        <w:tc>
          <w:tcPr>
            <w:tcW w:type="dxa" w:w="1559"/>
          </w:tcPr>
          <w:p>
            <w:r>
              <w:rPr>
                <w:sz w:val="20"/>
              </w:rPr>
              <w:t>Hors liste</w:t>
            </w:r>
          </w:p>
        </w:tc>
        <w:tc>
          <w:tcPr>
            <w:tcW w:type="dxa" w:w="1559"/>
          </w:tcPr>
          <w:p>
            <w:r>
              <w:rPr>
                <w:sz w:val="20"/>
              </w:rPr>
              <w:t>Non Renouvelable</w:t>
            </w:r>
          </w:p>
        </w:tc>
      </w:tr>
      <w:tr>
        <w:tc>
          <w:tcPr>
            <w:tcW w:type="dxa" w:w="1559"/>
          </w:tcPr>
          <w:p>
            <w:r>
              <w:rPr>
                <w:sz w:val="20"/>
              </w:rPr>
              <w:t>CHLORURE DE SODIUM 0,9 % GIFRER</w:t>
            </w:r>
          </w:p>
        </w:tc>
        <w:tc>
          <w:tcPr>
            <w:tcW w:type="dxa" w:w="1559"/>
          </w:tcPr>
          <w:p>
            <w:r>
              <w:rPr>
                <w:sz w:val="20"/>
              </w:rPr>
              <w:t>GIFRER BARBEZAT</w:t>
            </w:r>
          </w:p>
        </w:tc>
        <w:tc>
          <w:tcPr>
            <w:tcW w:type="dxa" w:w="1559"/>
          </w:tcPr>
          <w:p>
            <w:r>
              <w:rPr>
                <w:sz w:val="20"/>
              </w:rPr>
              <w:t>Solution injectable NaCl 0,9 %</w:t>
            </w:r>
          </w:p>
        </w:tc>
        <w:tc>
          <w:tcPr>
            <w:tcW w:type="dxa" w:w="1559"/>
          </w:tcPr>
          <w:p>
            <w:r>
              <w:rPr>
                <w:sz w:val="20"/>
              </w:rPr>
              <w:t>Ampoule de 10 mL</w:t>
            </w:r>
          </w:p>
        </w:tc>
        <w:tc>
          <w:tcPr>
            <w:tcW w:type="dxa" w:w="1559"/>
          </w:tcPr>
          <w:p>
            <w:r>
              <w:rPr>
                <w:sz w:val="20"/>
              </w:rPr>
              <w:t>Hors liste</w:t>
            </w:r>
          </w:p>
        </w:tc>
        <w:tc>
          <w:tcPr>
            <w:tcW w:type="dxa" w:w="1559"/>
          </w:tcPr>
          <w:p>
            <w:r>
              <w:rPr>
                <w:sz w:val="20"/>
              </w:rPr>
              <w:t>Non Renouvelable</w:t>
            </w:r>
          </w:p>
        </w:tc>
      </w:tr>
      <w:tr>
        <w:tc>
          <w:tcPr>
            <w:tcW w:type="dxa" w:w="1559"/>
          </w:tcPr>
          <w:p>
            <w:r>
              <w:rPr>
                <w:sz w:val="20"/>
              </w:rPr>
              <w:t>CHLORURE DE SODIUM 0,9 %</w:t>
            </w:r>
          </w:p>
        </w:tc>
        <w:tc>
          <w:tcPr>
            <w:tcW w:type="dxa" w:w="1559"/>
          </w:tcPr>
          <w:p>
            <w:r>
              <w:rPr>
                <w:sz w:val="20"/>
              </w:rPr>
              <w:t>GROUPE SAIDAL</w:t>
            </w:r>
          </w:p>
        </w:tc>
        <w:tc>
          <w:tcPr>
            <w:tcW w:type="dxa" w:w="1559"/>
          </w:tcPr>
          <w:p>
            <w:r>
              <w:rPr>
                <w:sz w:val="20"/>
              </w:rPr>
              <w:t>Solution injectable pour perfusion NaCl 0,9 %</w:t>
            </w:r>
          </w:p>
        </w:tc>
        <w:tc>
          <w:tcPr>
            <w:tcW w:type="dxa" w:w="1559"/>
          </w:tcPr>
          <w:p>
            <w:r>
              <w:rPr>
                <w:sz w:val="20"/>
              </w:rPr>
              <w:t>Poche de 250 mL avec 2 twin valves</w:t>
            </w:r>
          </w:p>
        </w:tc>
        <w:tc>
          <w:tcPr>
            <w:tcW w:type="dxa" w:w="1559"/>
          </w:tcPr>
          <w:p>
            <w:r>
              <w:rPr>
                <w:sz w:val="20"/>
              </w:rPr>
              <w:t>Hors liste</w:t>
            </w:r>
          </w:p>
        </w:tc>
        <w:tc>
          <w:tcPr>
            <w:tcW w:type="dxa" w:w="1559"/>
          </w:tcPr>
          <w:p>
            <w:r>
              <w:rPr>
                <w:sz w:val="20"/>
              </w:rPr>
              <w:t>Non Renouvelable</w:t>
            </w:r>
          </w:p>
        </w:tc>
      </w:tr>
      <w:tr>
        <w:tc>
          <w:tcPr>
            <w:tcW w:type="dxa" w:w="1559"/>
          </w:tcPr>
          <w:p>
            <w:r>
              <w:rPr>
                <w:sz w:val="20"/>
              </w:rPr>
              <w:t>CHLORURE DE SODIUM</w:t>
            </w:r>
          </w:p>
        </w:tc>
        <w:tc>
          <w:tcPr>
            <w:tcW w:type="dxa" w:w="1559"/>
          </w:tcPr>
          <w:p>
            <w:r>
              <w:rPr>
                <w:sz w:val="20"/>
              </w:rPr>
              <w:t>RENAUDIN</w:t>
            </w:r>
          </w:p>
        </w:tc>
        <w:tc>
          <w:tcPr>
            <w:tcW w:type="dxa" w:w="1559"/>
          </w:tcPr>
          <w:p>
            <w:r>
              <w:rPr>
                <w:sz w:val="20"/>
              </w:rPr>
              <w:t>Solution injectable NaCl 0,9 %</w:t>
            </w:r>
          </w:p>
        </w:tc>
        <w:tc>
          <w:tcPr>
            <w:tcW w:type="dxa" w:w="1559"/>
          </w:tcPr>
          <w:p>
            <w:r>
              <w:rPr>
                <w:sz w:val="20"/>
              </w:rPr>
              <w:t>B/100 ampoules de 10 mL</w:t>
            </w:r>
          </w:p>
        </w:tc>
        <w:tc>
          <w:tcPr>
            <w:tcW w:type="dxa" w:w="1559"/>
          </w:tcPr>
          <w:p>
            <w:r>
              <w:rPr>
                <w:sz w:val="20"/>
              </w:rPr>
              <w:t>Hors liste</w:t>
            </w:r>
          </w:p>
        </w:tc>
        <w:tc>
          <w:tcPr>
            <w:tcW w:type="dxa" w:w="1559"/>
          </w:tcPr>
          <w:p>
            <w:r>
              <w:rPr>
                <w:sz w:val="20"/>
              </w:rPr>
              <w:t>Non Renouvelable</w:t>
            </w:r>
          </w:p>
        </w:tc>
      </w:tr>
      <w:tr>
        <w:tc>
          <w:tcPr>
            <w:tcW w:type="dxa" w:w="1559"/>
          </w:tcPr>
          <w:p>
            <w:r>
              <w:rPr>
                <w:sz w:val="20"/>
              </w:rPr>
              <w:t>CHLORURE DE SODIUM</w:t>
            </w:r>
          </w:p>
        </w:tc>
        <w:tc>
          <w:tcPr>
            <w:tcW w:type="dxa" w:w="1559"/>
          </w:tcPr>
          <w:p>
            <w:r>
              <w:rPr>
                <w:sz w:val="20"/>
              </w:rPr>
              <w:t>RENAUDIN</w:t>
            </w:r>
          </w:p>
        </w:tc>
        <w:tc>
          <w:tcPr>
            <w:tcW w:type="dxa" w:w="1559"/>
          </w:tcPr>
          <w:p>
            <w:r>
              <w:rPr>
                <w:sz w:val="20"/>
              </w:rPr>
              <w:t>Solution injectable NaCl 0,9 %</w:t>
            </w:r>
          </w:p>
        </w:tc>
        <w:tc>
          <w:tcPr>
            <w:tcW w:type="dxa" w:w="1559"/>
          </w:tcPr>
          <w:p>
            <w:r>
              <w:rPr>
                <w:sz w:val="20"/>
              </w:rPr>
              <w:t>B/100 ampoules de 5 mL</w:t>
            </w:r>
          </w:p>
        </w:tc>
        <w:tc>
          <w:tcPr>
            <w:tcW w:type="dxa" w:w="1559"/>
          </w:tcPr>
          <w:p>
            <w:r>
              <w:rPr>
                <w:sz w:val="20"/>
              </w:rPr>
              <w:t>Hors liste</w:t>
            </w:r>
          </w:p>
        </w:tc>
        <w:tc>
          <w:tcPr>
            <w:tcW w:type="dxa" w:w="1559"/>
          </w:tcPr>
          <w:p>
            <w:r>
              <w:rPr>
                <w:sz w:val="20"/>
              </w:rPr>
              <w:t>Retrait (R)</w:t>
            </w:r>
          </w:p>
        </w:tc>
      </w:tr>
      <w:tr>
        <w:tc>
          <w:tcPr>
            <w:tcW w:type="dxa" w:w="1559"/>
          </w:tcPr>
          <w:p>
            <w:r>
              <w:rPr>
                <w:sz w:val="20"/>
              </w:rPr>
              <w:t>CHLORURE DE SODIUM</w:t>
            </w:r>
          </w:p>
        </w:tc>
        <w:tc>
          <w:tcPr>
            <w:tcW w:type="dxa" w:w="1559"/>
          </w:tcPr>
          <w:p>
            <w:r>
              <w:rPr>
                <w:sz w:val="20"/>
              </w:rPr>
              <w:t>BIOLOGICI ITALIA</w:t>
            </w:r>
          </w:p>
        </w:tc>
        <w:tc>
          <w:tcPr>
            <w:tcW w:type="dxa" w:w="1559"/>
          </w:tcPr>
          <w:p>
            <w:r>
              <w:rPr>
                <w:sz w:val="20"/>
              </w:rPr>
              <w:t>Solution injectable NaCl 0,9 %</w:t>
            </w:r>
          </w:p>
        </w:tc>
        <w:tc>
          <w:tcPr>
            <w:tcW w:type="dxa" w:w="1559"/>
          </w:tcPr>
          <w:p>
            <w:r>
              <w:rPr>
                <w:sz w:val="20"/>
              </w:rPr>
              <w:t>B/100 ampoules de 5 mL</w:t>
            </w:r>
          </w:p>
        </w:tc>
        <w:tc>
          <w:tcPr>
            <w:tcW w:type="dxa" w:w="1559"/>
          </w:tcPr>
          <w:p>
            <w:r>
              <w:rPr>
                <w:sz w:val="20"/>
              </w:rPr>
              <w:t>Hors liste</w:t>
            </w:r>
          </w:p>
        </w:tc>
        <w:tc>
          <w:tcPr>
            <w:tcW w:type="dxa" w:w="1559"/>
          </w:tcPr>
          <w:p>
            <w:r>
              <w:rPr>
                <w:sz w:val="20"/>
              </w:rPr>
              <w:t>Retrait (R)</w:t>
            </w:r>
          </w:p>
        </w:tc>
      </w:tr>
      <w:tr>
        <w:tc>
          <w:tcPr>
            <w:tcW w:type="dxa" w:w="1559"/>
          </w:tcPr>
          <w:p>
            <w:r>
              <w:rPr>
                <w:sz w:val="20"/>
              </w:rPr>
              <w:t>CHLORURE DE SODIUM</w:t>
            </w:r>
          </w:p>
        </w:tc>
        <w:tc>
          <w:tcPr>
            <w:tcW w:type="dxa" w:w="1559"/>
          </w:tcPr>
          <w:p>
            <w:r>
              <w:rPr>
                <w:sz w:val="20"/>
              </w:rPr>
              <w:t>BIOLOGICI ITALIA</w:t>
            </w:r>
          </w:p>
        </w:tc>
        <w:tc>
          <w:tcPr>
            <w:tcW w:type="dxa" w:w="1559"/>
          </w:tcPr>
          <w:p>
            <w:r>
              <w:rPr>
                <w:sz w:val="20"/>
              </w:rPr>
              <w:t>Solution injectable NaCl 0,9 %</w:t>
            </w:r>
          </w:p>
        </w:tc>
        <w:tc>
          <w:tcPr>
            <w:tcW w:type="dxa" w:w="1559"/>
          </w:tcPr>
          <w:p>
            <w:r>
              <w:rPr>
                <w:sz w:val="20"/>
              </w:rPr>
              <w:t>B/100 ampoules de 10 mL</w:t>
            </w:r>
          </w:p>
        </w:tc>
        <w:tc>
          <w:tcPr>
            <w:tcW w:type="dxa" w:w="1559"/>
          </w:tcPr>
          <w:p>
            <w:r>
              <w:rPr>
                <w:sz w:val="20"/>
              </w:rPr>
              <w:t>Hors liste</w:t>
            </w:r>
          </w:p>
        </w:tc>
        <w:tc>
          <w:tcPr>
            <w:tcW w:type="dxa" w:w="1559"/>
          </w:tcPr>
          <w:p>
            <w:r>
              <w:rPr>
                <w:sz w:val="20"/>
              </w:rPr>
              <w:t>Retrait (R)</w:t>
            </w:r>
          </w:p>
        </w:tc>
      </w:tr>
      <w:tr>
        <w:tc>
          <w:tcPr>
            <w:tcW w:type="dxa" w:w="1559"/>
          </w:tcPr>
          <w:p>
            <w:r>
              <w:rPr>
                <w:sz w:val="20"/>
              </w:rPr>
              <w:t>CHLORURE DE SODIUM</w:t>
            </w:r>
          </w:p>
        </w:tc>
        <w:tc>
          <w:tcPr>
            <w:tcW w:type="dxa" w:w="1559"/>
          </w:tcPr>
          <w:p>
            <w:r>
              <w:rPr>
                <w:sz w:val="20"/>
              </w:rPr>
              <w:t>SAIDAL</w:t>
            </w:r>
          </w:p>
        </w:tc>
        <w:tc>
          <w:tcPr>
            <w:tcW w:type="dxa" w:w="1559"/>
          </w:tcPr>
          <w:p>
            <w:r>
              <w:rPr>
                <w:sz w:val="20"/>
              </w:rPr>
              <w:t>Solution injectable NaCl 0,9 %</w:t>
            </w:r>
          </w:p>
        </w:tc>
        <w:tc>
          <w:tcPr>
            <w:tcW w:type="dxa" w:w="1559"/>
          </w:tcPr>
          <w:p>
            <w:r>
              <w:rPr>
                <w:sz w:val="20"/>
              </w:rPr>
              <w:t>Flacon de 1 L</w:t>
            </w:r>
          </w:p>
        </w:tc>
        <w:tc>
          <w:tcPr>
            <w:tcW w:type="dxa" w:w="1559"/>
          </w:tcPr>
          <w:p>
            <w:r>
              <w:rPr>
                <w:sz w:val="20"/>
              </w:rPr>
              <w:t>Hors liste</w:t>
            </w:r>
          </w:p>
        </w:tc>
        <w:tc>
          <w:tcPr>
            <w:tcW w:type="dxa" w:w="1559"/>
          </w:tcPr>
          <w:p>
            <w:r>
              <w:rPr>
                <w:sz w:val="20"/>
              </w:rPr>
              <w:t>Retrait (R)</w:t>
            </w:r>
          </w:p>
        </w:tc>
      </w:tr>
      <w:tr>
        <w:tc>
          <w:tcPr>
            <w:tcW w:type="dxa" w:w="1559"/>
          </w:tcPr>
          <w:p>
            <w:r>
              <w:rPr>
                <w:sz w:val="20"/>
              </w:rPr>
              <w:t>CHLORURE DE SODIUM</w:t>
            </w:r>
          </w:p>
        </w:tc>
        <w:tc>
          <w:tcPr>
            <w:tcW w:type="dxa" w:w="1559"/>
          </w:tcPr>
          <w:p>
            <w:r>
              <w:rPr>
                <w:sz w:val="20"/>
              </w:rPr>
              <w:t>RENAUDIN</w:t>
            </w:r>
          </w:p>
        </w:tc>
        <w:tc>
          <w:tcPr>
            <w:tcW w:type="dxa" w:w="1559"/>
          </w:tcPr>
          <w:p>
            <w:r>
              <w:rPr>
                <w:sz w:val="20"/>
              </w:rPr>
              <w:t>Solution injectable NaCl 10 % (hypertonique)</w:t>
            </w:r>
          </w:p>
        </w:tc>
        <w:tc>
          <w:tcPr>
            <w:tcW w:type="dxa" w:w="1559"/>
          </w:tcPr>
          <w:p>
            <w:r>
              <w:rPr>
                <w:sz w:val="20"/>
              </w:rPr>
              <w:t>B/100 ampoules de 10 mL</w:t>
            </w:r>
          </w:p>
        </w:tc>
        <w:tc>
          <w:tcPr>
            <w:tcW w:type="dxa" w:w="1559"/>
          </w:tcPr>
          <w:p>
            <w:r>
              <w:rPr>
                <w:sz w:val="20"/>
              </w:rPr>
              <w:t>Hors liste</w:t>
            </w:r>
          </w:p>
        </w:tc>
        <w:tc>
          <w:tcPr>
            <w:tcW w:type="dxa" w:w="1559"/>
          </w:tcPr>
          <w:p>
            <w:r>
              <w:rPr>
                <w:sz w:val="20"/>
              </w:rPr>
              <w:t>Non Renouvelable</w:t>
            </w:r>
          </w:p>
        </w:tc>
      </w:tr>
      <w:tr>
        <w:tc>
          <w:tcPr>
            <w:tcW w:type="dxa" w:w="1559"/>
          </w:tcPr>
          <w:p>
            <w:r>
              <w:rPr>
                <w:sz w:val="20"/>
              </w:rPr>
              <w:t>CHLORURE DE SODIUM</w:t>
            </w:r>
          </w:p>
        </w:tc>
        <w:tc>
          <w:tcPr>
            <w:tcW w:type="dxa" w:w="1559"/>
          </w:tcPr>
          <w:p>
            <w:r>
              <w:rPr>
                <w:sz w:val="20"/>
              </w:rPr>
              <w:t>RENAUDIN</w:t>
            </w:r>
          </w:p>
        </w:tc>
        <w:tc>
          <w:tcPr>
            <w:tcW w:type="dxa" w:w="1559"/>
          </w:tcPr>
          <w:p>
            <w:r>
              <w:rPr>
                <w:sz w:val="20"/>
              </w:rPr>
              <w:t>Solution injectable NaCl 10 % (hypertonique)</w:t>
            </w:r>
          </w:p>
        </w:tc>
        <w:tc>
          <w:tcPr>
            <w:tcW w:type="dxa" w:w="1559"/>
          </w:tcPr>
          <w:p>
            <w:r>
              <w:rPr>
                <w:sz w:val="20"/>
              </w:rPr>
              <w:t>B/50 ampoules de 20 mL</w:t>
            </w:r>
          </w:p>
        </w:tc>
        <w:tc>
          <w:tcPr>
            <w:tcW w:type="dxa" w:w="1559"/>
          </w:tcPr>
          <w:p>
            <w:r>
              <w:rPr>
                <w:sz w:val="20"/>
              </w:rPr>
              <w:t>Hors liste</w:t>
            </w:r>
          </w:p>
        </w:tc>
        <w:tc>
          <w:tcPr>
            <w:tcW w:type="dxa" w:w="1559"/>
          </w:tcPr>
          <w:p>
            <w:r>
              <w:rPr>
                <w:sz w:val="20"/>
              </w:rPr>
              <w:t>Non Renouvelable</w:t>
            </w:r>
          </w:p>
        </w:tc>
      </w:tr>
      <w:tr>
        <w:tc>
          <w:tcPr>
            <w:tcW w:type="dxa" w:w="1559"/>
          </w:tcPr>
          <w:p>
            <w:r>
              <w:rPr>
                <w:sz w:val="20"/>
              </w:rPr>
              <w:t>EAU POUR PREPARATIONS INJECTABLES</w:t>
            </w:r>
          </w:p>
        </w:tc>
        <w:tc>
          <w:tcPr>
            <w:tcW w:type="dxa" w:w="1559"/>
          </w:tcPr>
          <w:p>
            <w:r>
              <w:rPr>
                <w:sz w:val="20"/>
              </w:rPr>
              <w:t>GROUPE SAIDAL</w:t>
            </w:r>
          </w:p>
        </w:tc>
        <w:tc>
          <w:tcPr>
            <w:tcW w:type="dxa" w:w="1559"/>
          </w:tcPr>
          <w:p>
            <w:r>
              <w:rPr>
                <w:sz w:val="20"/>
              </w:rPr>
              <w:t>Solution pour préparation injectable</w:t>
            </w:r>
          </w:p>
        </w:tc>
        <w:tc>
          <w:tcPr>
            <w:tcW w:type="dxa" w:w="1559"/>
          </w:tcPr>
          <w:p>
            <w:r>
              <w:rPr>
                <w:sz w:val="20"/>
              </w:rPr>
              <w:t>Ampoule de 3 mL</w:t>
            </w:r>
          </w:p>
        </w:tc>
        <w:tc>
          <w:tcPr>
            <w:tcW w:type="dxa" w:w="1559"/>
          </w:tcPr>
          <w:p>
            <w:r>
              <w:rPr>
                <w:sz w:val="20"/>
              </w:rPr>
              <w:t>Hors liste</w:t>
            </w:r>
          </w:p>
        </w:tc>
        <w:tc>
          <w:tcPr>
            <w:tcW w:type="dxa" w:w="1559"/>
          </w:tcPr>
          <w:p>
            <w:r>
              <w:rPr>
                <w:sz w:val="20"/>
              </w:rPr>
              <w:t>Non Renouvelable</w:t>
            </w:r>
          </w:p>
        </w:tc>
      </w:tr>
      <w:tr>
        <w:tc>
          <w:tcPr>
            <w:tcW w:type="dxa" w:w="1559"/>
          </w:tcPr>
          <w:p>
            <w:r>
              <w:rPr>
                <w:sz w:val="20"/>
              </w:rPr>
              <w:t>EAU POUR PREPARATIONS INJECTABLES</w:t>
            </w:r>
          </w:p>
        </w:tc>
        <w:tc>
          <w:tcPr>
            <w:tcW w:type="dxa" w:w="1559"/>
          </w:tcPr>
          <w:p>
            <w:r>
              <w:rPr>
                <w:sz w:val="20"/>
              </w:rPr>
              <w:t>GROUPE SAIDAL</w:t>
            </w:r>
          </w:p>
        </w:tc>
        <w:tc>
          <w:tcPr>
            <w:tcW w:type="dxa" w:w="1559"/>
          </w:tcPr>
          <w:p>
            <w:r>
              <w:rPr>
                <w:sz w:val="20"/>
              </w:rPr>
              <w:t>Solution pour préparation injectable</w:t>
            </w:r>
          </w:p>
        </w:tc>
        <w:tc>
          <w:tcPr>
            <w:tcW w:type="dxa" w:w="1559"/>
          </w:tcPr>
          <w:p>
            <w:r>
              <w:rPr>
                <w:sz w:val="20"/>
              </w:rPr>
              <w:t>Ampoule de 5 mL</w:t>
            </w:r>
          </w:p>
        </w:tc>
        <w:tc>
          <w:tcPr>
            <w:tcW w:type="dxa" w:w="1559"/>
          </w:tcPr>
          <w:p>
            <w:r>
              <w:rPr>
                <w:sz w:val="20"/>
              </w:rPr>
              <w:t>Hors liste</w:t>
            </w:r>
          </w:p>
        </w:tc>
        <w:tc>
          <w:tcPr>
            <w:tcW w:type="dxa" w:w="1559"/>
          </w:tcPr>
          <w:p>
            <w:r>
              <w:rPr>
                <w:sz w:val="20"/>
              </w:rPr>
              <w:t>Non Renouvelable</w:t>
            </w:r>
          </w:p>
        </w:tc>
      </w:tr>
      <w:tr>
        <w:tc>
          <w:tcPr>
            <w:tcW w:type="dxa" w:w="1559"/>
          </w:tcPr>
          <w:p>
            <w:r>
              <w:rPr>
                <w:sz w:val="20"/>
              </w:rPr>
              <w:t>EAU POUR PREPARATIONS INJECTABLES RAZES</w:t>
            </w:r>
          </w:p>
        </w:tc>
        <w:tc>
          <w:tcPr>
            <w:tcW w:type="dxa" w:w="1559"/>
          </w:tcPr>
          <w:p>
            <w:r>
              <w:rPr>
                <w:sz w:val="20"/>
              </w:rPr>
              <w:t>LES LABORATOIRES FRATER RAZES</w:t>
            </w:r>
          </w:p>
        </w:tc>
        <w:tc>
          <w:tcPr>
            <w:tcW w:type="dxa" w:w="1559"/>
          </w:tcPr>
          <w:p>
            <w:r>
              <w:rPr>
                <w:sz w:val="20"/>
              </w:rPr>
              <w:t>Solution pour préparation injectable</w:t>
            </w:r>
          </w:p>
        </w:tc>
        <w:tc>
          <w:tcPr>
            <w:tcW w:type="dxa" w:w="1559"/>
          </w:tcPr>
          <w:p>
            <w:r>
              <w:rPr>
                <w:sz w:val="20"/>
              </w:rPr>
              <w:t>Flacon de 500 mL</w:t>
            </w:r>
          </w:p>
        </w:tc>
        <w:tc>
          <w:tcPr>
            <w:tcW w:type="dxa" w:w="1559"/>
          </w:tcPr>
          <w:p>
            <w:r>
              <w:rPr>
                <w:sz w:val="20"/>
              </w:rPr>
              <w:t>Hors liste</w:t>
            </w:r>
          </w:p>
        </w:tc>
        <w:tc>
          <w:tcPr>
            <w:tcW w:type="dxa" w:w="1559"/>
          </w:tcPr>
          <w:p>
            <w:r>
              <w:rPr>
                <w:sz w:val="20"/>
              </w:rPr>
              <w:t>Actif</w:t>
            </w:r>
          </w:p>
        </w:tc>
      </w:tr>
      <w:tr>
        <w:tc>
          <w:tcPr>
            <w:tcW w:type="dxa" w:w="1559"/>
          </w:tcPr>
          <w:p>
            <w:r>
              <w:rPr>
                <w:sz w:val="20"/>
              </w:rPr>
              <w:t>EAU POUR PREPARATIONS INJECTABLES RAZES</w:t>
            </w:r>
          </w:p>
        </w:tc>
        <w:tc>
          <w:tcPr>
            <w:tcW w:type="dxa" w:w="1559"/>
          </w:tcPr>
          <w:p>
            <w:r>
              <w:rPr>
                <w:sz w:val="20"/>
              </w:rPr>
              <w:t>LES LABORATOIRES FRATER RAZES</w:t>
            </w:r>
          </w:p>
        </w:tc>
        <w:tc>
          <w:tcPr>
            <w:tcW w:type="dxa" w:w="1559"/>
          </w:tcPr>
          <w:p>
            <w:r>
              <w:rPr>
                <w:sz w:val="20"/>
              </w:rPr>
              <w:t>Solution pour préparation injectable</w:t>
            </w:r>
          </w:p>
        </w:tc>
        <w:tc>
          <w:tcPr>
            <w:tcW w:type="dxa" w:w="1559"/>
          </w:tcPr>
          <w:p>
            <w:r>
              <w:rPr>
                <w:sz w:val="20"/>
              </w:rPr>
              <w:t>B/50 ampoules de 2 mL</w:t>
            </w:r>
          </w:p>
        </w:tc>
        <w:tc>
          <w:tcPr>
            <w:tcW w:type="dxa" w:w="1559"/>
          </w:tcPr>
          <w:p>
            <w:r>
              <w:rPr>
                <w:sz w:val="20"/>
              </w:rPr>
              <w:t>Hors liste</w:t>
            </w:r>
          </w:p>
        </w:tc>
        <w:tc>
          <w:tcPr>
            <w:tcW w:type="dxa" w:w="1559"/>
          </w:tcPr>
          <w:p>
            <w:r>
              <w:rPr>
                <w:sz w:val="20"/>
              </w:rPr>
              <w:t>Actif</w:t>
            </w:r>
          </w:p>
        </w:tc>
      </w:tr>
      <w:tr>
        <w:tc>
          <w:tcPr>
            <w:tcW w:type="dxa" w:w="1559"/>
          </w:tcPr>
          <w:p>
            <w:r>
              <w:rPr>
                <w:sz w:val="20"/>
              </w:rPr>
              <w:t>EAU POUR PREPARATION INJECTABLE RAZES</w:t>
            </w:r>
          </w:p>
        </w:tc>
        <w:tc>
          <w:tcPr>
            <w:tcW w:type="dxa" w:w="1559"/>
          </w:tcPr>
          <w:p>
            <w:r>
              <w:rPr>
                <w:sz w:val="20"/>
              </w:rPr>
              <w:t>LES LABORATOIRES FRATER RAZES</w:t>
            </w:r>
          </w:p>
        </w:tc>
        <w:tc>
          <w:tcPr>
            <w:tcW w:type="dxa" w:w="1559"/>
          </w:tcPr>
          <w:p>
            <w:r>
              <w:rPr>
                <w:sz w:val="20"/>
              </w:rPr>
              <w:t>Solution injectable</w:t>
            </w:r>
          </w:p>
        </w:tc>
        <w:tc>
          <w:tcPr>
            <w:tcW w:type="dxa" w:w="1559"/>
          </w:tcPr>
          <w:p>
            <w:r>
              <w:rPr>
                <w:sz w:val="20"/>
              </w:rPr>
              <w:t>B/50 ampoules de 10 mL</w:t>
            </w:r>
          </w:p>
        </w:tc>
        <w:tc>
          <w:tcPr>
            <w:tcW w:type="dxa" w:w="1559"/>
          </w:tcPr>
          <w:p>
            <w:r>
              <w:rPr>
                <w:sz w:val="20"/>
              </w:rPr>
              <w:t>Hors liste</w:t>
            </w:r>
          </w:p>
        </w:tc>
        <w:tc>
          <w:tcPr>
            <w:tcW w:type="dxa" w:w="1559"/>
          </w:tcPr>
          <w:p>
            <w:r>
              <w:rPr>
                <w:sz w:val="20"/>
              </w:rPr>
              <w:t>Non Renouvelable</w:t>
            </w:r>
          </w:p>
        </w:tc>
      </w:tr>
      <w:tr>
        <w:tc>
          <w:tcPr>
            <w:tcW w:type="dxa" w:w="1559"/>
          </w:tcPr>
          <w:p>
            <w:r>
              <w:rPr>
                <w:sz w:val="20"/>
              </w:rPr>
              <w:t>EPPI-SAIDAL</w:t>
            </w:r>
          </w:p>
        </w:tc>
        <w:tc>
          <w:tcPr>
            <w:tcW w:type="dxa" w:w="1559"/>
          </w:tcPr>
          <w:p>
            <w:r>
              <w:rPr>
                <w:sz w:val="20"/>
              </w:rPr>
              <w:t>GROUPE SAIDAL</w:t>
            </w:r>
          </w:p>
        </w:tc>
        <w:tc>
          <w:tcPr>
            <w:tcW w:type="dxa" w:w="1559"/>
          </w:tcPr>
          <w:p>
            <w:r>
              <w:rPr>
                <w:sz w:val="20"/>
              </w:rPr>
              <w:t>Solution pour préparation injectable</w:t>
            </w:r>
          </w:p>
        </w:tc>
        <w:tc>
          <w:tcPr>
            <w:tcW w:type="dxa" w:w="1559"/>
          </w:tcPr>
          <w:p>
            <w:r>
              <w:rPr>
                <w:sz w:val="20"/>
              </w:rPr>
              <w:t>B/50 ampoules de 2 mL</w:t>
            </w:r>
          </w:p>
        </w:tc>
        <w:tc>
          <w:tcPr>
            <w:tcW w:type="dxa" w:w="1559"/>
          </w:tcPr>
          <w:p>
            <w:r>
              <w:rPr>
                <w:sz w:val="20"/>
              </w:rPr>
              <w:t>Hors liste</w:t>
            </w:r>
          </w:p>
        </w:tc>
        <w:tc>
          <w:tcPr>
            <w:tcW w:type="dxa" w:w="1559"/>
          </w:tcPr>
          <w:p>
            <w:r>
              <w:rPr>
                <w:sz w:val="20"/>
              </w:rPr>
              <w:t>Actif</w:t>
            </w:r>
          </w:p>
        </w:tc>
      </w:tr>
      <w:tr>
        <w:tc>
          <w:tcPr>
            <w:tcW w:type="dxa" w:w="1559"/>
          </w:tcPr>
          <w:p>
            <w:r>
              <w:rPr>
                <w:sz w:val="20"/>
              </w:rPr>
              <w:t>EPPI INPHA-MEDIS</w:t>
            </w:r>
          </w:p>
        </w:tc>
        <w:tc>
          <w:tcPr>
            <w:tcW w:type="dxa" w:w="1559"/>
          </w:tcPr>
          <w:p>
            <w:r>
              <w:rPr>
                <w:sz w:val="20"/>
              </w:rPr>
              <w:t>INPHA-MEDIS</w:t>
            </w:r>
          </w:p>
        </w:tc>
        <w:tc>
          <w:tcPr>
            <w:tcW w:type="dxa" w:w="1559"/>
          </w:tcPr>
          <w:p>
            <w:r>
              <w:rPr>
                <w:sz w:val="20"/>
              </w:rPr>
              <w:t>Solution pour préparation injectable IV/IM</w:t>
            </w:r>
          </w:p>
        </w:tc>
        <w:tc>
          <w:tcPr>
            <w:tcW w:type="dxa" w:w="1559"/>
          </w:tcPr>
          <w:p>
            <w:r>
              <w:rPr>
                <w:sz w:val="20"/>
              </w:rPr>
              <w:t>Flacon de 500 mL</w:t>
            </w:r>
          </w:p>
        </w:tc>
        <w:tc>
          <w:tcPr>
            <w:tcW w:type="dxa" w:w="1559"/>
          </w:tcPr>
          <w:p>
            <w:r>
              <w:rPr>
                <w:sz w:val="20"/>
              </w:rPr>
              <w:t>Hors liste</w:t>
            </w:r>
          </w:p>
        </w:tc>
        <w:tc>
          <w:tcPr>
            <w:tcW w:type="dxa" w:w="1559"/>
          </w:tcPr>
          <w:p>
            <w:r>
              <w:rPr>
                <w:sz w:val="20"/>
              </w:rPr>
              <w:t>Actif</w:t>
            </w:r>
          </w:p>
        </w:tc>
      </w:tr>
      <w:tr>
        <w:tc>
          <w:tcPr>
            <w:tcW w:type="dxa" w:w="1559"/>
          </w:tcPr>
          <w:p>
            <w:r>
              <w:rPr>
                <w:sz w:val="20"/>
              </w:rPr>
              <w:t>EAU POUR PREPARATIONS INJECTABLES GEO</w:t>
            </w:r>
          </w:p>
        </w:tc>
        <w:tc>
          <w:tcPr>
            <w:tcW w:type="dxa" w:w="1559"/>
          </w:tcPr>
          <w:p>
            <w:r>
              <w:rPr>
                <w:sz w:val="20"/>
              </w:rPr>
              <w:t>GEOPHARM</w:t>
            </w:r>
          </w:p>
        </w:tc>
        <w:tc>
          <w:tcPr>
            <w:tcW w:type="dxa" w:w="1559"/>
          </w:tcPr>
          <w:p>
            <w:r>
              <w:rPr>
                <w:sz w:val="20"/>
              </w:rPr>
              <w:t>Solution pour préparation injectable</w:t>
            </w:r>
          </w:p>
        </w:tc>
        <w:tc>
          <w:tcPr>
            <w:tcW w:type="dxa" w:w="1559"/>
          </w:tcPr>
          <w:p>
            <w:r>
              <w:rPr>
                <w:sz w:val="20"/>
              </w:rPr>
              <w:t>B/50 ampoules de 2 mL</w:t>
            </w:r>
          </w:p>
        </w:tc>
        <w:tc>
          <w:tcPr>
            <w:tcW w:type="dxa" w:w="1559"/>
          </w:tcPr>
          <w:p>
            <w:r>
              <w:rPr>
                <w:sz w:val="20"/>
              </w:rPr>
              <w:t>Hors liste</w:t>
            </w:r>
          </w:p>
        </w:tc>
        <w:tc>
          <w:tcPr>
            <w:tcW w:type="dxa" w:w="1559"/>
          </w:tcPr>
          <w:p>
            <w:r>
              <w:rPr>
                <w:sz w:val="20"/>
              </w:rPr>
              <w:t>Actif</w:t>
            </w:r>
          </w:p>
        </w:tc>
      </w:tr>
      <w:tr>
        <w:tc>
          <w:tcPr>
            <w:tcW w:type="dxa" w:w="1559"/>
          </w:tcPr>
          <w:p>
            <w:r>
              <w:rPr>
                <w:sz w:val="20"/>
              </w:rPr>
              <w:t>EAU POUR PREPARATIONS INJECTABLES GEO</w:t>
            </w:r>
          </w:p>
        </w:tc>
        <w:tc>
          <w:tcPr>
            <w:tcW w:type="dxa" w:w="1559"/>
          </w:tcPr>
          <w:p>
            <w:r>
              <w:rPr>
                <w:sz w:val="20"/>
              </w:rPr>
              <w:t>GEOPHARM</w:t>
            </w:r>
          </w:p>
        </w:tc>
        <w:tc>
          <w:tcPr>
            <w:tcW w:type="dxa" w:w="1559"/>
          </w:tcPr>
          <w:p>
            <w:r>
              <w:rPr>
                <w:sz w:val="20"/>
              </w:rPr>
              <w:t>Solution injectable</w:t>
            </w:r>
          </w:p>
        </w:tc>
        <w:tc>
          <w:tcPr>
            <w:tcW w:type="dxa" w:w="1559"/>
          </w:tcPr>
          <w:p>
            <w:r>
              <w:rPr>
                <w:sz w:val="20"/>
              </w:rPr>
              <w:t>B/50 ampoules de 3 mL</w:t>
            </w:r>
          </w:p>
        </w:tc>
        <w:tc>
          <w:tcPr>
            <w:tcW w:type="dxa" w:w="1559"/>
          </w:tcPr>
          <w:p>
            <w:r>
              <w:rPr>
                <w:sz w:val="20"/>
              </w:rPr>
              <w:t>Hors liste</w:t>
            </w:r>
          </w:p>
        </w:tc>
        <w:tc>
          <w:tcPr>
            <w:tcW w:type="dxa" w:w="1559"/>
          </w:tcPr>
          <w:p>
            <w:r>
              <w:rPr>
                <w:sz w:val="20"/>
              </w:rPr>
              <w:t>Actif</w:t>
            </w:r>
          </w:p>
        </w:tc>
      </w:tr>
      <w:tr>
        <w:tc>
          <w:tcPr>
            <w:tcW w:type="dxa" w:w="1559"/>
          </w:tcPr>
          <w:p>
            <w:r>
              <w:rPr>
                <w:sz w:val="20"/>
              </w:rPr>
              <w:t>EAU POUR PREPARATIONS INJECTABLES GEO</w:t>
            </w:r>
          </w:p>
        </w:tc>
        <w:tc>
          <w:tcPr>
            <w:tcW w:type="dxa" w:w="1559"/>
          </w:tcPr>
          <w:p>
            <w:r>
              <w:rPr>
                <w:sz w:val="20"/>
              </w:rPr>
              <w:t>GEOPHARM</w:t>
            </w:r>
          </w:p>
        </w:tc>
        <w:tc>
          <w:tcPr>
            <w:tcW w:type="dxa" w:w="1559"/>
          </w:tcPr>
          <w:p>
            <w:r>
              <w:rPr>
                <w:sz w:val="20"/>
              </w:rPr>
              <w:t>Solution pour préparation injectable</w:t>
            </w:r>
          </w:p>
        </w:tc>
        <w:tc>
          <w:tcPr>
            <w:tcW w:type="dxa" w:w="1559"/>
          </w:tcPr>
          <w:p>
            <w:r>
              <w:rPr>
                <w:sz w:val="20"/>
              </w:rPr>
              <w:t>B/50 ampoules de 5 mL</w:t>
            </w:r>
          </w:p>
        </w:tc>
        <w:tc>
          <w:tcPr>
            <w:tcW w:type="dxa" w:w="1559"/>
          </w:tcPr>
          <w:p>
            <w:r>
              <w:rPr>
                <w:sz w:val="20"/>
              </w:rPr>
              <w:t>Hors liste</w:t>
            </w:r>
          </w:p>
        </w:tc>
        <w:tc>
          <w:tcPr>
            <w:tcW w:type="dxa" w:w="1559"/>
          </w:tcPr>
          <w:p>
            <w:r>
              <w:rPr>
                <w:sz w:val="20"/>
              </w:rPr>
              <w:t>Actif</w:t>
            </w:r>
          </w:p>
        </w:tc>
      </w:tr>
      <w:tr>
        <w:tc>
          <w:tcPr>
            <w:tcW w:type="dxa" w:w="1559"/>
          </w:tcPr>
          <w:p>
            <w:r>
              <w:rPr>
                <w:sz w:val="20"/>
              </w:rPr>
              <w:t>EAU POUR PREPARATION INJECTABLE BIOTHERA</w:t>
            </w:r>
          </w:p>
        </w:tc>
        <w:tc>
          <w:tcPr>
            <w:tcW w:type="dxa" w:w="1559"/>
          </w:tcPr>
          <w:p>
            <w:r>
              <w:rPr>
                <w:sz w:val="20"/>
              </w:rPr>
              <w:t>BIOTHERA</w:t>
            </w:r>
          </w:p>
        </w:tc>
        <w:tc>
          <w:tcPr>
            <w:tcW w:type="dxa" w:w="1559"/>
          </w:tcPr>
          <w:p>
            <w:r>
              <w:rPr>
                <w:sz w:val="20"/>
              </w:rPr>
              <w:t>Solution pour préparation injectable</w:t>
            </w:r>
          </w:p>
        </w:tc>
        <w:tc>
          <w:tcPr>
            <w:tcW w:type="dxa" w:w="1559"/>
          </w:tcPr>
          <w:p>
            <w:r>
              <w:rPr>
                <w:sz w:val="20"/>
              </w:rPr>
              <w:t>B/50 ampoules de 2 mL</w:t>
            </w:r>
          </w:p>
        </w:tc>
        <w:tc>
          <w:tcPr>
            <w:tcW w:type="dxa" w:w="1559"/>
          </w:tcPr>
          <w:p>
            <w:r>
              <w:rPr>
                <w:sz w:val="20"/>
              </w:rPr>
              <w:t>Hors liste</w:t>
            </w:r>
          </w:p>
        </w:tc>
        <w:tc>
          <w:tcPr>
            <w:tcW w:type="dxa" w:w="1559"/>
          </w:tcPr>
          <w:p>
            <w:r>
              <w:rPr>
                <w:sz w:val="20"/>
              </w:rPr>
              <w:t>Actif</w:t>
            </w:r>
          </w:p>
        </w:tc>
      </w:tr>
      <w:tr>
        <w:tc>
          <w:tcPr>
            <w:tcW w:type="dxa" w:w="1559"/>
          </w:tcPr>
          <w:p>
            <w:r>
              <w:rPr>
                <w:sz w:val="20"/>
              </w:rPr>
              <w:t>EAU POUR PREPARATION INJECTABLE BIOTHERA</w:t>
            </w:r>
          </w:p>
        </w:tc>
        <w:tc>
          <w:tcPr>
            <w:tcW w:type="dxa" w:w="1559"/>
          </w:tcPr>
          <w:p>
            <w:r>
              <w:rPr>
                <w:sz w:val="20"/>
              </w:rPr>
              <w:t>BIOTHERA</w:t>
            </w:r>
          </w:p>
        </w:tc>
        <w:tc>
          <w:tcPr>
            <w:tcW w:type="dxa" w:w="1559"/>
          </w:tcPr>
          <w:p>
            <w:r>
              <w:rPr>
                <w:sz w:val="20"/>
              </w:rPr>
              <w:t>Solution injectable</w:t>
            </w:r>
          </w:p>
        </w:tc>
        <w:tc>
          <w:tcPr>
            <w:tcW w:type="dxa" w:w="1559"/>
          </w:tcPr>
          <w:p>
            <w:r>
              <w:rPr>
                <w:sz w:val="20"/>
              </w:rPr>
              <w:t>B/50 ampoules de 5 mL</w:t>
            </w:r>
          </w:p>
        </w:tc>
        <w:tc>
          <w:tcPr>
            <w:tcW w:type="dxa" w:w="1559"/>
          </w:tcPr>
          <w:p>
            <w:r>
              <w:rPr>
                <w:sz w:val="20"/>
              </w:rPr>
              <w:t>Hors liste</w:t>
            </w:r>
          </w:p>
        </w:tc>
        <w:tc>
          <w:tcPr>
            <w:tcW w:type="dxa" w:w="1559"/>
          </w:tcPr>
          <w:p>
            <w:r>
              <w:rPr>
                <w:sz w:val="20"/>
              </w:rPr>
              <w:t>Actif</w:t>
            </w:r>
          </w:p>
        </w:tc>
      </w:tr>
      <w:tr>
        <w:tc>
          <w:tcPr>
            <w:tcW w:type="dxa" w:w="1559"/>
          </w:tcPr>
          <w:p>
            <w:r>
              <w:rPr>
                <w:sz w:val="20"/>
              </w:rPr>
              <w:t>EAU POUR PREPARATION INJECTABLE BIOTHERA</w:t>
            </w:r>
          </w:p>
        </w:tc>
        <w:tc>
          <w:tcPr>
            <w:tcW w:type="dxa" w:w="1559"/>
          </w:tcPr>
          <w:p>
            <w:r>
              <w:rPr>
                <w:sz w:val="20"/>
              </w:rPr>
              <w:t>BIOTHERA</w:t>
            </w:r>
          </w:p>
        </w:tc>
        <w:tc>
          <w:tcPr>
            <w:tcW w:type="dxa" w:w="1559"/>
          </w:tcPr>
          <w:p>
            <w:r>
              <w:rPr>
                <w:sz w:val="20"/>
              </w:rPr>
              <w:t>Solution injectable</w:t>
            </w:r>
          </w:p>
        </w:tc>
        <w:tc>
          <w:tcPr>
            <w:tcW w:type="dxa" w:w="1559"/>
          </w:tcPr>
          <w:p>
            <w:r>
              <w:rPr>
                <w:sz w:val="20"/>
              </w:rPr>
              <w:t>B/50 ampoules de 10 mL</w:t>
            </w:r>
          </w:p>
        </w:tc>
        <w:tc>
          <w:tcPr>
            <w:tcW w:type="dxa" w:w="1559"/>
          </w:tcPr>
          <w:p>
            <w:r>
              <w:rPr>
                <w:sz w:val="20"/>
              </w:rPr>
              <w:t>Hors liste</w:t>
            </w:r>
          </w:p>
        </w:tc>
        <w:tc>
          <w:tcPr>
            <w:tcW w:type="dxa" w:w="1559"/>
          </w:tcPr>
          <w:p>
            <w:r>
              <w:rPr>
                <w:sz w:val="20"/>
              </w:rPr>
              <w:t>Actif</w:t>
            </w:r>
          </w:p>
        </w:tc>
      </w:tr>
      <w:tr>
        <w:tc>
          <w:tcPr>
            <w:tcW w:type="dxa" w:w="1559"/>
          </w:tcPr>
          <w:p>
            <w:r>
              <w:rPr>
                <w:sz w:val="20"/>
              </w:rPr>
              <w:t>WI PACK</w:t>
            </w:r>
          </w:p>
        </w:tc>
        <w:tc>
          <w:tcPr>
            <w:tcW w:type="dxa" w:w="1559"/>
          </w:tcPr>
          <w:p>
            <w:r>
              <w:rPr>
                <w:sz w:val="20"/>
              </w:rPr>
              <w:t>INDUSTRIES MEDICO-CHIRURGICALES (IMC)</w:t>
            </w:r>
          </w:p>
        </w:tc>
        <w:tc>
          <w:tcPr>
            <w:tcW w:type="dxa" w:w="1559"/>
          </w:tcPr>
          <w:p>
            <w:r>
              <w:rPr>
                <w:sz w:val="20"/>
              </w:rPr>
              <w:t>Solution pour préparation injectable</w:t>
            </w:r>
          </w:p>
        </w:tc>
        <w:tc>
          <w:tcPr>
            <w:tcW w:type="dxa" w:w="1559"/>
          </w:tcPr>
          <w:p>
            <w:r>
              <w:rPr>
                <w:sz w:val="20"/>
              </w:rPr>
              <w:t>Flacon en polypropylène de 500 mL</w:t>
            </w:r>
          </w:p>
        </w:tc>
        <w:tc>
          <w:tcPr>
            <w:tcW w:type="dxa" w:w="1559"/>
          </w:tcPr>
          <w:p>
            <w:r>
              <w:rPr>
                <w:sz w:val="20"/>
              </w:rPr>
              <w:t>Hors liste</w:t>
            </w:r>
          </w:p>
        </w:tc>
        <w:tc>
          <w:tcPr>
            <w:tcW w:type="dxa" w:w="1559"/>
          </w:tcPr>
          <w:p>
            <w:r>
              <w:rPr>
                <w:sz w:val="20"/>
              </w:rPr>
              <w:t>Actif</w:t>
            </w:r>
          </w:p>
        </w:tc>
      </w:tr>
      <w:tr>
        <w:tc>
          <w:tcPr>
            <w:tcW w:type="dxa" w:w="1559"/>
          </w:tcPr>
          <w:p>
            <w:r>
              <w:rPr>
                <w:sz w:val="20"/>
              </w:rPr>
              <w:t>WIPACK</w:t>
            </w:r>
          </w:p>
        </w:tc>
        <w:tc>
          <w:tcPr>
            <w:tcW w:type="dxa" w:w="1559"/>
          </w:tcPr>
          <w:p>
            <w:r>
              <w:rPr>
                <w:sz w:val="20"/>
              </w:rPr>
              <w:t>INDUSTRIES MEDICO-CHIRURGICALES (IMC)</w:t>
            </w:r>
          </w:p>
        </w:tc>
        <w:tc>
          <w:tcPr>
            <w:tcW w:type="dxa" w:w="1559"/>
          </w:tcPr>
          <w:p>
            <w:r>
              <w:rPr>
                <w:sz w:val="20"/>
              </w:rPr>
              <w:t>Solution injectable</w:t>
            </w:r>
          </w:p>
        </w:tc>
        <w:tc>
          <w:tcPr>
            <w:tcW w:type="dxa" w:w="1559"/>
          </w:tcPr>
          <w:p>
            <w:r>
              <w:rPr>
                <w:sz w:val="20"/>
              </w:rPr>
              <w:t>B/50 ampoules de 5 mL</w:t>
            </w:r>
          </w:p>
        </w:tc>
        <w:tc>
          <w:tcPr>
            <w:tcW w:type="dxa" w:w="1559"/>
          </w:tcPr>
          <w:p>
            <w:r>
              <w:rPr>
                <w:sz w:val="20"/>
              </w:rPr>
              <w:t>Hors liste</w:t>
            </w:r>
          </w:p>
        </w:tc>
        <w:tc>
          <w:tcPr>
            <w:tcW w:type="dxa" w:w="1559"/>
          </w:tcPr>
          <w:p>
            <w:r>
              <w:rPr>
                <w:sz w:val="20"/>
              </w:rPr>
              <w:t>Actif</w:t>
            </w:r>
          </w:p>
        </w:tc>
      </w:tr>
      <w:tr>
        <w:tc>
          <w:tcPr>
            <w:tcW w:type="dxa" w:w="1559"/>
          </w:tcPr>
          <w:p>
            <w:r>
              <w:rPr>
                <w:sz w:val="20"/>
              </w:rPr>
              <w:t>WIPACK®</w:t>
            </w:r>
          </w:p>
        </w:tc>
        <w:tc>
          <w:tcPr>
            <w:tcW w:type="dxa" w:w="1559"/>
          </w:tcPr>
          <w:p>
            <w:r>
              <w:rPr>
                <w:sz w:val="20"/>
              </w:rPr>
              <w:t>INDUSTRIES MEDICO-CHIRURGICALES (IMC)</w:t>
            </w:r>
          </w:p>
        </w:tc>
        <w:tc>
          <w:tcPr>
            <w:tcW w:type="dxa" w:w="1559"/>
          </w:tcPr>
          <w:p>
            <w:r>
              <w:rPr>
                <w:sz w:val="20"/>
              </w:rPr>
              <w:t>Solution injectable</w:t>
            </w:r>
          </w:p>
        </w:tc>
        <w:tc>
          <w:tcPr>
            <w:tcW w:type="dxa" w:w="1559"/>
          </w:tcPr>
          <w:p>
            <w:r>
              <w:rPr>
                <w:sz w:val="20"/>
              </w:rPr>
              <w:t>B/50 ampoules de 10 mL</w:t>
            </w:r>
          </w:p>
        </w:tc>
        <w:tc>
          <w:tcPr>
            <w:tcW w:type="dxa" w:w="1559"/>
          </w:tcPr>
          <w:p>
            <w:r>
              <w:rPr>
                <w:sz w:val="20"/>
              </w:rPr>
              <w:t>Hors liste</w:t>
            </w:r>
          </w:p>
        </w:tc>
        <w:tc>
          <w:tcPr>
            <w:tcW w:type="dxa" w:w="1559"/>
          </w:tcPr>
          <w:p>
            <w:r>
              <w:rPr>
                <w:sz w:val="20"/>
              </w:rPr>
              <w:t>Actif</w:t>
            </w:r>
          </w:p>
        </w:tc>
      </w:tr>
      <w:tr>
        <w:tc>
          <w:tcPr>
            <w:tcW w:type="dxa" w:w="1559"/>
          </w:tcPr>
          <w:p>
            <w:r>
              <w:rPr>
                <w:sz w:val="20"/>
              </w:rPr>
              <w:t>LENTICLEAN (NaCl + tampon pH 7,4)</w:t>
            </w:r>
          </w:p>
        </w:tc>
        <w:tc>
          <w:tcPr>
            <w:tcW w:type="dxa" w:w="1559"/>
          </w:tcPr>
          <w:p>
            <w:r>
              <w:rPr>
                <w:sz w:val="20"/>
              </w:rPr>
              <w:t>UNIMED</w:t>
            </w:r>
          </w:p>
        </w:tc>
        <w:tc>
          <w:tcPr>
            <w:tcW w:type="dxa" w:w="1559"/>
          </w:tcPr>
          <w:p>
            <w:r>
              <w:rPr>
                <w:sz w:val="20"/>
              </w:rPr>
              <w:t>Solution de rinçage des lentilles souples NaCl 0,9 %</w:t>
            </w:r>
          </w:p>
        </w:tc>
        <w:tc>
          <w:tcPr>
            <w:tcW w:type="dxa" w:w="1559"/>
          </w:tcPr>
          <w:p>
            <w:r>
              <w:rPr>
                <w:sz w:val="20"/>
              </w:rPr>
              <w:t>B/10 flacons</w:t>
            </w:r>
          </w:p>
        </w:tc>
        <w:tc>
          <w:tcPr>
            <w:tcW w:type="dxa" w:w="1559"/>
          </w:tcPr>
          <w:p>
            <w:r>
              <w:rPr>
                <w:sz w:val="20"/>
              </w:rPr>
              <w:t>Hors liste</w:t>
            </w:r>
          </w:p>
        </w:tc>
        <w:tc>
          <w:tcPr>
            <w:tcW w:type="dxa" w:w="1559"/>
          </w:tcPr>
          <w:p>
            <w:r>
              <w:rPr>
                <w:sz w:val="20"/>
              </w:rPr>
              <w:t>Non Renouvelable</w:t>
            </w:r>
          </w:p>
        </w:tc>
      </w:tr>
    </w:tbl>
    <w:p/>
    <w:p>
      <w:r/>
      <w:r>
        <w:rPr>
          <w:b/>
        </w:rPr>
        <w:t>Note sur la disponibilité algérienne :</w:t>
      </w:r>
      <w:r>
        <w:t xml:space="preserve"> Les formes dédiées au lavage nasal (sprays isotoniques et hypertoniques, unidoses pédiatriques, aérosols à l'eau de mer) ne figurent pas en tant que telles dans la nomenclature officielle des médicaments réglementés, car elles relèvent de la réglementation des dispositifs médicaux ou des produits d'hygiène. Toutefois, elles sont disponibles en officine algérienne (importations spécialisées : Physiomer®, Stérimar®, Marimer®, Humerin®, Quix®) et le pharmacien d'offine joue un rôle pivot dans le conseil de bon usage. Les solutions de chlorure de sodium à 0,9 % et à 10 % listées ci-dessus, bien que présentées en forme injectable, sont largement utilisées en lavage nasal par les pédiatres et les ORL hospitaliers algériens (en moustique nasal, en instillation à la pipette, en irrigation par seringue souple).</w:t>
      </w:r>
    </w:p>
    <w:p>
      <w:pPr>
        <w:pStyle w:val="Heading4"/>
      </w:pPr>
      <w:r>
        <w:t>3. Sous-classe &amp; Mécanisme d'action</w:t>
      </w:r>
    </w:p>
    <w:p>
      <w:pPr>
        <w:pStyle w:val="ListBullet"/>
      </w:pPr>
      <w:r/>
      <w:r>
        <w:rPr>
          <w:b/>
        </w:rPr>
        <w:t>Sous-classe :</w:t>
      </w:r>
      <w:r>
        <w:t xml:space="preserve"> Solutions nasales d'hygiène et de drainage (isotoniques, hypertoniques, eaux de mer). Catégorie apparentée : dispositifs médicaux ORL de classe IIa (lavage mécanique non pharmacologique).</w:t>
      </w:r>
    </w:p>
    <w:p>
      <w:pPr>
        <w:pStyle w:val="ListBullet"/>
      </w:pPr>
      <w:r/>
      <w:r>
        <w:rPr>
          <w:b/>
        </w:rPr>
        <w:t>Mécanisme d'action :</w:t>
      </w:r>
      <w:r>
        <w:t xml:space="preserve"> Le lavage nasal n'exerce aucun effet pharmacologique systémique. Son action est purement mécanique et physico-chimique, reposant sur trois mécanismes complémentaires :</w:t>
      </w:r>
    </w:p>
    <w:p>
      <w:pPr>
        <w:pStyle w:val="ListNumber"/>
      </w:pPr>
      <w:r/>
      <w:r>
        <w:rPr>
          <w:b/>
        </w:rPr>
        <w:t>Effet de drainage mécanique (lavage par flux) :</w:t>
      </w:r>
      <w:r>
        <w:t xml:space="preserve"> Le passage d'un volume liquidien (5 à 200 mL selon la technique) à travers les fosses nasales, d'une marine à l'autre (irrigation nasosinusienne) ou de la marine vers le pharynx (instillation), entraîne mécaniquement le mucus, les croûtes, les allergènes (pollens, acariens, particules de pollution urbaine comme le dioxyde d'azote et le PM2,5 typiques de la pollution d'Alger et d'Oran), les pathogènes (rhinovirus, virus respiratoire syncytial, grippe, pneumocoque, *Haemophilus influenzae*, *Staphylococcus aureus*, *Pseudomonas aeruginosa* en post-chirurgie), et les médiateurs inflammatoires (histamine, leucotriènes, prostaglandines) accumulés en surface de l'épithélium respiratoire. Ce drainage diminue la charge antigénique locale et réduit la durée et l'intensité des symptômes de rhinite virale (réduction d'environ 1,5 jour de la durée d'évolution selon méta-analyse Cochrane 2015).</w:t>
      </w:r>
    </w:p>
    <w:p>
      <w:pPr>
        <w:pStyle w:val="ListNumber"/>
      </w:pPr>
      <w:r/>
      <w:r>
        <w:rPr>
          <w:b/>
        </w:rPr>
        <w:t>Effet osmotique (solutions hypertoniques) :</w:t>
      </w:r>
      <w:r>
        <w:t xml:space="preserve"> Une solution hypertonique (NaCl 2 à 3 %, osmolarité 600 à 1 000 mOsm/L) crée un gradient osmotique entre le compartiment liquidien de la lumière nasale et le compartiment interstitiel sous-muqueux. L'eau est attirée de la muqueuse vers la lumière, ce qui (a) décongestionne la muqueuse turbinate en réduisant l'œdème sous-muqueux, (b) fluidifie le mucus en augmentant sa teneur en eau, et (c) réduit la résistance nasale au flux aérien (mesurable en rhinomanométrie antérieure : réduction de 20 à 35 % de la résistance nasale à 10 minutes d'une irrigation hypertonique). Cet effet osmotique est particulièrement utile dans la rhinite chronique, la sinusite chronique, la rhinite de la grossesse et le Syndrome d'Apnées Obstructives du Sommeil (SAOS) aggravé par obstruction nasale.</w:t>
      </w:r>
    </w:p>
    <w:p>
      <w:pPr>
        <w:pStyle w:val="ListNumber"/>
      </w:pPr>
      <w:r/>
      <w:r>
        <w:rPr>
          <w:b/>
        </w:rPr>
        <w:t>Effet cytoprotecteur et cicatrisant (eaux de mer et solutions isotoniques) :</w:t>
      </w:r>
      <w:r>
        <w:t xml:space="preserve"> Les eaux de mer diluées à l'isotonie apportent des oligo-éléments (Mg²⁺ 100-150 mg/L, Ca²⁺ 80-120 mg/L, K⁺ 50-80 mg/L, sélénium, zinc, cuivre) qui stimulent la activité ciliaire (augmentation de la fréquence de battement ciliaire de 10 à 15 % in vitro) et exercent un effet anti-inflammatoire modéré par inhibition de la NF-κB epitheliale. L'hydratation de la couche péricliaire (sol phase 1 du transport mucociliaire) restaure la clairance mucociliaire altérée en atmosphère sèche ou climatisée. La solution isotonique seule (NaCl 0,9 %, sans oligo-éléments) exerce un effet hydratant sans effet osmotique ni effet cytoprotecteur additif, mais suffit largement pour l'hygiène nasale quotidienne du nourrisson et de l'adulte sain.</w:t>
      </w:r>
    </w:p>
    <w:p>
      <w:pPr>
        <w:pStyle w:val="Heading4"/>
      </w:pPr>
      <w:r>
        <w:t>4. Pharmacocinétique / Profil pharmacologique</w:t>
      </w:r>
    </w:p>
    <w:p>
      <w:r>
        <w:t>Le lavage nasal ne comporte pas de pharmacocinétique systémique pertinente, en raison de l'absence de principe actif à résorption systémique. Le chlorure de sodium et l'eau sont des constituants naturels du plasma ; la très faible quantité résorbée (généralement &lt; 5 % du volume instillé) ne modifie pas la natrémie ni l'osmolarité plasmatique, sauf en cas d'instillation massive et répétée de solution hypertonique chez le nourrisson (risque théorique d'hypernatrémie transitoire, non documenté en pratique). La résorption nasale se fait à travers la muqueuse olfactive et la muqueuse respiratoire, avec un passage possible direct au liquide céphalorachidien via la lame criblée de l'ethmoïde (voie naso-crânienne) — raison pour laquelle la stérilité de la solution est un prérequis absolu. La clairance mucociliaire évacue le volume instillé vers le pharynx en 10 à 20 minutes, où il est dégluti (avec neutralisation gastrique de tout résidu bactérien ou viral) ou expectoré. Aucune accumulation tissulaire n'est décrite ; aucun métabolisme hépatique n'intervient.</w:t>
      </w:r>
    </w:p>
    <w:p>
      <w:pPr>
        <w:pStyle w:val="Heading4"/>
      </w:pPr>
      <w:r>
        <w:t>5. Indications thérapeutiques</w:t>
      </w:r>
    </w:p>
    <w:p>
      <w:pPr>
        <w:pStyle w:val="ListBullet"/>
      </w:pPr>
      <w:r/>
      <w:r>
        <w:rPr>
          <w:b/>
        </w:rPr>
        <w:t>Hygiène nasale quotidienne :</w:t>
      </w:r>
      <w:r>
        <w:t xml:space="preserve"> nourrisson (toilette du matin, désobstruction avant tétée), adulte sain en atmosphère sèche ou climatisée, sujet âgé (sécheresse nasale atrophique).</w:t>
      </w:r>
    </w:p>
    <w:p>
      <w:pPr>
        <w:pStyle w:val="ListBullet"/>
      </w:pPr>
      <w:r/>
      <w:r>
        <w:rPr>
          <w:b/>
        </w:rPr>
        <w:t>Adjuvant des rhinites aiguës virales :</w:t>
      </w:r>
      <w:r>
        <w:t xml:space="preserve"> rhinite rhinovirus, VRS, grippe, para-influenza, COVID-19 — réduction de la durée et de l'intensité des symptômes.</w:t>
      </w:r>
    </w:p>
    <w:p>
      <w:pPr>
        <w:pStyle w:val="ListBullet"/>
      </w:pPr>
      <w:r/>
      <w:r>
        <w:rPr>
          <w:b/>
        </w:rPr>
        <w:t>Rhinite allergique saisonnière ou perannuelle :</w:t>
      </w:r>
      <w:r>
        <w:t xml:space="preserve"> lavage post-exposition pollinique ou après contact animal, en complément de l'antihistaminique et de la corticothérapie nasale.</w:t>
      </w:r>
    </w:p>
    <w:p>
      <w:pPr>
        <w:pStyle w:val="ListBullet"/>
      </w:pPr>
      <w:r/>
      <w:r>
        <w:rPr>
          <w:b/>
        </w:rPr>
        <w:t>Sinusite aiguë ou chronique :</w:t>
      </w:r>
      <w:r>
        <w:t xml:space="preserve"> drainage des sécrétions purulentes, adjuvant de l'antibiothérapie, accélération de la récupération radiologique.</w:t>
      </w:r>
    </w:p>
    <w:p>
      <w:pPr>
        <w:pStyle w:val="ListBullet"/>
      </w:pPr>
      <w:r/>
      <w:r>
        <w:rPr>
          <w:b/>
        </w:rPr>
        <w:t>Soins post-chirurgie ORL :</w:t>
      </w:r>
      <w:r>
        <w:t xml:space="preserve"> toilette des fosses nasales après septoplastie, turbinectomie, ethmoïdectomie, chirurgie endoscopique des sinus (FESS — Functional Endoscopic Sinus Surgery), prévention des synechies post-opératoires.</w:t>
      </w:r>
    </w:p>
    <w:p>
      <w:pPr>
        <w:pStyle w:val="ListBullet"/>
      </w:pPr>
      <w:r/>
      <w:r>
        <w:rPr>
          <w:b/>
        </w:rPr>
        <w:t>Mucoviscidose et dyskinésie ciliaire primitive :</w:t>
      </w:r>
      <w:r>
        <w:t xml:space="preserve"> drainage quotidien des sécrétions nasales épaisses, adjonction systématique aux séances de kinésithérapie respiratoire.</w:t>
      </w:r>
    </w:p>
    <w:p>
      <w:pPr>
        <w:pStyle w:val="ListBullet"/>
      </w:pPr>
      <w:r/>
      <w:r>
        <w:rPr>
          <w:b/>
        </w:rPr>
        <w:t>Sécheresse nasale du sujet âgé et rhinite atrophique (ozaène) :</w:t>
      </w:r>
      <w:r>
        <w:t xml:space="preserve"> hydratation, ramollissement des croûtes, réduction de l'halitose.</w:t>
      </w:r>
    </w:p>
    <w:p>
      <w:pPr>
        <w:pStyle w:val="ListBullet"/>
      </w:pPr>
      <w:r/>
      <w:r>
        <w:rPr>
          <w:b/>
        </w:rPr>
        <w:t>Décompression nasale avant administration de médicaments nasaux</w:t>
      </w:r>
      <w:r>
        <w:t xml:space="preserve"> (corticoïdes nasaux, antihistaminiques locaux) — le lavage préalable améliore la pénétration et l'efficacité du traitement pharmacologique.</w:t>
      </w:r>
    </w:p>
    <w:p>
      <w:pPr>
        <w:pStyle w:val="ListBullet"/>
      </w:pPr>
      <w:r/>
      <w:r>
        <w:rPr>
          <w:b/>
        </w:rPr>
        <w:t>Rhinite de la grossesse</w:t>
      </w:r>
      <w:r>
        <w:t xml:space="preserve"> (vasomotrice hormonale) : alternative aux vasoconstricteurs interdits au troisième trimestre.</w:t>
      </w:r>
    </w:p>
    <w:p>
      <w:pPr>
        <w:pStyle w:val="ListBullet"/>
      </w:pPr>
      <w:r/>
      <w:r>
        <w:rPr>
          <w:b/>
        </w:rPr>
        <w:t>Hygiène nasale du nourrisson en crèche</w:t>
      </w:r>
      <w:r>
        <w:t xml:space="preserve"> : prévention des surinfections virales répétées.</w:t>
      </w:r>
    </w:p>
    <w:p>
      <w:pPr>
        <w:pStyle w:val="Heading4"/>
      </w:pPr>
      <w:r>
        <w:t>6. Contre-indications</w:t>
      </w:r>
    </w:p>
    <w:p>
      <w:pPr>
        <w:pStyle w:val="ListBullet"/>
      </w:pPr>
      <w:r/>
      <w:r>
        <w:rPr>
          <w:b/>
        </w:rPr>
        <w:t>Eau du robinet non bouillie</w:t>
      </w:r>
      <w:r>
        <w:t xml:space="preserve"> — </w:t>
      </w:r>
      <w:r>
        <w:rPr>
          <w:b/>
        </w:rPr>
        <w:t>CONTRE-INDICATION ABSOLUE</w:t>
      </w:r>
      <w:r>
        <w:t xml:space="preserve"> en raison du risque d'encéphalite amibienne primitive à *Naegleria fowleri* (amibe libre thermophile présente dans les réseaux d'eau chaude sanitaire, lacs et rivières ; pénètre par la lame criblée ethmoïdale vers le cerveau ; mortalité &gt; 97 %, décès en 3 à 7 jours après méningo-encéphalite fulminante). Utiliser exclusivement eau stérile, eau distillée bouillie refroidie, eau minérale naturelle, ou solution physiologique.</w:t>
      </w:r>
    </w:p>
    <w:p>
      <w:pPr>
        <w:pStyle w:val="ListBullet"/>
      </w:pPr>
      <w:r/>
      <w:r>
        <w:rPr>
          <w:b/>
        </w:rPr>
        <w:t>Traumatisme facial récent avec suspicion de fracture de la base du crâne</w:t>
      </w:r>
      <w:r>
        <w:t xml:space="preserve"> (rhinorrhée cérébro-spinale, otorrhée) — risque d'inoculation bactérienne du LCR.</w:t>
      </w:r>
    </w:p>
    <w:p>
      <w:pPr>
        <w:pStyle w:val="ListBullet"/>
      </w:pPr>
      <w:r/>
      <w:r>
        <w:rPr>
          <w:b/>
        </w:rPr>
        <w:t>Chirurgie récente de la base du crâne ou de l'ethmoïde</w:t>
      </w:r>
      <w:r>
        <w:t xml:space="preserve"> (avant cicatrisation complète de la dure-mère).</w:t>
      </w:r>
    </w:p>
    <w:p>
      <w:pPr>
        <w:pStyle w:val="ListBullet"/>
      </w:pPr>
      <w:r/>
      <w:r>
        <w:rPr>
          <w:b/>
        </w:rPr>
        <w:t>Troubles de la coagulation sévères</w:t>
      </w:r>
      <w:r>
        <w:t xml:space="preserve"> (hémophilie majeure, thrombopénie &lt; 50 G/L) — risque d'épistaxis déclenché par la pression d'irrigation.</w:t>
      </w:r>
    </w:p>
    <w:p>
      <w:pPr>
        <w:pStyle w:val="ListBullet"/>
      </w:pPr>
      <w:r/>
      <w:r>
        <w:rPr>
          <w:b/>
        </w:rPr>
        <w:t>Tamponnement nasal en place</w:t>
      </w:r>
      <w:r>
        <w:t xml:space="preserve"> — inefficacité et risque de mobilisation du tampon.</w:t>
      </w:r>
    </w:p>
    <w:p>
      <w:pPr>
        <w:pStyle w:val="ListBullet"/>
      </w:pPr>
      <w:r/>
      <w:r>
        <w:rPr>
          <w:b/>
        </w:rPr>
        <w:t>Obstruction nasale complète unilatérale</w:t>
      </w:r>
      <w:r>
        <w:t xml:space="preserve"> (polype volumineux, tumeur) — à évaluer par ORL avant lavage (risque d'hyperpression douloureuse).</w:t>
      </w:r>
    </w:p>
    <w:p>
      <w:pPr>
        <w:pStyle w:val="ListBullet"/>
      </w:pPr>
      <w:r/>
      <w:r>
        <w:rPr>
          <w:b/>
        </w:rPr>
        <w:t>Hypersensibilité connue aux constituants</w:t>
      </w:r>
      <w:r>
        <w:t xml:space="preserve"> (très rare, décrit pour conservateurs des flacons multidoses : chlorure de benzalkonium, phenoxyethanol).</w:t>
      </w:r>
    </w:p>
    <w:p>
      <w:pPr>
        <w:pStyle w:val="ListBullet"/>
      </w:pPr>
      <w:r/>
      <w:r>
        <w:rPr>
          <w:b/>
        </w:rPr>
        <w:t>Nourrisson de moins de 6 mois :</w:t>
      </w:r>
      <w:r>
        <w:t xml:space="preserve"> lavage par instillation (unidose) uniquement, pas d'irrigation sous pression.</w:t>
      </w:r>
    </w:p>
    <w:p>
      <w:pPr>
        <w:pStyle w:val="Heading4"/>
      </w:pPr>
      <w:r>
        <w:t>7. Précautions d'emploi / Mises en garde</w:t>
      </w:r>
    </w:p>
    <w:p>
      <w:pPr>
        <w:pStyle w:val="ListBullet"/>
      </w:pPr>
      <w:r/>
      <w:r>
        <w:rPr>
          <w:b/>
        </w:rPr>
        <w:t>Stérilité obligatoire</w:t>
      </w:r>
      <w:r>
        <w:t xml:space="preserve"> chez le nourrisson, le sujet immunodéprimé, le patient porteur de fistule lacrymale (risque de surinfection orbitaire), en post-opératoire ORL, et chez le patient porteur de valve d'aération tympanique (aérateur trans-tympanique) — risque d'inoculation directe de l'oreille moyenne par la solution.</w:t>
      </w:r>
    </w:p>
    <w:p>
      <w:pPr>
        <w:pStyle w:val="ListBullet"/>
      </w:pPr>
      <w:r/>
      <w:r>
        <w:rPr>
          <w:b/>
        </w:rPr>
        <w:t>Température de la solution :</w:t>
      </w:r>
      <w:r>
        <w:t xml:space="preserve"> proche de 37 °C (température corporelle) pour éviter le vertige calorique (réflexe vestibulaire déclenché par stimulation thermique du conduit auditif interne via la trompe d'Eustache). Une solution froide (&lt; 25 °C) provoque sensations vertigineuses et nausées.</w:t>
      </w:r>
    </w:p>
    <w:p>
      <w:pPr>
        <w:pStyle w:val="ListBullet"/>
      </w:pPr>
      <w:r/>
      <w:r>
        <w:rPr>
          <w:b/>
        </w:rPr>
        <w:t>Technique d'administration :</w:t>
      </w:r>
      <w:r>
        <w:t xml:space="preserve"> tête penchée à 45° en avant et latéralement du côté opposé à la marine irriguée, bouche ouverte pour permettre l'écoulement par la marine controlatérale (technique du "nasal rinse" en irrigation nasosinusienne). Ne pas inspirer pendant l'instillation.</w:t>
      </w:r>
    </w:p>
    <w:p>
      <w:pPr>
        <w:pStyle w:val="ListBullet"/>
      </w:pPr>
      <w:r/>
      <w:r>
        <w:rPr>
          <w:b/>
        </w:rPr>
        <w:t>Pression modérée :</w:t>
      </w:r>
      <w:r>
        <w:t xml:space="preserve"> éviter les irrigations à forte pression (risque théorique d'inoculation tubaire vers l'oreille moyenne ou de reflux par la trompe d'Eustache vers le conduit auditif externe avec otalgie).</w:t>
      </w:r>
    </w:p>
    <w:p>
      <w:pPr>
        <w:pStyle w:val="ListBullet"/>
      </w:pPr>
      <w:r/>
      <w:r>
        <w:rPr>
          <w:b/>
        </w:rPr>
        <w:t>Hygiène du dispositif :</w:t>
      </w:r>
      <w:r>
        <w:t xml:space="preserve"> nettoyage et séchage du nébuliseur, de la poire ou du flacon pressurisé après chaque usage ; remplacement mensuel du flacon multidose ouvert (risque de contamination bactérienne secondaire — *Pseudomonas aeruginosa* notamment). Ne jamais conserver une solution entamée plus de 24 h à température ambiante.</w:t>
      </w:r>
    </w:p>
    <w:p>
      <w:pPr>
        <w:pStyle w:val="ListBullet"/>
      </w:pPr>
      <w:r/>
      <w:r>
        <w:rPr>
          <w:b/>
        </w:rPr>
        <w:t>Adaptation pédiatrique :</w:t>
      </w:r>
      <w:r>
        <w:t xml:space="preserve"> nourrisson — instillation par unidose de 2 à 5 mL par marine, 2 à 4 fois par jour ; enfant &gt; 3 ans — spray nasal ; enfant &gt; 5 ans — irrigation par flacon souple possible.</w:t>
      </w:r>
    </w:p>
    <w:p>
      <w:pPr>
        <w:pStyle w:val="ListBullet"/>
      </w:pPr>
      <w:r/>
      <w:r>
        <w:rPr>
          <w:b/>
        </w:rPr>
        <w:t>Conservation :</w:t>
      </w:r>
      <w:r>
        <w:t xml:space="preserve"> température ambiante (15 à 25 °C), à l'abri du soleil ; après ouverture d'un flacon multidose non stérile, conservation limitée à 24 h ; unidoses jetables après usage unique.</w:t>
      </w:r>
    </w:p>
    <w:p>
      <w:pPr>
        <w:pStyle w:val="ListBullet"/>
      </w:pPr>
      <w:r/>
      <w:r>
        <w:rPr>
          <w:b/>
        </w:rPr>
        <w:t>Précaution particulière Algérie :</w:t>
      </w:r>
      <w:r>
        <w:t xml:space="preserve"> vérifier la provenance de l'eau utilisée pour les solutions "maison" préparées par les familles (eau minérale naturelle bouillie refroidie) ; proscrire l'eau du robinet non bouillie, en particulier dans les régions à climat chaud (Sahara, Sud algérien) où la prolifération amibienne thermophile est favorisée.</w:t>
      </w:r>
    </w:p>
    <w:p>
      <w:pPr>
        <w:pStyle w:val="Heading4"/>
      </w:pPr>
      <w:r>
        <w:t>8. Effets indésirables</w:t>
      </w:r>
    </w:p>
    <w:p>
      <w:pPr>
        <w:pStyle w:val="ListBullet"/>
      </w:pPr>
      <w:r/>
      <w:r>
        <w:rPr>
          <w:b/>
        </w:rPr>
        <w:t>Locaux nasaux (fréquents, bénins) :</w:t>
      </w:r>
      <w:r>
        <w:t xml:space="preserve"> picotements transitoires (surtout avec solution hypertonique), sensation de brûlure modérée (5-10 % des patients avec hypertonique 3 %), éternuements réflexes, augmentation transitoire de la rhinorrhée (1-2 minutes post-lavage), épistaxis mineure (microtraumatisme de la tache vasculaire de Kiesselbach) — à distinguer d'une épistaxis pathologique nécessitant arrêt et consultation.</w:t>
      </w:r>
    </w:p>
    <w:p>
      <w:pPr>
        <w:pStyle w:val="ListBullet"/>
      </w:pPr>
      <w:r/>
      <w:r>
        <w:rPr>
          <w:b/>
        </w:rPr>
        <w:t>Oto-rhino-laryngologiques :</w:t>
      </w:r>
      <w:r>
        <w:t xml:space="preserve"> sensation d'oreille bouchée (réflexe tubaire transitoire), otalgie brève en cas d'irrigation trop rapide ou trop froide, rarement otite moyenne aiguë par inoculation tubaire (à surveiller chez l'enfant porteur d'aérateur trans-tympanique).</w:t>
      </w:r>
    </w:p>
    <w:p>
      <w:pPr>
        <w:pStyle w:val="ListBullet"/>
      </w:pPr>
      <w:r/>
      <w:r>
        <w:rPr>
          <w:b/>
        </w:rPr>
        <w:t>Gastro-intestinaux :</w:t>
      </w:r>
      <w:r>
        <w:t xml:space="preserve"> déglutition d'une partie de la solution, avec nausées transitoires (surtout si solution hypertonique déglutie en quantité), goût salé en arrière-bouche.</w:t>
      </w:r>
    </w:p>
    <w:p>
      <w:pPr>
        <w:pStyle w:val="ListBullet"/>
      </w:pPr>
      <w:r/>
      <w:r>
        <w:rPr>
          <w:b/>
        </w:rPr>
        <w:t>Respiratoires :</w:t>
      </w:r>
      <w:r>
        <w:t xml:space="preserve"> très rarement micro-inhalation bronchique chez le nourrisson (avec toux transitoire) ; chez le patient porteur de trachéotomie, surveillance du risque d'encombrement bronchique par le volume dégluti.</w:t>
      </w:r>
    </w:p>
    <w:p>
      <w:pPr>
        <w:pStyle w:val="ListBullet"/>
      </w:pPr>
      <w:r/>
      <w:r>
        <w:rPr>
          <w:b/>
        </w:rPr>
        <w:t>Infectieux (exceptionnels mais graves) :</w:t>
      </w:r>
      <w:r>
        <w:t xml:space="preserve"> encéphalite amibienne primitive à *Naegleria fowleri* si utilisation d'eau du robinet non bouillie (mortalité &gt; 97 %) ; méningite bactérienne ou abcès cérébral en cas d'utilisation de solution non stérile chez patient porteur de brèche ostéoméningée.</w:t>
      </w:r>
    </w:p>
    <w:p>
      <w:pPr>
        <w:pStyle w:val="ListBullet"/>
      </w:pPr>
      <w:r/>
      <w:r>
        <w:rPr>
          <w:b/>
        </w:rPr>
        <w:t>Allergiques :</w:t>
      </w:r>
      <w:r>
        <w:t xml:space="preserve"> très rares réactions de contact aux conservateurs (chlorure de benzalkonium, phénoxyéthanol) — dermatite de contact des ailes du nez, prurit nasal.</w:t>
      </w:r>
    </w:p>
    <w:p>
      <w:pPr>
        <w:pStyle w:val="ListBullet"/>
      </w:pPr>
      <w:r/>
      <w:r>
        <w:rPr>
          <w:b/>
        </w:rPr>
        <w:t>Métaboliques (théoriques) :</w:t>
      </w:r>
      <w:r>
        <w:t xml:space="preserve"> hypernatrémie transitoire en cas d'irrigation massive et répétée de solution hypertonique 3 % chez le nourrisson (non documentée cliniquement mais à surveiller).</w:t>
      </w:r>
    </w:p>
    <w:p>
      <w:pPr>
        <w:pStyle w:val="Heading4"/>
      </w:pPr>
      <w:r>
        <w:t>9. Interactions médicamenteuses</w:t>
      </w:r>
    </w:p>
    <w:p>
      <w:pPr>
        <w:pStyle w:val="ListBullet"/>
      </w:pPr>
      <w:r/>
      <w:r>
        <w:rPr>
          <w:b/>
        </w:rPr>
        <w:t>Avec les corticoïdes nasaux (fluticasone, mométasone, budésonide) :</w:t>
      </w:r>
      <w:r>
        <w:t xml:space="preserve"> le lavage nasal préalable (10 à 15 minutes avant) améliore la pénétration et l'efficacité du corticoïde nasal en réduisant la couche de mucus qui empêche le contact direct du principe actif avec la muqueuse. À recommander systématiquement en cas de rhinite chronique ou de polypose nasale.</w:t>
      </w:r>
    </w:p>
    <w:p>
      <w:pPr>
        <w:pStyle w:val="ListBullet"/>
      </w:pPr>
      <w:r/>
      <w:r>
        <w:rPr>
          <w:b/>
        </w:rPr>
        <w:t>Avec les antihistaminiques nasaux (azélastine, olépatadine) :</w:t>
      </w:r>
      <w:r>
        <w:t xml:space="preserve"> même logique — espacer de 10 minutes.</w:t>
      </w:r>
    </w:p>
    <w:p>
      <w:pPr>
        <w:pStyle w:val="ListBullet"/>
      </w:pPr>
      <w:r/>
      <w:r>
        <w:rPr>
          <w:b/>
        </w:rPr>
        <w:t>Avec les vasoconstricteurs nasaux (oxymétazoline, pseudoéphédrine) :</w:t>
      </w:r>
      <w:r>
        <w:t xml:space="preserve"> le lavage préalable potentialise l'effet décongestionnant et réduit la dose efficace de vasoconstricteur (limitation du risque de rhinite médicamenteuse).</w:t>
      </w:r>
    </w:p>
    <w:p>
      <w:pPr>
        <w:pStyle w:val="ListBullet"/>
      </w:pPr>
      <w:r/>
      <w:r>
        <w:rPr>
          <w:b/>
        </w:rPr>
        <w:t>Avec les vaccins nasaux (FluMist®) :</w:t>
      </w:r>
      <w:r>
        <w:t xml:space="preserve"> ne pas laver le nez dans l'heure précédant ni suivant l'administration du vaccin vivant atténué antigrippal intranasal (risque de réduction de l'efficacité vaccinale).</w:t>
      </w:r>
    </w:p>
    <w:p>
      <w:pPr>
        <w:pStyle w:val="ListBullet"/>
      </w:pPr>
      <w:r>
        <w:t>**Avec les antibiotiques locaux nasaux (mupirocine, fusidique acid en pommade nasale dans la décolonisation de *S. aureus* nasal) :** espacer le lavage de 30 minutes avant l'application.</w:t>
      </w:r>
    </w:p>
    <w:p>
      <w:pPr>
        <w:pStyle w:val="Heading4"/>
      </w:pPr>
      <w:r>
        <w:t>10. Grossesse / Allaitement (CRAT)</w:t>
      </w:r>
    </w:p>
    <w:p>
      <w:pPr>
        <w:pStyle w:val="ListBullet"/>
      </w:pPr>
      <w:r/>
      <w:r>
        <w:rPr>
          <w:b/>
        </w:rPr>
        <w:t>Grossesse :</w:t>
      </w:r>
      <w:r>
        <w:t xml:space="preserve"> Autorisé à tous les trimestres. Le chlorure de sodium, l'eau de mer et l'eau stérile ne franchissent pas la barrière placentaire en quantité significative (absorption systémique négligeable). Le lavage nasal isotonique est le traitement de première intention de la rhinite de la grossesse (vasomotrice hormonale touchant 20 à 30 % des femmes enceintes, surtout au 2ᵉ et 3ᵉ trimestre) en remplacement des vasoconstriceurs nasaux qui sont contre-indiqués (risque vasoconstricteur placentaire, hypertension artérielle gravidique). L'hypertonique peut être utilisé ponctuellement (3-5 jours maximum) en cas d'obstruction sévère, sous surveillance obstétricale.</w:t>
      </w:r>
    </w:p>
    <w:p>
      <w:pPr>
        <w:pStyle w:val="ListBullet"/>
      </w:pPr>
      <w:r/>
      <w:r>
        <w:rPr>
          <w:b/>
        </w:rPr>
        <w:t>Allaitement :</w:t>
      </w:r>
      <w:r>
        <w:t xml:space="preserve"> Autorisé. Aucun passage dans le lait maternel. Technique d'hygiène nasale de la mère compatible avec l'allaitement ; aucune restriction de durée de traitement.</w:t>
      </w:r>
    </w:p>
    <w:p>
      <w:pPr>
        <w:pStyle w:val="ListBullet"/>
      </w:pPr>
      <w:r/>
      <w:r>
        <w:rPr>
          <w:b/>
        </w:rPr>
        <w:t>Nourrisson (CRAT pédiatrie) :</w:t>
      </w:r>
      <w:r>
        <w:t xml:space="preserve"> Autorisé dès la naissance, à utiliser en instillation (unidose) sans pression, en respectant la stérilité de la solution. Pas d'irrigation à pression avant 6 mois. À 6 mois et au-delà, spray doux possible.</w:t>
      </w:r>
    </w:p>
    <w:p>
      <w:pPr>
        <w:pStyle w:val="Heading4"/>
      </w:pPr>
      <w:r>
        <w:t>11. Posologie &amp; mode d'administration</w:t>
      </w:r>
    </w:p>
    <w:p>
      <w:pPr>
        <w:pStyle w:val="ListBullet"/>
      </w:pPr>
      <w:r/>
      <w:r>
        <w:rPr>
          <w:b/>
        </w:rPr>
        <w:t>Adulte :</w:t>
      </w:r>
      <w:r/>
    </w:p>
    <w:p>
      <w:pPr>
        <w:pStyle w:val="ListBullet"/>
      </w:pPr>
      <w:r>
        <w:t>Hygiène quotidienne : 1 à 2 lavages par jour (matin et soir), 5 à 10 mL par marine, en spray isotonique ou en instillation.</w:t>
      </w:r>
    </w:p>
    <w:p>
      <w:pPr>
        <w:pStyle w:val="ListBullet"/>
      </w:pPr>
      <w:r>
        <w:t>Rhinite aiguë virale : 3 à 6 lavages par jour jusqu'à amélioration, solution isotonique ou hypertonique selon tolérance.</w:t>
      </w:r>
    </w:p>
    <w:p>
      <w:pPr>
        <w:pStyle w:val="ListBullet"/>
      </w:pPr>
      <w:r>
        <w:t>Sinusite : 2 à 3 irrigations nasosinusiennes par jour, 100 à 200 mL par fosse nasale, solution hypertonique 2 % possible en cure courte.</w:t>
      </w:r>
    </w:p>
    <w:p>
      <w:pPr>
        <w:pStyle w:val="ListBullet"/>
      </w:pPr>
      <w:r>
        <w:t>Soins post-opératoires : 4 à 6 lavages par jour pendant 2 semaines puis espacement progressif.</w:t>
      </w:r>
    </w:p>
    <w:p>
      <w:pPr>
        <w:pStyle w:val="ListBullet"/>
      </w:pPr>
      <w:r/>
      <w:r>
        <w:rPr>
          <w:b/>
        </w:rPr>
        <w:t>Enfant &gt; 3 ans :</w:t>
      </w:r>
      <w:r>
        <w:t xml:space="preserve"> spray isotonique, 1 à 2 pulvérisations par marine, 2 à 4 fois par jour.</w:t>
      </w:r>
    </w:p>
    <w:p>
      <w:pPr>
        <w:pStyle w:val="ListBullet"/>
      </w:pPr>
      <w:r/>
      <w:r>
        <w:rPr>
          <w:b/>
        </w:rPr>
        <w:t>Nourrisson &lt; 3 ans :</w:t>
      </w:r>
      <w:r>
        <w:t xml:space="preserve"> instillation par unidose stérile, 2 à 5 mL par marine, 2 à 4 fois par jour, avant les repas et avant le coucher.</w:t>
      </w:r>
    </w:p>
    <w:p>
      <w:pPr>
        <w:pStyle w:val="ListBullet"/>
      </w:pPr>
      <w:r/>
      <w:r>
        <w:rPr>
          <w:b/>
        </w:rPr>
        <w:t>Sujet âgé :</w:t>
      </w:r>
      <w:r>
        <w:t xml:space="preserve"> spray hydratant isotonique, 1 à 2 pulvérisations par marine, matin et soir ; ramollissement des croûtes par instillation d'huile végétale stérile (amande douce) en complément.</w:t>
      </w:r>
    </w:p>
    <w:p>
      <w:r/>
      <w:r>
        <w:rPr>
          <w:b/>
        </w:rPr>
        <w:t>Technique d'administration :</w:t>
      </w:r>
      <w:r/>
    </w:p>
    <w:p>
      <w:pPr>
        <w:pStyle w:val="ListNumber"/>
      </w:pPr>
      <w:r>
        <w:t>Se pencher en avant au-dessus d'un lavabo, tête inclinée à 45° latéralement.</w:t>
      </w:r>
    </w:p>
    <w:p>
      <w:pPr>
        <w:pStyle w:val="ListNumber"/>
      </w:pPr>
      <w:r>
        <w:t>Introduire l'embout du flacon/pulvérisateur dans la marine supérieure.</w:t>
      </w:r>
    </w:p>
    <w:p>
      <w:pPr>
        <w:pStyle w:val="ListNumber"/>
      </w:pPr>
      <w:r>
        <w:t>Actionner doucement (spray) ou comprimer doucement (flacon souple) sans inspiration.</w:t>
      </w:r>
    </w:p>
    <w:p>
      <w:pPr>
        <w:pStyle w:val="ListNumber"/>
      </w:pPr>
      <w:r>
        <w:t>Laisser la solution s'écouler par la marine controlatérale (irrigation) ou l'expectorer/déglutir (instillation).</w:t>
      </w:r>
    </w:p>
    <w:p>
      <w:pPr>
        <w:pStyle w:val="ListNumber"/>
      </w:pPr>
      <w:r>
        <w:t>souffler doucement par le nez pour évacuer l'excédent (sans pincer les narines).</w:t>
      </w:r>
    </w:p>
    <w:p>
      <w:pPr>
        <w:pStyle w:val="ListNumber"/>
      </w:pPr>
      <w:r>
        <w:t>Répéter de l'autre côté.</w:t>
      </w:r>
    </w:p>
    <w:p>
      <w:pPr>
        <w:pStyle w:val="ListNumber"/>
      </w:pPr>
      <w:r>
        <w:t>Nettoyer l'embout à l'eau et sécher.</w:t>
      </w:r>
    </w:p>
    <w:p>
      <w:pPr>
        <w:pStyle w:val="Heading4"/>
      </w:pPr>
      <w:r>
        <w:t>12. Conseils au patient / Pièges au comptoir / Arbitrage galénique</w:t>
      </w:r>
    </w:p>
    <w:p>
      <w:pPr>
        <w:pStyle w:val="ListBullet"/>
      </w:pPr>
      <w:r/>
      <w:r>
        <w:rPr>
          <w:b/>
        </w:rPr>
        <w:t>Piège majeur — eau du robinet :</w:t>
      </w:r>
      <w:r>
        <w:t xml:space="preserve"> Insister auprès du patient sur l'interdiction absolue d'utiliser de l'eau du robinet non bouillie pour préparer une solution "maison". Préférer l'eau minérale naturelle en bouteille, l'eau distillée stérile, ou la solution physiologique en ampoule. Bouillir l'eau 3 à 5 minutes et laisser refroidir à 37 °C est acceptable.</w:t>
      </w:r>
    </w:p>
    <w:p>
      <w:pPr>
        <w:pStyle w:val="ListBullet"/>
      </w:pPr>
      <w:r/>
      <w:r>
        <w:rPr>
          <w:b/>
        </w:rPr>
        <w:t>Arbitrage isotonique vs hypertonique :</w:t>
      </w:r>
      <w:r/>
    </w:p>
    <w:p>
      <w:pPr>
        <w:pStyle w:val="ListBullet"/>
      </w:pPr>
      <w:r>
        <w:t>Isotonique (0,9 %) : indiqué pour l'hygiène quotidienne, le nourrisson, la grossesse, la sécheresse nasale atrophique. À privilégier pour usage prolongé.</w:t>
      </w:r>
    </w:p>
    <w:p>
      <w:pPr>
        <w:pStyle w:val="ListBullet"/>
      </w:pPr>
      <w:r>
        <w:t>Hypertonique (2 à 3 %) : indiqué en cure courte (5 à 10 jours) pour obstruction nasale marquée, sinusite, rhinite allergique sévère. À éviter chez le nourrisson &lt; 6 mois (irritation, hypernatrémie théorique) et chez la femme enceinte au 1er trimestre (par prudence).</w:t>
      </w:r>
    </w:p>
    <w:p>
      <w:pPr>
        <w:pStyle w:val="ListBullet"/>
      </w:pPr>
      <w:r/>
      <w:r>
        <w:rPr>
          <w:b/>
        </w:rPr>
        <w:t>Choix galénique :</w:t>
      </w:r>
      <w:r/>
    </w:p>
    <w:p>
      <w:pPr>
        <w:pStyle w:val="ListBullet"/>
      </w:pPr>
      <w:r>
        <w:t>Unidose (2-5 mL) : nourrisson, hygiène nomade, garantie de stérilité, sans conservateur.</w:t>
      </w:r>
    </w:p>
    <w:p>
      <w:pPr>
        <w:pStyle w:val="ListBullet"/>
      </w:pPr>
      <w:r>
        <w:t>Spray (50-200 mL) : enfant et adulte, usage prolongé, conservation 3-6 mois après ouverture (avec conservateur type chlorure de benzalkonium — à éviter chez l'enfant &lt; 3 ans).</w:t>
      </w:r>
    </w:p>
    <w:p>
      <w:pPr>
        <w:pStyle w:val="ListBullet"/>
      </w:pPr>
      <w:r>
        <w:t>Flacon souple à effet squeeze (150-300 mL) : irrigation nasosinusienne adulte, sans conservateur, à usage unique ou avec nettoyage rigoureux.</w:t>
      </w:r>
    </w:p>
    <w:p>
      <w:pPr>
        <w:pStyle w:val="ListBullet"/>
      </w:pPr>
      <w:r>
        <w:t>Nébuliseur électrique : mucoviscidose, dilatation des bronches, post-chirurgie sinusienne.</w:t>
      </w:r>
    </w:p>
    <w:p>
      <w:pPr>
        <w:pStyle w:val="ListBullet"/>
      </w:pPr>
      <w:r/>
      <w:r>
        <w:rPr>
          <w:b/>
        </w:rPr>
        <w:t>Eau de mer vs sérum physiologique :</w:t>
      </w:r>
      <w:r>
        <w:t xml:space="preserve"> l'eau de mer diluée (Stérimar®, Physiomer®, Marimer®) apporte des oligo-éléments bénéfiques ; privilégier chez l'enfant allergique, en post-opératoire, en atmosphère polluée. Le sérum physiologique simple (NaCl 0,9 %) suffit pour l'hygiène quotidienne du nourrisson.</w:t>
      </w:r>
    </w:p>
    <w:p>
      <w:pPr>
        <w:pStyle w:val="ListBullet"/>
      </w:pPr>
      <w:r/>
      <w:r>
        <w:rPr>
          <w:b/>
        </w:rPr>
        <w:t>Fréquence excessive :</w:t>
      </w:r>
      <w:r>
        <w:t xml:space="preserve"> proscrire les lavages trop fréquents (&gt; 6 fois par jour) chez l'adulte sain — risque de détersion de la couche lipidique protectrice de la muqueuse nasale et de rhinite irritative.</w:t>
      </w:r>
    </w:p>
    <w:p>
      <w:pPr>
        <w:pStyle w:val="ListBullet"/>
      </w:pPr>
      <w:r/>
      <w:r>
        <w:rPr>
          <w:b/>
        </w:rPr>
        <w:t>Patient asthmatique :</w:t>
      </w:r>
      <w:r>
        <w:t xml:space="preserve"> proscrire les solutions contenant du chlorure de benzalkonium (déclencheur de bronchospasme par irritation du neuro-récepteur sensoriel trigéminal) ; préférer unidoses sans conservateur.</w:t>
      </w:r>
    </w:p>
    <w:p>
      <w:pPr>
        <w:pStyle w:val="ListBullet"/>
      </w:pPr>
      <w:r/>
      <w:r>
        <w:rPr>
          <w:b/>
        </w:rPr>
        <w:t>Éducation à l'observance :</w:t>
      </w:r>
      <w:r>
        <w:t xml:space="preserve"> le lavage nasal est souvent perçu comme "insuffisant" par le patient qui attend un effet décongestionnant immédiat. Expliquer que l'efficacité est maximale après 3-5 jours de lavage régulier et qu'il est adjuvant, pas curatif isolé.</w:t>
      </w:r>
    </w:p>
    <w:p>
      <w:pPr>
        <w:pStyle w:val="Heading2"/>
      </w:pPr>
      <w:r>
        <w:t>Sous-classe 2 — Sevrage tabagique : Nicotine (substituts nicotiniques)</w:t>
      </w:r>
    </w:p>
    <w:p>
      <w:pPr>
        <w:pStyle w:val="Heading3"/>
      </w:pPr>
      <w:r>
        <w:t>Introduction à la sous-classe</w:t>
      </w:r>
    </w:p>
    <w:p>
      <w:r>
        <w:t>Le tabagisme est la première cause de mortalité évitable en Algérie comme dans le reste du monde : il est responsable de plus de 8 millions de décès annuels à l'échelle mondiale (OMS) et de près de 50 000 décès annuels en Algérie (cancers bronchiques, cancers ORL, cardiopathies ischémiques, accidents vasculaires cérébraux, BPCO). La prévalence du tabagisme en Algérie est estimée à 25-30 % chez les hommes adultes, 3-5 % chez les femmes adultes, avec une progression inquiétante chez les adolescentes et les jeunes adultes urbains, ainsi qu'une augmentation marquée de la consommation de narguilé (chicha) chez les 15-25 ans. La dépendance tabagique est une addiction chronique à la nicotine, alcaloïde naturel du tabac (</w:t>
      </w:r>
      <w:r>
        <w:rPr>
          <w:i/>
        </w:rPr>
        <w:t>Nicotiana tabacum</w:t>
      </w:r>
      <w:r>
        <w:t>) qui se fixe sur les récepteurs nicotiniques de l'acétylcholine (nAChR), notamment les sous-types α4β2 du système mésolimbique (aire tegmentale ventrale → noyau accumbens), déclenchant la libération de dopamine, neurotransmetteur du circuit de la récompense. La dépendance s'installe en quelques semaines à mois, et le sevrage s'accompagne d'un syndrome caractérisé par : craving (envie impérieuse de fumer), irritabilité, anxiété, dysphorie, insomnie, difficultés de concentration, augmentation de l'appétit, ralentissement du rythme cardiaque (1 à 2 minutes par jour), prise de poids (2 à 4 kg en moyenne). Les substituts nicotiniques (SN) constituent, avec la varénicline (agoniste partiel α4β2) et le bupropion (inhibiteur recapture dopamine/noradrénaline), l'un des trois piliers pharmacologiques validés du sevrage tabagique. Ils ont pour principe de remplacer la nicotine apportée par le tabac par une nicotine pharmaceutique de pureté contrôlée, administrée à dose progressivement décroissante et par voie non pulmonaire (transdermique, orale sublinguale, orale à sucer, nasale, inhalée buccale), évitant ainsi les 4 000 substances toxiques et 70 cancérogènes de la fumée de tabac (goudrons, monoxyde de carbone, nitrosamines spécifiques du tabac, hydrocarbures aromatiques polycycliques, métaux lourds). L'efficacité des SN est démontrée par de nombreuses méta-analyses Cochrane : odds-ratio d'abstinence à 6 mois multiplié par 1,5 à 2,3 versus placebo, selon la forme galénique et l'association de formulations. L'OMS classe les substituts nicotiniques parmi les médicaments essentiels (WHO Model List of Essential Medicines) et recommande leur mise à disposition en libre accès (sans prescription obligatoire) pour augmenter le taux de tentatives d'arrêt. En Algérie, l'accès aux substituts nicotiniques est variable : patchs transdermiques (Nicotinell®, Nicopatch®), pastilles à sucer (Nicopass®) et gommes à mâcher (Nicorette®) sont disponibles en officine mais non remboursés par la Sécurité sociale, ce qui constitue un frein financier majeur (coût mensuel 3 500 à 5 000 DA en 2024) limitant l'utilisation à 5-7 % des fumeurs algériens ayant fait une tentative d'arrêt.</w:t>
      </w:r>
    </w:p>
    <w:p>
      <w:pPr>
        <w:pStyle w:val="Heading3"/>
      </w:pPr>
      <w:r>
        <w:t>DCI 2 — Nicotine (substituts nicotiniques)</w:t>
      </w:r>
    </w:p>
    <w:p>
      <w:pPr>
        <w:pStyle w:val="Heading4"/>
      </w:pPr>
      <w:r>
        <w:t>1. Catégories / Liste</w:t>
      </w:r>
    </w:p>
    <w:tbl>
      <w:tblPr>
        <w:tblStyle w:val="LightGrid-Accent1"/>
        <w:tblW w:type="auto" w:w="0"/>
        <w:tblLook w:firstColumn="1" w:firstRow="1" w:lastColumn="0" w:lastRow="0" w:noHBand="0" w:noVBand="1" w:val="04A0"/>
      </w:tblPr>
      <w:tblGrid>
        <w:gridCol w:w="4677"/>
        <w:gridCol w:w="4677"/>
      </w:tblGrid>
      <w:tr>
        <w:tc>
          <w:tcPr>
            <w:tcW w:type="dxa" w:w="4677"/>
          </w:tcPr>
          <w:p>
            <w:r>
              <w:rPr>
                <w:b/>
                <w:sz w:val="20"/>
              </w:rPr>
              <w:t>Catégorie</w:t>
            </w:r>
          </w:p>
        </w:tc>
        <w:tc>
          <w:tcPr>
            <w:tcW w:type="dxa" w:w="4677"/>
          </w:tcPr>
          <w:p>
            <w:r>
              <w:rPr>
                <w:b/>
                <w:sz w:val="20"/>
              </w:rPr>
              <w:t>Statut réglementaire algérien</w:t>
            </w:r>
          </w:p>
        </w:tc>
      </w:tr>
      <w:tr>
        <w:tc>
          <w:tcPr>
            <w:tcW w:type="dxa" w:w="4677"/>
          </w:tcPr>
          <w:p>
            <w:r>
              <w:rPr>
                <w:sz w:val="20"/>
              </w:rPr>
              <w:t>Classe ATC</w:t>
            </w:r>
          </w:p>
        </w:tc>
        <w:tc>
          <w:tcPr>
            <w:tcW w:type="dxa" w:w="4677"/>
          </w:tcPr>
          <w:p>
            <w:r>
              <w:rPr>
                <w:sz w:val="20"/>
              </w:rPr>
              <w:t>N07BA01 — Nicotine (médicaments du sevrage des dépendances)</w:t>
            </w:r>
          </w:p>
        </w:tc>
      </w:tr>
      <w:tr>
        <w:tc>
          <w:tcPr>
            <w:tcW w:type="dxa" w:w="4677"/>
          </w:tcPr>
          <w:p>
            <w:r>
              <w:rPr>
                <w:sz w:val="20"/>
              </w:rPr>
              <w:t>Réglementation</w:t>
            </w:r>
          </w:p>
        </w:tc>
        <w:tc>
          <w:tcPr>
            <w:tcW w:type="dxa" w:w="4677"/>
          </w:tcPr>
          <w:p>
            <w:r>
              <w:rPr>
                <w:sz w:val="20"/>
              </w:rPr>
              <w:t>Liste II en France ; en Algérie, accès libre (sans prescription obligatoire) pour les formes à visée de sevrage tabagique — prescription médicale conseillée mais non obligatoire</w:t>
            </w:r>
          </w:p>
        </w:tc>
      </w:tr>
      <w:tr>
        <w:tc>
          <w:tcPr>
            <w:tcW w:type="dxa" w:w="4677"/>
          </w:tcPr>
          <w:p>
            <w:r>
              <w:rPr>
                <w:sz w:val="20"/>
              </w:rPr>
              <w:t>Prescription</w:t>
            </w:r>
          </w:p>
        </w:tc>
        <w:tc>
          <w:tcPr>
            <w:tcW w:type="dxa" w:w="4677"/>
          </w:tcPr>
          <w:p>
            <w:r>
              <w:rPr>
                <w:sz w:val="20"/>
              </w:rPr>
              <w:t>Non obligatoire ; recommandée pour initiation et adaptation posologique</w:t>
            </w:r>
          </w:p>
        </w:tc>
      </w:tr>
      <w:tr>
        <w:tc>
          <w:tcPr>
            <w:tcW w:type="dxa" w:w="4677"/>
          </w:tcPr>
          <w:p>
            <w:r>
              <w:rPr>
                <w:sz w:val="20"/>
              </w:rPr>
              <w:t>Remboursement</w:t>
            </w:r>
          </w:p>
        </w:tc>
        <w:tc>
          <w:tcPr>
            <w:tcW w:type="dxa" w:w="4677"/>
          </w:tcPr>
          <w:p>
            <w:r>
              <w:rPr>
                <w:sz w:val="20"/>
              </w:rPr>
              <w:t>Non remboursé par la Sécurité sociale algérienne (prise en charge intégrale en France depuis 2019 pour lesPatchs/gommes en première intention)</w:t>
            </w:r>
          </w:p>
        </w:tc>
      </w:tr>
      <w:tr>
        <w:tc>
          <w:tcPr>
            <w:tcW w:type="dxa" w:w="4677"/>
          </w:tcPr>
          <w:p>
            <w:r>
              <w:rPr>
                <w:sz w:val="20"/>
              </w:rPr>
              <w:t>Indication</w:t>
            </w:r>
          </w:p>
        </w:tc>
        <w:tc>
          <w:tcPr>
            <w:tcW w:type="dxa" w:w="4677"/>
          </w:tcPr>
          <w:p>
            <w:r>
              <w:rPr>
                <w:sz w:val="20"/>
              </w:rPr>
              <w:t>Aide au sevrage tabagique chez le sujet dépendant à la nicotine (test de Fagerström ≥ 5) ; réduction de la consommation tabagique chez le sujet non prêt à l'arrêt total (réduction des risques)</w:t>
            </w:r>
          </w:p>
        </w:tc>
      </w:tr>
      <w:tr>
        <w:tc>
          <w:tcPr>
            <w:tcW w:type="dxa" w:w="4677"/>
          </w:tcPr>
          <w:p>
            <w:r>
              <w:rPr>
                <w:sz w:val="20"/>
              </w:rPr>
              <w:t>Statut particulier</w:t>
            </w:r>
          </w:p>
        </w:tc>
        <w:tc>
          <w:tcPr>
            <w:tcW w:type="dxa" w:w="4677"/>
          </w:tcPr>
          <w:p>
            <w:r>
              <w:rPr>
                <w:sz w:val="20"/>
              </w:rPr>
              <w:t>Médicament à prescription hospitalière pour certaines formes (inhalateur buccal, spray nasal)</w:t>
            </w:r>
          </w:p>
        </w:tc>
      </w:tr>
    </w:tbl>
    <w:p/>
    <w:p>
      <w:pPr>
        <w:pStyle w:val="Heading4"/>
      </w:pPr>
      <w:r>
        <w:t>2. Médicaments et spécialités disponibles en Algérie (nomenclature avril 2026)</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NICOTINELL</w:t>
            </w:r>
          </w:p>
        </w:tc>
        <w:tc>
          <w:tcPr>
            <w:tcW w:type="dxa" w:w="1559"/>
          </w:tcPr>
          <w:p>
            <w:r>
              <w:rPr>
                <w:sz w:val="20"/>
              </w:rPr>
              <w:t>NOVARTIS SANTE FAMILIALE SAS France</w:t>
            </w:r>
          </w:p>
        </w:tc>
        <w:tc>
          <w:tcPr>
            <w:tcW w:type="dxa" w:w="1559"/>
          </w:tcPr>
          <w:p>
            <w:r>
              <w:rPr>
                <w:sz w:val="20"/>
              </w:rPr>
              <w:t>Dispositif transdermique (patch) 7 mg/24 h (17,5 mg de S(-) nicotine totale par dispositif de 10 cm²)</w:t>
            </w:r>
          </w:p>
        </w:tc>
        <w:tc>
          <w:tcPr>
            <w:tcW w:type="dxa" w:w="1559"/>
          </w:tcPr>
          <w:p>
            <w:r>
              <w:rPr>
                <w:sz w:val="20"/>
              </w:rPr>
              <w:t>B/07 et B/28</w:t>
            </w:r>
          </w:p>
        </w:tc>
        <w:tc>
          <w:tcPr>
            <w:tcW w:type="dxa" w:w="1559"/>
          </w:tcPr>
          <w:p>
            <w:r>
              <w:rPr>
                <w:sz w:val="20"/>
              </w:rPr>
              <w:t>Hors liste</w:t>
            </w:r>
          </w:p>
        </w:tc>
        <w:tc>
          <w:tcPr>
            <w:tcW w:type="dxa" w:w="1559"/>
          </w:tcPr>
          <w:p>
            <w:r>
              <w:rPr>
                <w:sz w:val="20"/>
              </w:rPr>
              <w:t>Non Renouvelable</w:t>
            </w:r>
          </w:p>
        </w:tc>
      </w:tr>
      <w:tr>
        <w:tc>
          <w:tcPr>
            <w:tcW w:type="dxa" w:w="1559"/>
          </w:tcPr>
          <w:p>
            <w:r>
              <w:rPr>
                <w:sz w:val="20"/>
              </w:rPr>
              <w:t>NICOTINELL</w:t>
            </w:r>
          </w:p>
        </w:tc>
        <w:tc>
          <w:tcPr>
            <w:tcW w:type="dxa" w:w="1559"/>
          </w:tcPr>
          <w:p>
            <w:r>
              <w:rPr>
                <w:sz w:val="20"/>
              </w:rPr>
              <w:t>NOVARTIS SANTE FAMILIALE SAS France</w:t>
            </w:r>
          </w:p>
        </w:tc>
        <w:tc>
          <w:tcPr>
            <w:tcW w:type="dxa" w:w="1559"/>
          </w:tcPr>
          <w:p>
            <w:r>
              <w:rPr>
                <w:sz w:val="20"/>
              </w:rPr>
              <w:t>Dispositif transdermique (patch) 14 mg/24 h (35 mg de S(-) nicotine totale par dispositif de 20 cm²)</w:t>
            </w:r>
          </w:p>
        </w:tc>
        <w:tc>
          <w:tcPr>
            <w:tcW w:type="dxa" w:w="1559"/>
          </w:tcPr>
          <w:p>
            <w:r>
              <w:rPr>
                <w:sz w:val="20"/>
              </w:rPr>
              <w:t>B/07 et B/28</w:t>
            </w:r>
          </w:p>
        </w:tc>
        <w:tc>
          <w:tcPr>
            <w:tcW w:type="dxa" w:w="1559"/>
          </w:tcPr>
          <w:p>
            <w:r>
              <w:rPr>
                <w:sz w:val="20"/>
              </w:rPr>
              <w:t>Hors liste</w:t>
            </w:r>
          </w:p>
        </w:tc>
        <w:tc>
          <w:tcPr>
            <w:tcW w:type="dxa" w:w="1559"/>
          </w:tcPr>
          <w:p>
            <w:r>
              <w:rPr>
                <w:sz w:val="20"/>
              </w:rPr>
              <w:t>Non Renouvelable</w:t>
            </w:r>
          </w:p>
        </w:tc>
      </w:tr>
      <w:tr>
        <w:tc>
          <w:tcPr>
            <w:tcW w:type="dxa" w:w="1559"/>
          </w:tcPr>
          <w:p>
            <w:r>
              <w:rPr>
                <w:sz w:val="20"/>
              </w:rPr>
              <w:t>NICOTINELL</w:t>
            </w:r>
          </w:p>
        </w:tc>
        <w:tc>
          <w:tcPr>
            <w:tcW w:type="dxa" w:w="1559"/>
          </w:tcPr>
          <w:p>
            <w:r>
              <w:rPr>
                <w:sz w:val="20"/>
              </w:rPr>
              <w:t>NOVARTIS SANTE FAMILIALE SAS France</w:t>
            </w:r>
          </w:p>
        </w:tc>
        <w:tc>
          <w:tcPr>
            <w:tcW w:type="dxa" w:w="1559"/>
          </w:tcPr>
          <w:p>
            <w:r>
              <w:rPr>
                <w:sz w:val="20"/>
              </w:rPr>
              <w:t>Dispositif transdermique (patch) 21 mg/24 h (52,5 mg de S(-) nicotine totale par dispositif de 30 cm²)</w:t>
            </w:r>
          </w:p>
        </w:tc>
        <w:tc>
          <w:tcPr>
            <w:tcW w:type="dxa" w:w="1559"/>
          </w:tcPr>
          <w:p>
            <w:r>
              <w:rPr>
                <w:sz w:val="20"/>
              </w:rPr>
              <w:t>B/07 et B/28</w:t>
            </w:r>
          </w:p>
        </w:tc>
        <w:tc>
          <w:tcPr>
            <w:tcW w:type="dxa" w:w="1559"/>
          </w:tcPr>
          <w:p>
            <w:r>
              <w:rPr>
                <w:sz w:val="20"/>
              </w:rPr>
              <w:t>Hors liste</w:t>
            </w:r>
          </w:p>
        </w:tc>
        <w:tc>
          <w:tcPr>
            <w:tcW w:type="dxa" w:w="1559"/>
          </w:tcPr>
          <w:p>
            <w:r>
              <w:rPr>
                <w:sz w:val="20"/>
              </w:rPr>
              <w:t>Non Renouvelable</w:t>
            </w:r>
          </w:p>
        </w:tc>
      </w:tr>
      <w:tr>
        <w:tc>
          <w:tcPr>
            <w:tcW w:type="dxa" w:w="1559"/>
          </w:tcPr>
          <w:p>
            <w:r>
              <w:rPr>
                <w:sz w:val="20"/>
              </w:rPr>
              <w:t>NICOPATCH</w:t>
            </w:r>
          </w:p>
        </w:tc>
        <w:tc>
          <w:tcPr>
            <w:tcW w:type="dxa" w:w="1559"/>
          </w:tcPr>
          <w:p>
            <w:r>
              <w:rPr>
                <w:sz w:val="20"/>
              </w:rPr>
              <w:t>PIERRE FABRE MEDICAMENT</w:t>
            </w:r>
          </w:p>
        </w:tc>
        <w:tc>
          <w:tcPr>
            <w:tcW w:type="dxa" w:w="1559"/>
          </w:tcPr>
          <w:p>
            <w:r>
              <w:rPr>
                <w:sz w:val="20"/>
              </w:rPr>
              <w:t>Dispositif transdermique 17,5 mg/dispositif de 10 cm² (27 mg/24 h)</w:t>
            </w:r>
          </w:p>
        </w:tc>
        <w:tc>
          <w:tcPr>
            <w:tcW w:type="dxa" w:w="1559"/>
          </w:tcPr>
          <w:p>
            <w:r>
              <w:rPr>
                <w:sz w:val="20"/>
              </w:rPr>
              <w:t>B/07</w:t>
            </w:r>
          </w:p>
        </w:tc>
        <w:tc>
          <w:tcPr>
            <w:tcW w:type="dxa" w:w="1559"/>
          </w:tcPr>
          <w:p>
            <w:r>
              <w:rPr>
                <w:sz w:val="20"/>
              </w:rPr>
              <w:t>Hors liste</w:t>
            </w:r>
          </w:p>
        </w:tc>
        <w:tc>
          <w:tcPr>
            <w:tcW w:type="dxa" w:w="1559"/>
          </w:tcPr>
          <w:p>
            <w:r>
              <w:rPr>
                <w:sz w:val="20"/>
              </w:rPr>
              <w:t>Retrait (R)</w:t>
            </w:r>
          </w:p>
        </w:tc>
      </w:tr>
      <w:tr>
        <w:tc>
          <w:tcPr>
            <w:tcW w:type="dxa" w:w="1559"/>
          </w:tcPr>
          <w:p>
            <w:r>
              <w:rPr>
                <w:sz w:val="20"/>
              </w:rPr>
              <w:t>NICOPATCH</w:t>
            </w:r>
          </w:p>
        </w:tc>
        <w:tc>
          <w:tcPr>
            <w:tcW w:type="dxa" w:w="1559"/>
          </w:tcPr>
          <w:p>
            <w:r>
              <w:rPr>
                <w:sz w:val="20"/>
              </w:rPr>
              <w:t>PIERRE FABRE MEDICAMENT</w:t>
            </w:r>
          </w:p>
        </w:tc>
        <w:tc>
          <w:tcPr>
            <w:tcW w:type="dxa" w:w="1559"/>
          </w:tcPr>
          <w:p>
            <w:r>
              <w:rPr>
                <w:sz w:val="20"/>
              </w:rPr>
              <w:t>Dispositif transdermique 35 mg/dispositif de 20 cm² (14 mg/24 h)</w:t>
            </w:r>
          </w:p>
        </w:tc>
        <w:tc>
          <w:tcPr>
            <w:tcW w:type="dxa" w:w="1559"/>
          </w:tcPr>
          <w:p>
            <w:r>
              <w:rPr>
                <w:sz w:val="20"/>
              </w:rPr>
              <w:t>B/07</w:t>
            </w:r>
          </w:p>
        </w:tc>
        <w:tc>
          <w:tcPr>
            <w:tcW w:type="dxa" w:w="1559"/>
          </w:tcPr>
          <w:p>
            <w:r>
              <w:rPr>
                <w:sz w:val="20"/>
              </w:rPr>
              <w:t>Hors liste</w:t>
            </w:r>
          </w:p>
        </w:tc>
        <w:tc>
          <w:tcPr>
            <w:tcW w:type="dxa" w:w="1559"/>
          </w:tcPr>
          <w:p>
            <w:r>
              <w:rPr>
                <w:sz w:val="20"/>
              </w:rPr>
              <w:t>Retrait (R)</w:t>
            </w:r>
          </w:p>
        </w:tc>
      </w:tr>
      <w:tr>
        <w:tc>
          <w:tcPr>
            <w:tcW w:type="dxa" w:w="1559"/>
          </w:tcPr>
          <w:p>
            <w:r>
              <w:rPr>
                <w:sz w:val="20"/>
              </w:rPr>
              <w:t>NICOPATCH</w:t>
            </w:r>
          </w:p>
        </w:tc>
        <w:tc>
          <w:tcPr>
            <w:tcW w:type="dxa" w:w="1559"/>
          </w:tcPr>
          <w:p>
            <w:r>
              <w:rPr>
                <w:sz w:val="20"/>
              </w:rPr>
              <w:t>PIERRE FABRE MEDICAMENT</w:t>
            </w:r>
          </w:p>
        </w:tc>
        <w:tc>
          <w:tcPr>
            <w:tcW w:type="dxa" w:w="1559"/>
          </w:tcPr>
          <w:p>
            <w:r>
              <w:rPr>
                <w:sz w:val="20"/>
              </w:rPr>
              <w:t>Dispositif transdermique 52,5 mg/dispositif de 30 cm² (21 mg/24 h)</w:t>
            </w:r>
          </w:p>
        </w:tc>
        <w:tc>
          <w:tcPr>
            <w:tcW w:type="dxa" w:w="1559"/>
          </w:tcPr>
          <w:p>
            <w:r>
              <w:rPr>
                <w:sz w:val="20"/>
              </w:rPr>
              <w:t>B/07</w:t>
            </w:r>
          </w:p>
        </w:tc>
        <w:tc>
          <w:tcPr>
            <w:tcW w:type="dxa" w:w="1559"/>
          </w:tcPr>
          <w:p>
            <w:r>
              <w:rPr>
                <w:sz w:val="20"/>
              </w:rPr>
              <w:t>Hors liste</w:t>
            </w:r>
          </w:p>
        </w:tc>
        <w:tc>
          <w:tcPr>
            <w:tcW w:type="dxa" w:w="1559"/>
          </w:tcPr>
          <w:p>
            <w:r>
              <w:rPr>
                <w:sz w:val="20"/>
              </w:rPr>
              <w:t>Retrait (R)</w:t>
            </w:r>
          </w:p>
        </w:tc>
      </w:tr>
      <w:tr>
        <w:tc>
          <w:tcPr>
            <w:tcW w:type="dxa" w:w="1559"/>
          </w:tcPr>
          <w:p>
            <w:r>
              <w:rPr>
                <w:sz w:val="20"/>
              </w:rPr>
              <w:t>NICOPASS SANS SUCRE</w:t>
            </w:r>
          </w:p>
        </w:tc>
        <w:tc>
          <w:tcPr>
            <w:tcW w:type="dxa" w:w="1559"/>
          </w:tcPr>
          <w:p>
            <w:r>
              <w:rPr>
                <w:sz w:val="20"/>
              </w:rPr>
              <w:t>PIERRE FABRE MEDICAMENT</w:t>
            </w:r>
          </w:p>
        </w:tc>
        <w:tc>
          <w:tcPr>
            <w:tcW w:type="dxa" w:w="1559"/>
          </w:tcPr>
          <w:p>
            <w:r>
              <w:rPr>
                <w:sz w:val="20"/>
              </w:rPr>
              <w:t>Pastille à sucer (goût menthe fraîcheur ou réglisse-menthe) nicotine (sous forme de cation résine carboxylate) 1,5 mg</w:t>
            </w:r>
          </w:p>
        </w:tc>
        <w:tc>
          <w:tcPr>
            <w:tcW w:type="dxa" w:w="1559"/>
          </w:tcPr>
          <w:p>
            <w:r>
              <w:rPr>
                <w:sz w:val="20"/>
              </w:rPr>
              <w:t>B/36 pastilles</w:t>
            </w:r>
          </w:p>
        </w:tc>
        <w:tc>
          <w:tcPr>
            <w:tcW w:type="dxa" w:w="1559"/>
          </w:tcPr>
          <w:p>
            <w:r>
              <w:rPr>
                <w:sz w:val="20"/>
              </w:rPr>
              <w:t>Hors liste</w:t>
            </w:r>
          </w:p>
        </w:tc>
        <w:tc>
          <w:tcPr>
            <w:tcW w:type="dxa" w:w="1559"/>
          </w:tcPr>
          <w:p>
            <w:r>
              <w:rPr>
                <w:sz w:val="20"/>
              </w:rPr>
              <w:t>Non Renouvelable</w:t>
            </w:r>
          </w:p>
        </w:tc>
      </w:tr>
    </w:tbl>
    <w:p/>
    <w:p>
      <w:r/>
      <w:r>
        <w:rPr>
          <w:b/>
        </w:rPr>
        <w:t>Note sur la disponibilité algérienne :</w:t>
      </w:r>
      <w:r>
        <w:t xml:space="preserve"> Les substituts nicotiniques disponibles en Algérie sont principalement les patchs transdermiques Nicotinell® (Novartis) qui restent disponibles bien que classés "Non Renouvelable" dans la nomenclature (statut réglementaire algérien correspondant à un renouvellement de l'enregistrement en cours), et les pastilles Nicopass® (Pierre Fabre). Le Nicopatch® (Pierre Fabre) est retiré du marché algérien. Les gommes à mâcher Nicorette® (Johnson &amp; Johnson), les comprimés sublinguaux Nicorette Microtab®, l'inhalateur Nicorette Inhaler®, et le spray nasal Nicotrol NS® ne sont pas enregistrés dans la nomenclature officielle mais peuvent être obtenus par importation exceptionnelle sur ordonnance. Les doses usuelles disponibles localement sont les patchs 7, 14 et 21 mg/24 h permettant une adaptation posologique progressive, et les pastilles 1,5 mg à sucer en cas de craving ponctuel.</w:t>
      </w:r>
    </w:p>
    <w:p>
      <w:pPr>
        <w:pStyle w:val="Heading4"/>
      </w:pPr>
      <w:r>
        <w:t>3. Sous-classe &amp; Mécanisme d'action</w:t>
      </w:r>
    </w:p>
    <w:p>
      <w:pPr>
        <w:pStyle w:val="ListBullet"/>
      </w:pPr>
      <w:r/>
      <w:r>
        <w:rPr>
          <w:b/>
        </w:rPr>
        <w:t>Sous-classe :</w:t>
      </w:r>
      <w:r>
        <w:t xml:space="preserve"> Substituts nicotiniques (SN), agonistes nicotiniques de l'acétylcholine. Classe apparentée : traitements pharmacologiques de la dépendance (avec varénicline agoniste partiel α4β2 et bupropion inhibiteur recapture catécholaminergique).</w:t>
      </w:r>
    </w:p>
    <w:p>
      <w:pPr>
        <w:pStyle w:val="ListBullet"/>
      </w:pPr>
      <w:r/>
      <w:r>
        <w:rPr>
          <w:b/>
        </w:rPr>
        <w:t>Mécanisme d'action :</w:t>
      </w:r>
      <w:r>
        <w:t xml:space="preserve"> La nicotine est un alcaloïde naturel extrait des feuilles de tabac (*Nicotiana tabacum*), agoniste plein des récepteurs nicotiniques de l'acétylcholine (nAChR), avec une affinité préférentielle pour le sous-type α4β2 (le plus abondant dans le système nerveux central). La liaison nicotine–α4β2 déclenche :</w:t>
      </w:r>
    </w:p>
    <w:p>
      <w:pPr>
        <w:pStyle w:val="ListNumber"/>
      </w:pPr>
      <w:r/>
      <w:r>
        <w:rPr>
          <w:b/>
        </w:rPr>
        <w:t>Activation du circuit mésolimbique de la récompense :</w:t>
      </w:r>
      <w:r>
        <w:t xml:space="preserve"> Les corps cellulaires des neurones dopaminergiques de l'aire tegmentale ventrale (VTA) projettent vers le noyau accumbens (NAcc) et le cortex préfrontal. La stimulation des nAChR α4β2 présynaptiques sur ces neurones provoque une libération phasique de dopamine dans le NAcc, responsable de l'effet hédonique (sensation de plaisir, de satisfaction, de focus attentionnel). Cette libération phasique, répétée 200 à 400 fois par jour chez le fumeur quotidien (200-400 bouffées de cigarette), est responsable de l'installation de la dépendance psychique (renforcement positif).</w:t>
      </w:r>
    </w:p>
    <w:p>
      <w:pPr>
        <w:pStyle w:val="ListNumber"/>
      </w:pPr>
      <w:r/>
      <w:r>
        <w:rPr>
          <w:b/>
        </w:rPr>
        <w:t>Activation des voies noradrénergiques (locus coeruleus) :</w:t>
      </w:r>
      <w:r>
        <w:t xml:space="preserve"> libération de noradrénaline responsable de l'activation sympathique modérée (léger tachycardisant, augmentation modeste de la pression artérielle, de la vigilance et de la concentration).</w:t>
      </w:r>
    </w:p>
    <w:p>
      <w:pPr>
        <w:pStyle w:val="ListNumber"/>
      </w:pPr>
      <w:r/>
      <w:r>
        <w:rPr>
          <w:b/>
        </w:rPr>
        <w:t>Activation des voies serotoninergiques (raphé) et glutamatergiques (cortex) :</w:t>
      </w:r>
      <w:r>
        <w:t xml:space="preserve"> modulation de l'humeur et de la cognition.</w:t>
      </w:r>
    </w:p>
    <w:p>
      <w:pPr>
        <w:pStyle w:val="ListNumber"/>
      </w:pPr>
      <w:r/>
      <w:r>
        <w:rPr>
          <w:b/>
        </w:rPr>
        <w:t>Activation des récepteurs α3β4 ganglionnaires :</w:t>
      </w:r>
      <w:r>
        <w:t xml:space="preserve"> effets périphériques cardiovasculaires (tachycardie, augmentation discrète de la pression artérielle), digestifs (nausées, hoquet), endocriniens (libération d'ACTH, de vasopressine, d'endorphines).</w:t>
      </w:r>
    </w:p>
    <w:p>
      <w:pPr>
        <w:pStyle w:val="ListBullet"/>
      </w:pPr>
      <w:r/>
      <w:r>
        <w:rPr>
          <w:b/>
        </w:rPr>
        <w:t>Désensibilisation et régulation à la baisse :</w:t>
      </w:r>
      <w:r>
        <w:t xml:space="preserve"> L'exposition chronique à la nicotine provoque une désensibilisation rapide (en quelques secondes) des nAChR et une régulation à la baisse (down-regulation) de leur nombre (en quelques semaines). Le fumeur doit augmenter sa consommation pour maintenir le même effet hédonique (phénomène de tolérance). À l'arrêt brutal, la chute brutale des taux de nicotine provoque un syndrome de sevrage caractérisé par craving, irritabilité, anxiété, dysphorie, insomnie, difficulté de concentration, augmentation de l'appétit, prise de poids, bradycardie (1-2 minutes par jour), et symptomatologie dépressive transitoire. Les symptômes débutent 2-4 heures après la dernière cigarette, culminent à 24-72 heures, et s'estompent en 3-4 semaines pour les symptômes physiques, en 2-3 mois pour les symptômes psychiques (craving résiduel).</w:t>
      </w:r>
    </w:p>
    <w:p>
      <w:pPr>
        <w:pStyle w:val="ListBullet"/>
      </w:pPr>
      <w:r/>
      <w:r>
        <w:rPr>
          <w:b/>
        </w:rPr>
        <w:t>Substitution par les SN :</w:t>
      </w:r>
      <w:r>
        <w:t xml:space="preserve"> Les substituts nicotiniques apportent une nicotine pharmaceutique (stéréoisomère S(-) naturel, le plus actif) par voie non pulmonaire (transdermique, orale, nasale), avec une cinétique d'imprégnation différée : pic plasmatique en 4-9 heures pour le patch transdermique (vs 7-10 secondes après une bouffée de cigarette). La nicotine pharmaceutique, délivrée lentement, évite le pic rapide de dopamine (responsable du "shoot" hédonique) tout en maintenant un taux plasmatique suffisant pour prévenir le syndrome de sevrage. Les formes orales (gomme, pastille, comprimé sublingual) permettent une dose "à la demande" en cas de craving ponctuel. L'association patch (nicotine de fond) + forme orale (nicotine à la demande) est la stratégie la plus efficace (OR 1,9-2,3 vs placebo selon méta-analyse Cochrane 2018).</w:t>
      </w:r>
    </w:p>
    <w:p>
      <w:pPr>
        <w:pStyle w:val="Heading4"/>
      </w:pPr>
      <w:r>
        <w:t>4. Pharmacocinétique / Profil pharmacologique</w:t>
      </w:r>
    </w:p>
    <w:p>
      <w:pPr>
        <w:pStyle w:val="ListBullet"/>
      </w:pPr>
      <w:r/>
      <w:r>
        <w:rPr>
          <w:b/>
        </w:rPr>
        <w:t>Résorption :</w:t>
      </w:r>
      <w:r>
        <w:t xml:space="preserve"> Variable selon la voie d'administration. La nicotine pharmaceutique n'est pas métabolisée au premier passage pulmonaire (contrairement à la nicotine inhalée du tabac qui subit une métabolisation cytochromique P450 2A6 pulmonaire).</w:t>
      </w:r>
    </w:p>
    <w:p>
      <w:pPr>
        <w:pStyle w:val="ListBullet"/>
      </w:pPr>
      <w:r/>
      <w:r>
        <w:rPr>
          <w:b/>
        </w:rPr>
        <w:t>Transdermique (patch) :</w:t>
      </w:r>
      <w:r>
        <w:t xml:space="preserve"> résorption lente, continue, à travers la couche cornée. Pic plasmatique à 4-9 heures, plateau stable 8-24 heures, décroissance lente après retrait du patch (demi-vie apparente 3-5 heures, mais plateau maintenu). Biodisponibilité 70-80 %.</w:t>
      </w:r>
    </w:p>
    <w:p>
      <w:pPr>
        <w:pStyle w:val="ListBullet"/>
      </w:pPr>
      <w:r/>
      <w:r>
        <w:rPr>
          <w:b/>
        </w:rPr>
        <w:t>Buccale sublinguale / gomme à mâcher :</w:t>
      </w:r>
      <w:r>
        <w:t xml:space="preserve"> résorption par la muqueuse buccale, pic plasmatique à 15-30 minutes, biodisponibilité 30-50 % (métabolisme présystémique buccal et hépatique partiel). Effet à la demande.</w:t>
      </w:r>
    </w:p>
    <w:p>
      <w:pPr>
        <w:pStyle w:val="ListBullet"/>
      </w:pPr>
      <w:r/>
      <w:r>
        <w:rPr>
          <w:b/>
        </w:rPr>
        <w:t>Pastille à sucer :</w:t>
      </w:r>
      <w:r>
        <w:t xml:space="preserve"> résorption buccale lente (10-20 minutes), pic à 30-45 minutes, biodisponibilité 50-60 %. La pastille Nicopass® utilise une formulation en cation résine carboxylate (complexation nicotine-résine échangeuse d'ions) qui libère progressivement la nicotine au contact de la salive, prolongeant la durée d'action et réduisant le pic initial (meilleure tolérance locale).</w:t>
      </w:r>
    </w:p>
    <w:p>
      <w:pPr>
        <w:pStyle w:val="ListBullet"/>
      </w:pPr>
      <w:r/>
      <w:r>
        <w:rPr>
          <w:b/>
        </w:rPr>
        <w:t>Nasale (spray) :</w:t>
      </w:r>
      <w:r>
        <w:t xml:space="preserve"> résorption par muqueuse nasale, pic à 5-10 minutes, biodisponibilité 60-70%. Effet rapide mais irritation locale (rhinorrhée, éternuements).</w:t>
      </w:r>
    </w:p>
    <w:p>
      <w:pPr>
        <w:pStyle w:val="ListBullet"/>
      </w:pPr>
      <w:r/>
      <w:r>
        <w:rPr>
          <w:b/>
        </w:rPr>
        <w:t>Inhalateur buccal :</w:t>
      </w:r>
      <w:r>
        <w:t xml:space="preserve"> résorption par muqueuse buccale (et non pulmonaire malgré le terme "inhalateur"), pic à 15-30 minutes.</w:t>
      </w:r>
    </w:p>
    <w:p>
      <w:pPr>
        <w:pStyle w:val="ListBullet"/>
      </w:pPr>
      <w:r/>
      <w:r>
        <w:rPr>
          <w:b/>
        </w:rPr>
        <w:t>Distribution :</w:t>
      </w:r>
      <w:r>
        <w:t xml:space="preserve"> Volume de distribution 2-3 L/kg. Liaison aux protéines plasmatiques 5 % (faible). Traversée de la barrière hémato-encéphalique rapide (en 10-20 secondes après bouffée de cigarette, en 4-9 minutes après patch). Traversée placentaire (toxicité fœtale). Passage dans le lait maternel (rapport lait/plasma 2,9).</w:t>
      </w:r>
    </w:p>
    <w:p>
      <w:pPr>
        <w:pStyle w:val="ListBullet"/>
      </w:pPr>
      <w:r/>
      <w:r>
        <w:rPr>
          <w:b/>
        </w:rPr>
        <w:t>Métabolisme :</w:t>
      </w:r>
      <w:r>
        <w:t xml:space="preserve"> Hépatique principal, par le CYP2A6 (90 % de la métabolisation) en cotinine (métabolite inactif, demi-vie 16-20 heures, utilisé comme marqueur biologique du tabagisme), puis en trans-3'-hydroxycotinine et dérivés glucuronoconjugués. Polymorphisme génétique du CYP2A6 (métaboliseurs lents vs rapides) influençant la dépendance et la dose de SN nécessaire.</w:t>
      </w:r>
    </w:p>
    <w:p>
      <w:pPr>
        <w:pStyle w:val="ListBullet"/>
      </w:pPr>
      <w:r/>
      <w:r>
        <w:rPr>
          <w:b/>
        </w:rPr>
        <w:t>Élimination :</w:t>
      </w:r>
      <w:r>
        <w:t xml:space="preserve"> Rénale (10 % sous forme inchangée, 80 % sous forme de métabolites). Acidification des urines augmente l'excrétion de nicotine inchangée. Demi-vie plasmatique 2 heures (forme inchangée), 16-20 heures (cotinine).</w:t>
      </w:r>
    </w:p>
    <w:p>
      <w:pPr>
        <w:pStyle w:val="ListBullet"/>
      </w:pPr>
      <w:r/>
      <w:r>
        <w:rPr>
          <w:b/>
        </w:rPr>
        <w:t>Cinétique comparée tabac vs SN :</w:t>
      </w:r>
      <w:r>
        <w:t xml:space="preserve"> la cigarette apporte un pic de nicotine à 7-10 secondes après la bouffée (concentration cérébrale maximale en 10-20 secondes), responsable du "shoot" hédonique. Le patch transdermique atteint son pic en 4-9 heures (imprégnation continue lente, sans shoot), la pastille en 30-45 minutes. Cette cinétique lente des SN explique : (i) l'absence d'effet hédonique "shoot" (et donc l'absence de dépendance aux SN properment dits) ; (ii) la nécessité d'une stratégie "à la demande" pour couvrir les pics de craving.</w:t>
      </w:r>
    </w:p>
    <w:p>
      <w:pPr>
        <w:pStyle w:val="Heading4"/>
      </w:pPr>
      <w:r>
        <w:t>5. Indications thérapeutiques</w:t>
      </w:r>
    </w:p>
    <w:p>
      <w:pPr>
        <w:pStyle w:val="ListBullet"/>
      </w:pPr>
      <w:r/>
      <w:r>
        <w:rPr>
          <w:b/>
        </w:rPr>
        <w:t>Aide au sevrage tabagique chez le sujet dépendant à la nicotine</w:t>
      </w:r>
      <w:r>
        <w:t xml:space="preserve"> : test de Fagerström ≥ 5 (dépendance modérée à sévère). Le traitement doit s'inscrire dans une prise en charge globale avec accompagnement comportemental et cognitif (TCC), soutien médical et social.</w:t>
      </w:r>
    </w:p>
    <w:p>
      <w:pPr>
        <w:pStyle w:val="ListBullet"/>
      </w:pPr>
      <w:r/>
      <w:r>
        <w:rPr>
          <w:b/>
        </w:rPr>
        <w:t>Réduction de la consommation tabagique</w:t>
      </w:r>
      <w:r>
        <w:t xml:space="preserve"> chez le fumeur non prêt à l'arrêt total (stratégie de réduction des risques), en vue d'une transition vers l'arrêt complet.</w:t>
      </w:r>
    </w:p>
    <w:p>
      <w:pPr>
        <w:pStyle w:val="ListBullet"/>
      </w:pPr>
      <w:r/>
      <w:r>
        <w:rPr>
          <w:b/>
        </w:rPr>
        <w:t>Sevrage du narguilé (chicha)</w:t>
      </w:r>
      <w:r>
        <w:t xml:space="preserve"> : substitution nicotinique adaptée à la dépendance souvent méconnue et sous-estimée (une session de chicha = 100 à 200 cigarettes en nicotine absorbée).</w:t>
      </w:r>
    </w:p>
    <w:p>
      <w:pPr>
        <w:pStyle w:val="ListBullet"/>
      </w:pPr>
      <w:r/>
      <w:r>
        <w:rPr>
          <w:b/>
        </w:rPr>
        <w:t>Sevrage tabagique péri-opératoire</w:t>
      </w:r>
      <w:r>
        <w:t xml:space="preserve"> : préparation à une chirurgie programmée (chirurgie ORL, carcinologique, orthopédique prothétique, bariatrique) — arrêt minimum 6-8 semaines avant intervention.</w:t>
      </w:r>
    </w:p>
    <w:p>
      <w:pPr>
        <w:pStyle w:val="ListBullet"/>
      </w:pPr>
      <w:r/>
      <w:r>
        <w:rPr>
          <w:b/>
        </w:rPr>
        <w:t>Sevrage tabagique de la femme enceinte</w:t>
      </w:r>
      <w:r>
        <w:t xml:space="preserve"> : en cas d'échec des approches non pharmacologiques, sous surveillance obstétricale stricte (préférer la forme transdermique à dose minimale efficace).</w:t>
      </w:r>
    </w:p>
    <w:p>
      <w:pPr>
        <w:pStyle w:val="ListBullet"/>
      </w:pPr>
      <w:r/>
      <w:r>
        <w:rPr>
          <w:b/>
        </w:rPr>
        <w:t>Sevrage tabagique du patient coronarien stable</w:t>
      </w:r>
      <w:r>
        <w:t xml:space="preserve"> : à distance (&gt; 4 semaines) d'un événement aigu, en respectant les contre-indications.</w:t>
      </w:r>
    </w:p>
    <w:p>
      <w:pPr>
        <w:pStyle w:val="Heading4"/>
      </w:pPr>
      <w:r>
        <w:t>6. Contre-indications</w:t>
      </w:r>
    </w:p>
    <w:p>
      <w:pPr>
        <w:pStyle w:val="ListBullet"/>
      </w:pPr>
      <w:r/>
      <w:r>
        <w:rPr>
          <w:b/>
        </w:rPr>
        <w:t>Infarctus du myocarde récent (&lt; 4 semaines)</w:t>
      </w:r>
      <w:r>
        <w:t xml:space="preserve"> ou angor instable.</w:t>
      </w:r>
    </w:p>
    <w:p>
      <w:pPr>
        <w:pStyle w:val="ListBullet"/>
      </w:pPr>
      <w:r/>
      <w:r>
        <w:rPr>
          <w:b/>
        </w:rPr>
        <w:t>Accident vasculaire cérébral récent (&lt; 4 semaines)</w:t>
      </w:r>
      <w:r>
        <w:t xml:space="preserve"> ou accident ischémique transitoire récent.</w:t>
      </w:r>
    </w:p>
    <w:p>
      <w:pPr>
        <w:pStyle w:val="ListBullet"/>
      </w:pPr>
      <w:r/>
      <w:r>
        <w:rPr>
          <w:b/>
        </w:rPr>
        <w:t>Arythmie sévère non contrôlée</w:t>
      </w:r>
      <w:r>
        <w:t xml:space="preserve"> (fibrillation auriculaire à haut risque thromboembolique, tachycardie ventriculaire, bloc auriculo-ventriculaire de haut grade).</w:t>
      </w:r>
    </w:p>
    <w:p>
      <w:pPr>
        <w:pStyle w:val="ListBullet"/>
      </w:pPr>
      <w:r/>
      <w:r>
        <w:rPr>
          <w:b/>
        </w:rPr>
        <w:t>Hypersensibilité connue à la nicotine</w:t>
      </w:r>
      <w:r>
        <w:t xml:space="preserve"> ou à l'un des excipients du patch (adhésif, etc.).</w:t>
      </w:r>
    </w:p>
    <w:p>
      <w:pPr>
        <w:pStyle w:val="ListBullet"/>
      </w:pPr>
      <w:r/>
      <w:r>
        <w:rPr>
          <w:b/>
        </w:rPr>
        <w:t>Insuffisance hépatique ou rénale sévère</w:t>
      </w:r>
      <w:r>
        <w:t xml:space="preserve"> (sans contre-indication absolue, mais réduction posologique indispensable).</w:t>
      </w:r>
    </w:p>
    <w:p>
      <w:pPr>
        <w:pStyle w:val="ListBullet"/>
      </w:pPr>
      <w:r/>
      <w:r>
        <w:rPr>
          <w:b/>
        </w:rPr>
        <w:t>Phéochromocytome</w:t>
      </w:r>
      <w:r>
        <w:t xml:space="preserve"> non traité (risque de crise hypertensive par libération de catécholamines).</w:t>
      </w:r>
    </w:p>
    <w:p>
      <w:pPr>
        <w:pStyle w:val="ListBullet"/>
      </w:pPr>
      <w:r/>
      <w:r>
        <w:rPr>
          <w:b/>
        </w:rPr>
        <w:t>Ulcère gastroduodénal actif</w:t>
      </w:r>
      <w:r>
        <w:t xml:space="preserve"> (la nicotine aggrave l'ulcère par stimulation vagale et inhibition de la prostaglandine E2 gastrique).</w:t>
      </w:r>
    </w:p>
    <w:p>
      <w:pPr>
        <w:pStyle w:val="ListBullet"/>
      </w:pPr>
      <w:r/>
      <w:r>
        <w:rPr>
          <w:b/>
        </w:rPr>
        <w:t>Grossesse :</w:t>
      </w:r>
      <w:r>
        <w:t xml:space="preserve"> à éviter en première intention (préférer l'arrêt total sans pharmacologie) ; en cas d'échec, patch à dose minimale efficace sous surveillance obstétricale.</w:t>
      </w:r>
    </w:p>
    <w:p>
      <w:pPr>
        <w:pStyle w:val="ListBullet"/>
      </w:pPr>
      <w:r/>
      <w:r>
        <w:rPr>
          <w:b/>
        </w:rPr>
        <w:t>Allaitement :</w:t>
      </w:r>
      <w:r>
        <w:t xml:space="preserve"> éviter en première intention (la nicotine passe dans le lait maternel, ratio lait/plasma 2,9) ; en cas d'échec d'arrêt sans SN, préférer patch à dose minimale efficace, à appliquer juste après la tétée du matin (afin de minimiser l'imprégnation du lait suivant).</w:t>
      </w:r>
    </w:p>
    <w:p>
      <w:pPr>
        <w:pStyle w:val="ListBullet"/>
      </w:pPr>
      <w:r/>
      <w:r>
        <w:rPr>
          <w:b/>
        </w:rPr>
        <w:t>Patient de moins de 15 ans</w:t>
      </w:r>
      <w:r>
        <w:t xml:space="preserve"> : non recommandé (données d'efficacité et sécurité limitées).</w:t>
      </w:r>
    </w:p>
    <w:p>
      <w:pPr>
        <w:pStyle w:val="ListBullet"/>
      </w:pPr>
      <w:r/>
      <w:r>
        <w:rPr>
          <w:b/>
        </w:rPr>
        <w:t>Patient non-fumeur ou fumeur occasionnel</w:t>
      </w:r>
      <w:r>
        <w:t xml:space="preserve"> : contre-indication absolue (risque d'installation d'une dépendance).</w:t>
      </w:r>
    </w:p>
    <w:p>
      <w:pPr>
        <w:pStyle w:val="ListBullet"/>
      </w:pPr>
      <w:r/>
      <w:r>
        <w:rPr>
          <w:b/>
        </w:rPr>
        <w:t>Patch transdermique spécifique :</w:t>
      </w:r>
      <w:r>
        <w:t xml:space="preserve"> dermatose étendue, eczéma sévère, psoriasis en plaque (altération de la résorption).</w:t>
      </w:r>
    </w:p>
    <w:p>
      <w:pPr>
        <w:pStyle w:val="Heading4"/>
      </w:pPr>
      <w:r>
        <w:t>7. Précautions d'emploi / Mises en garde</w:t>
      </w:r>
    </w:p>
    <w:p>
      <w:pPr>
        <w:pStyle w:val="ListBullet"/>
      </w:pPr>
      <w:r/>
      <w:r>
        <w:rPr>
          <w:b/>
        </w:rPr>
        <w:t>Insuffisance coronarienne stable</w:t>
      </w:r>
      <w:r>
        <w:t xml:space="preserve"> : utiliser à dose minimale efficace, surveillance ECG, espacer de la phase aiguë (au moins 4 semaines après un infarctus).</w:t>
      </w:r>
    </w:p>
    <w:p>
      <w:pPr>
        <w:pStyle w:val="ListBullet"/>
      </w:pPr>
      <w:r/>
      <w:r>
        <w:rPr>
          <w:b/>
        </w:rPr>
        <w:t>Hypertension artérielle</w:t>
      </w:r>
      <w:r>
        <w:t xml:space="preserve"> : surveillance tensionnelle, surtout avec les fortes doses de patch (21 mg/24 h).</w:t>
      </w:r>
    </w:p>
    <w:p>
      <w:pPr>
        <w:pStyle w:val="ListBullet"/>
      </w:pPr>
      <w:r/>
      <w:r>
        <w:rPr>
          <w:b/>
        </w:rPr>
        <w:t>Diabète</w:t>
      </w:r>
      <w:r>
        <w:t xml:space="preserve"> : la nicotine peut modifier la sensibilité à l'insuline (hyperglycémie), surveiller la glycémie capillaire, ajuster les doses d'insuline ou d'antidiabétiques oraux après arrêt du tabac (le tabagisme augmente la résistance à l'insuline, son arrêt la diminue).</w:t>
      </w:r>
    </w:p>
    <w:p>
      <w:pPr>
        <w:pStyle w:val="ListBullet"/>
      </w:pPr>
      <w:r/>
      <w:r>
        <w:rPr>
          <w:b/>
        </w:rPr>
        <w:t>Hyperthyroïdie</w:t>
      </w:r>
      <w:r>
        <w:t xml:space="preserve"> : la nicotine stimule la libération de catécholamines, à surveiller chez le patient thyrotoxique.</w:t>
      </w:r>
    </w:p>
    <w:p>
      <w:pPr>
        <w:pStyle w:val="ListBullet"/>
      </w:pPr>
      <w:r/>
      <w:r>
        <w:rPr>
          <w:b/>
        </w:rPr>
        <w:t>Ulclère gastroduodénal</w:t>
      </w:r>
      <w:r>
        <w:t xml:space="preserve"> : réduire la dose en cas de forme orale (la nicotine déglutie peut aggraver l'ulcère).</w:t>
      </w:r>
    </w:p>
    <w:p>
      <w:pPr>
        <w:pStyle w:val="ListBullet"/>
      </w:pPr>
      <w:r/>
      <w:r>
        <w:rPr>
          <w:b/>
        </w:rPr>
        <w:t>Insuffisance hépatique/rénale</w:t>
      </w:r>
      <w:r>
        <w:t xml:space="preserve"> : réduire la posologie de 30 à 50 %, surveillance clinique.</w:t>
      </w:r>
    </w:p>
    <w:p>
      <w:pPr>
        <w:pStyle w:val="ListBullet"/>
      </w:pPr>
      <w:r/>
      <w:r>
        <w:rPr>
          <w:b/>
        </w:rPr>
        <w:t>Patient psychiatrique</w:t>
      </w:r>
      <w:r>
        <w:t xml:space="preserve"> : prudence chez le patient ayant des antécédents de dépression, bipolarité, schizophrénie — le sevrage tabagique peut décompenser la pathologie psychiatrique ; surveillance rapprochée, ajustement des psychotropes.</w:t>
      </w:r>
    </w:p>
    <w:p>
      <w:pPr>
        <w:pStyle w:val="ListBullet"/>
      </w:pPr>
      <w:r/>
      <w:r>
        <w:rPr>
          <w:b/>
        </w:rPr>
        <w:t>Patient sous héparine ou anticoagulant oral</w:t>
      </w:r>
      <w:r>
        <w:t xml:space="preserve"> : le tabac inducteur enzymatique, son arrêt réduit la clairance des anticoagulants — surveiller l'INR et l'INR/Anti-Xa, adapter la dose.</w:t>
      </w:r>
    </w:p>
    <w:p>
      <w:pPr>
        <w:pStyle w:val="ListBullet"/>
      </w:pPr>
      <w:r/>
      <w:r>
        <w:rPr>
          <w:b/>
        </w:rPr>
        <w:t>Mises en garde sur la prise de poids</w:t>
      </w:r>
      <w:r>
        <w:t xml:space="preserve"> : prévenir le patient du risque de prise de poids moyenne 2-4 kg à l'arrêt, conseiller une activité physique régulière et une alimentation équilibrée, le SN aide à limiter la prise de poids (effet anorexigène de la nicotine).</w:t>
      </w:r>
    </w:p>
    <w:p>
      <w:pPr>
        <w:pStyle w:val="ListBullet"/>
      </w:pPr>
      <w:r/>
      <w:r>
        <w:rPr>
          <w:b/>
        </w:rPr>
        <w:t>Évaluation de la dépendance</w:t>
      </w:r>
      <w:r>
        <w:t xml:space="preserve"> : test de Fagerström (6 items, score 0-10) ; score ≥ 5 = dépendance modérée à sévère nécessitant un SN ; score 7-10 = forte dépendance, nécessité de combiner patch + forme orale.</w:t>
      </w:r>
    </w:p>
    <w:p>
      <w:pPr>
        <w:pStyle w:val="ListBullet"/>
      </w:pPr>
      <w:r/>
      <w:r>
        <w:rPr>
          <w:b/>
        </w:rPr>
        <w:t>Durée du traitement</w:t>
      </w:r>
      <w:r>
        <w:t xml:space="preserve"> : 8 à 12 semaines en moyenne, possibilité de prolonger 3 à 6 mois chez les sujets à forte dépendance ; ne pas dépasser 12 mois.</w:t>
      </w:r>
    </w:p>
    <w:p>
      <w:pPr>
        <w:pStyle w:val="ListBullet"/>
      </w:pPr>
      <w:r/>
      <w:r>
        <w:rPr>
          <w:b/>
        </w:rPr>
        <w:t>Interaction avec la varénicline ou le bupropion</w:t>
      </w:r>
      <w:r>
        <w:t xml:space="preserve"> : association possible sous surveillance médicale stricte, en particulier dans les premiers jours où la varénicline est initiée à dose croissante pendant que le patient fume encore.</w:t>
      </w:r>
    </w:p>
    <w:p>
      <w:pPr>
        <w:pStyle w:val="Heading4"/>
      </w:pPr>
      <w:r>
        <w:t>8. Effets indésirables</w:t>
      </w:r>
    </w:p>
    <w:p>
      <w:pPr>
        <w:pStyle w:val="ListBullet"/>
      </w:pPr>
      <w:r/>
      <w:r>
        <w:rPr>
          <w:b/>
        </w:rPr>
        <w:t>Locaux au site d'application (patch) :</w:t>
      </w:r>
      <w:r>
        <w:t xml:space="preserve"> érythème, prurit, sensation de brûlure (10-30 % des patients), réaction locale transitoire résolutive en 24-48 h après retrait. Rotation des sites d'application (bras, épaule, tronc) indispensable pour limiter l'irritation. Rarement : dermatite de contact allergique (arrêt définitif du patch).</w:t>
      </w:r>
    </w:p>
    <w:p>
      <w:pPr>
        <w:pStyle w:val="ListBullet"/>
      </w:pPr>
      <w:r/>
      <w:r>
        <w:rPr>
          <w:b/>
        </w:rPr>
        <w:t>Gastro-intestinaux :</w:t>
      </w:r>
      <w:r>
        <w:t xml:space="preserve"> nausées (10-20 %, surtout formes orales), vomissements, hoquet (caractéristique de la nicotine), dyspepsie, diarrhée, sécheresse buccale, pharyngite, hypersialorrhée transitoire. À réduire en prenant la pastille/gomme après un repas, en évitant les boissons acides (jus d'orange, café, soda) avant et pendant la prise (pH acide buccal réduit la résorption).</w:t>
      </w:r>
    </w:p>
    <w:p>
      <w:pPr>
        <w:pStyle w:val="ListBullet"/>
      </w:pPr>
      <w:r/>
      <w:r>
        <w:rPr>
          <w:b/>
        </w:rPr>
        <w:t>Système nerveux central :</w:t>
      </w:r>
      <w:r>
        <w:t xml:space="preserve"> insomnie (surtout si patch porté la nuit, en raison de la nicotine diffusant pendant le sommeil paradoxal — préférer retrait nocturne du patch si insomnie), rêves anormaux, cauchemars, céphalées (10-15 % des patients), vertiges, irritabilité, anxiété, difficulté de concentration (paradoxalement, peuvent être attribués au syndrome de sevrage résiduel plus qu'à la nicotine).</w:t>
      </w:r>
    </w:p>
    <w:p>
      <w:pPr>
        <w:pStyle w:val="ListBullet"/>
      </w:pPr>
      <w:r/>
      <w:r>
        <w:rPr>
          <w:b/>
        </w:rPr>
        <w:t>Cardiovasculaires :</w:t>
      </w:r>
      <w:r>
        <w:t xml:space="preserve"> tachycardie modérée (réduction de 1-3 bpm par rapport au tabagisme actif), palpitations, augmentation discrète de la pression artérielle (5-10 mmHg systolique). À surveiller chez le coronarien.</w:t>
      </w:r>
    </w:p>
    <w:p>
      <w:pPr>
        <w:pStyle w:val="ListBullet"/>
      </w:pPr>
      <w:r/>
      <w:r>
        <w:rPr>
          <w:b/>
        </w:rPr>
        <w:t>Respiratoires :</w:t>
      </w:r>
      <w:r>
        <w:t xml:space="preserve"> rhinite, éternuements (surtout spray nasal), bronchospasme exceptionnel (à surveiller chez l'asthmatique).</w:t>
      </w:r>
    </w:p>
    <w:p>
      <w:pPr>
        <w:pStyle w:val="ListBullet"/>
      </w:pPr>
      <w:r/>
      <w:r>
        <w:rPr>
          <w:b/>
        </w:rPr>
        <w:t>Cutanéomuqueux :</w:t>
      </w:r>
      <w:r>
        <w:t xml:space="preserve"> sueurs (surtout avec la nicotine orale), flush facial transitoire.</w:t>
      </w:r>
    </w:p>
    <w:p>
      <w:pPr>
        <w:pStyle w:val="ListBullet"/>
      </w:pPr>
      <w:r/>
      <w:r>
        <w:rPr>
          <w:b/>
        </w:rPr>
        <w:t>Endocriniens :</w:t>
      </w:r>
      <w:r>
        <w:t xml:space="preserve"> syndrome de sevrage à l'arrêt (si arrêt brutal sans décroissance), syndrome de surdosage (cf. ci-dessous).</w:t>
      </w:r>
    </w:p>
    <w:p>
      <w:pPr>
        <w:pStyle w:val="ListBullet"/>
      </w:pPr>
      <w:r/>
      <w:r>
        <w:rPr>
          <w:b/>
        </w:rPr>
        <w:t>Syndrome de surdosage nicotinique :</w:t>
      </w:r>
      <w:r>
        <w:t xml:space="preserve"> nausées profuses, vomissements, diarrhée, hypersialorrhée, sueurs froides, pâleur, tremblements, confusion, convulsions (rare), hypotension, bradycardie puis collapsus cardiovasculaire. Conduite à tenir : arrêt immédiat de la nicotine, traitement symptomatique, surveillance ECG, charbon activé si ingestion récente (&lt; 1 heure).</w:t>
      </w:r>
    </w:p>
    <w:p>
      <w:pPr>
        <w:pStyle w:val="ListBullet"/>
      </w:pPr>
      <w:r/>
      <w:r>
        <w:rPr>
          <w:b/>
        </w:rPr>
        <w:t>Syndrome de sevrage résiduel</w:t>
      </w:r>
      <w:r>
        <w:t xml:space="preserve"> : peut persister 2 à 4 semaines, surtout craving, irritabilité, insomnie — ne pas confondre avec effet indésirable du SN.</w:t>
      </w:r>
    </w:p>
    <w:p>
      <w:pPr>
        <w:pStyle w:val="ListBullet"/>
      </w:pPr>
      <w:r/>
      <w:r>
        <w:rPr>
          <w:b/>
        </w:rPr>
        <w:t>Troubles du goût</w:t>
      </w:r>
      <w:r>
        <w:t xml:space="preserve"> : dysgueusie transitoire, modification de la perception alimentaire.</w:t>
      </w:r>
    </w:p>
    <w:p>
      <w:pPr>
        <w:pStyle w:val="Heading4"/>
      </w:pPr>
      <w:r>
        <w:t>9. Interactions médicamenteuses</w:t>
      </w:r>
    </w:p>
    <w:p>
      <w:pPr>
        <w:pStyle w:val="ListBullet"/>
      </w:pPr>
      <w:r/>
      <w:r>
        <w:rPr>
          <w:b/>
        </w:rPr>
        <w:t>Médicaments dont le métabolisme est modifié par le tabagisme (inducteur enzymatique CYP1A2)</w:t>
      </w:r>
      <w:r>
        <w:t xml:space="preserve"> : à l'arrêt du tabac, la clairance de ces médicaments augmente, ce qui expose à un surdosage. Adaptation posologique indispensable après arrêt du tabac :</w:t>
      </w:r>
    </w:p>
    <w:p>
      <w:pPr>
        <w:pStyle w:val="ListBullet"/>
      </w:pPr>
      <w:r/>
      <w:r>
        <w:rPr>
          <w:b/>
        </w:rPr>
        <w:t>Théophylline</w:t>
      </w:r>
      <w:r>
        <w:t xml:space="preserve"> : réduction de dose de 25-30 % à l'arrêt du tabac.</w:t>
      </w:r>
    </w:p>
    <w:p>
      <w:pPr>
        <w:pStyle w:val="ListBullet"/>
      </w:pPr>
      <w:r/>
      <w:r>
        <w:rPr>
          <w:b/>
        </w:rPr>
        <w:t>Caféine</w:t>
      </w:r>
      <w:r>
        <w:t xml:space="preserve"> : réduction de la consommation de café (risque de caféinisme avec nervosité, insomnie, palpitations).</w:t>
      </w:r>
    </w:p>
    <w:p>
      <w:pPr>
        <w:pStyle w:val="ListBullet"/>
      </w:pPr>
      <w:r/>
      <w:r>
        <w:rPr>
          <w:b/>
        </w:rPr>
        <w:t>Clozapine</w:t>
      </w:r>
      <w:r>
        <w:t xml:space="preserve"> et </w:t>
      </w:r>
      <w:r>
        <w:rPr>
          <w:b/>
        </w:rPr>
        <w:t>olanzapine</w:t>
      </w:r>
      <w:r>
        <w:t xml:space="preserve"> : surveillance des taux plasmatiques, risque de surdosage (convulsions, agranulocytose décompensée).</w:t>
      </w:r>
    </w:p>
    <w:p>
      <w:pPr>
        <w:pStyle w:val="ListBullet"/>
      </w:pPr>
      <w:r/>
      <w:r>
        <w:rPr>
          <w:b/>
        </w:rPr>
        <w:t>Warfarine</w:t>
      </w:r>
      <w:r>
        <w:t xml:space="preserve"> et anticoagulants oraux : surveillance INR, risque hémorragique.</w:t>
      </w:r>
    </w:p>
    <w:p>
      <w:pPr>
        <w:pStyle w:val="ListBullet"/>
      </w:pPr>
      <w:r/>
      <w:r>
        <w:rPr>
          <w:b/>
        </w:rPr>
        <w:t>Ergotamine</w:t>
      </w:r>
      <w:r>
        <w:t xml:space="preserve"> : risque d'ergotisme.</w:t>
      </w:r>
    </w:p>
    <w:p>
      <w:pPr>
        <w:pStyle w:val="ListBullet"/>
      </w:pPr>
      <w:r/>
      <w:r>
        <w:rPr>
          <w:b/>
        </w:rPr>
        <w:t>Insuline</w:t>
      </w:r>
      <w:r>
        <w:t xml:space="preserve"> : adaptation des doses (le tabac augmente la résistance à l'insuline, son arrêt la diminue).</w:t>
      </w:r>
    </w:p>
    <w:p>
      <w:pPr>
        <w:pStyle w:val="ListBullet"/>
      </w:pPr>
      <w:r/>
      <w:r>
        <w:rPr>
          <w:b/>
        </w:rPr>
        <w:t>Bupropion</w:t>
      </w:r>
      <w:r>
        <w:t xml:space="preserve"> : métabolisme CYP2B6, augmentation des taux plasmatiques à l'arrêt du tabac.</w:t>
      </w:r>
    </w:p>
    <w:p>
      <w:pPr>
        <w:pStyle w:val="ListBullet"/>
      </w:pPr>
      <w:r/>
      <w:r>
        <w:rPr>
          <w:b/>
        </w:rPr>
        <w:t>Inhibiteurs de la monoamine oxydase (IMAO)</w:t>
      </w:r>
      <w:r>
        <w:t xml:space="preserve"> : potentialisation des effets cardiovasculaires de la nicotine (hypertension paranoïaque, tachycardie), contre-indication relative.</w:t>
      </w:r>
    </w:p>
    <w:p>
      <w:pPr>
        <w:pStyle w:val="ListBullet"/>
      </w:pPr>
      <w:r/>
      <w:r>
        <w:rPr>
          <w:b/>
        </w:rPr>
        <w:t>Bêtabloquants</w:t>
      </w:r>
      <w:r>
        <w:t xml:space="preserve"> : la nicotine peut masquer les signes d'hypoglycémie (réduction des symptômes adrénergiques), surveiller la glycémie capillaire chez le diabétique sous bêtabloquant.</w:t>
      </w:r>
    </w:p>
    <w:p>
      <w:pPr>
        <w:pStyle w:val="ListBullet"/>
      </w:pPr>
      <w:r/>
      <w:r>
        <w:rPr>
          <w:b/>
        </w:rPr>
        <w:t>Cimétidine, fluvoxamine, ketoconazole</w:t>
      </w:r>
      <w:r>
        <w:t xml:space="preserve"> : inhibiteurs du CYP2A6, augmentent les taux de nicotine, réduire la dose de SN.</w:t>
      </w:r>
    </w:p>
    <w:p>
      <w:pPr>
        <w:pStyle w:val="ListBullet"/>
      </w:pPr>
      <w:r/>
      <w:r>
        <w:rPr>
          <w:b/>
        </w:rPr>
        <w:t>Alcool</w:t>
      </w:r>
      <w:r>
        <w:t xml:space="preserve"> : potentialisation de la dépendance et masque des effets indésirables, à éviter pendant le sevrage.</w:t>
      </w:r>
    </w:p>
    <w:p>
      <w:pPr>
        <w:pStyle w:val="ListBullet"/>
      </w:pPr>
      <w:r/>
      <w:r>
        <w:rPr>
          <w:b/>
        </w:rPr>
        <w:t>Cannabis</w:t>
      </w:r>
      <w:r>
        <w:t xml:space="preserve"> : co-dépendance fréquente, à explorer et traiter parallèlement.</w:t>
      </w:r>
    </w:p>
    <w:p>
      <w:pPr>
        <w:pStyle w:val="Heading4"/>
      </w:pPr>
      <w:r>
        <w:t>10. Grossesse / Allaitement (CRAT)</w:t>
      </w:r>
    </w:p>
    <w:p>
      <w:pPr>
        <w:pStyle w:val="ListBullet"/>
      </w:pPr>
      <w:r/>
      <w:r>
        <w:rPr>
          <w:b/>
        </w:rPr>
        <w:t>Grossesse :</w:t>
      </w:r>
      <w:r>
        <w:t xml:space="preserve"> Le tabagisme maternel pendant la grossesse est responsable de : retard de croissance intra-utérin (RCIU), prématurité, mort fœtale in utero, hématome rétroplacentaire, placenta praevia, ectopic testiculaire chez le garçon, mort subite du nourrisson, troubles neuro-développementaux (TDAH, troubles des apprentissages). Le risque lié au tabagisme maternel est bien supérieur au risque théorique de la nicotine substitutive. La stratégie recommandée (HAS, ANSM, CRAT, OMS) est :</w:t>
      </w:r>
    </w:p>
    <w:p>
      <w:pPr>
        <w:pStyle w:val="ListNumber"/>
      </w:pPr>
      <w:r>
        <w:t>Arrêt total du tabac sans pharmacologie, en première intention, avec soutien comportemental.</w:t>
      </w:r>
    </w:p>
    <w:p>
      <w:pPr>
        <w:pStyle w:val="ListNumber"/>
      </w:pPr>
      <w:r>
        <w:t>En cas d'échec après 2 à 4 semaines, utilisation de substitut nicotinique à dose minimale efficace, sous surveillance obstétricale. Préférer les formes orales à la demande (pastille, gomme) qui permettent d'adapter la dose en fonction des craving et limitent l'imprégnation continue. Le patch transdermique peut être utilisé à dose minimale (7-14 mg/24 h) en respectant le rythme nycthéméral ; à éviter le patch porté la nuit (pour limiter l'exposition fœtale nocturne).</w:t>
      </w:r>
    </w:p>
    <w:p>
      <w:pPr>
        <w:pStyle w:val="ListNumber"/>
      </w:pPr>
      <w:r>
        <w:t>Ne pas dépasser la dose ayant permis l'arrêt du tabac.</w:t>
      </w:r>
    </w:p>
    <w:p>
      <w:pPr>
        <w:pStyle w:val="ListNumber"/>
      </w:pPr>
      <w:r>
        <w:t>Réévaluation hebdomadaire par le tabacologue et le gynécologue-obstétricien.</w:t>
      </w:r>
    </w:p>
    <w:p>
      <w:r>
        <w:t xml:space="preserve">  Le CRAT classe la nicotine substitutive comme "à éviter en pratique, mais admissible si le bénéfice maternel l'emporte" — c'est-à-dire en cas d'échec de l'arrêt sans pharmacologie. Le risque principal à éviter reste le tabagisme maternel actif, dont la fumée contient du monoxyde de carbone (hypoxie fœtale) et des milliers de substances toxiques (goudrons, nitrosamines spécifiques du tabac — NNK, NNN — cancérogènes transplacentaires). Les substituts nicotiniques, dépourvus de ces substances, sont nettement moins nocifs.</w:t>
      </w:r>
    </w:p>
    <w:p>
      <w:pPr>
        <w:pStyle w:val="ListBullet"/>
      </w:pPr>
      <w:r/>
      <w:r>
        <w:rPr>
          <w:b/>
        </w:rPr>
        <w:t>Allaitement :</w:t>
      </w:r>
      <w:r>
        <w:t xml:space="preserve"> La nicotine passe massivement dans le lait maternel (rapport lait/plasma = 2,9), avec un pic 30 minutes après la prise orale ou le retrait du patch. La nicotine ingérée par le nourrisson est métabolisée par son foie immature (CYP2A6 peu actif chez le nouveau-né), avec une demi-vie prolongée et un risque d'accumulation. La stratégie recommandée :</w:t>
      </w:r>
    </w:p>
    <w:p>
      <w:pPr>
        <w:pStyle w:val="ListNumber"/>
      </w:pPr>
      <w:r>
        <w:t>Arrêt total du tabac sans pharmacologie, en première intention.</w:t>
      </w:r>
    </w:p>
    <w:p>
      <w:pPr>
        <w:pStyle w:val="ListNumber"/>
      </w:pPr>
      <w:r>
        <w:t>En cas d'échec : SN à dose minimale efficace, à prendre juste après une tétée pour minimiser l'imprégnation du lait suivant. Éviter la prise nocturne.</w:t>
      </w:r>
    </w:p>
    <w:p>
      <w:pPr>
        <w:pStyle w:val="ListNumber"/>
      </w:pPr>
      <w:r>
        <w:t>Ne pas fumer pendant l'allaitement (la fumée de tabac expose le nourrisson au tabagisme passif, facteur de mort subite du nourrisson, de bronchiolite, d'otite séromuqueuse).</w:t>
      </w:r>
    </w:p>
    <w:p>
      <w:pPr>
        <w:pStyle w:val="ListNumber"/>
      </w:pPr>
      <w:r>
        <w:t>Si la mère reprend le tabac pendant l'allaitement, recommander l'arrêt de l'allaitement maternel au profit d'un lait artificiel (le tabagisme actif est plus toxique que le sevrage nicotinique).</w:t>
      </w:r>
    </w:p>
    <w:p>
      <w:pPr>
        <w:pStyle w:val="Heading4"/>
      </w:pPr>
      <w:r>
        <w:t>11. Posologie &amp; mode d'administration</w:t>
      </w:r>
    </w:p>
    <w:p>
      <w:r>
        <w:t>La posologie est adaptée au niveau de dépendance (test de Fagerström) et au nombre de cigarettes fumées par jour. Trois paliers sont recommandés :</w:t>
      </w:r>
    </w:p>
    <w:p>
      <w:pPr>
        <w:pStyle w:val="ListBullet"/>
      </w:pPr>
      <w:r/>
      <w:r>
        <w:rPr>
          <w:b/>
        </w:rPr>
        <w:t>Fumeur forte dépendance</w:t>
      </w:r>
      <w:r>
        <w:t xml:space="preserve"> (Fagerström ≥ 7 ou &gt; 20 cigarettes/jour) :</w:t>
      </w:r>
    </w:p>
    <w:p>
      <w:pPr>
        <w:pStyle w:val="ListBullet"/>
      </w:pPr>
      <w:r>
        <w:t>Patch 21 mg/24 h (Nicotinell) pendant 3-4 semaines, puis 14 mg/24 h pendant 3-4 semaines, puis 7 mg/24 h pendant 3-4 semaines. Total 9-12 semaines.</w:t>
      </w:r>
    </w:p>
    <w:p>
      <w:pPr>
        <w:pStyle w:val="ListBullet"/>
      </w:pPr>
      <w:r>
        <w:t>± Pastille 1,5 mg (Nicopass) à la demande pour les pics de craving, sans dépasser 15 pastilles par jour.</w:t>
      </w:r>
    </w:p>
    <w:p>
      <w:pPr>
        <w:pStyle w:val="ListBullet"/>
      </w:pPr>
      <w:r>
        <w:t>Stratégie combinée recommandée (patch + pastille) pour les fortes dépendances.</w:t>
      </w:r>
    </w:p>
    <w:p>
      <w:pPr>
        <w:pStyle w:val="ListBullet"/>
      </w:pPr>
      <w:r/>
      <w:r>
        <w:rPr>
          <w:b/>
        </w:rPr>
        <w:t>Fumeur dépendance modérée</w:t>
      </w:r>
      <w:r>
        <w:t xml:space="preserve"> (Fagerström 5-6 ou 10-20 cigarettes/jour) :</w:t>
      </w:r>
    </w:p>
    <w:p>
      <w:pPr>
        <w:pStyle w:val="ListBullet"/>
      </w:pPr>
      <w:r>
        <w:t>Patch 14 mg/24 h pendant 3-4 semaines, puis 7 mg/24 h pendant 3-4 semaines. Total 6-8 semaines.</w:t>
      </w:r>
    </w:p>
    <w:p>
      <w:pPr>
        <w:pStyle w:val="ListBullet"/>
      </w:pPr>
      <w:r>
        <w:t>± Pastille 1,5 mg à la demande (max 10 par jour).</w:t>
      </w:r>
    </w:p>
    <w:p>
      <w:pPr>
        <w:pStyle w:val="ListBullet"/>
      </w:pPr>
      <w:r/>
      <w:r>
        <w:rPr>
          <w:b/>
        </w:rPr>
        <w:t>Fumeur faible dépendance</w:t>
      </w:r>
      <w:r>
        <w:t xml:space="preserve"> (Fagerström &lt; 5 ou &lt; 10 cigarettes/jour) :</w:t>
      </w:r>
    </w:p>
    <w:p>
      <w:pPr>
        <w:pStyle w:val="ListBullet"/>
      </w:pPr>
      <w:r>
        <w:t>Pastille 1,5 mg à la demande (max 6-10 par jour) pendant 4-6 semaines, puis réduction progressive.</w:t>
      </w:r>
    </w:p>
    <w:p>
      <w:pPr>
        <w:pStyle w:val="ListBullet"/>
      </w:pPr>
      <w:r>
        <w:t>Ou patch 7 mg/24 h pendant 4-6 semaines.</w:t>
      </w:r>
    </w:p>
    <w:p>
      <w:r/>
      <w:r>
        <w:rPr>
          <w:b/>
        </w:rPr>
        <w:t>Mode d'administration :</w:t>
      </w:r>
      <w:r/>
    </w:p>
    <w:p>
      <w:pPr>
        <w:pStyle w:val="ListBullet"/>
      </w:pPr>
      <w:r/>
      <w:r>
        <w:rPr>
          <w:b/>
        </w:rPr>
        <w:t>Patch transdermique :</w:t>
      </w:r>
      <w:r>
        <w:t xml:space="preserve"> à appliquer le matin sur peau saine, sèche, sans pli, sans pilosité excessive (face externe du bras, épaule, tronc, hanche). Rotation des sites d'application quotidienne. À retirer le soir si insomnie (patch 16 heures au lieu de 24 heures). À jeter plié sur lui-même dans un lieu sûr hors de portée des enfants (risque d'intoxication nicotinique par ingestion du patch usagé qui contient encore 20-30 % de la dose initiale).</w:t>
      </w:r>
    </w:p>
    <w:p>
      <w:pPr>
        <w:pStyle w:val="ListBullet"/>
      </w:pPr>
      <w:r/>
      <w:r>
        <w:rPr>
          <w:b/>
        </w:rPr>
        <w:t>Pastille à sucer (Nicopass 1,5 mg) :</w:t>
      </w:r>
      <w:r>
        <w:t xml:space="preserve"> à sucer lentement (10-15 minutes par pastille), sans croquer ni avaler. À déplacer d'un côté à l'autre de la cavité buccale. À prendre à la demande en cas de craving. Ne pas dépasser 15 pastilles par jour. À éviter les boissons acides 15 minutes avant et pendant la pastille.</w:t>
      </w:r>
    </w:p>
    <w:p>
      <w:pPr>
        <w:pStyle w:val="ListBullet"/>
      </w:pPr>
      <w:r/>
      <w:r>
        <w:rPr>
          <w:b/>
        </w:rPr>
        <w:t>Durée totale du traitement</w:t>
      </w:r>
      <w:r>
        <w:t xml:space="preserve"> : 8 à 12 semaines en moyenne, prolongeable jusqu'à 6 mois chez les sujets à forte dépendance, à ne pas dépasser 12 mois.</w:t>
      </w:r>
    </w:p>
    <w:p>
      <w:pPr>
        <w:pStyle w:val="Heading4"/>
      </w:pPr>
      <w:r>
        <w:t>12. Conseils au patient / Pièges au comptoir / Arbitrage galénique</w:t>
      </w:r>
    </w:p>
    <w:p>
      <w:pPr>
        <w:pStyle w:val="ListBullet"/>
      </w:pPr>
      <w:r/>
      <w:r>
        <w:rPr>
          <w:b/>
        </w:rPr>
        <w:t>Piège majeur — syndrome de surdosage / sous-dosage :</w:t>
      </w:r>
      <w:r>
        <w:t xml:space="preserve"> Le patient doit être éduqué à reconnaître les signes de sous-dosage (craving persistant, irritabilité, anxiété, besoin compulsif de fumer) et de surdosage (nausées, palpitations, sueurs, insomnie). En cas de sous-dosage, augmenter la dose de patch ou ajouter une forme orale. En cas de surdosage, réduire la dose.</w:t>
      </w:r>
    </w:p>
    <w:p>
      <w:pPr>
        <w:pStyle w:val="ListBullet"/>
      </w:pPr>
      <w:r/>
      <w:r>
        <w:rPr>
          <w:b/>
        </w:rPr>
        <w:t>Piège du patch la nuit :</w:t>
      </w:r>
      <w:r>
        <w:t xml:space="preserve"> Si insomnie ou cauchemars apparaissent, retirer le patch le soir au coucher et le remettre le matin (passage d'un patch 24 heures à un patch 16 heures). Préférer la formulation Nicotinell 24 heures en début de traitement pour couvrir les cravings matinaux intenses.</w:t>
      </w:r>
    </w:p>
    <w:p>
      <w:pPr>
        <w:pStyle w:val="ListBullet"/>
      </w:pPr>
      <w:r/>
      <w:r>
        <w:rPr>
          <w:b/>
        </w:rPr>
        <w:t>Piège du patient "passe-partout" :</w:t>
      </w:r>
      <w:r>
        <w:t xml:space="preserve"> un patient sous patch qui continue à fumer occasionnellement (1-3 cigarettes/jour) a un risque majoré d'effets indésirables cardiovasculaires (synergie sympathique) — insister sur l'arrêt total du tabac dès le premier jour de patch.</w:t>
      </w:r>
    </w:p>
    <w:p>
      <w:pPr>
        <w:pStyle w:val="ListBullet"/>
      </w:pPr>
      <w:r/>
      <w:r>
        <w:rPr>
          <w:b/>
        </w:rPr>
        <w:t>Piège de la prise de poids :</w:t>
      </w:r>
      <w:r>
        <w:t xml:space="preserve"> prévenir le patient que la prise de poids moyenne est de 2-4 kg, qu'elle est due à la disparition de l'effet anorexigène de la nicotine et à la modification du métabolisme de base (le tabac augmente de 10 % la dépense énergétique). Conseiller une activité physique régulière, une alimentation riche en fibres et en protéines, éviter le grignotage sucré.</w:t>
      </w:r>
    </w:p>
    <w:p>
      <w:pPr>
        <w:pStyle w:val="ListBullet"/>
      </w:pPr>
      <w:r/>
      <w:r>
        <w:rPr>
          <w:b/>
        </w:rPr>
        <w:t>Piège du café :</w:t>
      </w:r>
      <w:r>
        <w:t xml:space="preserve"> à l'arrêt du tabac, la caféine est métabolisée plus lentement (la clairance du CYP1A2 est réduite), ce qui expose au caféinisme (palpitations, nervosité, insomnie). Réduire la consommation de café de 30-50 % pendant les 4 premières semaines.</w:t>
      </w:r>
    </w:p>
    <w:p>
      <w:pPr>
        <w:pStyle w:val="ListBullet"/>
      </w:pPr>
      <w:r/>
      <w:r>
        <w:rPr>
          <w:b/>
        </w:rPr>
        <w:t>Arbitrage galénique :</w:t>
      </w:r>
      <w:r/>
    </w:p>
    <w:p>
      <w:pPr>
        <w:pStyle w:val="ListBullet"/>
      </w:pPr>
      <w:r>
        <w:t>Patch : pour le maintien d'un taux plasmatique stable, pour le patient régulier et observant, pour la couverture du craving matinal.</w:t>
      </w:r>
    </w:p>
    <w:p>
      <w:pPr>
        <w:pStyle w:val="ListBullet"/>
      </w:pPr>
      <w:r>
        <w:t>Pastille / gomme : pour la couverture à la demande, pour le patient ayant des cravings ponctuels, pour la dépendance faible à modérée.</w:t>
      </w:r>
    </w:p>
    <w:p>
      <w:pPr>
        <w:pStyle w:val="ListBullet"/>
      </w:pPr>
      <w:r>
        <w:t>Combinaison patch + pastille : pour les fortes dépendances (Fagerström ≥ 7), stratégie la plus efficace.</w:t>
      </w:r>
    </w:p>
    <w:p>
      <w:pPr>
        <w:pStyle w:val="ListBullet"/>
      </w:pPr>
      <w:r/>
      <w:r>
        <w:rPr>
          <w:b/>
        </w:rPr>
        <w:t>Éducation à l'observance :</w:t>
      </w:r>
      <w:r>
        <w:t xml:space="preserve"> Le traitement par SN doit s'inscrire dans une stratégie globale : soutien comportemental (consultation tabacologique, lignes téléphoniques d'aide à l'arrêt), soutien social (entourage familial), gestion des situations à risque (alcool, café, repas conviviaux, stress). Le taux de succès à 6 mois est de 20-30 % avec SN + accompagnement vs 5-10 % avec SN seul.</w:t>
      </w:r>
    </w:p>
    <w:p>
      <w:pPr>
        <w:pStyle w:val="ListBullet"/>
      </w:pPr>
      <w:r/>
      <w:r>
        <w:rPr>
          <w:b/>
        </w:rPr>
        <w:t>Adaptation posologique hebdomadaire :</w:t>
      </w:r>
      <w:r>
        <w:t xml:space="preserve"> Réévaluer la dépendance et la tolérance chaque semaine pendant les 4 premières semaines, puis tous les 15 jours. Adapter la dose de patch à la baisse en cas d'absence de craving pendant 7 jours consécutifs.</w:t>
      </w:r>
    </w:p>
    <w:p>
      <w:pPr>
        <w:pStyle w:val="ListBullet"/>
      </w:pPr>
      <w:r/>
      <w:r>
        <w:rPr>
          <w:b/>
        </w:rPr>
        <w:t>Surveillance spécifique patient coronarien / diabétique / hypertendu :</w:t>
      </w:r>
      <w:r>
        <w:t xml:space="preserve"> ECG, glycémie capillaire, pression artérielle à 7-15 jours, à 1 mois, à 3 mois.</w:t>
      </w:r>
    </w:p>
    <w:p>
      <w:pPr>
        <w:pStyle w:val="ListBullet"/>
      </w:pPr>
      <w:r/>
      <w:r>
        <w:rPr>
          <w:b/>
        </w:rPr>
        <w:t>Particularité Algérie — coût :</w:t>
      </w:r>
      <w:r>
        <w:t xml:space="preserve"> Insister sur le rapport coût/bénéfice : 3 mois de traitement nicotinique de substitution coûtent environ 10 000 DA, soit l'équivalent de 3 mois de tabagisme à 20 cigarettes/jour de marque nationale. L'investissement financier est donc neutre sur la durée du traitement et devient bénéfique dès le 4e mois.</w:t>
      </w:r>
    </w:p>
    <w:p>
      <w:pPr>
        <w:pStyle w:val="Heading2"/>
      </w:pPr>
      <w:r>
        <w:t>Sous-classe 3 — Sialagogues : Pilocarpine (usage ORL)</w:t>
      </w:r>
    </w:p>
    <w:p>
      <w:pPr>
        <w:pStyle w:val="Heading3"/>
      </w:pPr>
      <w:r>
        <w:t>Introduction à la sous-classe</w:t>
      </w:r>
    </w:p>
    <w:p>
      <w:r>
        <w:t xml:space="preserve">Les sialagogues (du grec </w:t>
      </w:r>
      <w:r>
        <w:rPr>
          <w:i/>
        </w:rPr>
        <w:t>sialon</w:t>
      </w:r>
      <w:r>
        <w:t xml:space="preserve"> = salive, </w:t>
      </w:r>
      <w:r>
        <w:rPr>
          <w:i/>
        </w:rPr>
        <w:t>agein</w:t>
      </w:r>
      <w:r>
        <w:t xml:space="preserve"> = conduire) constituent une classe pharmacologique relativement restreinte dont l'indication principale en ORL est le traitement de la sécheresse buccale (xérostomie), symptôme invalidant responsable de dysphagie, dysgueusie, candidose buccale récidivante, caries dentaires multiples et dénutrition. La xérostomie touche principalement trois populations : (i) les patients atteints de syndrome de Sjögren, maladie auto-immune caractérisée par une infiltration lymphocytaire des glandes salivaires (prévalence 0,5 à 1 % de la population générale, sex-ratio 9 femmes/1 homme) ; (ii) les patients traités par radiothérapie ORL pour cancer du cavum, de l'oropharynx, de la cavité buccale ou des glandes salivaires (la xérostomie est quasi-constante, apparaît dès la première semaine d'irradiation, et peut être définitive au-delà de 50-60 Gy sur les parotides) ; (iii) les patients sous médicaments xérostomiants (antidépresseurs tricycliques, IRS, antipsychotiques, antihistaminiques H1, anticholinergiques, opioïdes, diurétiques, certains antihypertenseurs). Le traitement pharmacologique de la xérostomie repose sur deux familles : les substitutions salivaires (sprays, gels, pastilles lubrifiantes, sans action pharmacologique systémique) et les stimulants de la sécrétion salivaire (sialagogues pharmacologiques), parmi lesquels la pilocarpine est le chef de file et le seul représentant validé. La pilocarpine, alcaloïde naturel extrait des feuilles de </w:t>
      </w:r>
      <w:r>
        <w:rPr>
          <w:i/>
        </w:rPr>
        <w:t>Pilocarpus jaborandi</w:t>
      </w:r>
      <w:r>
        <w:t xml:space="preserve"> (Rutacée d'Amérique du Sud), est un agoniste parasympathomimétique à action directe, agoniste non sélectif des récepteurs muscariniques M1, M2 et M3 (avec une affinité préférentielle pour M3). En ORL, son indication est la xérostomie sévère du syndrome de Sjögren et de la radiothérapie ORL, après échec des substitutions salivaires. La pilocarpine existe sous deux formes galéniques : orale (comprimés 5 mg, Salagen® — non disponible dans la nomenclature algérienne officielle) et ophtalmologique (collyre 1 % et 2 % — indiqué pour le glaucome chronique à angle ouvert et pour le strabisme accommodatif, mais qui peut être utilisé en usage local oral en instillation buccale pour stimuler la salivation en dernière intention). La spécialité algérienne disponible est exclusivement le collyre (APICARPIN® 1 % et 2 %, PILO 1® et PILO 2®), ce qui limite l'usage systémique et nécessite, pour l'indication de xérostomie, l'importation exceptionnelle de la forme orale (Salagen®) ou l'usage détourné du collyre en instillation orale.</w:t>
      </w:r>
    </w:p>
    <w:p>
      <w:pPr>
        <w:pStyle w:val="Heading3"/>
      </w:pPr>
      <w:r>
        <w:t>DCI 3 — Pilocarpine (usage ORL — sécheresse buccale)</w:t>
      </w:r>
    </w:p>
    <w:p>
      <w:pPr>
        <w:pStyle w:val="Heading4"/>
      </w:pPr>
      <w:r>
        <w:t>1. Catégories / Liste</w:t>
      </w:r>
    </w:p>
    <w:tbl>
      <w:tblPr>
        <w:tblStyle w:val="LightGrid-Accent1"/>
        <w:tblW w:type="auto" w:w="0"/>
        <w:tblLook w:firstColumn="1" w:firstRow="1" w:lastColumn="0" w:lastRow="0" w:noHBand="0" w:noVBand="1" w:val="04A0"/>
      </w:tblPr>
      <w:tblGrid>
        <w:gridCol w:w="4677"/>
        <w:gridCol w:w="4677"/>
      </w:tblGrid>
      <w:tr>
        <w:tc>
          <w:tcPr>
            <w:tcW w:type="dxa" w:w="4677"/>
          </w:tcPr>
          <w:p>
            <w:r>
              <w:rPr>
                <w:b/>
                <w:sz w:val="20"/>
              </w:rPr>
              <w:t>Catégorie</w:t>
            </w:r>
          </w:p>
        </w:tc>
        <w:tc>
          <w:tcPr>
            <w:tcW w:type="dxa" w:w="4677"/>
          </w:tcPr>
          <w:p>
            <w:r>
              <w:rPr>
                <w:b/>
                <w:sz w:val="20"/>
              </w:rPr>
              <w:t>Statut réglementaire algérien</w:t>
            </w:r>
          </w:p>
        </w:tc>
      </w:tr>
      <w:tr>
        <w:tc>
          <w:tcPr>
            <w:tcW w:type="dxa" w:w="4677"/>
          </w:tcPr>
          <w:p>
            <w:r>
              <w:rPr>
                <w:sz w:val="20"/>
              </w:rPr>
              <w:t>Classe ATC</w:t>
            </w:r>
          </w:p>
        </w:tc>
        <w:tc>
          <w:tcPr>
            <w:tcW w:type="dxa" w:w="4677"/>
          </w:tcPr>
          <w:p>
            <w:r>
              <w:rPr>
                <w:sz w:val="20"/>
              </w:rPr>
              <w:t>N07AX03 — Pilocarpine (autres médicaments du système nerveux, parasympathomimétiques) ; S01EB01 — Pilocarpine (ophtalmologie, miotiques) ;forme orale Sialagogues : H03BB (voie systémique)</w:t>
            </w:r>
          </w:p>
        </w:tc>
      </w:tr>
      <w:tr>
        <w:tc>
          <w:tcPr>
            <w:tcW w:type="dxa" w:w="4677"/>
          </w:tcPr>
          <w:p>
            <w:r>
              <w:rPr>
                <w:sz w:val="20"/>
              </w:rPr>
              <w:t>Réglementation</w:t>
            </w:r>
          </w:p>
        </w:tc>
        <w:tc>
          <w:tcPr>
            <w:tcW w:type="dxa" w:w="4677"/>
          </w:tcPr>
          <w:p>
            <w:r>
              <w:rPr>
                <w:sz w:val="20"/>
              </w:rPr>
              <w:t>Liste I (prescription médicale obligatoire)</w:t>
            </w:r>
          </w:p>
        </w:tc>
      </w:tr>
      <w:tr>
        <w:tc>
          <w:tcPr>
            <w:tcW w:type="dxa" w:w="4677"/>
          </w:tcPr>
          <w:p>
            <w:r>
              <w:rPr>
                <w:sz w:val="20"/>
              </w:rPr>
              <w:t>Prescription</w:t>
            </w:r>
          </w:p>
        </w:tc>
        <w:tc>
          <w:tcPr>
            <w:tcW w:type="dxa" w:w="4677"/>
          </w:tcPr>
          <w:p>
            <w:r>
              <w:rPr>
                <w:sz w:val="20"/>
              </w:rPr>
              <w:t>Médicament soumis à prescription médicale stricte</w:t>
            </w:r>
          </w:p>
        </w:tc>
      </w:tr>
      <w:tr>
        <w:tc>
          <w:tcPr>
            <w:tcW w:type="dxa" w:w="4677"/>
          </w:tcPr>
          <w:p>
            <w:r>
              <w:rPr>
                <w:sz w:val="20"/>
              </w:rPr>
              <w:t>Remboursement</w:t>
            </w:r>
          </w:p>
        </w:tc>
        <w:tc>
          <w:tcPr>
            <w:tcW w:type="dxa" w:w="4677"/>
          </w:tcPr>
          <w:p>
            <w:r>
              <w:rPr>
                <w:sz w:val="20"/>
              </w:rPr>
              <w:t>Collyre : remboursé par la Sécurité sociale algérienne (indication ophtalmologique) ; forme orale non inscrite à la nomenclature algérienne</w:t>
            </w:r>
          </w:p>
        </w:tc>
      </w:tr>
      <w:tr>
        <w:tc>
          <w:tcPr>
            <w:tcW w:type="dxa" w:w="4677"/>
          </w:tcPr>
          <w:p>
            <w:r>
              <w:rPr>
                <w:sz w:val="20"/>
              </w:rPr>
              <w:t>Indication ORL</w:t>
            </w:r>
          </w:p>
        </w:tc>
        <w:tc>
          <w:tcPr>
            <w:tcW w:type="dxa" w:w="4677"/>
          </w:tcPr>
          <w:p>
            <w:r>
              <w:rPr>
                <w:sz w:val="20"/>
              </w:rPr>
              <w:t>Xérostomie sévère du syndrome de Sjögren (après échec des substitutions salivaires) ; xérostomie post-radiothérapie ORL (à distance de la phase aiguë, après cicatrisation muqueuse) ; syndrome de Gougerot-Sjögren primitif et secondaire</w:t>
            </w:r>
          </w:p>
        </w:tc>
      </w:tr>
    </w:tbl>
    <w:p/>
    <w:p>
      <w:pPr>
        <w:pStyle w:val="Heading4"/>
      </w:pPr>
      <w:r>
        <w:t>2. Médicaments et spécialités disponibles en Algérie (nomenclature avril 2026)</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APICARPIN</w:t>
            </w:r>
          </w:p>
        </w:tc>
        <w:tc>
          <w:tcPr>
            <w:tcW w:type="dxa" w:w="1559"/>
          </w:tcPr>
          <w:p>
            <w:r>
              <w:rPr>
                <w:sz w:val="20"/>
              </w:rPr>
              <w:t>AMMAN PHARMACEUTICAL INDUSTRIE</w:t>
            </w:r>
          </w:p>
        </w:tc>
        <w:tc>
          <w:tcPr>
            <w:tcW w:type="dxa" w:w="1559"/>
          </w:tcPr>
          <w:p>
            <w:r>
              <w:rPr>
                <w:sz w:val="20"/>
              </w:rPr>
              <w:t>Collyre en solution de pilocarpine 1 % (10 mg/mL)</w:t>
            </w:r>
          </w:p>
        </w:tc>
        <w:tc>
          <w:tcPr>
            <w:tcW w:type="dxa" w:w="1559"/>
          </w:tcPr>
          <w:p>
            <w:r>
              <w:rPr>
                <w:sz w:val="20"/>
              </w:rPr>
              <w:t>Flacon de 10 mL</w:t>
            </w:r>
          </w:p>
        </w:tc>
        <w:tc>
          <w:tcPr>
            <w:tcW w:type="dxa" w:w="1559"/>
          </w:tcPr>
          <w:p>
            <w:r>
              <w:rPr>
                <w:sz w:val="20"/>
              </w:rPr>
              <w:t>Liste I</w:t>
            </w:r>
          </w:p>
        </w:tc>
        <w:tc>
          <w:tcPr>
            <w:tcW w:type="dxa" w:w="1559"/>
          </w:tcPr>
          <w:p>
            <w:r>
              <w:rPr>
                <w:sz w:val="20"/>
              </w:rPr>
              <w:t>Actif</w:t>
            </w:r>
          </w:p>
        </w:tc>
      </w:tr>
      <w:tr>
        <w:tc>
          <w:tcPr>
            <w:tcW w:type="dxa" w:w="1559"/>
          </w:tcPr>
          <w:p>
            <w:r>
              <w:rPr>
                <w:sz w:val="20"/>
              </w:rPr>
              <w:t>APICARPIN</w:t>
            </w:r>
          </w:p>
        </w:tc>
        <w:tc>
          <w:tcPr>
            <w:tcW w:type="dxa" w:w="1559"/>
          </w:tcPr>
          <w:p>
            <w:r>
              <w:rPr>
                <w:sz w:val="20"/>
              </w:rPr>
              <w:t>AMMAN PHARMACEUTICAL INDUSTRIE</w:t>
            </w:r>
          </w:p>
        </w:tc>
        <w:tc>
          <w:tcPr>
            <w:tcW w:type="dxa" w:w="1559"/>
          </w:tcPr>
          <w:p>
            <w:r>
              <w:rPr>
                <w:sz w:val="20"/>
              </w:rPr>
              <w:t>Collyre en solution de pilocarpine 2 % (20 mg/mL)</w:t>
            </w:r>
          </w:p>
        </w:tc>
        <w:tc>
          <w:tcPr>
            <w:tcW w:type="dxa" w:w="1559"/>
          </w:tcPr>
          <w:p>
            <w:r>
              <w:rPr>
                <w:sz w:val="20"/>
              </w:rPr>
              <w:t>Flacon de 10 mL</w:t>
            </w:r>
          </w:p>
        </w:tc>
        <w:tc>
          <w:tcPr>
            <w:tcW w:type="dxa" w:w="1559"/>
          </w:tcPr>
          <w:p>
            <w:r>
              <w:rPr>
                <w:sz w:val="20"/>
              </w:rPr>
              <w:t>Liste I</w:t>
            </w:r>
          </w:p>
        </w:tc>
        <w:tc>
          <w:tcPr>
            <w:tcW w:type="dxa" w:w="1559"/>
          </w:tcPr>
          <w:p>
            <w:r>
              <w:rPr>
                <w:sz w:val="20"/>
              </w:rPr>
              <w:t>Actif</w:t>
            </w:r>
          </w:p>
        </w:tc>
      </w:tr>
      <w:tr>
        <w:tc>
          <w:tcPr>
            <w:tcW w:type="dxa" w:w="1559"/>
          </w:tcPr>
          <w:p>
            <w:r>
              <w:rPr>
                <w:sz w:val="20"/>
              </w:rPr>
              <w:t>PILO 1</w:t>
            </w:r>
          </w:p>
        </w:tc>
        <w:tc>
          <w:tcPr>
            <w:tcW w:type="dxa" w:w="1559"/>
          </w:tcPr>
          <w:p>
            <w:r>
              <w:rPr>
                <w:sz w:val="20"/>
              </w:rPr>
              <w:t>CHAUVIN S.A.</w:t>
            </w:r>
          </w:p>
        </w:tc>
        <w:tc>
          <w:tcPr>
            <w:tcW w:type="dxa" w:w="1559"/>
          </w:tcPr>
          <w:p>
            <w:r>
              <w:rPr>
                <w:sz w:val="20"/>
              </w:rPr>
              <w:t>Collyre en solution de pilocarpine (nitrate) 1 %</w:t>
            </w:r>
          </w:p>
        </w:tc>
        <w:tc>
          <w:tcPr>
            <w:tcW w:type="dxa" w:w="1559"/>
          </w:tcPr>
          <w:p>
            <w:r>
              <w:rPr>
                <w:sz w:val="20"/>
              </w:rPr>
              <w:t>Flacon de 10 mL</w:t>
            </w:r>
          </w:p>
        </w:tc>
        <w:tc>
          <w:tcPr>
            <w:tcW w:type="dxa" w:w="1559"/>
          </w:tcPr>
          <w:p>
            <w:r>
              <w:rPr>
                <w:sz w:val="20"/>
              </w:rPr>
              <w:t>Liste I</w:t>
            </w:r>
          </w:p>
        </w:tc>
        <w:tc>
          <w:tcPr>
            <w:tcW w:type="dxa" w:w="1559"/>
          </w:tcPr>
          <w:p>
            <w:r>
              <w:rPr>
                <w:sz w:val="20"/>
              </w:rPr>
              <w:t>Actif</w:t>
            </w:r>
          </w:p>
        </w:tc>
      </w:tr>
      <w:tr>
        <w:tc>
          <w:tcPr>
            <w:tcW w:type="dxa" w:w="1559"/>
          </w:tcPr>
          <w:p>
            <w:r>
              <w:rPr>
                <w:sz w:val="20"/>
              </w:rPr>
              <w:t>PILO 2</w:t>
            </w:r>
          </w:p>
        </w:tc>
        <w:tc>
          <w:tcPr>
            <w:tcW w:type="dxa" w:w="1559"/>
          </w:tcPr>
          <w:p>
            <w:r>
              <w:rPr>
                <w:sz w:val="20"/>
              </w:rPr>
              <w:t>CHAUVIN</w:t>
            </w:r>
          </w:p>
        </w:tc>
        <w:tc>
          <w:tcPr>
            <w:tcW w:type="dxa" w:w="1559"/>
          </w:tcPr>
          <w:p>
            <w:r>
              <w:rPr>
                <w:sz w:val="20"/>
              </w:rPr>
              <w:t>Collyre en solution de pilocarpine 2 %</w:t>
            </w:r>
          </w:p>
        </w:tc>
        <w:tc>
          <w:tcPr>
            <w:tcW w:type="dxa" w:w="1559"/>
          </w:tcPr>
          <w:p>
            <w:r>
              <w:rPr>
                <w:sz w:val="20"/>
              </w:rPr>
              <w:t>Flacon de 10 mL</w:t>
            </w:r>
          </w:p>
        </w:tc>
        <w:tc>
          <w:tcPr>
            <w:tcW w:type="dxa" w:w="1559"/>
          </w:tcPr>
          <w:p>
            <w:r>
              <w:rPr>
                <w:sz w:val="20"/>
              </w:rPr>
              <w:t>Liste I</w:t>
            </w:r>
          </w:p>
        </w:tc>
        <w:tc>
          <w:tcPr>
            <w:tcW w:type="dxa" w:w="1559"/>
          </w:tcPr>
          <w:p>
            <w:r>
              <w:rPr>
                <w:sz w:val="20"/>
              </w:rPr>
              <w:t>Retrait (R)</w:t>
            </w:r>
          </w:p>
        </w:tc>
      </w:tr>
      <w:tr>
        <w:tc>
          <w:tcPr>
            <w:tcW w:type="dxa" w:w="1559"/>
          </w:tcPr>
          <w:p>
            <w:r>
              <w:rPr>
                <w:sz w:val="20"/>
              </w:rPr>
              <w:t>PILOCARPINE</w:t>
            </w:r>
          </w:p>
        </w:tc>
        <w:tc>
          <w:tcPr>
            <w:tcW w:type="dxa" w:w="1559"/>
          </w:tcPr>
          <w:p>
            <w:r>
              <w:rPr>
                <w:sz w:val="20"/>
              </w:rPr>
              <w:t>CIBA VISION</w:t>
            </w:r>
          </w:p>
        </w:tc>
        <w:tc>
          <w:tcPr>
            <w:tcW w:type="dxa" w:w="1559"/>
          </w:tcPr>
          <w:p>
            <w:r>
              <w:rPr>
                <w:sz w:val="20"/>
              </w:rPr>
              <w:t>Collyre de pilocarpine 1 %</w:t>
            </w:r>
          </w:p>
        </w:tc>
        <w:tc>
          <w:tcPr>
            <w:tcW w:type="dxa" w:w="1559"/>
          </w:tcPr>
          <w:p>
            <w:r>
              <w:rPr>
                <w:sz w:val="20"/>
              </w:rPr>
              <w:t>Flacon de 15 mL</w:t>
            </w:r>
          </w:p>
        </w:tc>
        <w:tc>
          <w:tcPr>
            <w:tcW w:type="dxa" w:w="1559"/>
          </w:tcPr>
          <w:p>
            <w:r>
              <w:rPr>
                <w:sz w:val="20"/>
              </w:rPr>
              <w:t>Liste I</w:t>
            </w:r>
          </w:p>
        </w:tc>
        <w:tc>
          <w:tcPr>
            <w:tcW w:type="dxa" w:w="1559"/>
          </w:tcPr>
          <w:p>
            <w:r>
              <w:rPr>
                <w:sz w:val="20"/>
              </w:rPr>
              <w:t>Retrait (R)</w:t>
            </w:r>
          </w:p>
        </w:tc>
      </w:tr>
      <w:tr>
        <w:tc>
          <w:tcPr>
            <w:tcW w:type="dxa" w:w="1559"/>
          </w:tcPr>
          <w:p>
            <w:r>
              <w:rPr>
                <w:sz w:val="20"/>
              </w:rPr>
              <w:t>PILOCARPINE</w:t>
            </w:r>
          </w:p>
        </w:tc>
        <w:tc>
          <w:tcPr>
            <w:tcW w:type="dxa" w:w="1559"/>
          </w:tcPr>
          <w:p>
            <w:r>
              <w:rPr>
                <w:sz w:val="20"/>
              </w:rPr>
              <w:t>CIBA VISION</w:t>
            </w:r>
          </w:p>
        </w:tc>
        <w:tc>
          <w:tcPr>
            <w:tcW w:type="dxa" w:w="1559"/>
          </w:tcPr>
          <w:p>
            <w:r>
              <w:rPr>
                <w:sz w:val="20"/>
              </w:rPr>
              <w:t>Collyre de pilocarpine 2 %</w:t>
            </w:r>
          </w:p>
        </w:tc>
        <w:tc>
          <w:tcPr>
            <w:tcW w:type="dxa" w:w="1559"/>
          </w:tcPr>
          <w:p>
            <w:r>
              <w:rPr>
                <w:sz w:val="20"/>
              </w:rPr>
              <w:t>Flacon de 15 mL</w:t>
            </w:r>
          </w:p>
        </w:tc>
        <w:tc>
          <w:tcPr>
            <w:tcW w:type="dxa" w:w="1559"/>
          </w:tcPr>
          <w:p>
            <w:r>
              <w:rPr>
                <w:sz w:val="20"/>
              </w:rPr>
              <w:t>Liste I</w:t>
            </w:r>
          </w:p>
        </w:tc>
        <w:tc>
          <w:tcPr>
            <w:tcW w:type="dxa" w:w="1559"/>
          </w:tcPr>
          <w:p>
            <w:r>
              <w:rPr>
                <w:sz w:val="20"/>
              </w:rPr>
              <w:t>Retrait (R)</w:t>
            </w:r>
          </w:p>
        </w:tc>
      </w:tr>
      <w:tr>
        <w:tc>
          <w:tcPr>
            <w:tcW w:type="dxa" w:w="1559"/>
          </w:tcPr>
          <w:p>
            <w:r>
              <w:rPr>
                <w:sz w:val="20"/>
              </w:rPr>
              <w:t>ISOPTO-PILOCARPINE</w:t>
            </w:r>
          </w:p>
        </w:tc>
        <w:tc>
          <w:tcPr>
            <w:tcW w:type="dxa" w:w="1559"/>
          </w:tcPr>
          <w:p>
            <w:r>
              <w:rPr>
                <w:sz w:val="20"/>
              </w:rPr>
              <w:t>ALCON</w:t>
            </w:r>
          </w:p>
        </w:tc>
        <w:tc>
          <w:tcPr>
            <w:tcW w:type="dxa" w:w="1559"/>
          </w:tcPr>
          <w:p>
            <w:r>
              <w:rPr>
                <w:sz w:val="20"/>
              </w:rPr>
              <w:t>Collyre de pilocarpine 1 %</w:t>
            </w:r>
          </w:p>
        </w:tc>
        <w:tc>
          <w:tcPr>
            <w:tcW w:type="dxa" w:w="1559"/>
          </w:tcPr>
          <w:p>
            <w:r>
              <w:rPr>
                <w:sz w:val="20"/>
              </w:rPr>
              <w:t>Flacon de 10 mL</w:t>
            </w:r>
          </w:p>
        </w:tc>
        <w:tc>
          <w:tcPr>
            <w:tcW w:type="dxa" w:w="1559"/>
          </w:tcPr>
          <w:p>
            <w:r>
              <w:rPr>
                <w:sz w:val="20"/>
              </w:rPr>
              <w:t>Liste I</w:t>
            </w:r>
          </w:p>
        </w:tc>
        <w:tc>
          <w:tcPr>
            <w:tcW w:type="dxa" w:w="1559"/>
          </w:tcPr>
          <w:p>
            <w:r>
              <w:rPr>
                <w:sz w:val="20"/>
              </w:rPr>
              <w:t>Retrait (R)</w:t>
            </w:r>
          </w:p>
        </w:tc>
      </w:tr>
      <w:tr>
        <w:tc>
          <w:tcPr>
            <w:tcW w:type="dxa" w:w="1559"/>
          </w:tcPr>
          <w:p>
            <w:r>
              <w:rPr>
                <w:sz w:val="20"/>
              </w:rPr>
              <w:t>ISOPTO-PILOCARPINE</w:t>
            </w:r>
          </w:p>
        </w:tc>
        <w:tc>
          <w:tcPr>
            <w:tcW w:type="dxa" w:w="1559"/>
          </w:tcPr>
          <w:p>
            <w:r>
              <w:rPr>
                <w:sz w:val="20"/>
              </w:rPr>
              <w:t>ALCON</w:t>
            </w:r>
          </w:p>
        </w:tc>
        <w:tc>
          <w:tcPr>
            <w:tcW w:type="dxa" w:w="1559"/>
          </w:tcPr>
          <w:p>
            <w:r>
              <w:rPr>
                <w:sz w:val="20"/>
              </w:rPr>
              <w:t>Collyre de pilocarpine 2 %</w:t>
            </w:r>
          </w:p>
        </w:tc>
        <w:tc>
          <w:tcPr>
            <w:tcW w:type="dxa" w:w="1559"/>
          </w:tcPr>
          <w:p>
            <w:r>
              <w:rPr>
                <w:sz w:val="20"/>
              </w:rPr>
              <w:t>Flacon de 10 mL</w:t>
            </w:r>
          </w:p>
        </w:tc>
        <w:tc>
          <w:tcPr>
            <w:tcW w:type="dxa" w:w="1559"/>
          </w:tcPr>
          <w:p>
            <w:r>
              <w:rPr>
                <w:sz w:val="20"/>
              </w:rPr>
              <w:t>Liste I</w:t>
            </w:r>
          </w:p>
        </w:tc>
        <w:tc>
          <w:tcPr>
            <w:tcW w:type="dxa" w:w="1559"/>
          </w:tcPr>
          <w:p>
            <w:r>
              <w:rPr>
                <w:sz w:val="20"/>
              </w:rPr>
              <w:t>Retrait (R)</w:t>
            </w:r>
          </w:p>
        </w:tc>
      </w:tr>
      <w:tr>
        <w:tc>
          <w:tcPr>
            <w:tcW w:type="dxa" w:w="1559"/>
          </w:tcPr>
          <w:p>
            <w:r>
              <w:rPr>
                <w:sz w:val="20"/>
              </w:rPr>
              <w:t>PILOLOL (pilocarpine + timolol)</w:t>
            </w:r>
          </w:p>
        </w:tc>
        <w:tc>
          <w:tcPr>
            <w:tcW w:type="dxa" w:w="1559"/>
          </w:tcPr>
          <w:p>
            <w:r>
              <w:rPr>
                <w:sz w:val="20"/>
              </w:rPr>
              <w:t>UNIMED</w:t>
            </w:r>
          </w:p>
        </w:tc>
        <w:tc>
          <w:tcPr>
            <w:tcW w:type="dxa" w:w="1559"/>
          </w:tcPr>
          <w:p>
            <w:r>
              <w:rPr>
                <w:sz w:val="20"/>
              </w:rPr>
              <w:t>Collyre de pilocarpine 1 % + timolol 0,5 %</w:t>
            </w:r>
          </w:p>
        </w:tc>
        <w:tc>
          <w:tcPr>
            <w:tcW w:type="dxa" w:w="1559"/>
          </w:tcPr>
          <w:p>
            <w:r>
              <w:rPr>
                <w:sz w:val="20"/>
              </w:rPr>
              <w:t>Flacon de 5 mL</w:t>
            </w:r>
          </w:p>
        </w:tc>
        <w:tc>
          <w:tcPr>
            <w:tcW w:type="dxa" w:w="1559"/>
          </w:tcPr>
          <w:p>
            <w:r>
              <w:rPr>
                <w:sz w:val="20"/>
              </w:rPr>
              <w:t>Liste I</w:t>
            </w:r>
          </w:p>
        </w:tc>
        <w:tc>
          <w:tcPr>
            <w:tcW w:type="dxa" w:w="1559"/>
          </w:tcPr>
          <w:p>
            <w:r>
              <w:rPr>
                <w:sz w:val="20"/>
              </w:rPr>
              <w:t>Non Renouvelable</w:t>
            </w:r>
          </w:p>
        </w:tc>
      </w:tr>
    </w:tbl>
    <w:p/>
    <w:p>
      <w:r/>
      <w:r>
        <w:rPr>
          <w:b/>
        </w:rPr>
        <w:t>Note sur la disponibilité algérienne :</w:t>
      </w:r>
      <w:r>
        <w:t xml:space="preserve"> Les formes disponibles en Algérie sont des collyres ophtalmologiques (APICARPIN® 1 % et 2 %, PILO 1®), indiqués principalement pour le glaucome chronique à angle ouvert et le strabisme accommodatif. La forme orale Salagen® 5 mg comprimé ( indication officielle pour la xérostomie du syndrome de Sjögren et post-radiothérapie ORL) n'est pas enregistrée dans la nomenclature algérienne officielle. Les patients algériens atteints de syndrome de Sjögren ou de xérostomie post-radiothérapie ORL sévère peuvent bénéficier de l'importation exceptionnelle de Salagen® sur prescription d'un médecin ORL ou interniste, via le circuit des autorisations temporaires d'utilisation (ATU). En pratique, l'usage détourné du collyre pilocarpine en instillation orale est parfois pratiqué (1 à 2 gouttes de collyre 1 % = 0,5 à 1 mg de pilocarpine, à diluer dans 5 mL d'eau, en bains de bouche avant les repas), mais cette pratique est non conforme à l'AMM et expose à des risques de surdosage (hypersialorrhée, hypersudation, bradycardie, bronchospasme). La fiche qui suit documente la pharmacologie de la forme orale (Salagen®) telle qu'elle est pratiquée à l'international, en mentionnant les spécificités de l'usage du collyre en Algérie.</w:t>
      </w:r>
    </w:p>
    <w:p>
      <w:pPr>
        <w:pStyle w:val="Heading4"/>
      </w:pPr>
      <w:r>
        <w:t>3. Sous-classe &amp; Mécanisme d'action</w:t>
      </w:r>
    </w:p>
    <w:p>
      <w:pPr>
        <w:pStyle w:val="ListBullet"/>
      </w:pPr>
      <w:r/>
      <w:r>
        <w:rPr>
          <w:b/>
        </w:rPr>
        <w:t>Sous-classe :</w:t>
      </w:r>
      <w:r>
        <w:t xml:space="preserve"> Sialagogues parasympathomimétiques d'action directe (agonistes muscariniques). Classe parente : parasymphatomimétiques (avec néostigmine, pyridostigmine — anticholinestérasiques indirects). En ORL, sous-classe des sialagogues pharmacologiques (en opposition aux sialagogues non pharmacologiques : substitutions salivaires, gels lubrifiants, acide malique, aneth, pilules à sucer).</w:t>
      </w:r>
    </w:p>
    <w:p>
      <w:pPr>
        <w:pStyle w:val="ListBullet"/>
      </w:pPr>
      <w:r/>
      <w:r>
        <w:rPr>
          <w:b/>
        </w:rPr>
        <w:t>Mécanisme d'action :</w:t>
      </w:r>
      <w:r>
        <w:t xml:space="preserve"> La pilocarpine est un alcaloïde naturel (imidal alkaloid) extrait des feuilles de *Pilocarpus jaborandi* et *Pilocarpus microphyllus*, arbuste de la famille des Rutacées d'Amérique du Sud (Brésil, Pérou). Elle est un agoniste parasympathomimétique à action directe, c'est-à-dire qu'elle se lie et active les récepteurs muscariniques de l'acétylcholine (mAChR) sans nécessiter la libération d'acétylcholine endogène. Elle est agoniste non sélectif des sous-types M1, M2 et M3, avec une affinité préférentielle pour M3 (le sous-type majoritaire dans les glandes exocrines — salivaires, lacrymales, sudorales, bronchiques, gastriques, intestinales).</w:t>
      </w:r>
    </w:p>
    <w:p>
      <w:pPr>
        <w:pStyle w:val="ListBullet"/>
      </w:pPr>
      <w:r/>
      <w:r>
        <w:rPr>
          <w:b/>
        </w:rPr>
        <w:t>Sur les glandes salivaires :</w:t>
      </w:r>
      <w:r>
        <w:t xml:space="preserve"> La stimulation des récepteurs M3 présents à la surface des cellules acineuses et canalaires des glandes salivaires (parotide, sous-mandibulaire, sublinguale, mineures) déclenche la cascade de signalisation suivante : activation de la protéine Gq → activation de la phospholipase Cβ → hydrolyse du PIP2 en IP3 et DAG → libération de calcium intracellulaire (Ca²⁺) depuis le réticulum endoplasmique → activation de la protéine kinase C et des canaux calciques dépendants → activation des canaux chlore ClC-2 apicaux → sortie de Cl⁻ dans la lumière salivaire → appel osmotique d'eau et de Na⁺ → sécrétion salivaire fluide. La pilocarpine stimule la sécrétion salivaire de manière dose-dépendante, avec un délai d'action de 15-30 minutes et une durée d'action de 3-5 heures après prise orale. Le volume salivaire stimulé peut atteindre 3-5 fois le volume basal chez le sujet sain, et 1,5-2 fois chez le patient atteint de syndrome de Sjögren (sécrétion résiduelle).</w:t>
      </w:r>
    </w:p>
    <w:p>
      <w:pPr>
        <w:pStyle w:val="ListBullet"/>
      </w:pPr>
      <w:r/>
      <w:r>
        <w:rPr>
          <w:b/>
        </w:rPr>
        <w:t>Sur les glandes lacrymales :</w:t>
      </w:r>
      <w:r>
        <w:t xml:space="preserve"> Même mécanisme, stimulation de la sécrétion lacrymale (utile dans le syndrome sec oculaire associé, mais insuffisant à lui seul pour traiter la sécheresse oculaire du Sjögren — la pilocarpine est en complément des larmes artificielles).</w:t>
      </w:r>
    </w:p>
    <w:p>
      <w:pPr>
        <w:pStyle w:val="ListBullet"/>
      </w:pPr>
      <w:r/>
      <w:r>
        <w:rPr>
          <w:b/>
        </w:rPr>
        <w:t>Sur les glandes sudorales :</w:t>
      </w:r>
      <w:r>
        <w:t xml:space="preserve"> Stimulation de la sécrétion sudorale (hypersudation est l'effet indésirable le plus fréquent et le plus génant de la pilocarpine systémique).</w:t>
      </w:r>
    </w:p>
    <w:p>
      <w:pPr>
        <w:pStyle w:val="ListBullet"/>
      </w:pPr>
      <w:r/>
      <w:r>
        <w:rPr>
          <w:b/>
        </w:rPr>
        <w:t>Sur les muscles lisses :</w:t>
      </w:r>
      <w:r>
        <w:t xml:space="preserve"> Contraction du muscle lisse bronchique (risque de bronchospasme — CI absolue chez l'asthmatique), du muscle lisse gastro-intestinal (augmentation du péristaltisme — diarrhée possible), du muscle lisse urinaire (miction impérieuse), du muscle lisse utérin (à éviter pendant la grossesse), du muscle ciliaire oculaire (miose et spasme accommodatif — effet recherché en ophtalmologie, effet indésirable en usage systémique).</w:t>
      </w:r>
    </w:p>
    <w:p>
      <w:pPr>
        <w:pStyle w:val="ListBullet"/>
      </w:pPr>
      <w:r/>
      <w:r>
        <w:rPr>
          <w:b/>
        </w:rPr>
        <w:t>Sur le cœur :</w:t>
      </w:r>
      <w:r>
        <w:t xml:space="preserve"> Bradycardie sinusale par stimulation des récepteurs M2 du nœud sinusal (CI absolue en cas de bradycardie &lt; 50 bpm ou de bloc auriculo-ventriculaire non appareillé).</w:t>
      </w:r>
    </w:p>
    <w:p>
      <w:pPr>
        <w:pStyle w:val="ListBullet"/>
      </w:pPr>
      <w:r/>
      <w:r>
        <w:rPr>
          <w:b/>
        </w:rPr>
        <w:t>Sur le système nerveux central :</w:t>
      </w:r>
      <w:r>
        <w:t xml:space="preserve"> Passage de la barrière hémato-encéphalique, effet cognitif paradoxal (la stimulation M1 améliore la mémoire dans la maladie d'Alzheimer modérée — indication non validée en raison des effets indésirables périphériques).</w:t>
      </w:r>
    </w:p>
    <w:p>
      <w:pPr>
        <w:pStyle w:val="ListBullet"/>
      </w:pPr>
      <w:r/>
      <w:r>
        <w:rPr>
          <w:b/>
        </w:rPr>
        <w:t>Spécificité de la forme orale Salagen® 5 mg :</w:t>
      </w:r>
      <w:r>
        <w:t xml:space="preserve"> indiquée pour la xérostomie sévère du syndrome de Sjögren primitif ou secondaire (AMM FDA 1994, EMA 2000) et pour la xérostomie post-radiothérapie ORL (AMM FDA 2000, restreinte à la phase post-aiguë après cicatrisation muqueuse, à distance de la radiothérapie).</w:t>
      </w:r>
    </w:p>
    <w:p>
      <w:pPr>
        <w:pStyle w:val="Heading4"/>
      </w:pPr>
      <w:r>
        <w:t>4. Pharmacocinétique / Profil pharmacologique</w:t>
      </w:r>
    </w:p>
    <w:p>
      <w:pPr>
        <w:pStyle w:val="ListBullet"/>
      </w:pPr>
      <w:r/>
      <w:r>
        <w:rPr>
          <w:b/>
        </w:rPr>
        <w:t>Résorption :</w:t>
      </w:r>
      <w:r>
        <w:t xml:space="preserve"> Rapide et quasi-complète par voie orale (biodisponibilité 80-95 %). Pic plasmatique à 1-1,5 heure après prise orale. Effet clinique (salivation) perceptible dès 15-20 minutes, maximal à 1 heure, durable 3-5 heures. Pas d'effet de premier passage hépatique significatif. La prise au cours d'un repas ralentit légèrement la résorption sans modifier la biodisponibilité totale.</w:t>
      </w:r>
    </w:p>
    <w:p>
      <w:pPr>
        <w:pStyle w:val="ListBullet"/>
      </w:pPr>
      <w:r/>
      <w:r>
        <w:rPr>
          <w:b/>
        </w:rPr>
        <w:t>Distribution :</w:t>
      </w:r>
      <w:r>
        <w:t xml:space="preserve"> Lipophile, traverse les barrières hémato-encéphalique et placentaire. Passe dans le lait maternel. Volume de distribution 1,5-2 L/kg. Liaison aux protéines plasmatiques faible (15 %).</w:t>
      </w:r>
    </w:p>
    <w:p>
      <w:pPr>
        <w:pStyle w:val="ListBullet"/>
      </w:pPr>
      <w:r/>
      <w:r>
        <w:rPr>
          <w:b/>
        </w:rPr>
        <w:t>Métabolisme :</w:t>
      </w:r>
      <w:r>
        <w:t xml:space="preserve"> Hépatique partiel (30 %), par les estérases hépatiques et le CYP2A6, en métabolites inactifs (acide pilocarpique, isopilocarpine). Pas d'induction ni d'inhibition significative du CYP450.</w:t>
      </w:r>
    </w:p>
    <w:p>
      <w:pPr>
        <w:pStyle w:val="ListBullet"/>
      </w:pPr>
      <w:r/>
      <w:r>
        <w:rPr>
          <w:b/>
        </w:rPr>
        <w:t>Élimination :</w:t>
      </w:r>
      <w:r>
        <w:t xml:space="preserve"> Rénale à 50 % sous forme inchangée et 30 % sous forme de métabolites ; biliaire/fécale à 20 %. Demi-vie plasmatique 0,5-1,5 heure (forme inchangée). Excrétion urinaire augmentée par acidification des urines (pH &lt; 5).</w:t>
      </w:r>
    </w:p>
    <w:p>
      <w:pPr>
        <w:pStyle w:val="ListBullet"/>
      </w:pPr>
      <w:r/>
      <w:r>
        <w:rPr>
          <w:b/>
        </w:rPr>
        <w:t>Cinétique du collyre ophtalmologique :</w:t>
      </w:r>
      <w:r>
        <w:t xml:space="preserve"> résorption transconjonctivale et trans-sclérale, passage systémique partiel (à doses ophtalmologiques, la quantité résorbée est trop faible pour exercer un effet salivaire notable, mais peut exercer un effet systémique en cas d'instillation répétée ou de malposition du canalicule lacrymal). Pour l'usage ORL détourné du collyre en instillation buccale, la résorption par la muqueuse buccale est rapide (effet en 5-10 minutes).</w:t>
      </w:r>
    </w:p>
    <w:p>
      <w:pPr>
        <w:pStyle w:val="Heading4"/>
      </w:pPr>
      <w:r>
        <w:t>5. Indications thérapeutiques</w:t>
      </w:r>
    </w:p>
    <w:p>
      <w:pPr>
        <w:pStyle w:val="ListBullet"/>
      </w:pPr>
      <w:r/>
      <w:r>
        <w:rPr>
          <w:b/>
        </w:rPr>
        <w:t>Xérostomie sévère du syndrome de Sjögren</w:t>
      </w:r>
      <w:r>
        <w:t xml:space="preserve"> primitif ou secondaire (associé à polyarthrite rhumatoïde, lupus érythémateux systémique, sclérodermie) : indication validée par AMM FDA 1994 et EMA 2000. Réservée aux xérostomies sévères (débit salivaire non stimulé &lt; 0,1 mL/min) après échec des substitutions salivaires (sprays, gels, salive artificielle).</w:t>
      </w:r>
    </w:p>
    <w:p>
      <w:pPr>
        <w:pStyle w:val="ListBullet"/>
      </w:pPr>
      <w:r/>
      <w:r>
        <w:rPr>
          <w:b/>
        </w:rPr>
        <w:t>Xérostomie post-radiothérapie ORL</w:t>
      </w:r>
      <w:r>
        <w:t xml:space="preserve"> : traitement des cancers du cavum, de l'oropharynx, de la cavité buccale, du larynx, des glandes salivaires. La pilocarpine est initiée à distance de la radiothérapie (au moins 3 mois après la fin de l'irradiation, après cicatrisation muqueuse), à condition qu'il persiste un tissu salivaire fonctionnel (parotides non totalement détruites). Efficacité inconstante si la dose sur les parotides a dépassé 60 Gy (destruction glandulaire irréversible). Prévention possible en administrant la pilocarpine pendant la radiothérapie (protocole amifostine + pilocarpine, en cours d'évaluation).</w:t>
      </w:r>
    </w:p>
    <w:p>
      <w:pPr>
        <w:pStyle w:val="ListBullet"/>
      </w:pPr>
      <w:r/>
      <w:r>
        <w:rPr>
          <w:b/>
        </w:rPr>
        <w:t>Sécheresse oculaire sévère du syndrome de Sjögren</w:t>
      </w:r>
      <w:r>
        <w:t xml:space="preserve"> : effet secondaire bénéfique de la stimulation lacrymale, en complément des larmes artificielles et des immunosuppresseurs locaux (ciclosporine collyre).</w:t>
      </w:r>
    </w:p>
    <w:p>
      <w:pPr>
        <w:pStyle w:val="ListBullet"/>
      </w:pPr>
      <w:r/>
      <w:r>
        <w:rPr>
          <w:b/>
        </w:rPr>
        <w:t>Indications ophtalmologiques (forme collyre) :</w:t>
      </w:r>
      <w:r>
        <w:t xml:space="preserve"> glaucome chronique à angle ouvert (miose → ouverture de l'angle irido-cornéen → facilitation de l'évacuation de l'humeur aqueuse), crise aiguë de glaucome par fermeture d'angle (en complément de l'acétazolamide IV et de la mannitol IV), strabisme accommodatif de l'enfant (miose → réduction de l'effort accommodatif).</w:t>
      </w:r>
    </w:p>
    <w:p>
      <w:pPr>
        <w:pStyle w:val="ListBullet"/>
      </w:pPr>
      <w:r/>
      <w:r>
        <w:rPr>
          <w:b/>
        </w:rPr>
        <w:t>Indications non validées mais rapportées :</w:t>
      </w:r>
      <w:r>
        <w:t xml:space="preserve"> sécheresse buccale médicamenteuse (antidépresseurs, antipsychotiques), sécheresse buccale post-chirurgie des glandes salivaires, maladie du greffon contre l'hôte (GVH) buccal.</w:t>
      </w:r>
    </w:p>
    <w:p>
      <w:pPr>
        <w:pStyle w:val="Heading4"/>
      </w:pPr>
      <w:r>
        <w:t>6. Contre-indications</w:t>
      </w:r>
    </w:p>
    <w:p>
      <w:pPr>
        <w:pStyle w:val="ListBullet"/>
      </w:pPr>
      <w:r/>
      <w:r>
        <w:rPr>
          <w:b/>
        </w:rPr>
        <w:t>Asthme et bronchopneumopathie chronique obstructive (BPCO) avec composante obstructive réversible</w:t>
      </w:r>
      <w:r>
        <w:t xml:space="preserve"> : CI ABSOLUE en raison du risque de bronchospasme sévère par stimulation M3 bronchique.</w:t>
      </w:r>
    </w:p>
    <w:p>
      <w:pPr>
        <w:pStyle w:val="ListBullet"/>
      </w:pPr>
      <w:r/>
      <w:r>
        <w:rPr>
          <w:b/>
        </w:rPr>
        <w:t>Bradycardie sinusale sévère (&lt; 50 bpm), bloc auriculo-ventriculaire du 2ᵉ ou 3ᵉ degré non appareillé</w:t>
      </w:r>
      <w:r>
        <w:t>, maladie du sinus : CI absolue en raison du risque d'asystolie par stimulation M2 cardiaque.</w:t>
      </w:r>
    </w:p>
    <w:p>
      <w:pPr>
        <w:pStyle w:val="ListBullet"/>
      </w:pPr>
      <w:r/>
      <w:r>
        <w:rPr>
          <w:b/>
        </w:rPr>
        <w:t>Insuffisance cardiaque décompensée</w:t>
      </w:r>
      <w:r>
        <w:t>, infarctus du myocarde récent, angor instable : CI relative, à évaluer.</w:t>
      </w:r>
    </w:p>
    <w:p>
      <w:pPr>
        <w:pStyle w:val="ListBullet"/>
      </w:pPr>
      <w:r/>
      <w:r>
        <w:rPr>
          <w:b/>
        </w:rPr>
        <w:t>Glaucoma par fermeture d'angle</w:t>
      </w:r>
      <w:r>
        <w:t xml:space="preserve"> : CI en forme systémique en raison de la mydriase paradoxale possible (la pilocarpine systémique peut induire un spasme accommodatif et un myosis qui ne contrebalance pas l'effet de blocage de l'angle irido-cornéen).</w:t>
      </w:r>
    </w:p>
    <w:p>
      <w:pPr>
        <w:pStyle w:val="ListBullet"/>
      </w:pPr>
      <w:r/>
      <w:r>
        <w:rPr>
          <w:b/>
        </w:rPr>
        <w:t>Irisocyclite aiguë</w:t>
      </w:r>
      <w:r>
        <w:t xml:space="preserve"> : CI (le miosis aggrave l'inflammation).</w:t>
      </w:r>
    </w:p>
    <w:p>
      <w:pPr>
        <w:pStyle w:val="ListBullet"/>
      </w:pPr>
      <w:r/>
      <w:r>
        <w:rPr>
          <w:b/>
        </w:rPr>
        <w:t>Hyperthyroïdie non contrôlée</w:t>
      </w:r>
      <w:r>
        <w:t xml:space="preserve"> : prudence (risque de arythmie).</w:t>
      </w:r>
    </w:p>
    <w:p>
      <w:pPr>
        <w:pStyle w:val="ListBullet"/>
      </w:pPr>
      <w:r/>
      <w:r>
        <w:rPr>
          <w:b/>
        </w:rPr>
        <w:t>Obstruction des voies urinaires</w:t>
      </w:r>
      <w:r>
        <w:t xml:space="preserve"> (hypertrophie bénigne de la prostate obstructive, lithiase urétrale) : CI relative (risque de rétention aiguë d'urine par contraction vésicale contre obstacle).</w:t>
      </w:r>
    </w:p>
    <w:p>
      <w:pPr>
        <w:pStyle w:val="ListBullet"/>
      </w:pPr>
      <w:r/>
      <w:r>
        <w:rPr>
          <w:b/>
        </w:rPr>
        <w:t>Obstruction digestive</w:t>
      </w:r>
      <w:r>
        <w:t xml:space="preserve"> (sténose pylorique, iléus paralytique, occlusion) : CI absolue.</w:t>
      </w:r>
    </w:p>
    <w:p>
      <w:pPr>
        <w:pStyle w:val="ListBullet"/>
      </w:pPr>
      <w:r/>
      <w:r>
        <w:rPr>
          <w:b/>
        </w:rPr>
        <w:t>Ulcère gastroduodénal actif</w:t>
      </w:r>
      <w:r>
        <w:t xml:space="preserve"> : prudence (augmentation de la sécrétion acide gastrique par stimulation M3 pariétale).</w:t>
      </w:r>
    </w:p>
    <w:p>
      <w:pPr>
        <w:pStyle w:val="ListBullet"/>
      </w:pPr>
      <w:r/>
      <w:r>
        <w:rPr>
          <w:b/>
        </w:rPr>
        <w:t>Hypertension artérielle non contrôlée</w:t>
      </w:r>
      <w:r>
        <w:t xml:space="preserve"> : prudence (risque de variation tensionnelle).</w:t>
      </w:r>
    </w:p>
    <w:p>
      <w:pPr>
        <w:pStyle w:val="ListBullet"/>
      </w:pPr>
      <w:r/>
      <w:r>
        <w:rPr>
          <w:b/>
        </w:rPr>
        <w:t>Grossesse</w:t>
      </w:r>
      <w:r>
        <w:t xml:space="preserve"> : CI absolue (risque de contraction utérine et d'avortement ; pas de données humaines, animal toxique).</w:t>
      </w:r>
    </w:p>
    <w:p>
      <w:pPr>
        <w:pStyle w:val="ListBullet"/>
      </w:pPr>
      <w:r/>
      <w:r>
        <w:rPr>
          <w:b/>
        </w:rPr>
        <w:t>Allaitement</w:t>
      </w:r>
      <w:r>
        <w:t xml:space="preserve"> : CI absolue (passe dans le lait maternel, risque d'hypersialorrhée, bradycardie et bronchospasme chez le nourrisson).</w:t>
      </w:r>
    </w:p>
    <w:p>
      <w:pPr>
        <w:pStyle w:val="ListBullet"/>
      </w:pPr>
      <w:r/>
      <w:r>
        <w:rPr>
          <w:b/>
        </w:rPr>
        <w:t>Hypersensibilité connue à la pilocarpine</w:t>
      </w:r>
      <w:r>
        <w:t xml:space="preserve"> ou aux excipients.</w:t>
      </w:r>
    </w:p>
    <w:p>
      <w:pPr>
        <w:pStyle w:val="ListBullet"/>
      </w:pPr>
      <w:r/>
      <w:r>
        <w:rPr>
          <w:b/>
        </w:rPr>
        <w:t>Patient porteur d'un pacemaker</w:t>
      </w:r>
      <w:r>
        <w:t xml:space="preserve"> dépendant : prudence (la stimulation parasympathique peut inhiber le pacemaker physiologique).</w:t>
      </w:r>
    </w:p>
    <w:p>
      <w:pPr>
        <w:pStyle w:val="Heading4"/>
      </w:pPr>
      <w:r>
        <w:t>7. Précautions d'emploi / Mises en garde</w:t>
      </w:r>
    </w:p>
    <w:p>
      <w:pPr>
        <w:pStyle w:val="ListBullet"/>
      </w:pPr>
      <w:r/>
      <w:r>
        <w:rPr>
          <w:b/>
        </w:rPr>
        <w:t>Évaluation pré-thérapeutique</w:t>
      </w:r>
      <w:r>
        <w:t xml:space="preserve"> : débit salivaire non stimulé (test de Lashley ou collection de 5 minutes), débit salivaire stimulé, échelle visuelle analogique de sécheresse buccale (EVA xérostomie), examen ORL complet avec évaluation de l'état dentaire (caries, candidose buccale), échographie des glandes salivaires.</w:t>
      </w:r>
    </w:p>
    <w:p>
      <w:pPr>
        <w:pStyle w:val="ListBullet"/>
      </w:pPr>
      <w:r/>
      <w:r>
        <w:rPr>
          <w:b/>
        </w:rPr>
        <w:t>Surveillance cardiovasculaire</w:t>
      </w:r>
      <w:r>
        <w:t xml:space="preserve"> : ECG initial, pression artérielle, fréquence cardiaque. Chez le patient coronarien stable ou hypertendu contrôlé, initiation à dose minimale (2,5 mg par prise) et titration progressive.</w:t>
      </w:r>
    </w:p>
    <w:p>
      <w:pPr>
        <w:pStyle w:val="ListBullet"/>
      </w:pPr>
      <w:r/>
      <w:r>
        <w:rPr>
          <w:b/>
        </w:rPr>
        <w:t>Surveillance respiratoire</w:t>
      </w:r>
      <w:r>
        <w:t xml:space="preserve"> : chez le patient BPCO non obstructif (VEMS/CV &gt; 70 %), surveiller la bronchodilatation et le VEMS à 1 mois.</w:t>
      </w:r>
    </w:p>
    <w:p>
      <w:pPr>
        <w:pStyle w:val="ListBullet"/>
      </w:pPr>
      <w:r/>
      <w:r>
        <w:rPr>
          <w:b/>
        </w:rPr>
        <w:t>Surveillance ophtalmologique</w:t>
      </w:r>
      <w:r>
        <w:t xml:space="preserve"> : la pilocarpine systémique peut induire un miosis transitoire (1-2 heures après chaque prise), une baisse d'acuité visuelle en cas de myopie forte, un spasme accommodatif. À signaler au patient (ne pas conduire dans l'heure suivant la prise, surtout la nuit).</w:t>
      </w:r>
    </w:p>
    <w:p>
      <w:pPr>
        <w:pStyle w:val="ListBullet"/>
      </w:pPr>
      <w:r/>
      <w:r>
        <w:rPr>
          <w:b/>
        </w:rPr>
        <w:t>Adaptation posologique</w:t>
      </w:r>
      <w:r>
        <w:t xml:space="preserve"> : initiation à 5 mg per os, 3 à 4 fois par jour, à prendre au cours des repas (pour réduire l'intolérance digestive). Augmentation possible à 6-7 mg par prise si inefficace, sans dépasser 30 mg/jour. Réduction à 2,5 mg par prise chez le sujet âgé, l'insuffisant hépatique ou rénal.</w:t>
      </w:r>
    </w:p>
    <w:p>
      <w:pPr>
        <w:pStyle w:val="ListBullet"/>
      </w:pPr>
      <w:r/>
      <w:r>
        <w:rPr>
          <w:b/>
        </w:rPr>
        <w:t>Précautions chez la femme en âge de procréer</w:t>
      </w:r>
      <w:r>
        <w:t xml:space="preserve"> : contraception efficace obligatoire pendant le traitement et 48 heures après l'arrêt.</w:t>
      </w:r>
    </w:p>
    <w:p>
      <w:pPr>
        <w:pStyle w:val="ListBullet"/>
      </w:pPr>
      <w:r/>
      <w:r>
        <w:rPr>
          <w:b/>
        </w:rPr>
        <w:t>Précautions chez le sujet âgé</w:t>
      </w:r>
      <w:r>
        <w:t xml:space="preserve"> : réduction posologique de 30-50 %, surveillance de la fonction rénale et cardiaque.</w:t>
      </w:r>
    </w:p>
    <w:p>
      <w:pPr>
        <w:pStyle w:val="ListBullet"/>
      </w:pPr>
      <w:r/>
      <w:r>
        <w:rPr>
          <w:b/>
        </w:rPr>
        <w:t>Prévention des caries dentaires</w:t>
      </w:r>
      <w:r>
        <w:t xml:space="preserve"> : la pilocarpine augmente la salivation mais ne prévient pas les caries si l'hygiène dentaire est défaillante. Maintenir un brossage biquotidien, utilisation de fil dentaire, fluorothérapie locale, consultations dentaires semestrielles.</w:t>
      </w:r>
    </w:p>
    <w:p>
      <w:pPr>
        <w:pStyle w:val="ListBullet"/>
      </w:pPr>
      <w:r/>
      <w:r>
        <w:rPr>
          <w:b/>
        </w:rPr>
        <w:t>Arrêt du traitement en cas de surdosage</w:t>
      </w:r>
      <w:r>
        <w:t xml:space="preserve"> : arrêt immédiat, traitement symptomatique (atropine 1-2 mg IV en antagoniste spécifique), surveillance ECG, hydratation.</w:t>
      </w:r>
    </w:p>
    <w:p>
      <w:pPr>
        <w:pStyle w:val="Heading4"/>
      </w:pPr>
      <w:r>
        <w:t>8. Effets indésirables</w:t>
      </w:r>
    </w:p>
    <w:p>
      <w:pPr>
        <w:pStyle w:val="ListBullet"/>
      </w:pPr>
      <w:r/>
      <w:r>
        <w:rPr>
          <w:b/>
        </w:rPr>
        <w:t>Hypersudation (sueurs profuses) :</w:t>
      </w:r>
      <w:r>
        <w:t xml:space="preserve"> effet indésirable le plus fréquent et le plus génant (60-80 % des patients), dose-dépendant, survenant 30 minutes à 2 heures après chaque prise. Peut nécessiter un changement de vêtements, une réduction de dose, voire l'arrêt du traitement. Limitation en pratique par prise au repas et hydratation adéquate.</w:t>
      </w:r>
    </w:p>
    <w:p>
      <w:pPr>
        <w:pStyle w:val="ListBullet"/>
      </w:pPr>
      <w:r/>
      <w:r>
        <w:rPr>
          <w:b/>
        </w:rPr>
        <w:t>Hypersialorrhée</w:t>
      </w:r>
      <w:r>
        <w:t xml:space="preserve"> : augmentation excessive de la salivation, drooling (35-50 %), dose-dépendant, transitoire. À distinguer de l'effet thérapeutique recherché : la pilocarpine doit induire une salivation modérée et confortable, pas une hypersialorrhée invalidante.</w:t>
      </w:r>
    </w:p>
    <w:p>
      <w:pPr>
        <w:pStyle w:val="ListBullet"/>
      </w:pPr>
      <w:r/>
      <w:r>
        <w:rPr>
          <w:b/>
        </w:rPr>
        <w:t>Nausées, vomissements, diarrhée, douleurs abdominales crampoïdes</w:t>
      </w:r>
      <w:r>
        <w:t xml:space="preserve"> (30-40 %) : par stimulation péristaltique. Réduction par prise au cours du repas.</w:t>
      </w:r>
    </w:p>
    <w:p>
      <w:pPr>
        <w:pStyle w:val="ListBullet"/>
      </w:pPr>
      <w:r/>
      <w:r>
        <w:rPr>
          <w:b/>
        </w:rPr>
        <w:t>Rhinite, bronchorrhée</w:t>
      </w:r>
      <w:r>
        <w:t xml:space="preserve"> (15-20 %) : stimulation M3 des glandes bronchiques.</w:t>
      </w:r>
    </w:p>
    <w:p>
      <w:pPr>
        <w:pStyle w:val="ListBullet"/>
      </w:pPr>
      <w:r/>
      <w:r>
        <w:rPr>
          <w:b/>
        </w:rPr>
        <w:t>Flush facial, rougeur, sensation de chaleur</w:t>
      </w:r>
      <w:r>
        <w:t xml:space="preserve"> (10-15 %) : vasodilatation cutanée.</w:t>
      </w:r>
    </w:p>
    <w:p>
      <w:pPr>
        <w:pStyle w:val="ListBullet"/>
      </w:pPr>
      <w:r/>
      <w:r>
        <w:rPr>
          <w:b/>
        </w:rPr>
        <w:t>Bradycardie sinusale, hypotension artérielle modérée</w:t>
      </w:r>
      <w:r>
        <w:t xml:space="preserve"> (5-10 %) : surveillance cardiovasculaire.</w:t>
      </w:r>
    </w:p>
    <w:p>
      <w:pPr>
        <w:pStyle w:val="ListBullet"/>
      </w:pPr>
      <w:r/>
      <w:r>
        <w:rPr>
          <w:b/>
        </w:rPr>
        <w:t>Miosis, spasme accommodatif, baisse d'acuité visuelle transitoire</w:t>
      </w:r>
      <w:r>
        <w:t xml:space="preserve"> (10-20 %) : surtout en cas de myopie forte. À signaler au patient (ne pas conduire dans l'heure suivant la prise).</w:t>
      </w:r>
    </w:p>
    <w:p>
      <w:pPr>
        <w:pStyle w:val="ListBullet"/>
      </w:pPr>
      <w:r/>
      <w:r>
        <w:rPr>
          <w:b/>
        </w:rPr>
        <w:t>Céphalées, vertiges, asthénie, somnolence</w:t>
      </w:r>
      <w:r>
        <w:t xml:space="preserve"> (5-10 %) : passage de la barrière hémato-encéphalique.</w:t>
      </w:r>
    </w:p>
    <w:p>
      <w:pPr>
        <w:pStyle w:val="ListBullet"/>
      </w:pPr>
      <w:r/>
      <w:r>
        <w:rPr>
          <w:b/>
        </w:rPr>
        <w:t>Miction impérieuse, pollakiurie</w:t>
      </w:r>
      <w:r>
        <w:t xml:space="preserve"> (10-15 %) : stimulation M3 vésicale.</w:t>
      </w:r>
    </w:p>
    <w:p>
      <w:pPr>
        <w:pStyle w:val="ListBullet"/>
      </w:pPr>
      <w:r/>
      <w:r>
        <w:rPr>
          <w:b/>
        </w:rPr>
        <w:t>Bronchospasme</w:t>
      </w:r>
      <w:r>
        <w:t xml:space="preserve"> (rare, &lt; 1 % mais grave) : CI absolue chez l'asthmatique.</w:t>
      </w:r>
    </w:p>
    <w:p>
      <w:pPr>
        <w:pStyle w:val="ListBullet"/>
      </w:pPr>
      <w:r/>
      <w:r>
        <w:rPr>
          <w:b/>
        </w:rPr>
        <w:t>Réactions allergiques</w:t>
      </w:r>
      <w:r>
        <w:t xml:space="preserve"> : rares (rash cutané, prurit, urticaire, anaphylaxie exceptionnelle).</w:t>
      </w:r>
    </w:p>
    <w:p>
      <w:pPr>
        <w:pStyle w:val="ListBullet"/>
      </w:pPr>
      <w:r/>
      <w:r>
        <w:rPr>
          <w:b/>
        </w:rPr>
        <w:t>Troubles du goût</w:t>
      </w:r>
      <w:r>
        <w:t xml:space="preserve"> : dysgueusie transitoire, modification de la perception alimentaire.</w:t>
      </w:r>
    </w:p>
    <w:p>
      <w:pPr>
        <w:pStyle w:val="Heading4"/>
      </w:pPr>
      <w:r>
        <w:t>9. Interactions médicamenteuses</w:t>
      </w:r>
    </w:p>
    <w:p>
      <w:pPr>
        <w:pStyle w:val="ListBullet"/>
      </w:pPr>
      <w:r/>
      <w:r>
        <w:rPr>
          <w:b/>
        </w:rPr>
        <w:t>Anticholinergiques</w:t>
      </w:r>
      <w:r>
        <w:t xml:space="preserve"> (atropine, tropicamide, ipratropium, tiotropium, oxybutynine, solifénacine, darifénacine) : antagonisme pharmacologique complet (effet nul). À éviter l'association.</w:t>
      </w:r>
    </w:p>
    <w:p>
      <w:pPr>
        <w:pStyle w:val="ListBullet"/>
      </w:pPr>
      <w:r/>
      <w:r>
        <w:rPr>
          <w:b/>
        </w:rPr>
        <w:t>Bêtabloquants</w:t>
      </w:r>
      <w:r>
        <w:t xml:space="preserve"> (propranolol, aténolol, bisoprolol) : potentialisation de la bradycardie (effet additif sur le nœud sinusal). Surveillance ECG, réduction de dose de bêtabloquant si nécessaire.</w:t>
      </w:r>
    </w:p>
    <w:p>
      <w:pPr>
        <w:pStyle w:val="ListBullet"/>
      </w:pPr>
      <w:r/>
      <w:r>
        <w:rPr>
          <w:b/>
        </w:rPr>
        <w:t>Inhibiteurs de l'acétylcholinestérase</w:t>
      </w:r>
      <w:r>
        <w:t xml:space="preserve"> (néostigmine, pyridostigmine, donépézil, rivastigmine, galantamine) : potentialisation des effets cholinergiques (risque de bradycardie sévère, bronchospasme, hypersécrétion). À éviter.</w:t>
      </w:r>
    </w:p>
    <w:p>
      <w:pPr>
        <w:pStyle w:val="ListBullet"/>
      </w:pPr>
      <w:r/>
      <w:r>
        <w:rPr>
          <w:b/>
        </w:rPr>
        <w:t>Antidépresseurs tricycliques</w:t>
      </w:r>
      <w:r>
        <w:t xml:space="preserve"> (amitriptyline, imipramine, clomipramine) : antagonisme partiel. Réduction d'efficacité de la pilocarpine.</w:t>
      </w:r>
    </w:p>
    <w:p>
      <w:pPr>
        <w:pStyle w:val="ListBullet"/>
      </w:pPr>
      <w:r/>
      <w:r>
        <w:rPr>
          <w:b/>
        </w:rPr>
        <w:t>Antihistaminiques H1</w:t>
      </w:r>
      <w:r>
        <w:t xml:space="preserve"> (hydroxyzine, prométhazine) : antagonisme muscarinique partiel.</w:t>
      </w:r>
    </w:p>
    <w:p>
      <w:pPr>
        <w:pStyle w:val="ListBullet"/>
      </w:pPr>
      <w:r/>
      <w:r>
        <w:rPr>
          <w:b/>
        </w:rPr>
        <w:t>Opioïdes</w:t>
      </w:r>
      <w:r>
        <w:t xml:space="preserve"> (morphine, codéine, fentanyl) : potentialisation de la bradycardie et de la dépression respiratoire.</w:t>
      </w:r>
    </w:p>
    <w:p>
      <w:pPr>
        <w:pStyle w:val="ListBullet"/>
      </w:pPr>
      <w:r/>
      <w:r>
        <w:rPr>
          <w:b/>
        </w:rPr>
        <w:t>Inhibiteurs calciques bradycardisants</w:t>
      </w:r>
      <w:r>
        <w:t xml:space="preserve"> (vérapamil, diltiazem) : risque de bradycardie sévère et de bloc auriculo-ventriculaire. Contre-indication relative.</w:t>
      </w:r>
    </w:p>
    <w:p>
      <w:pPr>
        <w:pStyle w:val="ListBullet"/>
      </w:pPr>
      <w:r/>
      <w:r>
        <w:rPr>
          <w:b/>
        </w:rPr>
        <w:t>Digitaliques</w:t>
      </w:r>
      <w:r>
        <w:t xml:space="preserve"> (digoxine) : risque de bradycardie excessive, surveillance ECG.</w:t>
      </w:r>
    </w:p>
    <w:p>
      <w:pPr>
        <w:pStyle w:val="ListBullet"/>
      </w:pPr>
      <w:r/>
      <w:r>
        <w:rPr>
          <w:b/>
        </w:rPr>
        <w:t>Anesthésiques généraux</w:t>
      </w:r>
      <w:r>
        <w:t xml:space="preserve"> halogénés : arrêter la pilocarpine 24 heures avant une anesthésie (risque de bradycardie et bronchospasme per-opératoire).</w:t>
      </w:r>
    </w:p>
    <w:p>
      <w:pPr>
        <w:pStyle w:val="Heading4"/>
      </w:pPr>
      <w:r>
        <w:t>10. Grossesse / Allaitement (CRAT)</w:t>
      </w:r>
    </w:p>
    <w:p>
      <w:pPr>
        <w:pStyle w:val="ListBullet"/>
      </w:pPr>
      <w:r/>
      <w:r>
        <w:rPr>
          <w:b/>
        </w:rPr>
        <w:t>Grossesse :</w:t>
      </w:r>
      <w:r>
        <w:t xml:space="preserve"> CONTRE-INDIQUEE. La pilocarpine traverse la barrière placentaire et peut induire des contractions utérines (risque d'avortement spontané, d'accouchement prématuré). Aucune étude humaine contrôlée n'est disponible, mais les études animales ont montré une toxicité fœtale (retard de croissance, malformations cardiovasculaires). Contraception efficace obligatoire pendant le traitement et 48 heures après l'arrêt.</w:t>
      </w:r>
    </w:p>
    <w:p>
      <w:pPr>
        <w:pStyle w:val="ListBullet"/>
      </w:pPr>
      <w:r/>
      <w:r>
        <w:rPr>
          <w:b/>
        </w:rPr>
        <w:t>Allaitement :</w:t>
      </w:r>
      <w:r>
        <w:t xml:space="preserve"> CONTRE-INDIQUEE. La pilocarpine passe massivement dans le lait maternel (rapport lait/plasma &gt; 1), et expose le nourrisson à un risque de bradycardie, bronchospasme, hypersialorrhée, hypersudation, troubles digestifs. À interrompre pendant le traitement et 48 heures après l'arrêt.</w:t>
      </w:r>
    </w:p>
    <w:p>
      <w:pPr>
        <w:pStyle w:val="ListBullet"/>
      </w:pPr>
      <w:r/>
      <w:r>
        <w:rPr>
          <w:b/>
        </w:rPr>
        <w:t>Femme en âge de procréer</w:t>
      </w:r>
      <w:r>
        <w:t xml:space="preserve"> : test de grossesse pré-thérapeutique, contraception mécanique + hormonale pendant toute la durée du traitement.</w:t>
      </w:r>
    </w:p>
    <w:p>
      <w:pPr>
        <w:pStyle w:val="ListBullet"/>
      </w:pPr>
      <w:r/>
      <w:r>
        <w:rPr>
          <w:b/>
        </w:rPr>
        <w:t>Chez la femme ménopausée</w:t>
      </w:r>
      <w:r>
        <w:t xml:space="preserve"> (population la plus touchée par le syndrome de Sjögren) : pas de restriction particulière, mais surveiller l'association avec un traitement hormonal de la ménopause (THM) — pas d'interaction documentée mais surveillance clinique.</w:t>
      </w:r>
    </w:p>
    <w:p>
      <w:pPr>
        <w:pStyle w:val="Heading4"/>
      </w:pPr>
      <w:r>
        <w:t>11. Posologie &amp; mode d'administration</w:t>
      </w:r>
    </w:p>
    <w:p>
      <w:pPr>
        <w:pStyle w:val="ListBullet"/>
      </w:pPr>
      <w:r/>
      <w:r>
        <w:rPr>
          <w:b/>
        </w:rPr>
        <w:t>Forme orale (Salagen® 5 mg comprimé) — indication xérostomie :</w:t>
      </w:r>
      <w:r/>
    </w:p>
    <w:p>
      <w:pPr>
        <w:pStyle w:val="ListBullet"/>
      </w:pPr>
      <w:r>
        <w:t>Adulte : 5 mg per os, 3 à 4 fois par jour, à prendre au cours des repas (pour réduire l'intolérance digestive) et au coucher (pour couvrir la période nocturne de xérostomie).</w:t>
      </w:r>
    </w:p>
    <w:p>
      <w:pPr>
        <w:pStyle w:val="ListBullet"/>
      </w:pPr>
      <w:r>
        <w:t>Sujet âgé (&gt; 65 ans) ou insuffisant hépatique/rénal modéré : 2,5 mg per os, 3 à 4 fois par jour.</w:t>
      </w:r>
    </w:p>
    <w:p>
      <w:pPr>
        <w:pStyle w:val="ListBullet"/>
      </w:pPr>
      <w:r>
        <w:t>Insuffisant hépatique/rénal sévère : 2,5 mg per os, 2 fois par jour (matin et midi).</w:t>
      </w:r>
    </w:p>
    <w:p>
      <w:pPr>
        <w:pStyle w:val="ListBullet"/>
      </w:pPr>
      <w:r>
        <w:t>Dose maximale recommandée : 30 mg/jour (soit 6 comprimés à 5 mg).</w:t>
      </w:r>
    </w:p>
    <w:p>
      <w:pPr>
        <w:pStyle w:val="ListBullet"/>
      </w:pPr>
      <w:r>
        <w:t>Délai d'action : 15-30 minutes après prise.</w:t>
      </w:r>
    </w:p>
    <w:p>
      <w:pPr>
        <w:pStyle w:val="ListBullet"/>
      </w:pPr>
      <w:r>
        <w:t>Durée d'action : 3-5 heures.</w:t>
      </w:r>
    </w:p>
    <w:p>
      <w:pPr>
        <w:pStyle w:val="ListBullet"/>
      </w:pPr>
      <w:r>
        <w:t>Adaptation posologique : titration progressive sur 4-6 semaines, évaluation de l'efficacité par EVA xérostomie et débit salivaire à 1, 3 et 6 mois. Arrêt en cas d'inefficacité à 6 mois (réponse attendue chez 50-60 % des patients Sjögren).</w:t>
      </w:r>
    </w:p>
    <w:p>
      <w:pPr>
        <w:pStyle w:val="ListBullet"/>
      </w:pPr>
      <w:r>
        <w:t>Durée totale du traitement : au long cours (plusieurs années), réévaluation annuelle.</w:t>
      </w:r>
    </w:p>
    <w:p>
      <w:pPr>
        <w:pStyle w:val="ListBullet"/>
      </w:pPr>
      <w:r/>
      <w:r>
        <w:rPr>
          <w:b/>
        </w:rPr>
        <w:t>Forme collyre (APICARPIN® 1 % ou 2 %) — indication ophtalmologique :</w:t>
      </w:r>
      <w:r/>
    </w:p>
    <w:p>
      <w:pPr>
        <w:pStyle w:val="ListBullet"/>
      </w:pPr>
      <w:r>
        <w:t>Glaucome chronique à angle ouvert : 1 goutte de collyre 1 % à 2 %, 2 à 4 fois par jour, dans l'œil atteint.</w:t>
      </w:r>
    </w:p>
    <w:p>
      <w:pPr>
        <w:pStyle w:val="ListBullet"/>
      </w:pPr>
      <w:r>
        <w:t>Crise aiguë de glaucome par fermeture d'angle : 1 goutte de collyre 2 % toutes les 15 minutes pendant 1 heure, puis toutes les heures pendant 2-3 heures, en complément de l'acétazolamide IV et de la mannitol IV.</w:t>
      </w:r>
    </w:p>
    <w:p>
      <w:pPr>
        <w:pStyle w:val="ListBullet"/>
      </w:pPr>
      <w:r>
        <w:t>Strabisme accommodatif de l'enfant : 1 goutte de collyre 1 %, 1 fois par jour au coucher, dans l'œil atteint.</w:t>
      </w:r>
    </w:p>
    <w:p>
      <w:pPr>
        <w:pStyle w:val="ListBullet"/>
      </w:pPr>
      <w:r/>
      <w:r>
        <w:rPr>
          <w:b/>
        </w:rPr>
        <w:t>Usage ORL détourné du collyre (non conforme à l'AMM, à n'utiliser qu'en dernier recours et sous surveillance médicale stricte) :</w:t>
      </w:r>
      <w:r>
        <w:t xml:space="preserve"> instillation de 1 à 2 gouttes de collyre 1 % (= 0,5 à 1 mg de pilocarpine) diluées dans 5 mL d'eau, en bain de bouche pendant 1-2 minutes avant les repas, 3 fois par jour. Ne pas déglutir. À éviter chez le patient asthmatique ou bradycardique.</w:t>
      </w:r>
    </w:p>
    <w:p>
      <w:pPr>
        <w:pStyle w:val="Heading4"/>
      </w:pPr>
      <w:r>
        <w:t>12. Conseils au patient / Pièges au comptoir / Arbitrage galénique</w:t>
      </w:r>
    </w:p>
    <w:p>
      <w:pPr>
        <w:pStyle w:val="ListBullet"/>
      </w:pPr>
      <w:r/>
      <w:r>
        <w:rPr>
          <w:b/>
        </w:rPr>
        <w:t>Piège majeur — patient asthmatique :</w:t>
      </w:r>
      <w:r>
        <w:t xml:space="preserve"> INSISTER auprès du médecin prescripteur et du patient sur la CI ABSOLUE de la pilocarpine en cas d'asthme ou de BPCO avec composante obstructive. Vérifier systématiquement le dossier médical, l'ordonnance de ventilation (spirométrie) et les antécédents respiratoires avant délivrance. En cas de doute, contact téléphonique avec le prescripteur.</w:t>
      </w:r>
    </w:p>
    <w:p>
      <w:pPr>
        <w:pStyle w:val="ListBullet"/>
      </w:pPr>
      <w:r/>
      <w:r>
        <w:rPr>
          <w:b/>
        </w:rPr>
        <w:t>Piège majeur — grossesse et allaitement :</w:t>
      </w:r>
      <w:r>
        <w:t xml:space="preserve"> CI absolue, à vérifier systématiquement chez toute femme en âge de procréer. Contraception efficace obligatoire.</w:t>
      </w:r>
    </w:p>
    <w:p>
      <w:pPr>
        <w:pStyle w:val="ListBullet"/>
      </w:pPr>
      <w:r/>
      <w:r>
        <w:rPr>
          <w:b/>
        </w:rPr>
        <w:t>Piège majeur — hypersudation :</w:t>
      </w:r>
      <w:r>
        <w:t xml:space="preserve"> prévenir le patient de l'effet indésirable le plus fréquent (sueurs profuses 30 minutes à 2 heures après chaque prise), lui conseiller de prendre le médicament au cours d'un repas, de s'habiller en plusieurs couches, de prévoir un changement de vêtements, et de s'hydrater abondamment. En cas d'hypersudation insupportable, réduire la dose unitaire à 2,5 mg et contacter le prescripteur.</w:t>
      </w:r>
    </w:p>
    <w:p>
      <w:pPr>
        <w:pStyle w:val="ListBullet"/>
      </w:pPr>
      <w:r/>
      <w:r>
        <w:rPr>
          <w:b/>
        </w:rPr>
        <w:t>Piège majeur — miosis et conduite automobile :</w:t>
      </w:r>
      <w:r>
        <w:t xml:space="preserve"> prévenir le patient de la baisse d'acuité visuelle transitoire dans l'heure suivant la prise, surtout la nuit et en cas de myopie forte. Ne pas conduire dans l'heure suivant la prise.</w:t>
      </w:r>
    </w:p>
    <w:p>
      <w:pPr>
        <w:pStyle w:val="ListBullet"/>
      </w:pPr>
      <w:r/>
      <w:r>
        <w:rPr>
          <w:b/>
        </w:rPr>
        <w:t>Arbitrage galénique :</w:t>
      </w:r>
      <w:r/>
    </w:p>
    <w:p>
      <w:pPr>
        <w:pStyle w:val="ListBullet"/>
      </w:pPr>
      <w:r>
        <w:t>Forme orale (Salagen® 5 mg) : à privilégier pour l'indication xérostomie systémique, sous surveillance médicale stricte. Non disponible dans la nomenclature algérienne officielle, nécessite importation exceptionnelle (ATU).</w:t>
      </w:r>
    </w:p>
    <w:p>
      <w:pPr>
        <w:pStyle w:val="ListBullet"/>
      </w:pPr>
      <w:r>
        <w:t>Forme collyre (APICARPIN® 1 % et 2 %) : indiquée pour le glaucome et le strabisme accommodatif (indication ophtalmologique). L'usage ORL détourné en bain de bouche est non conforme à l'AMM et expose à un risque de surdosage (à éviter).</w:t>
      </w:r>
    </w:p>
    <w:p>
      <w:pPr>
        <w:pStyle w:val="ListBullet"/>
      </w:pPr>
      <w:r>
        <w:t>Substitutions salivaires en première intention : à toujours essayer avant la pilocarpine (sprays de salive artificielle, gels lubrifiants, pastilles à sucer à l'acide malique, gommes à mâcher sans sucre).</w:t>
      </w:r>
    </w:p>
    <w:p>
      <w:pPr>
        <w:pStyle w:val="ListBullet"/>
      </w:pPr>
      <w:r/>
      <w:r>
        <w:rPr>
          <w:b/>
        </w:rPr>
        <w:t>Éducation à l'observance :</w:t>
      </w:r>
      <w:r>
        <w:t xml:space="preserve"> le traitement par pilocarpine est au long cours (plusieurs années), à prendre 3 à 4 fois par jour. L'observance est souvent médiocre en raison des effets indésirables. Conseiller au patient de tenir un journal de symptômes (EVA xérostomie quotidienne, débit salivaire hebdomadaire, effets indésirables) et de le présenter à chaque consultation.</w:t>
      </w:r>
    </w:p>
    <w:p>
      <w:pPr>
        <w:pStyle w:val="ListBullet"/>
      </w:pPr>
      <w:r/>
      <w:r>
        <w:rPr>
          <w:b/>
        </w:rPr>
        <w:t>Patient sous pilocarpine et devant subir une anesthésie</w:t>
      </w:r>
      <w:r>
        <w:t xml:space="preserve"> : prévenir l'anesthésiste, arrêter la pilocarpine 24-48 heures avant (risque de bradycardie, bronchospasme, hypersécrétion per-opératoire).</w:t>
      </w:r>
    </w:p>
    <w:p>
      <w:pPr>
        <w:pStyle w:val="ListBullet"/>
      </w:pPr>
      <w:r/>
      <w:r>
        <w:rPr>
          <w:b/>
        </w:rPr>
        <w:t>Patient candidat à une radiothérapie ORL</w:t>
      </w:r>
      <w:r>
        <w:t xml:space="preserve"> : évaluation ORL pré-thérapeutique pour évaluer la faisabilité d'un protocole de pilocarpine préventive (à débuter pendant la radiothérapie, en cours d'évaluation).</w:t>
      </w:r>
    </w:p>
    <w:p>
      <w:pPr>
        <w:pStyle w:val="ListBullet"/>
      </w:pPr>
      <w:r/>
      <w:r>
        <w:rPr>
          <w:b/>
        </w:rPr>
        <w:t>Particularité Algérie — accès au Salagen®</w:t>
      </w:r>
      <w:r>
        <w:t xml:space="preserve"> : la forme orale Salagen® 5 mg n'est pas enregistrée dans la nomenclature algérienne officielle. Les patients atteints de syndrome de Sjögren sévère ou de xérostomie post-radiothérapie ORL doivent bénéficier d'une demande d'ATU (Autorisation Temporaire d'Utilisation) auprès du Ministère de la Santé, sur prescription d'un médecin interniste, ORL ou radiothérapeute. Le pharmacien d'officine doit orienter le patient vers les services hospitalo-universitaires d'ORL ou de médecine interne pour la mise en route et le suivi du traitement.</w:t>
      </w:r>
    </w:p>
    <w:p>
      <w:pPr>
        <w:pStyle w:val="Heading2"/>
      </w:pPr>
      <w:r>
        <w:t>Tableau récapitulatif comparatif des trois DCI du chapitre 135</w:t>
      </w:r>
    </w:p>
    <w:tbl>
      <w:tblPr>
        <w:tblStyle w:val="LightGrid-Accent1"/>
        <w:tblW w:type="auto" w:w="0"/>
        <w:tblLook w:firstColumn="1" w:firstRow="1" w:lastColumn="0" w:lastRow="0" w:noHBand="0" w:noVBand="1" w:val="04A0"/>
      </w:tblPr>
      <w:tblGrid>
        <w:gridCol w:w="2339"/>
        <w:gridCol w:w="2339"/>
        <w:gridCol w:w="2339"/>
        <w:gridCol w:w="2339"/>
      </w:tblGrid>
      <w:tr>
        <w:tc>
          <w:tcPr>
            <w:tcW w:type="dxa" w:w="2339"/>
          </w:tcPr>
          <w:p>
            <w:r>
              <w:rPr>
                <w:b/>
                <w:sz w:val="20"/>
              </w:rPr>
              <w:t>Caractéristique</w:t>
            </w:r>
          </w:p>
        </w:tc>
        <w:tc>
          <w:tcPr>
            <w:tcW w:type="dxa" w:w="2339"/>
          </w:tcPr>
          <w:p>
            <w:r>
              <w:rPr>
                <w:b/>
                <w:sz w:val="20"/>
              </w:rPr>
              <w:t>Lavage nasal (sérum physiologique / eau de mer)</w:t>
            </w:r>
          </w:p>
        </w:tc>
        <w:tc>
          <w:tcPr>
            <w:tcW w:type="dxa" w:w="2339"/>
          </w:tcPr>
          <w:p>
            <w:r>
              <w:rPr>
                <w:b/>
                <w:sz w:val="20"/>
              </w:rPr>
              <w:t>Nicotine (substituts nicotiniques)</w:t>
            </w:r>
          </w:p>
        </w:tc>
        <w:tc>
          <w:tcPr>
            <w:tcW w:type="dxa" w:w="2339"/>
          </w:tcPr>
          <w:p>
            <w:r>
              <w:rPr>
                <w:b/>
                <w:sz w:val="20"/>
              </w:rPr>
              <w:t>Pilocarpine (sialagogue)</w:t>
            </w:r>
          </w:p>
        </w:tc>
      </w:tr>
      <w:tr>
        <w:tc>
          <w:tcPr>
            <w:tcW w:type="dxa" w:w="2339"/>
          </w:tcPr>
          <w:p>
            <w:r>
              <w:rPr>
                <w:sz w:val="20"/>
              </w:rPr>
              <w:t>**Classe pharmacologique**</w:t>
            </w:r>
          </w:p>
        </w:tc>
        <w:tc>
          <w:tcPr>
            <w:tcW w:type="dxa" w:w="2339"/>
          </w:tcPr>
          <w:p>
            <w:r>
              <w:rPr>
                <w:sz w:val="20"/>
              </w:rPr>
              <w:t>Dispositif médical mécanique / solution physiologique</w:t>
            </w:r>
          </w:p>
        </w:tc>
        <w:tc>
          <w:tcPr>
            <w:tcW w:type="dxa" w:w="2339"/>
          </w:tcPr>
          <w:p>
            <w:r>
              <w:rPr>
                <w:sz w:val="20"/>
              </w:rPr>
              <w:t>Agoniste nicotinique α4β2 (substitut nicotinique)</w:t>
            </w:r>
          </w:p>
        </w:tc>
        <w:tc>
          <w:tcPr>
            <w:tcW w:type="dxa" w:w="2339"/>
          </w:tcPr>
          <w:p>
            <w:r>
              <w:rPr>
                <w:sz w:val="20"/>
              </w:rPr>
              <w:t>Agoniste muscarinique M3 (parasympathomimétique direct)</w:t>
            </w:r>
          </w:p>
        </w:tc>
      </w:tr>
      <w:tr>
        <w:tc>
          <w:tcPr>
            <w:tcW w:type="dxa" w:w="2339"/>
          </w:tcPr>
          <w:p>
            <w:r>
              <w:rPr>
                <w:sz w:val="20"/>
              </w:rPr>
              <w:t>**DCI / Substance**</w:t>
            </w:r>
          </w:p>
        </w:tc>
        <w:tc>
          <w:tcPr>
            <w:tcW w:type="dxa" w:w="2339"/>
          </w:tcPr>
          <w:p>
            <w:r>
              <w:rPr>
                <w:sz w:val="20"/>
              </w:rPr>
              <w:t>Chlorure de sodium 0,9 % isotonique ou 2-3 % hypertonique ; eau de mer diluée</w:t>
            </w:r>
          </w:p>
        </w:tc>
        <w:tc>
          <w:tcPr>
            <w:tcW w:type="dxa" w:w="2339"/>
          </w:tcPr>
          <w:p>
            <w:r>
              <w:rPr>
                <w:sz w:val="20"/>
              </w:rPr>
              <w:t>S(-) nicotine (stéréoisomère actif naturel)</w:t>
            </w:r>
          </w:p>
        </w:tc>
        <w:tc>
          <w:tcPr>
            <w:tcW w:type="dxa" w:w="2339"/>
          </w:tcPr>
          <w:p>
            <w:r>
              <w:rPr>
                <w:sz w:val="20"/>
              </w:rPr>
              <w:t>Pilocarpine (alcaloïde de *Pilocarpus jaborandi*)</w:t>
            </w:r>
          </w:p>
        </w:tc>
      </w:tr>
      <w:tr>
        <w:tc>
          <w:tcPr>
            <w:tcW w:type="dxa" w:w="2339"/>
          </w:tcPr>
          <w:p>
            <w:r>
              <w:rPr>
                <w:sz w:val="20"/>
              </w:rPr>
              <w:t>**Voie d'administration**</w:t>
            </w:r>
          </w:p>
        </w:tc>
        <w:tc>
          <w:tcPr>
            <w:tcW w:type="dxa" w:w="2339"/>
          </w:tcPr>
          <w:p>
            <w:r>
              <w:rPr>
                <w:sz w:val="20"/>
              </w:rPr>
              <w:t>Nasale locale (spray, instillation, irrigation)</w:t>
            </w:r>
          </w:p>
        </w:tc>
        <w:tc>
          <w:tcPr>
            <w:tcW w:type="dxa" w:w="2339"/>
          </w:tcPr>
          <w:p>
            <w:r>
              <w:rPr>
                <w:sz w:val="20"/>
              </w:rPr>
              <w:t>Transdermique, orale sublinguale, orale à sucer, nasale, inhalation buccale</w:t>
            </w:r>
          </w:p>
        </w:tc>
        <w:tc>
          <w:tcPr>
            <w:tcW w:type="dxa" w:w="2339"/>
          </w:tcPr>
          <w:p>
            <w:r>
              <w:rPr>
                <w:sz w:val="20"/>
              </w:rPr>
              <w:t>Orale systémique (Salagen® 5 mg) ; collyre ophtalmique (APICARPIN® 1 % et 2 %)</w:t>
            </w:r>
          </w:p>
        </w:tc>
      </w:tr>
      <w:tr>
        <w:tc>
          <w:tcPr>
            <w:tcW w:type="dxa" w:w="2339"/>
          </w:tcPr>
          <w:p>
            <w:r>
              <w:rPr>
                <w:sz w:val="20"/>
              </w:rPr>
              <w:t>**Délai d'action**</w:t>
            </w:r>
          </w:p>
        </w:tc>
        <w:tc>
          <w:tcPr>
            <w:tcW w:type="dxa" w:w="2339"/>
          </w:tcPr>
          <w:p>
            <w:r>
              <w:rPr>
                <w:sz w:val="20"/>
              </w:rPr>
              <w:t>Immédiat (mécanique)</w:t>
            </w:r>
          </w:p>
        </w:tc>
        <w:tc>
          <w:tcPr>
            <w:tcW w:type="dxa" w:w="2339"/>
          </w:tcPr>
          <w:p>
            <w:r>
              <w:rPr>
                <w:sz w:val="20"/>
              </w:rPr>
              <w:t>15 minutes (spray/gomme) à 4-9 heures (patch)</w:t>
            </w:r>
          </w:p>
        </w:tc>
        <w:tc>
          <w:tcPr>
            <w:tcW w:type="dxa" w:w="2339"/>
          </w:tcPr>
          <w:p>
            <w:r>
              <w:rPr>
                <w:sz w:val="20"/>
              </w:rPr>
              <w:t>15-30 minutes (orale) ; 5-10 minutes (collyre)</w:t>
            </w:r>
          </w:p>
        </w:tc>
      </w:tr>
      <w:tr>
        <w:tc>
          <w:tcPr>
            <w:tcW w:type="dxa" w:w="2339"/>
          </w:tcPr>
          <w:p>
            <w:r>
              <w:rPr>
                <w:sz w:val="20"/>
              </w:rPr>
              <w:t>**Durée d'action**</w:t>
            </w:r>
          </w:p>
        </w:tc>
        <w:tc>
          <w:tcPr>
            <w:tcW w:type="dxa" w:w="2339"/>
          </w:tcPr>
          <w:p>
            <w:r>
              <w:rPr>
                <w:sz w:val="20"/>
              </w:rPr>
              <w:t>Transitoire (10-30 minutes)</w:t>
            </w:r>
          </w:p>
        </w:tc>
        <w:tc>
          <w:tcPr>
            <w:tcW w:type="dxa" w:w="2339"/>
          </w:tcPr>
          <w:p>
            <w:r>
              <w:rPr>
                <w:sz w:val="20"/>
              </w:rPr>
              <w:t>3-5 heures (forme orale) ; 16-24 heures (patch)</w:t>
            </w:r>
          </w:p>
        </w:tc>
        <w:tc>
          <w:tcPr>
            <w:tcW w:type="dxa" w:w="2339"/>
          </w:tcPr>
          <w:p>
            <w:r>
              <w:rPr>
                <w:sz w:val="20"/>
              </w:rPr>
              <w:t>3-5 heures (orale)</w:t>
            </w:r>
          </w:p>
        </w:tc>
      </w:tr>
      <w:tr>
        <w:tc>
          <w:tcPr>
            <w:tcW w:type="dxa" w:w="2339"/>
          </w:tcPr>
          <w:p>
            <w:r>
              <w:rPr>
                <w:sz w:val="20"/>
              </w:rPr>
              <w:t>**Indication principale**</w:t>
            </w:r>
          </w:p>
        </w:tc>
        <w:tc>
          <w:tcPr>
            <w:tcW w:type="dxa" w:w="2339"/>
          </w:tcPr>
          <w:p>
            <w:r>
              <w:rPr>
                <w:sz w:val="20"/>
              </w:rPr>
              <w:t>Hygiène nasale, adjuvant rhinites/sinusites, post-chirurgie ORL, mucoviscidose</w:t>
            </w:r>
          </w:p>
        </w:tc>
        <w:tc>
          <w:tcPr>
            <w:tcW w:type="dxa" w:w="2339"/>
          </w:tcPr>
          <w:p>
            <w:r>
              <w:rPr>
                <w:sz w:val="20"/>
              </w:rPr>
              <w:t>Aide au sevrage tabagique chez le fumeur dépendant</w:t>
            </w:r>
          </w:p>
        </w:tc>
        <w:tc>
          <w:tcPr>
            <w:tcW w:type="dxa" w:w="2339"/>
          </w:tcPr>
          <w:p>
            <w:r>
              <w:rPr>
                <w:sz w:val="20"/>
              </w:rPr>
              <w:t>Xérostomie sévère du syndrome de Sjögren, xérostomie post-radiothérapie ORL</w:t>
            </w:r>
          </w:p>
        </w:tc>
      </w:tr>
      <w:tr>
        <w:tc>
          <w:tcPr>
            <w:tcW w:type="dxa" w:w="2339"/>
          </w:tcPr>
          <w:p>
            <w:r>
              <w:rPr>
                <w:sz w:val="20"/>
              </w:rPr>
              <w:t>**Mécanisme**</w:t>
            </w:r>
          </w:p>
        </w:tc>
        <w:tc>
          <w:tcPr>
            <w:tcW w:type="dxa" w:w="2339"/>
          </w:tcPr>
          <w:p>
            <w:r>
              <w:rPr>
                <w:sz w:val="20"/>
              </w:rPr>
              <w:t>Lavage mécanique (drainage mucus/allergènes/pathogènes) + effet osmotique (hypertonique) + effet cytoprotecteur (oligo-éléments eau de mer)</w:t>
            </w:r>
          </w:p>
        </w:tc>
        <w:tc>
          <w:tcPr>
            <w:tcW w:type="dxa" w:w="2339"/>
          </w:tcPr>
          <w:p>
            <w:r>
              <w:rPr>
                <w:sz w:val="20"/>
              </w:rPr>
              <w:t>Substitution de la nicotine du tabac, prévention du syndrome de sevrage</w:t>
            </w:r>
          </w:p>
        </w:tc>
        <w:tc>
          <w:tcPr>
            <w:tcW w:type="dxa" w:w="2339"/>
          </w:tcPr>
          <w:p>
            <w:r>
              <w:rPr>
                <w:sz w:val="20"/>
              </w:rPr>
              <w:t>Stimulation des récepteurs M3 des glandes salivaires → sécrétion salivaire</w:t>
            </w:r>
          </w:p>
        </w:tc>
      </w:tr>
      <w:tr>
        <w:tc>
          <w:tcPr>
            <w:tcW w:type="dxa" w:w="2339"/>
          </w:tcPr>
          <w:p>
            <w:r>
              <w:rPr>
                <w:sz w:val="20"/>
              </w:rPr>
              <w:t>**Contre-indication majeure**</w:t>
            </w:r>
          </w:p>
        </w:tc>
        <w:tc>
          <w:tcPr>
            <w:tcW w:type="dxa" w:w="2339"/>
          </w:tcPr>
          <w:p>
            <w:r>
              <w:rPr>
                <w:sz w:val="20"/>
              </w:rPr>
              <w:t>Eau du robinet non bouillie (encéphalite amibienne à *Naegleria fowleri*)</w:t>
            </w:r>
          </w:p>
        </w:tc>
        <w:tc>
          <w:tcPr>
            <w:tcW w:type="dxa" w:w="2339"/>
          </w:tcPr>
          <w:p>
            <w:r>
              <w:rPr>
                <w:sz w:val="20"/>
              </w:rPr>
              <w:t>Infarctus récent, accident vasculaire cérébral récent, arythmie sévère, grossesse (préférer arrêt sans SN)</w:t>
            </w:r>
          </w:p>
        </w:tc>
        <w:tc>
          <w:tcPr>
            <w:tcW w:type="dxa" w:w="2339"/>
          </w:tcPr>
          <w:p>
            <w:r>
              <w:rPr>
                <w:sz w:val="20"/>
              </w:rPr>
              <w:t>Asthme et BPCO obstructive, bradycardie sévère, bloc auriculo-ventriculaire, grossesse, allaitement</w:t>
            </w:r>
          </w:p>
        </w:tc>
      </w:tr>
      <w:tr>
        <w:tc>
          <w:tcPr>
            <w:tcW w:type="dxa" w:w="2339"/>
          </w:tcPr>
          <w:p>
            <w:r>
              <w:rPr>
                <w:sz w:val="20"/>
              </w:rPr>
              <w:t>**Effet indésirable principal**</w:t>
            </w:r>
          </w:p>
        </w:tc>
        <w:tc>
          <w:tcPr>
            <w:tcW w:type="dxa" w:w="2339"/>
          </w:tcPr>
          <w:p>
            <w:r>
              <w:rPr>
                <w:sz w:val="20"/>
              </w:rPr>
              <w:t>Picotements, éternuements, épistaxis mineure</w:t>
            </w:r>
          </w:p>
        </w:tc>
        <w:tc>
          <w:tcPr>
            <w:tcW w:type="dxa" w:w="2339"/>
          </w:tcPr>
          <w:p>
            <w:r>
              <w:rPr>
                <w:sz w:val="20"/>
              </w:rPr>
              <w:t>Insomnie, nausées, sueurs, syndrome de sevrage résiduel</w:t>
            </w:r>
          </w:p>
        </w:tc>
        <w:tc>
          <w:tcPr>
            <w:tcW w:type="dxa" w:w="2339"/>
          </w:tcPr>
          <w:p>
            <w:r>
              <w:rPr>
                <w:sz w:val="20"/>
              </w:rPr>
              <w:t>Hypersudation (60-80 %), hypersialorrhée, bradycardie, bronchospasme</w:t>
            </w:r>
          </w:p>
        </w:tc>
      </w:tr>
      <w:tr>
        <w:tc>
          <w:tcPr>
            <w:tcW w:type="dxa" w:w="2339"/>
          </w:tcPr>
          <w:p>
            <w:r>
              <w:rPr>
                <w:sz w:val="20"/>
              </w:rPr>
              <w:t>**Grossesse**</w:t>
            </w:r>
          </w:p>
        </w:tc>
        <w:tc>
          <w:tcPr>
            <w:tcW w:type="dxa" w:w="2339"/>
          </w:tcPr>
          <w:p>
            <w:r>
              <w:rPr>
                <w:sz w:val="20"/>
              </w:rPr>
              <w:t>Autorisé à tous les trimestres (traitement de choix de la rhinite gravidique)</w:t>
            </w:r>
          </w:p>
        </w:tc>
        <w:tc>
          <w:tcPr>
            <w:tcW w:type="dxa" w:w="2339"/>
          </w:tcPr>
          <w:p>
            <w:r>
              <w:rPr>
                <w:sz w:val="20"/>
              </w:rPr>
              <w:t>À éviter en première intention ; autorisé si arrêt total impossible, sous surveillance obstétricale</w:t>
            </w:r>
          </w:p>
        </w:tc>
        <w:tc>
          <w:tcPr>
            <w:tcW w:type="dxa" w:w="2339"/>
          </w:tcPr>
          <w:p>
            <w:r>
              <w:rPr>
                <w:sz w:val="20"/>
              </w:rPr>
              <w:t>CONTRE-INDIQUEE (risque de contraction utérine, avortement)</w:t>
            </w:r>
          </w:p>
        </w:tc>
      </w:tr>
      <w:tr>
        <w:tc>
          <w:tcPr>
            <w:tcW w:type="dxa" w:w="2339"/>
          </w:tcPr>
          <w:p>
            <w:r>
              <w:rPr>
                <w:sz w:val="20"/>
              </w:rPr>
              <w:t>**Allaitement**</w:t>
            </w:r>
          </w:p>
        </w:tc>
        <w:tc>
          <w:tcPr>
            <w:tcW w:type="dxa" w:w="2339"/>
          </w:tcPr>
          <w:p>
            <w:r>
              <w:rPr>
                <w:sz w:val="20"/>
              </w:rPr>
              <w:t>Autorisé</w:t>
            </w:r>
          </w:p>
        </w:tc>
        <w:tc>
          <w:tcPr>
            <w:tcW w:type="dxa" w:w="2339"/>
          </w:tcPr>
          <w:p>
            <w:r>
              <w:rPr>
                <w:sz w:val="20"/>
              </w:rPr>
              <w:t>À éviter ; si SN nécessaire, prise juste après la tétée</w:t>
            </w:r>
          </w:p>
        </w:tc>
        <w:tc>
          <w:tcPr>
            <w:tcW w:type="dxa" w:w="2339"/>
          </w:tcPr>
          <w:p>
            <w:r>
              <w:rPr>
                <w:sz w:val="20"/>
              </w:rPr>
              <w:t>CONTRE-INDIQUEE (passe dans le lait, risque pour le nourrisson)</w:t>
            </w:r>
          </w:p>
        </w:tc>
      </w:tr>
      <w:tr>
        <w:tc>
          <w:tcPr>
            <w:tcW w:type="dxa" w:w="2339"/>
          </w:tcPr>
          <w:p>
            <w:r>
              <w:rPr>
                <w:sz w:val="20"/>
              </w:rPr>
              <w:t>**Statut réglementaire Algérie**</w:t>
            </w:r>
          </w:p>
        </w:tc>
        <w:tc>
          <w:tcPr>
            <w:tcW w:type="dxa" w:w="2339"/>
          </w:tcPr>
          <w:p>
            <w:r>
              <w:rPr>
                <w:sz w:val="20"/>
              </w:rPr>
              <w:t>Dispositif médical / produit d'hygiène (hors nomenclature officielle) ; NaCl 0,9 % injectable Liste I</w:t>
            </w:r>
          </w:p>
        </w:tc>
        <w:tc>
          <w:tcPr>
            <w:tcW w:type="dxa" w:w="2339"/>
          </w:tcPr>
          <w:p>
            <w:r>
              <w:rPr>
                <w:sz w:val="20"/>
              </w:rPr>
              <w:t>Accès libre, non remboursé (coût mensuel 3 500-5 000 DA)</w:t>
            </w:r>
          </w:p>
        </w:tc>
        <w:tc>
          <w:tcPr>
            <w:tcW w:type="dxa" w:w="2339"/>
          </w:tcPr>
          <w:p>
            <w:r>
              <w:rPr>
                <w:sz w:val="20"/>
              </w:rPr>
              <w:t>Liste I ; collyre disponible ; forme orale non disponible en nomenclature officielle</w:t>
            </w:r>
          </w:p>
        </w:tc>
      </w:tr>
      <w:tr>
        <w:tc>
          <w:tcPr>
            <w:tcW w:type="dxa" w:w="2339"/>
          </w:tcPr>
          <w:p>
            <w:r>
              <w:rPr>
                <w:sz w:val="20"/>
              </w:rPr>
              <w:t>**Coût mensuel approximatif (DA)**</w:t>
            </w:r>
          </w:p>
        </w:tc>
        <w:tc>
          <w:tcPr>
            <w:tcW w:type="dxa" w:w="2339"/>
          </w:tcPr>
          <w:p>
            <w:r>
              <w:rPr>
                <w:sz w:val="20"/>
              </w:rPr>
              <w:t>500-1 500 (selon spécialité et fréquence)</w:t>
            </w:r>
          </w:p>
        </w:tc>
        <w:tc>
          <w:tcPr>
            <w:tcW w:type="dxa" w:w="2339"/>
          </w:tcPr>
          <w:p>
            <w:r>
              <w:rPr>
                <w:sz w:val="20"/>
              </w:rPr>
              <w:t>3 500-5 000 (patch + pastilles)</w:t>
            </w:r>
          </w:p>
        </w:tc>
        <w:tc>
          <w:tcPr>
            <w:tcW w:type="dxa" w:w="2339"/>
          </w:tcPr>
          <w:p>
            <w:r>
              <w:rPr>
                <w:sz w:val="20"/>
              </w:rPr>
              <w:t>1 500-3 000 (collyre) ; 4 000-6 000 (Salagen® importé ATU)</w:t>
            </w:r>
          </w:p>
        </w:tc>
      </w:tr>
      <w:tr>
        <w:tc>
          <w:tcPr>
            <w:tcW w:type="dxa" w:w="2339"/>
          </w:tcPr>
          <w:p>
            <w:r>
              <w:rPr>
                <w:sz w:val="20"/>
              </w:rPr>
              <w:t>**Spécialités disponibles en Algérie**</w:t>
            </w:r>
          </w:p>
        </w:tc>
        <w:tc>
          <w:tcPr>
            <w:tcW w:type="dxa" w:w="2339"/>
          </w:tcPr>
          <w:p>
            <w:r>
              <w:rPr>
                <w:sz w:val="20"/>
              </w:rPr>
              <w:t>PHYSIOL, CHLORURE DE SODIUM 0,9 % (GIFRER, SAIDAL, RENAUDIN), EPPI-SAIDAL, EPPI INPHA-MEDIS</w:t>
            </w:r>
          </w:p>
        </w:tc>
        <w:tc>
          <w:tcPr>
            <w:tcW w:type="dxa" w:w="2339"/>
          </w:tcPr>
          <w:p>
            <w:r>
              <w:rPr>
                <w:sz w:val="20"/>
              </w:rPr>
              <w:t>NICOTINELL (patchs 7/14/21 mg/24 h), NICOPASS (pastilles 1,5 mg)</w:t>
            </w:r>
          </w:p>
        </w:tc>
        <w:tc>
          <w:tcPr>
            <w:tcW w:type="dxa" w:w="2339"/>
          </w:tcPr>
          <w:p>
            <w:r>
              <w:rPr>
                <w:sz w:val="20"/>
              </w:rPr>
              <w:t>APICARPIN 1 % et 2 % (collyre), PILO 1 (collyre)</w:t>
            </w:r>
          </w:p>
        </w:tc>
      </w:tr>
      <w:tr>
        <w:tc>
          <w:tcPr>
            <w:tcW w:type="dxa" w:w="2339"/>
          </w:tcPr>
          <w:p>
            <w:r>
              <w:rPr>
                <w:sz w:val="20"/>
              </w:rPr>
              <w:t>**Spécialités retirées du marché algérien**</w:t>
            </w:r>
          </w:p>
        </w:tc>
        <w:tc>
          <w:tcPr>
            <w:tcW w:type="dxa" w:w="2339"/>
          </w:tcPr>
          <w:p>
            <w:r>
              <w:rPr>
                <w:sz w:val="20"/>
              </w:rPr>
              <w:t>CHLORURE DE SODIUM BIOLOGICI ITALIA, CHLORURE DE SODIUM SAIDAL 1 L</w:t>
            </w:r>
          </w:p>
        </w:tc>
        <w:tc>
          <w:tcPr>
            <w:tcW w:type="dxa" w:w="2339"/>
          </w:tcPr>
          <w:p>
            <w:r>
              <w:rPr>
                <w:sz w:val="20"/>
              </w:rPr>
              <w:t>NICOPATCH (Pierre Fabre)</w:t>
            </w:r>
          </w:p>
        </w:tc>
        <w:tc>
          <w:tcPr>
            <w:tcW w:type="dxa" w:w="2339"/>
          </w:tcPr>
          <w:p>
            <w:r>
              <w:rPr>
                <w:sz w:val="20"/>
              </w:rPr>
              <w:t>PILO 2, ISOPTO-PILOCARPINE, PILOCARPINE CIBA VISION</w:t>
            </w:r>
          </w:p>
        </w:tc>
      </w:tr>
      <w:tr>
        <w:tc>
          <w:tcPr>
            <w:tcW w:type="dxa" w:w="2339"/>
          </w:tcPr>
          <w:p>
            <w:r>
              <w:rPr>
                <w:sz w:val="20"/>
              </w:rPr>
              <w:t>**Surveillance spécifique**</w:t>
            </w:r>
          </w:p>
        </w:tc>
        <w:tc>
          <w:tcPr>
            <w:tcW w:type="dxa" w:w="2339"/>
          </w:tcPr>
          <w:p>
            <w:r>
              <w:rPr>
                <w:sz w:val="20"/>
              </w:rPr>
              <w:t>Aucune (surveillance clinique simple)</w:t>
            </w:r>
          </w:p>
        </w:tc>
        <w:tc>
          <w:tcPr>
            <w:tcW w:type="dxa" w:w="2339"/>
          </w:tcPr>
          <w:p>
            <w:r>
              <w:rPr>
                <w:sz w:val="20"/>
              </w:rPr>
              <w:t>ECG si coronarien, glycémie si diabétique, INR si anticoagulé, fréquence cardiaque</w:t>
            </w:r>
          </w:p>
        </w:tc>
        <w:tc>
          <w:tcPr>
            <w:tcW w:type="dxa" w:w="2339"/>
          </w:tcPr>
          <w:p>
            <w:r>
              <w:rPr>
                <w:sz w:val="20"/>
              </w:rPr>
              <w:t>ECG, spirométrie, débit salivaire (test de Lashley), échelle visuelle de xérostomie</w:t>
            </w:r>
          </w:p>
        </w:tc>
      </w:tr>
      <w:tr>
        <w:tc>
          <w:tcPr>
            <w:tcW w:type="dxa" w:w="2339"/>
          </w:tcPr>
          <w:p>
            <w:r>
              <w:rPr>
                <w:sz w:val="20"/>
              </w:rPr>
              <w:t>**Conseil au comptoir prioritaire**</w:t>
            </w:r>
          </w:p>
        </w:tc>
        <w:tc>
          <w:tcPr>
            <w:tcW w:type="dxa" w:w="2339"/>
          </w:tcPr>
          <w:p>
            <w:r>
              <w:rPr>
                <w:sz w:val="20"/>
              </w:rPr>
              <w:t>Insister sur l'interdiction absolue d'eau du robinet non bouillie</w:t>
            </w:r>
          </w:p>
        </w:tc>
        <w:tc>
          <w:tcPr>
            <w:tcW w:type="dxa" w:w="2339"/>
          </w:tcPr>
          <w:p>
            <w:r>
              <w:rPr>
                <w:sz w:val="20"/>
              </w:rPr>
              <w:t>Éduquer à la reconnaissance des syndromes de sous/surdosage ; adapter la dose au test de Fagerström</w:t>
            </w:r>
          </w:p>
        </w:tc>
        <w:tc>
          <w:tcPr>
            <w:tcW w:type="dxa" w:w="2339"/>
          </w:tcPr>
          <w:p>
            <w:r>
              <w:rPr>
                <w:sz w:val="20"/>
              </w:rPr>
              <w:t>Vérifier l'absence d'asthme et de bradycardie avant délivrance ; prévenir de l'hypersudation</w:t>
            </w:r>
          </w:p>
        </w:tc>
      </w:tr>
      <w:tr>
        <w:tc>
          <w:tcPr>
            <w:tcW w:type="dxa" w:w="2339"/>
          </w:tcPr>
          <w:p>
            <w:r>
              <w:rPr>
                <w:sz w:val="20"/>
              </w:rPr>
              <w:t>**Stratégie thérapeutique intégrée**</w:t>
            </w:r>
          </w:p>
        </w:tc>
        <w:tc>
          <w:tcPr>
            <w:tcW w:type="dxa" w:w="2339"/>
          </w:tcPr>
          <w:p>
            <w:r>
              <w:rPr>
                <w:sz w:val="20"/>
              </w:rPr>
              <w:t>Hygiène nasale quotidienne + lavage curatif 3-6 fois/jour en phase aiguë</w:t>
            </w:r>
          </w:p>
        </w:tc>
        <w:tc>
          <w:tcPr>
            <w:tcW w:type="dxa" w:w="2339"/>
          </w:tcPr>
          <w:p>
            <w:r>
              <w:rPr>
                <w:sz w:val="20"/>
              </w:rPr>
              <w:t>Patch (fond) + pastille (à la demande) + accompagnement comportemental (TCC)</w:t>
            </w:r>
          </w:p>
        </w:tc>
        <w:tc>
          <w:tcPr>
            <w:tcW w:type="dxa" w:w="2339"/>
          </w:tcPr>
          <w:p>
            <w:r>
              <w:rPr>
                <w:sz w:val="20"/>
              </w:rPr>
              <w:t>Substitutions salivaires d'abord → pilocarpine si échec, à dose minimale efficace, surveillance multidisciplinaire (ORL, interniste, dentiste)</w:t>
            </w:r>
          </w:p>
        </w:tc>
      </w:tr>
    </w:tbl>
    <w:p/>
    <w:p>
      <w:pPr>
        <w:pStyle w:val="Heading2"/>
      </w:pPr>
      <w:r>
        <w:t>Conclusion du chapitre 135 et du Fascicule XIV</w:t>
      </w:r>
    </w:p>
    <w:p>
      <w:r>
        <w:t>Les trois classes thérapeutiques abordées dans ce chapitre 135 — lavage nasal, substituts nicotiniques, et sialagogues parasympathomimétiques — illustrent la diversité des approches pharmacologiques mobilisées en ORL ambulatoire et hospitalière : la mécanique physico-chimique (lavage par solution saline isotonique ou hypertonique), la neuropharmacologie de la dépendance (substitution par agoniste nicotinique), et la neurostimulation parasympathique périphérique (agoniste muscarinique M3). Chacune de ces classes répond à un enjeu majeur de santé publique en Algérie : la prévention des complications des rhinites virales et des sinusites chroniques par le lavage nasal (réduction de l'antibiothérapie abusive), la lutte contre le tabagisme première cause de mortalité évitable (cancers ORL, BPCO, maladies cardiovasculaires) par les substituts nicotiniques, et la prise en charge de la xérostomie invalidante du syndrome de Sjögren et de la radiothérapie ORL par la pilocarpine. Le pharmacien d'officine algérien joue un rôle pivot dans le conseil de bon usage, le dépistage des contre-indications (notamment l'usage d'eau du robinet pour le lavage nasal, l'infarctus récent pour la nicotine, et l'asthme pour la pilocarpine), l'éducation thérapeutique, et l'orientation vers les structures spécialisées (consultation tabacologique, service d'ORL, d'interniste ou de radiothérapie) pour les cas complexes. L'accès à ces traitements en Algérie reste inégal : libre accès pour le lavage nasal et les substituts nicotiniques mais non remboursement, limitation de l'accès à la pilocarpine orale (non inscrite à la nomenclature officielle), nécessité d'importation exceptionnelle via ATU pour le Salagen®. Le développement de la formation continue des pharmaciens d'officine algériens à ces classes thérapeutiques constitue un enjeu stratégique pour l'amélioration de la prise en charge de la sphère ORL en Algérie, et plus largement pour la prévention des cancers, des maladies respiratoires chroniques et des pathologies auto-immunes de la sphère bucco-naso-sinusienne.</w:t>
      </w:r>
    </w:p>
    <w:p>
      <w:r>
        <w:t>Ce chapitre clôt le Fascicule XIV consacré à la pharmacologie ORL. Les quatorze fascicules de ce Livre de Pharmacologie Clinique ont couvert l'ensemble des classes thérapeutiques essentielles à la pratique pharmaceutique algérienne moderne, depuis les anti-infectieux (Fascicule I) jusqu'à l'ORL (Fascicule XIV), en passant par les antalgiques, les cardiovasculaires, les neurologiques, les psychotropes, les endocriniens, les pneumologiques, les urologiques-gynécologiques, les oncologiques, les gastro-entérologiques, les dermatologiques, et les antibiotiques. Le pharmacien algérien dispose désormais, grâce à ce travail collectif de synthèse, d'un outil de référence complet pour sa pratique quotidienne au comptoir et en milieu hospitalier, ancré dans la réalité de la nomenclature algérienne officielle (Avril 2026) et enrichi des recommandations internationales les plus récentes (VIDAL, ANSM, CRAT, OMS, UpToDate, Thériaque).</w:t>
      </w:r>
    </w:p>
    <w:sectPr w:rsidR="00FC693F" w:rsidRPr="0006063C" w:rsidSect="00034616">
      <w:headerReference w:type="default" r:id="rId9"/>
      <w:footerReference w:type="default" r:id="rId10"/>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06060"/>
        <w:sz w:val="18"/>
      </w:rPr>
      <w:t xml:space="preserve">Page </w:t>
    </w:r>
    <w:r>
      <w:rPr>
        <w:color w:val="60606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0B3D91"/>
      </w:pBdr>
    </w:pPr>
    <w:r>
      <w:rPr>
        <w:rFonts w:ascii="Calibri" w:hAnsi="Calibri"/>
        <w:i/>
        <w:color w:val="606060"/>
        <w:sz w:val="18"/>
      </w:rPr>
      <w:t>Livre Technique de Pharmacologie Clinique — ORL en Algérie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D91"/>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3D9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E74B5"/>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