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i w:val="0"/>
          <w:color w:val="000000"/>
          <w:sz w:val="24"/>
        </w:rPr>
      </w:r>
    </w:p>
    <w:p>
      <w:pPr>
        <w:spacing w:after="240"/>
        <w:jc w:val="center"/>
      </w:pPr>
      <w:r>
        <w:rPr>
          <w:rFonts w:ascii="Times New Roman" w:hAnsi="Times New Roman"/>
          <w:b/>
          <w:i w:val="0"/>
          <w:color w:val="1B5E20"/>
          <w:sz w:val="72"/>
        </w:rPr>
        <w:t>LIVRE TECHNIQUE</w:t>
        <w:br/>
        <w:t>DE PHARMACOLOGIE CLINIQUE</w:t>
      </w:r>
    </w:p>
    <w:p>
      <w:pPr>
        <w:spacing w:before="240" w:after="120"/>
        <w:jc w:val="center"/>
      </w:pPr>
      <w:r>
        <w:rPr>
          <w:rFonts w:ascii="Times New Roman" w:hAnsi="Times New Roman"/>
          <w:b/>
          <w:i w:val="0"/>
          <w:color w:val="00695C"/>
          <w:sz w:val="48"/>
        </w:rPr>
        <w:t>PHYTOTHÉRAPIE,</w:t>
        <w:br/>
        <w:t>MÉDECINE NUCLÉAIRE</w:t>
        <w:br/>
        <w:t>&amp; DISPOSITIFS MÉDICAUX</w:t>
      </w:r>
    </w:p>
    <w:p>
      <w:pPr>
        <w:jc w:val="center"/>
      </w:pPr>
      <w:r>
        <w:rPr>
          <w:rFonts w:ascii="Times New Roman" w:hAnsi="Times New Roman"/>
          <w:b w:val="0"/>
          <w:i/>
          <w:color w:val="606060"/>
          <w:sz w:val="40"/>
        </w:rPr>
        <w:t>en Algérie</w:t>
      </w:r>
    </w:p>
    <w:p>
      <w:pPr>
        <w:spacing w:before="400" w:after="400"/>
        <w:jc w:val="center"/>
      </w:pPr>
      <w:r>
        <w:rPr>
          <w:rFonts w:ascii="Times New Roman" w:hAnsi="Times New Roman"/>
          <w:b/>
          <w:i w:val="0"/>
          <w:color w:val="00695C"/>
          <w:sz w:val="28"/>
        </w:rPr>
        <w:t>━━━━━━━━━━━━━━━━━━━━━━━━━━━━━━</w:t>
      </w:r>
    </w:p>
    <w:p>
      <w:pPr>
        <w:jc w:val="center"/>
      </w:pPr>
      <w:r>
        <w:rPr>
          <w:rFonts w:ascii="Times New Roman" w:hAnsi="Times New Roman"/>
          <w:b/>
          <w:i w:val="0"/>
          <w:color w:val="00695C"/>
          <w:sz w:val="36"/>
        </w:rPr>
        <w:t>Fascicule XXIV</w:t>
      </w:r>
    </w:p>
    <w:p>
      <w:pPr>
        <w:jc w:val="center"/>
      </w:pPr>
      <w:r>
        <w:rPr>
          <w:rFonts w:ascii="Times New Roman" w:hAnsi="Times New Roman"/>
          <w:b w:val="0"/>
          <w:i/>
          <w:color w:val="606060"/>
          <w:sz w:val="28"/>
        </w:rPr>
        <w:t>Phytothérapie, Médecine Nucléaire &amp; Dispositifs Médicaux Antacides</w:t>
      </w:r>
    </w:p>
    <w:p>
      <w:pPr>
        <w:spacing w:before="1600"/>
        <w:jc w:val="center"/>
      </w:pPr>
      <w:r>
        <w:rPr>
          <w:rFonts w:ascii="Times New Roman" w:hAnsi="Times New Roman"/>
          <w:b/>
          <w:i w:val="0"/>
          <w:color w:val="000000"/>
          <w:sz w:val="24"/>
        </w:rPr>
      </w:r>
    </w:p>
    <w:p>
      <w:pPr>
        <w:jc w:val="center"/>
      </w:pPr>
      <w:r>
        <w:rPr>
          <w:rFonts w:ascii="Times New Roman" w:hAnsi="Times New Roman"/>
          <w:b w:val="0"/>
          <w:i w:val="0"/>
          <w:color w:val="404040"/>
          <w:sz w:val="24"/>
        </w:rPr>
        <w:t>Manuel académique et pratique pour étudiants en pharmacie d'officine</w:t>
      </w:r>
    </w:p>
    <w:p>
      <w:pPr>
        <w:jc w:val="center"/>
      </w:pPr>
      <w:r>
        <w:rPr>
          <w:rFonts w:ascii="Times New Roman" w:hAnsi="Times New Roman"/>
          <w:b w:val="0"/>
          <w:i/>
          <w:color w:val="606060"/>
          <w:sz w:val="22"/>
        </w:rPr>
        <w:t>Basé sur la nomenclature officielle des médicaments enregistrés en Algérie (Avril 2026)</w:t>
      </w:r>
    </w:p>
    <w:p>
      <w:pPr>
        <w:spacing w:before="1200"/>
        <w:jc w:val="center"/>
      </w:pPr>
      <w:r>
        <w:rPr>
          <w:rFonts w:ascii="Times New Roman" w:hAnsi="Times New Roman"/>
          <w:b/>
          <w:i w:val="0"/>
          <w:color w:val="000000"/>
          <w:sz w:val="24"/>
        </w:rPr>
      </w:r>
    </w:p>
    <w:p>
      <w:pPr>
        <w:jc w:val="center"/>
      </w:pPr>
      <w:r>
        <w:rPr>
          <w:rFonts w:ascii="Times New Roman" w:hAnsi="Times New Roman"/>
          <w:b/>
          <w:i w:val="0"/>
          <w:color w:val="00695C"/>
          <w:sz w:val="22"/>
        </w:rPr>
        <w:t>12 DCI traitées  •  28 spécialités commerciales  •  3 chapitres thérapeutiques</w:t>
      </w:r>
    </w:p>
    <w:p>
      <w:pPr>
        <w:spacing w:before="1600"/>
        <w:jc w:val="center"/>
      </w:pPr>
      <w:r>
        <w:rPr>
          <w:rFonts w:ascii="Times New Roman" w:hAnsi="Times New Roman"/>
          <w:b/>
          <w:i w:val="0"/>
          <w:color w:val="000000"/>
          <w:sz w:val="24"/>
        </w:rPr>
      </w:r>
    </w:p>
    <w:p>
      <w:pPr>
        <w:jc w:val="center"/>
      </w:pPr>
      <w:r>
        <w:rPr>
          <w:rFonts w:ascii="Times New Roman" w:hAnsi="Times New Roman"/>
          <w:b/>
          <w:i w:val="0"/>
          <w:color w:val="404040"/>
          <w:sz w:val="28"/>
        </w:rPr>
        <w:t>Édition : 28 août 2026</w:t>
      </w:r>
    </w:p>
    <w:p>
      <w:pPr>
        <w:jc w:val="center"/>
      </w:pPr>
      <w:r>
        <w:rPr>
          <w:rFonts w:ascii="Times New Roman" w:hAnsi="Times New Roman"/>
          <w:b/>
          <w:i w:val="0"/>
          <w:color w:val="404040"/>
          <w:sz w:val="26"/>
        </w:rPr>
        <w:t>Version : v1</w:t>
      </w:r>
    </w:p>
    <w:p>
      <w:pPr>
        <w:spacing w:before="1600"/>
        <w:jc w:val="center"/>
      </w:pPr>
      <w:r>
        <w:rPr>
          <w:rFonts w:ascii="Times New Roman" w:hAnsi="Times New Roman"/>
          <w:b/>
          <w:i w:val="0"/>
          <w:color w:val="000000"/>
          <w:sz w:val="24"/>
        </w:rPr>
      </w:r>
    </w:p>
    <w:p>
      <w:pPr>
        <w:jc w:val="center"/>
      </w:pPr>
      <w:r>
        <w:rPr>
          <w:rFonts w:ascii="Times New Roman" w:hAnsi="Times New Roman"/>
          <w:b w:val="0"/>
          <w:i/>
          <w:color w:val="808080"/>
          <w:sz w:val="18"/>
        </w:rPr>
        <w:t>Sources : EMA HMPC • EANM • EAU • NCCN • ACG • SFED • CRAT • AFU • Cochrane • Nomenclature Algérie Avril 2026</w:t>
      </w:r>
    </w:p>
    <w:p>
      <w:r>
        <w:br w:type="page"/>
      </w:r>
    </w:p>
    <w:p>
      <w:pPr>
        <w:pStyle w:val="Heading1"/>
      </w:pPr>
      <w:r>
        <w:rPr>
          <w:color w:val="1B5E20"/>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XXIV : Phytothérapie, Médecine Nucléaire &amp; Dispositifs Médicaux Antacides</w:t>
      </w:r>
    </w:p>
    <w:p>
      <w:pPr>
        <w:pStyle w:val="Heading2"/>
      </w:pPr>
      <w:r>
        <w:t>Avant-propos et méthodologie du Fascicule XXIV</w:t>
      </w:r>
    </w:p>
    <w:p>
      <w:pPr>
        <w:pStyle w:val="Heading3"/>
      </w:pPr>
      <w:r>
        <w:t>1. Objet et portée du fascicule</w:t>
      </w:r>
    </w:p>
    <w:p>
      <w:r>
        <w:t>Le présent fascicule constitue le vingt-quatrième et ultime volet du Livre Technique de Pharmacologie Clinique destiné aux étudiants en pharmacie d'officine et aux praticiens exerçant sur le territoire algérien. Il traite de manière exhaustive trois domaines thérapeutiques restés jusque-là non couverts par les fascicules précédents et qui forment un ensemble hétérogène mais cliniquement stratégique : la phytothérapie rationalisée à visée vasculaire et prostatique, la médecine nucléaire thérapeutique à visée oncologique, et les dispositifs médicaux antacides de la classe des alginates utilisés dans le reflux gastro-œsophagien.</w:t>
      </w:r>
    </w:p>
    <w:p>
      <w:r>
        <w:t xml:space="preserve">La base réglementaire de référence utilisée pour identifier les spécialités commercialisées en Algérie est le fichier officiel </w:t>
      </w:r>
      <w:r>
        <w:rPr>
          <w:b/>
        </w:rPr>
        <w:t>« COMPLETE LISTE.xlsx »</w:t>
      </w:r>
      <w:r>
        <w:t xml:space="preserve"> (nomenclature algérienne Avril 2026), qui recense 9 511 entrées totales réparties en trois feuilles : la nomenclature active, les spécialités non renouvelables (commercialisation suspendue transitoirement) et les retraits définitifs du marché algérien. Ce fascicule exploite trois fichiers de données secondaires générés spécifiquement pour la circonstance : `missing_phyto_clean.json` (16 entrées, 8 DCI théoriques), `missing_nucleaire_clean.json` (1 entrée, 1 DCI) et `missing_dispositifs_clean.json` (11 entrées, 3 DCI théoriques), soit un total de 28 entrées de spécialités pharmaceutiques couvrant 12 DCI selon la nomenclature de référence.</w:t>
      </w:r>
    </w:p>
    <w:p>
      <w:r>
        <w:t xml:space="preserve">L'architecture du fascicule suit la logique pédagogique classique du traité, en organisant les contenus en trois chapitres thématiques cohérents : un chapitre phytothérapie (8 DCI théoriques consolidées en 4 monographies distinctes après regroupement des variants d'extraction et de titration du </w:t>
      </w:r>
      <w:r>
        <w:rPr>
          <w:i/>
        </w:rPr>
        <w:t>Ginkgo biloba</w:t>
      </w:r>
      <w:r>
        <w:t xml:space="preserve"> et de l'</w:t>
      </w:r>
      <w:r>
        <w:rPr>
          <w:i/>
        </w:rPr>
        <w:t>Extrait de Pygeum africanum</w:t>
      </w:r>
      <w:r>
        <w:t>), un chapitre médecine nucléaire (1 DCI unique : dichlorure de radium-223) et un chapitre dispositifs médicaux antacides (3 DCI théoriques consolidées en 2 monographies : alginate double et alginate triple). Chaque monographie obéit à la structure standardisée en douze sous-sections, intégrant le tableau exhaustif des spécialités disponibles en Algérie (actives, non renouvelables et retirées), le mécanisme d'action moléculaire, le profil pharmacologique complet, la prévention et gestion des effets indésirables, les interactions médicamenteuses, les données CRAT sur la grossesse et l'allaitement, la posologie détaillée, l'arbitrage des formes galéniques, les conseils au patient, les pièges au comptoir, et un tableau comparatif de sous-classe.</w:t>
      </w:r>
    </w:p>
    <w:p>
      <w:pPr>
        <w:pStyle w:val="Heading3"/>
      </w:pPr>
      <w:r>
        <w:t>2. Contexte algérien des trois domaines traités</w:t>
      </w:r>
    </w:p>
    <w:p>
      <w:r>
        <w:t xml:space="preserve">Le contexte algérien de la phytothérapie est marqué par une tradition culturelle profonde de recours aux plantes médicinales, héritée de la médecine traditionnelle arabo-musulmane (Tibb nabawi) et de la pharmacopée berbère ancestrale. Le </w:t>
      </w:r>
      <w:r>
        <w:rPr>
          <w:i/>
        </w:rPr>
        <w:t>Ginkgo biloba</w:t>
      </w:r>
      <w:r>
        <w:t xml:space="preserve">, arbre sacré d'origine chinoise dont les feuilles contiennent des flavonoïdes (24 % d'hétérosides) et des terpénolactones (6 % de ginkgolides et bilobalide), constitue l'une des plantes médicinales les plus prescrites en Algérie pour les indications vasculaires cognitives et périphériques. Le </w:t>
      </w:r>
      <w:r>
        <w:rPr>
          <w:i/>
        </w:rPr>
        <w:t>Serenoa repens</w:t>
      </w:r>
      <w:r>
        <w:t xml:space="preserve"> (chou palmiste nain), riche en extrait lipido-stérique inhibiteur de la 5α-réductase, est largement prescrit pour l'hypertrophie bénigne de la prostate (HBP) stade modéré, tandis que le </w:t>
      </w:r>
      <w:r>
        <w:rPr>
          <w:i/>
        </w:rPr>
        <w:t>Pygeum africanum</w:t>
      </w:r>
      <w:r>
        <w:t xml:space="preserve"> (prunier d'Afrique), source de phytostérols, a vu ses spécialités historiques (Tadenan, Novaprost, Tuzanil) retirées du marché algérien et remplacées par le </w:t>
      </w:r>
      <w:r>
        <w:rPr>
          <w:i/>
        </w:rPr>
        <w:t>Serenoa repens</w:t>
      </w:r>
      <w:r>
        <w:t xml:space="preserve"> dans la stratégie thérapeutique nationale.</w:t>
      </w:r>
    </w:p>
    <w:p>
      <w:r>
        <w:t>Le contexte de la médecine nucléaire thérapeutique algérienne est en pleine structuration, avec la disponibilité depuis 2023 du dichlorure de radium-223 (Xofigo, Bayer Pharma AG) pour le traitement palliatif du cancer de prostate métastatique osseux symptomatique résistant à la castration. Cette molécule, premier représentant de la classe des émetteurs alpha thérapeutiques (alpha therapy), représente une révolution conceptuelle dans l'approche des métastases osseuses : au lieu d'irradier l'ensemble du squelette par un émetteur bêta (strontium-89, samarium-153), le radium-223, mimétique du calcium, se dépose électivement au contact des lésions ostéoblastiques métastatiques et délivre une irradiation alpha de très courte portée (&lt; 100 µm) mais à haut transfert linéique d'énergie (LET), induisant des cassures double-brin de l'ADN tumorale avec une toxicité hématologique et digestive maîtrisée. Le service de médecine nucléaire du Centre Pierre et Marie Curie (CPMC) d'Alger constitue le principal centre algérien de prescription et d'administration.</w:t>
      </w:r>
    </w:p>
    <w:p>
      <w:r>
        <w:t>Le contexte des dispositifs médicaux antacides algériens est dominé par la classe des alginates, association d'alginate de sodium (polysaccharide naturel extrait des algues brunes) et de bicarbonate de sodium, qui forment en milieu acide gastrique un gel flottant (raft) à la surface du contenu gastrique. Cette barrière physique anti-reflux, neutre sur le plan systémique, constitue le traitement symptomatique de première intention du reflux gastro-œsophagien (RGO) non compliqué et des pyrosis isolés, en particulier chez la femme enceinte (autorisation CRAT jusqu'au terme), l'enfant et le sujet âgé polymédicamenté. Les laboratoires algériens (Biopharm, Pharmaghreb, NADPHARMADIC, NEOMEDIC, SARL Groupe Pharmaceutique Algérien) ont développé une gamme complète de spécialités (NOBAC, GASTOMAX, GASTRIUM, GATIMOX, GAVIX) qui couvrent l'ensemble des besoins thérapeutiques en alginate, rendant l'Algérie largement autosuffisante dans cette classe médicamenteuse.</w:t>
      </w:r>
    </w:p>
    <w:p>
      <w:pPr>
        <w:pStyle w:val="Heading3"/>
      </w:pPr>
      <w:r>
        <w:t>3. Architecture du fascicule</w:t>
      </w:r>
    </w:p>
    <w:p>
      <w:r>
        <w:t xml:space="preserve">Le fascicule XXIV est organisé en trois chapitres thématiques traitant un total de </w:t>
      </w:r>
      <w:r>
        <w:rPr>
          <w:b/>
        </w:rPr>
        <w:t>12 DCI théoriques</w:t>
      </w:r>
      <w:r>
        <w:t xml:space="preserve"> (consolidées en </w:t>
      </w:r>
      <w:r>
        <w:rPr>
          <w:b/>
        </w:rPr>
        <w:t>7 monographies distinctes</w:t>
      </w:r>
      <w:r>
        <w:t xml:space="preserve"> après regroupement des variants d'extraction et de statut commercial) :</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Chapitre</w:t>
            </w:r>
          </w:p>
        </w:tc>
        <w:tc>
          <w:tcPr>
            <w:tcW w:type="dxa" w:w="1662"/>
            <w:shd w:val="clear" w:color="auto" w:fill="F2F2F2"/>
          </w:tcPr>
          <w:p>
            <w:r>
              <w:rPr>
                <w:rFonts w:ascii="Times New Roman" w:hAnsi="Times New Roman"/>
                <w:b/>
                <w:sz w:val="20"/>
              </w:rPr>
              <w:t>Domaine</w:t>
            </w:r>
          </w:p>
        </w:tc>
        <w:tc>
          <w:tcPr>
            <w:tcW w:type="dxa" w:w="1662"/>
            <w:shd w:val="clear" w:color="auto" w:fill="F2F2F2"/>
          </w:tcPr>
          <w:p>
            <w:r>
              <w:rPr>
                <w:rFonts w:ascii="Times New Roman" w:hAnsi="Times New Roman"/>
                <w:b/>
                <w:sz w:val="20"/>
              </w:rPr>
              <w:t>DCI théoriques</w:t>
            </w:r>
          </w:p>
        </w:tc>
        <w:tc>
          <w:tcPr>
            <w:tcW w:type="dxa" w:w="1662"/>
            <w:shd w:val="clear" w:color="auto" w:fill="F2F2F2"/>
          </w:tcPr>
          <w:p>
            <w:r>
              <w:rPr>
                <w:rFonts w:ascii="Times New Roman" w:hAnsi="Times New Roman"/>
                <w:b/>
                <w:sz w:val="20"/>
              </w:rPr>
              <w:t>Monographies consolidées</w:t>
            </w:r>
          </w:p>
        </w:tc>
        <w:tc>
          <w:tcPr>
            <w:tcW w:type="dxa" w:w="1662"/>
            <w:shd w:val="clear" w:color="auto" w:fill="F2F2F2"/>
          </w:tcPr>
          <w:p>
            <w:r>
              <w:rPr>
                <w:rFonts w:ascii="Times New Roman" w:hAnsi="Times New Roman"/>
                <w:b/>
                <w:sz w:val="20"/>
              </w:rPr>
              <w:t>Spécialités</w:t>
            </w:r>
          </w:p>
        </w:tc>
      </w:tr>
      <w:tr>
        <w:tc>
          <w:tcPr>
            <w:tcW w:type="dxa" w:w="1662"/>
          </w:tcPr>
          <w:p>
            <w:r>
              <w:rPr>
                <w:rFonts w:ascii="Times New Roman" w:hAnsi="Times New Roman"/>
                <w:sz w:val="20"/>
              </w:rPr>
              <w:t>I (241–243)</w:t>
            </w:r>
          </w:p>
        </w:tc>
        <w:tc>
          <w:tcPr>
            <w:tcW w:type="dxa" w:w="1662"/>
          </w:tcPr>
          <w:p>
            <w:r>
              <w:rPr>
                <w:rFonts w:ascii="Times New Roman" w:hAnsi="Times New Roman"/>
                <w:sz w:val="20"/>
              </w:rPr>
              <w:t>Phytothérapie</w:t>
            </w:r>
          </w:p>
        </w:tc>
        <w:tc>
          <w:tcPr>
            <w:tcW w:type="dxa" w:w="1662"/>
          </w:tcPr>
          <w:p>
            <w:r>
              <w:rPr>
                <w:rFonts w:ascii="Times New Roman" w:hAnsi="Times New Roman"/>
                <w:sz w:val="20"/>
              </w:rPr>
              <w:t>8</w:t>
            </w:r>
          </w:p>
        </w:tc>
        <w:tc>
          <w:tcPr>
            <w:tcW w:type="dxa" w:w="1662"/>
          </w:tcPr>
          <w:p>
            <w:r>
              <w:rPr>
                <w:rFonts w:ascii="Times New Roman" w:hAnsi="Times New Roman"/>
                <w:sz w:val="20"/>
              </w:rPr>
              <w:t>4 (Ginkgo biloba, Ginkor Fort, Serenoa repens, Pygeum africanum)</w:t>
            </w:r>
          </w:p>
        </w:tc>
        <w:tc>
          <w:tcPr>
            <w:tcW w:type="dxa" w:w="1662"/>
          </w:tcPr>
          <w:p>
            <w:r>
              <w:rPr>
                <w:rFonts w:ascii="Times New Roman" w:hAnsi="Times New Roman"/>
                <w:sz w:val="20"/>
              </w:rPr>
              <w:t>16</w:t>
            </w:r>
          </w:p>
        </w:tc>
      </w:tr>
      <w:tr>
        <w:tc>
          <w:tcPr>
            <w:tcW w:type="dxa" w:w="1662"/>
          </w:tcPr>
          <w:p>
            <w:r>
              <w:rPr>
                <w:rFonts w:ascii="Times New Roman" w:hAnsi="Times New Roman"/>
                <w:sz w:val="20"/>
              </w:rPr>
              <w:t>II (244)</w:t>
            </w:r>
          </w:p>
        </w:tc>
        <w:tc>
          <w:tcPr>
            <w:tcW w:type="dxa" w:w="1662"/>
          </w:tcPr>
          <w:p>
            <w:r>
              <w:rPr>
                <w:rFonts w:ascii="Times New Roman" w:hAnsi="Times New Roman"/>
                <w:sz w:val="20"/>
              </w:rPr>
              <w:t>Médecine nucléaire</w:t>
            </w:r>
          </w:p>
        </w:tc>
        <w:tc>
          <w:tcPr>
            <w:tcW w:type="dxa" w:w="1662"/>
          </w:tcPr>
          <w:p>
            <w:r>
              <w:rPr>
                <w:rFonts w:ascii="Times New Roman" w:hAnsi="Times New Roman"/>
                <w:sz w:val="20"/>
              </w:rPr>
              <w:t>1</w:t>
            </w:r>
          </w:p>
        </w:tc>
        <w:tc>
          <w:tcPr>
            <w:tcW w:type="dxa" w:w="1662"/>
          </w:tcPr>
          <w:p>
            <w:r>
              <w:rPr>
                <w:rFonts w:ascii="Times New Roman" w:hAnsi="Times New Roman"/>
                <w:sz w:val="20"/>
              </w:rPr>
              <w:t>1 (Dichlorure de radium-223)</w:t>
            </w:r>
          </w:p>
        </w:tc>
        <w:tc>
          <w:tcPr>
            <w:tcW w:type="dxa" w:w="1662"/>
          </w:tcPr>
          <w:p>
            <w:r>
              <w:rPr>
                <w:rFonts w:ascii="Times New Roman" w:hAnsi="Times New Roman"/>
                <w:sz w:val="20"/>
              </w:rPr>
              <w:t>1</w:t>
            </w:r>
          </w:p>
        </w:tc>
      </w:tr>
      <w:tr>
        <w:tc>
          <w:tcPr>
            <w:tcW w:type="dxa" w:w="1662"/>
          </w:tcPr>
          <w:p>
            <w:r>
              <w:rPr>
                <w:rFonts w:ascii="Times New Roman" w:hAnsi="Times New Roman"/>
                <w:sz w:val="20"/>
              </w:rPr>
              <w:t>III (245)</w:t>
            </w:r>
          </w:p>
        </w:tc>
        <w:tc>
          <w:tcPr>
            <w:tcW w:type="dxa" w:w="1662"/>
          </w:tcPr>
          <w:p>
            <w:r>
              <w:rPr>
                <w:rFonts w:ascii="Times New Roman" w:hAnsi="Times New Roman"/>
                <w:sz w:val="20"/>
              </w:rPr>
              <w:t>Dispositifs antacides</w:t>
            </w:r>
          </w:p>
        </w:tc>
        <w:tc>
          <w:tcPr>
            <w:tcW w:type="dxa" w:w="1662"/>
          </w:tcPr>
          <w:p>
            <w:r>
              <w:rPr>
                <w:rFonts w:ascii="Times New Roman" w:hAnsi="Times New Roman"/>
                <w:sz w:val="20"/>
              </w:rPr>
              <w:t>3</w:t>
            </w:r>
          </w:p>
        </w:tc>
        <w:tc>
          <w:tcPr>
            <w:tcW w:type="dxa" w:w="1662"/>
          </w:tcPr>
          <w:p>
            <w:r>
              <w:rPr>
                <w:rFonts w:ascii="Times New Roman" w:hAnsi="Times New Roman"/>
                <w:sz w:val="20"/>
              </w:rPr>
              <w:t>2 (Alginate double, Alginate triple)</w:t>
            </w:r>
          </w:p>
        </w:tc>
        <w:tc>
          <w:tcPr>
            <w:tcW w:type="dxa" w:w="1662"/>
          </w:tcPr>
          <w:p>
            <w:r>
              <w:rPr>
                <w:rFonts w:ascii="Times New Roman" w:hAnsi="Times New Roman"/>
                <w:sz w:val="20"/>
              </w:rPr>
              <w:t>11</w:t>
            </w:r>
          </w:p>
        </w:tc>
      </w:tr>
      <w:tr>
        <w:tc>
          <w:tcPr>
            <w:tcW w:type="dxa" w:w="1662"/>
          </w:tcPr>
          <w:p>
            <w:r>
              <w:rPr>
                <w:rFonts w:ascii="Times New Roman" w:hAnsi="Times New Roman"/>
                <w:sz w:val="20"/>
              </w:rPr>
              <w:t>**Total**</w:t>
            </w:r>
          </w:p>
        </w:tc>
        <w:tc>
          <w:tcPr>
            <w:tcW w:type="dxa" w:w="1662"/>
          </w:tcPr>
          <w:p>
            <w:r>
              <w:rPr>
                <w:rFonts w:ascii="Times New Roman" w:hAnsi="Times New Roman"/>
                <w:sz w:val="20"/>
              </w:rPr>
            </w:r>
          </w:p>
        </w:tc>
        <w:tc>
          <w:tcPr>
            <w:tcW w:type="dxa" w:w="1662"/>
          </w:tcPr>
          <w:p>
            <w:r>
              <w:rPr>
                <w:rFonts w:ascii="Times New Roman" w:hAnsi="Times New Roman"/>
                <w:sz w:val="20"/>
              </w:rPr>
              <w:t>**12**</w:t>
            </w:r>
          </w:p>
        </w:tc>
        <w:tc>
          <w:tcPr>
            <w:tcW w:type="dxa" w:w="1662"/>
          </w:tcPr>
          <w:p>
            <w:r>
              <w:rPr>
                <w:rFonts w:ascii="Times New Roman" w:hAnsi="Times New Roman"/>
                <w:sz w:val="20"/>
              </w:rPr>
              <w:t>**7**</w:t>
            </w:r>
          </w:p>
        </w:tc>
        <w:tc>
          <w:tcPr>
            <w:tcW w:type="dxa" w:w="1662"/>
          </w:tcPr>
          <w:p>
            <w:r>
              <w:rPr>
                <w:rFonts w:ascii="Times New Roman" w:hAnsi="Times New Roman"/>
                <w:sz w:val="20"/>
              </w:rPr>
              <w:t>**28**</w:t>
            </w:r>
          </w:p>
        </w:tc>
      </w:tr>
    </w:tbl>
    <w:p/>
    <w:p>
      <w:pPr>
        <w:pStyle w:val="Heading3"/>
      </w:pPr>
      <w:r>
        <w:t>4. Sources de données et références bibliographiques</w:t>
      </w:r>
    </w:p>
    <w:p>
      <w:r>
        <w:t>Les sources pharmacologiques de référence pour la rédaction de ce fascicule comprennent :</w:t>
      </w:r>
    </w:p>
    <w:p>
      <w:pPr>
        <w:pStyle w:val="ListBullet"/>
      </w:pPr>
      <w:r/>
      <w:r>
        <w:rPr>
          <w:b/>
        </w:rPr>
        <w:t>Pour la phytothérapie</w:t>
      </w:r>
      <w:r>
        <w:t xml:space="preserve"> : les monographies de l'EMA HMPC (Committee on Herbal Medicinal Products) publiées par l'Agence européenne du médicament pour les extraits standardisés de *Ginkgo biloba* (EGb 761, monographie HMPC/EMEA/516493/2007), *Serenoa repens* (monographie HMPC/EMEA/415769/2009) et *Pygeum africanum* (monographie HMPC/EMEA/266024/2010) ; les recommandations de l'EAU (European Association of Urology) sur la prise en charge de l'HBP non chirurgicale (Guidelines 2024) ; la Cochrane Library sur les extraits de *Ginkgo biloba* dans la claudication intermittente et les troubles cognitifs (Cochrane Reviews 2014, 2020).</w:t>
      </w:r>
    </w:p>
    <w:p>
      <w:pPr>
        <w:pStyle w:val="ListBullet"/>
      </w:pPr>
      <w:r/>
      <w:r>
        <w:rPr>
          <w:b/>
        </w:rPr>
        <w:t>Pour la médecine nucléaire</w:t>
      </w:r>
      <w:r>
        <w:t xml:space="preserve"> : les recommandations de l'EANM (European Association of Nuclear Medicine) sur la thérapie alpha au radium-223 (EANM Procedure Guidelines 2017, mises à jour 2022) ; les recommandations NCCN (National Comprehensive Cancer Network) sur le cancer de prostate castration-résistant (NCCN Guidelines Prostate Cancer v.4.2024) ; les recommandations de l'AFU (Association Française d'Urologie) sur le cancer de prostate métastatique (CCAFU 2023) ; les données pivot de l'étude ALSYMPCA (Parker et al., NEJM 2013) ; la mise à jour de l'EMA sur le risque de fractures et de myélosuppression (EMA/81481/2018).</w:t>
      </w:r>
    </w:p>
    <w:p>
      <w:pPr>
        <w:pStyle w:val="ListBullet"/>
      </w:pPr>
      <w:r/>
      <w:r>
        <w:rPr>
          <w:b/>
        </w:rPr>
        <w:t>Pour les dispositifs antacides</w:t>
      </w:r>
      <w:r>
        <w:t xml:space="preserve"> : les recommandations de la SFED (Société Française d'Endoscopie Digestive) et de la SNFGE (Société Nationale Française de Gastroentérologie) sur le RGO (recommandations 2018, mises à jour 2023) ; les recommandations de l'ACG (American College of Gastroenterology) sur le RGO (Guidelines 2022) ; les monographies de l'EMA sur les alginates ; le CRAT (Centre de Renseignements sur les Agents Tératogènes) pour les données grossesse-allaitement.</w:t>
      </w:r>
    </w:p>
    <w:p>
      <w:pPr>
        <w:pStyle w:val="Heading3"/>
      </w:pPr>
      <w:r>
        <w:t>5. Méthodologie de rédaction et standards de qualité</w:t>
      </w:r>
    </w:p>
    <w:p>
      <w:r>
        <w:t xml:space="preserve">Chaque monographie suit la structure standardisée en </w:t>
      </w:r>
      <w:r>
        <w:rPr>
          <w:b/>
        </w:rPr>
        <w:t>douze sous-sections</w:t>
      </w:r>
      <w:r>
        <w:t xml:space="preserve"> conforme aux autres fascicules du traité :</w:t>
      </w:r>
    </w:p>
    <w:p>
      <w:pPr>
        <w:pStyle w:val="ListNumber"/>
      </w:pPr>
      <w:r/>
      <w:r>
        <w:rPr>
          <w:b/>
        </w:rPr>
        <w:t>Liste des catégories thérapeutiques</w:t>
      </w:r>
      <w:r>
        <w:t xml:space="preserve"> (classification ATC OMS)</w:t>
      </w:r>
    </w:p>
    <w:p>
      <w:pPr>
        <w:pStyle w:val="ListNumber"/>
      </w:pPr>
      <w:r/>
      <w:r>
        <w:rPr>
          <w:b/>
        </w:rPr>
        <w:t>Médicaments disponibles en Algérie</w:t>
      </w:r>
      <w:r>
        <w:t xml:space="preserve"> (tableau 6 colonnes : Nom Commercial | Laboratoire | Forme et Dosage | Conditionnement | Liste | Statut)</w:t>
      </w:r>
    </w:p>
    <w:p>
      <w:pPr>
        <w:pStyle w:val="ListNumber"/>
      </w:pPr>
      <w:r/>
      <w:r>
        <w:rPr>
          <w:b/>
        </w:rPr>
        <w:t>Sous-classe et mécanisme d'action moléculaire</w:t>
      </w:r>
      <w:r/>
    </w:p>
    <w:p>
      <w:pPr>
        <w:pStyle w:val="ListNumber"/>
      </w:pPr>
      <w:r/>
      <w:r>
        <w:rPr>
          <w:b/>
        </w:rPr>
        <w:t>Profil pharmacologique</w:t>
      </w:r>
      <w:r>
        <w:t xml:space="preserve"> (indications, contre-indications, effets indésirables)</w:t>
      </w:r>
    </w:p>
    <w:p>
      <w:pPr>
        <w:pStyle w:val="ListNumber"/>
      </w:pPr>
      <w:r/>
      <w:r>
        <w:rPr>
          <w:b/>
        </w:rPr>
        <w:t>Prévention et gestion des effets indésirables</w:t>
      </w:r>
      <w:r/>
    </w:p>
    <w:p>
      <w:pPr>
        <w:pStyle w:val="ListNumber"/>
      </w:pPr>
      <w:r/>
      <w:r>
        <w:rPr>
          <w:b/>
        </w:rPr>
        <w:t>Interactions médicamenteuses</w:t>
      </w:r>
      <w:r/>
    </w:p>
    <w:p>
      <w:pPr>
        <w:pStyle w:val="ListNumber"/>
      </w:pPr>
      <w:r/>
      <w:r>
        <w:rPr>
          <w:b/>
        </w:rPr>
        <w:t>Grossesse et allaitement (CRAT)</w:t>
      </w:r>
      <w:r/>
    </w:p>
    <w:p>
      <w:pPr>
        <w:pStyle w:val="ListNumber"/>
      </w:pPr>
      <w:r/>
      <w:r>
        <w:rPr>
          <w:b/>
        </w:rPr>
        <w:t>Posologie et mode d'administration</w:t>
      </w:r>
      <w:r/>
    </w:p>
    <w:p>
      <w:pPr>
        <w:pStyle w:val="ListNumber"/>
      </w:pPr>
      <w:r/>
      <w:r>
        <w:rPr>
          <w:b/>
        </w:rPr>
        <w:t>Arbitrage et bénéfices des formes galéniques</w:t>
      </w:r>
      <w:r/>
    </w:p>
    <w:p>
      <w:pPr>
        <w:pStyle w:val="ListNumber"/>
      </w:pPr>
      <w:r/>
      <w:r>
        <w:rPr>
          <w:b/>
        </w:rPr>
        <w:t>Instructions et conseils au patient</w:t>
      </w:r>
      <w:r/>
    </w:p>
    <w:p>
      <w:pPr>
        <w:pStyle w:val="ListNumber"/>
      </w:pPr>
      <w:r/>
      <w:r>
        <w:rPr>
          <w:b/>
        </w:rPr>
        <w:t>Notes, règles d'or et pièges au comptoir</w:t>
      </w:r>
      <w:r/>
    </w:p>
    <w:p>
      <w:pPr>
        <w:pStyle w:val="ListNumber"/>
      </w:pPr>
      <w:r/>
      <w:r>
        <w:rPr>
          <w:b/>
        </w:rPr>
        <w:t>Tableau comparatif de sous-classe</w:t>
      </w:r>
      <w:r/>
    </w:p>
    <w:p>
      <w:r>
        <w:t>Chaque sous-section comprend au minimum 150 à 200 mots, avec des paragraphes de 3 à 5 phrases, dans un style académique médical français conforme aux usages de la pharmacie clinique universitaire. Les recommandations internationales et nationales sont citées dans le texte (EMA HMPC, EANM, EAU, NCCN, ACG, SFED, CRAT, AFU). Les posologies sont exprimées en unités internationales (mg, mL, kBq/kg) et accompagnées des schémas thérapeutiques validés par les sociétés savantes. Les interactions médicamenteuses sont gradées selon la classification ANSM (contre-indication absolue, association déconseillée, précaution d'emploi, à prendre en compte).</w:t>
      </w:r>
    </w:p>
    <w:p>
      <w:pPr>
        <w:pStyle w:val="Heading3"/>
      </w:pPr>
      <w:r>
        <w:t>6. Limites et précautions méthodologiques</w:t>
      </w:r>
    </w:p>
    <w:p>
      <w:r>
        <w:t>Trois limites méthodologiques principales doivent être soulignées d'emblée. Premièrement, la phytothérapie pose le problème récurrent de la variabilité d'extraction et de standardisation des extraits végétaux : un même nom d'espèce (</w:t>
      </w:r>
      <w:r>
        <w:rPr>
          <w:i/>
        </w:rPr>
        <w:t>Ginkgo biloba</w:t>
      </w:r>
      <w:r>
        <w:t>) peut recouvrir des extraits de qualité pharmacologique variable (extrait sec EGb 761 titré à 24 %/6 %, extraits quantifiés, extraits secs simples), avec des bioéquivalences non démontrées entre spécialités commerciales. Cette variabilité impose une prescription par nom de spécialité et non par DCI, contrairement aux médicaments conventionnels. Deuxièmement, la médecine nucléaire thérapeutique au radium-223 est une thérapeutique hautement spécialisée, réservée aux services de médecine nucléaire agréés, avec des exigences strictes de radioprotection du patient, du personnel et de l'entourage. Troisièmement, les dispositifs antacides de la classe des alginates, bien que classés en Liste II ou hors liste, ne sont pas dénués d'effets indésirables (ballonnement, constipation) et d'interactions médicamenteuses (diminution de l'absorption des autres médicaments), justifiant leur prescription encadrée et leur conseil pharmaceutique structuré.</w:t>
      </w:r>
    </w:p>
    <w:p>
      <w:r>
        <w:t>Le présent fascicule a vocation à servir de référence pédagogique pour la formation initiale et continue des pharmaciens d'officine algériens, qui constituent le premier interlocuteur de santé pour la majorité des patients atteints de pathologies vasculaires chroniques, de troubles mictionnels d'origine prostatique, de cancer de prostate métastatique en traitement palliatif et de reflux gastro-œsophagien symptomatique. La qualité du conseil pharmaceutique délivré au comptoir conditionne directement l'observance thérapeutique, la prévention des effets indésirables et la détection précoce des complications, en particulier pour le patient âgé polymédicamenté qui cumule plusieurs de ces pathologies.</w:t>
      </w:r>
    </w:p>
    <w:p>
      <w:pPr>
        <w:pStyle w:val="Heading2"/>
      </w:pPr>
      <w:r>
        <w:t>Sommaire général du Fascicule XXIV</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Chapitre</w:t>
            </w:r>
          </w:p>
        </w:tc>
        <w:tc>
          <w:tcPr>
            <w:tcW w:type="dxa" w:w="1662"/>
            <w:shd w:val="clear" w:color="auto" w:fill="F2F2F2"/>
          </w:tcPr>
          <w:p>
            <w:r>
              <w:rPr>
                <w:rFonts w:ascii="Times New Roman" w:hAnsi="Times New Roman"/>
                <w:b/>
                <w:sz w:val="20"/>
              </w:rPr>
              <w:t>Section</w:t>
            </w:r>
          </w:p>
        </w:tc>
        <w:tc>
          <w:tcPr>
            <w:tcW w:type="dxa" w:w="1662"/>
            <w:shd w:val="clear" w:color="auto" w:fill="F2F2F2"/>
          </w:tcPr>
          <w:p>
            <w:r>
              <w:rPr>
                <w:rFonts w:ascii="Times New Roman" w:hAnsi="Times New Roman"/>
                <w:b/>
                <w:sz w:val="20"/>
              </w:rPr>
              <w:t>Sous-classes traitées</w:t>
            </w:r>
          </w:p>
        </w:tc>
        <w:tc>
          <w:tcPr>
            <w:tcW w:type="dxa" w:w="1662"/>
            <w:shd w:val="clear" w:color="auto" w:fill="F2F2F2"/>
          </w:tcPr>
          <w:p>
            <w:r>
              <w:rPr>
                <w:rFonts w:ascii="Times New Roman" w:hAnsi="Times New Roman"/>
                <w:b/>
                <w:sz w:val="20"/>
              </w:rPr>
              <w:t>DCI théoriques</w:t>
            </w:r>
          </w:p>
        </w:tc>
        <w:tc>
          <w:tcPr>
            <w:tcW w:type="dxa" w:w="1662"/>
            <w:shd w:val="clear" w:color="auto" w:fill="F2F2F2"/>
          </w:tcPr>
          <w:p>
            <w:r>
              <w:rPr>
                <w:rFonts w:ascii="Times New Roman" w:hAnsi="Times New Roman"/>
                <w:b/>
                <w:sz w:val="20"/>
              </w:rPr>
              <w:t>Spécialités</w:t>
            </w:r>
          </w:p>
        </w:tc>
      </w:tr>
      <w:tr>
        <w:tc>
          <w:tcPr>
            <w:tcW w:type="dxa" w:w="1662"/>
          </w:tcPr>
          <w:p>
            <w:r>
              <w:rPr>
                <w:rFonts w:ascii="Times New Roman" w:hAnsi="Times New Roman"/>
                <w:sz w:val="20"/>
              </w:rPr>
              <w:t>I</w:t>
            </w:r>
          </w:p>
        </w:tc>
        <w:tc>
          <w:tcPr>
            <w:tcW w:type="dxa" w:w="1662"/>
          </w:tcPr>
          <w:p>
            <w:r>
              <w:rPr>
                <w:rFonts w:ascii="Times New Roman" w:hAnsi="Times New Roman"/>
                <w:sz w:val="20"/>
              </w:rPr>
              <w:t>241</w:t>
            </w:r>
          </w:p>
        </w:tc>
        <w:tc>
          <w:tcPr>
            <w:tcW w:type="dxa" w:w="1662"/>
          </w:tcPr>
          <w:p>
            <w:r>
              <w:rPr>
                <w:rFonts w:ascii="Times New Roman" w:hAnsi="Times New Roman"/>
                <w:sz w:val="20"/>
              </w:rPr>
              <w:t>Ginkgo biloba (toutes variantes d'extraction)</w:t>
            </w:r>
          </w:p>
        </w:tc>
        <w:tc>
          <w:tcPr>
            <w:tcW w:type="dxa" w:w="1662"/>
          </w:tcPr>
          <w:p>
            <w:r>
              <w:rPr>
                <w:rFonts w:ascii="Times New Roman" w:hAnsi="Times New Roman"/>
                <w:sz w:val="20"/>
              </w:rPr>
              <w:t>4 (consolidées en 1)</w:t>
            </w:r>
          </w:p>
        </w:tc>
        <w:tc>
          <w:tcPr>
            <w:tcW w:type="dxa" w:w="1662"/>
          </w:tcPr>
          <w:p>
            <w:r>
              <w:rPr>
                <w:rFonts w:ascii="Times New Roman" w:hAnsi="Times New Roman"/>
                <w:sz w:val="20"/>
              </w:rPr>
              <w:t>6</w:t>
            </w:r>
          </w:p>
        </w:tc>
      </w:tr>
      <w:tr>
        <w:tc>
          <w:tcPr>
            <w:tcW w:type="dxa" w:w="1662"/>
          </w:tcPr>
          <w:p>
            <w:r>
              <w:rPr>
                <w:rFonts w:ascii="Times New Roman" w:hAnsi="Times New Roman"/>
                <w:sz w:val="20"/>
              </w:rPr>
              <w:t>I</w:t>
            </w:r>
          </w:p>
        </w:tc>
        <w:tc>
          <w:tcPr>
            <w:tcW w:type="dxa" w:w="1662"/>
          </w:tcPr>
          <w:p>
            <w:r>
              <w:rPr>
                <w:rFonts w:ascii="Times New Roman" w:hAnsi="Times New Roman"/>
                <w:sz w:val="20"/>
              </w:rPr>
              <w:t>242</w:t>
            </w:r>
          </w:p>
        </w:tc>
        <w:tc>
          <w:tcPr>
            <w:tcW w:type="dxa" w:w="1662"/>
          </w:tcPr>
          <w:p>
            <w:r>
              <w:rPr>
                <w:rFonts w:ascii="Times New Roman" w:hAnsi="Times New Roman"/>
                <w:sz w:val="20"/>
              </w:rPr>
              <w:t>Ginkgo + Heptaminol + Troxérutine (Ginkor Fort)</w:t>
            </w:r>
          </w:p>
        </w:tc>
        <w:tc>
          <w:tcPr>
            <w:tcW w:type="dxa" w:w="1662"/>
          </w:tcPr>
          <w:p>
            <w:r>
              <w:rPr>
                <w:rFonts w:ascii="Times New Roman" w:hAnsi="Times New Roman"/>
                <w:sz w:val="20"/>
              </w:rPr>
              <w:t>1</w:t>
            </w:r>
          </w:p>
        </w:tc>
        <w:tc>
          <w:tcPr>
            <w:tcW w:type="dxa" w:w="1662"/>
          </w:tcPr>
          <w:p>
            <w:r>
              <w:rPr>
                <w:rFonts w:ascii="Times New Roman" w:hAnsi="Times New Roman"/>
                <w:sz w:val="20"/>
              </w:rPr>
              <w:t>1</w:t>
            </w:r>
          </w:p>
        </w:tc>
      </w:tr>
      <w:tr>
        <w:tc>
          <w:tcPr>
            <w:tcW w:type="dxa" w:w="1662"/>
          </w:tcPr>
          <w:p>
            <w:r>
              <w:rPr>
                <w:rFonts w:ascii="Times New Roman" w:hAnsi="Times New Roman"/>
                <w:sz w:val="20"/>
              </w:rPr>
              <w:t>I</w:t>
            </w:r>
          </w:p>
        </w:tc>
        <w:tc>
          <w:tcPr>
            <w:tcW w:type="dxa" w:w="1662"/>
          </w:tcPr>
          <w:p>
            <w:r>
              <w:rPr>
                <w:rFonts w:ascii="Times New Roman" w:hAnsi="Times New Roman"/>
                <w:sz w:val="20"/>
              </w:rPr>
              <w:t>243</w:t>
            </w:r>
          </w:p>
        </w:tc>
        <w:tc>
          <w:tcPr>
            <w:tcW w:type="dxa" w:w="1662"/>
          </w:tcPr>
          <w:p>
            <w:r>
              <w:rPr>
                <w:rFonts w:ascii="Times New Roman" w:hAnsi="Times New Roman"/>
                <w:sz w:val="20"/>
              </w:rPr>
              <w:t>Serenoa repens + Pygeum africanum</w:t>
            </w:r>
          </w:p>
        </w:tc>
        <w:tc>
          <w:tcPr>
            <w:tcW w:type="dxa" w:w="1662"/>
          </w:tcPr>
          <w:p>
            <w:r>
              <w:rPr>
                <w:rFonts w:ascii="Times New Roman" w:hAnsi="Times New Roman"/>
                <w:sz w:val="20"/>
              </w:rPr>
              <w:t>4 (consolidées en 2)</w:t>
            </w:r>
          </w:p>
        </w:tc>
        <w:tc>
          <w:tcPr>
            <w:tcW w:type="dxa" w:w="1662"/>
          </w:tcPr>
          <w:p>
            <w:r>
              <w:rPr>
                <w:rFonts w:ascii="Times New Roman" w:hAnsi="Times New Roman"/>
                <w:sz w:val="20"/>
              </w:rPr>
              <w:t>9</w:t>
            </w:r>
          </w:p>
        </w:tc>
      </w:tr>
      <w:tr>
        <w:tc>
          <w:tcPr>
            <w:tcW w:type="dxa" w:w="1662"/>
          </w:tcPr>
          <w:p>
            <w:r>
              <w:rPr>
                <w:rFonts w:ascii="Times New Roman" w:hAnsi="Times New Roman"/>
                <w:sz w:val="20"/>
              </w:rPr>
              <w:t>II</w:t>
            </w:r>
          </w:p>
        </w:tc>
        <w:tc>
          <w:tcPr>
            <w:tcW w:type="dxa" w:w="1662"/>
          </w:tcPr>
          <w:p>
            <w:r>
              <w:rPr>
                <w:rFonts w:ascii="Times New Roman" w:hAnsi="Times New Roman"/>
                <w:sz w:val="20"/>
              </w:rPr>
              <w:t>244</w:t>
            </w:r>
          </w:p>
        </w:tc>
        <w:tc>
          <w:tcPr>
            <w:tcW w:type="dxa" w:w="1662"/>
          </w:tcPr>
          <w:p>
            <w:r>
              <w:rPr>
                <w:rFonts w:ascii="Times New Roman" w:hAnsi="Times New Roman"/>
                <w:sz w:val="20"/>
              </w:rPr>
              <w:t>Médecine nucléaire : Dichlorure de radium-223</w:t>
            </w:r>
          </w:p>
        </w:tc>
        <w:tc>
          <w:tcPr>
            <w:tcW w:type="dxa" w:w="1662"/>
          </w:tcPr>
          <w:p>
            <w:r>
              <w:rPr>
                <w:rFonts w:ascii="Times New Roman" w:hAnsi="Times New Roman"/>
                <w:sz w:val="20"/>
              </w:rPr>
              <w:t>1</w:t>
            </w:r>
          </w:p>
        </w:tc>
        <w:tc>
          <w:tcPr>
            <w:tcW w:type="dxa" w:w="1662"/>
          </w:tcPr>
          <w:p>
            <w:r>
              <w:rPr>
                <w:rFonts w:ascii="Times New Roman" w:hAnsi="Times New Roman"/>
                <w:sz w:val="20"/>
              </w:rPr>
              <w:t>1</w:t>
            </w:r>
          </w:p>
        </w:tc>
      </w:tr>
      <w:tr>
        <w:tc>
          <w:tcPr>
            <w:tcW w:type="dxa" w:w="1662"/>
          </w:tcPr>
          <w:p>
            <w:r>
              <w:rPr>
                <w:rFonts w:ascii="Times New Roman" w:hAnsi="Times New Roman"/>
                <w:sz w:val="20"/>
              </w:rPr>
              <w:t>III</w:t>
            </w:r>
          </w:p>
        </w:tc>
        <w:tc>
          <w:tcPr>
            <w:tcW w:type="dxa" w:w="1662"/>
          </w:tcPr>
          <w:p>
            <w:r>
              <w:rPr>
                <w:rFonts w:ascii="Times New Roman" w:hAnsi="Times New Roman"/>
                <w:sz w:val="20"/>
              </w:rPr>
              <w:t>245</w:t>
            </w:r>
          </w:p>
        </w:tc>
        <w:tc>
          <w:tcPr>
            <w:tcW w:type="dxa" w:w="1662"/>
          </w:tcPr>
          <w:p>
            <w:r>
              <w:rPr>
                <w:rFonts w:ascii="Times New Roman" w:hAnsi="Times New Roman"/>
                <w:sz w:val="20"/>
              </w:rPr>
              <w:t>Dispositifs médicaux antacides : Alginates</w:t>
            </w:r>
          </w:p>
        </w:tc>
        <w:tc>
          <w:tcPr>
            <w:tcW w:type="dxa" w:w="1662"/>
          </w:tcPr>
          <w:p>
            <w:r>
              <w:rPr>
                <w:rFonts w:ascii="Times New Roman" w:hAnsi="Times New Roman"/>
                <w:sz w:val="20"/>
              </w:rPr>
              <w:t>3 (consolidées en 2)</w:t>
            </w:r>
          </w:p>
        </w:tc>
        <w:tc>
          <w:tcPr>
            <w:tcW w:type="dxa" w:w="1662"/>
          </w:tcPr>
          <w:p>
            <w:r>
              <w:rPr>
                <w:rFonts w:ascii="Times New Roman" w:hAnsi="Times New Roman"/>
                <w:sz w:val="20"/>
              </w:rPr>
              <w:t>11</w:t>
            </w:r>
          </w:p>
        </w:tc>
      </w:tr>
      <w:tr>
        <w:tc>
          <w:tcPr>
            <w:tcW w:type="dxa" w:w="1662"/>
          </w:tcPr>
          <w:p>
            <w:r>
              <w:rPr>
                <w:rFonts w:ascii="Times New Roman" w:hAnsi="Times New Roman"/>
                <w:sz w:val="20"/>
              </w:rPr>
              <w:t>**Total**</w:t>
            </w:r>
          </w:p>
        </w:tc>
        <w:tc>
          <w:tcPr>
            <w:tcW w:type="dxa" w:w="1662"/>
          </w:tcPr>
          <w:p>
            <w:r>
              <w:rPr>
                <w:rFonts w:ascii="Times New Roman" w:hAnsi="Times New Roman"/>
                <w:sz w:val="20"/>
              </w:rPr>
            </w:r>
          </w:p>
        </w:tc>
        <w:tc>
          <w:tcPr>
            <w:tcW w:type="dxa" w:w="1662"/>
          </w:tcPr>
          <w:p>
            <w:r>
              <w:rPr>
                <w:rFonts w:ascii="Times New Roman" w:hAnsi="Times New Roman"/>
                <w:sz w:val="20"/>
              </w:rPr>
            </w:r>
          </w:p>
        </w:tc>
        <w:tc>
          <w:tcPr>
            <w:tcW w:type="dxa" w:w="1662"/>
          </w:tcPr>
          <w:p>
            <w:r>
              <w:rPr>
                <w:rFonts w:ascii="Times New Roman" w:hAnsi="Times New Roman"/>
                <w:sz w:val="20"/>
              </w:rPr>
              <w:t>**12 (7 monographies)**</w:t>
            </w:r>
          </w:p>
        </w:tc>
        <w:tc>
          <w:tcPr>
            <w:tcW w:type="dxa" w:w="1662"/>
          </w:tcPr>
          <w:p>
            <w:r>
              <w:rPr>
                <w:rFonts w:ascii="Times New Roman" w:hAnsi="Times New Roman"/>
                <w:sz w:val="20"/>
              </w:rPr>
              <w:t>**28**</w:t>
            </w:r>
          </w:p>
        </w:tc>
      </w:tr>
    </w:tbl>
    <w:p/>
    <w:p>
      <w:pPr>
        <w:pStyle w:val="Heading2"/>
      </w:pPr>
      <w:r>
        <w:t>Chapitre I — Phytothérapie : introduction et cadre réglementaire</w:t>
      </w:r>
    </w:p>
    <w:p>
      <w:r>
        <w:t>La phytothérapie moderne, ou phytomédecine, désigne l'usage thérapeutique rationnel de médicaments à base de plantes médicinales (herbal medicinal products) dont la qualité, la sécurité et l'efficacité sont évaluées selon les standards pharmaceutiques contemporains de standardisation, de titration et de contrôle qualité. Ce chapitre traite quatre DCI principales issues de trois plantes médicinales distinctes (</w:t>
      </w:r>
      <w:r>
        <w:rPr>
          <w:i/>
        </w:rPr>
        <w:t>Ginkgo biloba</w:t>
      </w:r>
      <w:r>
        <w:t xml:space="preserve">, </w:t>
      </w:r>
      <w:r>
        <w:rPr>
          <w:i/>
        </w:rPr>
        <w:t>Serenoa repens</w:t>
      </w:r>
      <w:r>
        <w:t xml:space="preserve">, </w:t>
      </w:r>
      <w:r>
        <w:rPr>
          <w:i/>
        </w:rPr>
        <w:t>Pygeum africanum</w:t>
      </w:r>
      <w:r>
        <w:t>), regroupant seize spécialités pharmaceutiques disponibles ou ayant été disponibles sur le marché algérien. Le cadre réglementaire européen (Directive 2004/24/CE) distingue les médicaments à base de plantes (full marketing authorization) des compléments alimentaires à base de plantes, soumis à des standards de preuve d'efficacité radicalement différents. En Algérie, les spécialités couvertes par ce chapitre ont toutes obtenu une autorisation de mise sur le marché (AMM) en tant que médicaments à part entière, ce qui impose une standardisation de l'extrait, une traçabilité des lots et une déclaration de pharmacovigilance.</w:t>
      </w:r>
    </w:p>
    <w:p>
      <w:r>
        <w:t xml:space="preserve">L'enseignement de la phytothérapie à l'étudiant en pharmacie algérien doit intégrer quatre dimensions complémentaires. </w:t>
      </w:r>
      <w:r>
        <w:rPr>
          <w:b/>
        </w:rPr>
        <w:t>Botanique et chimie</w:t>
      </w:r>
      <w:r>
        <w:t xml:space="preserve"> : la connaissance de la plante source (famille botanique, partie utilisée, composition chimique), des principes actifs responsables de l'effet pharmacologique (flavonoïdes, terpénolactones, phytostérols, lipido-stérique extrait), et des contaminants potentiels (métaux lourds, pesticides, microorganismes). </w:t>
      </w:r>
      <w:r>
        <w:rPr>
          <w:b/>
        </w:rPr>
        <w:t>Pharmacologie</w:t>
      </w:r>
      <w:r>
        <w:t xml:space="preserve"> : le mécanisme d'action moléculaire des extraits, leurs propriétés pharmacocinétiques (absorption, métabolisme hépatique via CYP3A4, demi-vie d'élimination), et leurs interactions médicamenteuses documentées (notamment l'interaction cliniquement majeure entre </w:t>
      </w:r>
      <w:r>
        <w:rPr>
          <w:i/>
        </w:rPr>
        <w:t>Ginkgo biloba</w:t>
      </w:r>
      <w:r>
        <w:t xml:space="preserve"> et les anticoagulants oraux). </w:t>
      </w:r>
      <w:r>
        <w:rPr>
          <w:b/>
        </w:rPr>
        <w:t>Clinique</w:t>
      </w:r>
      <w:r>
        <w:t xml:space="preserve"> : les indications validées par les sociétés savantes (claudication intermittente EMA HMPC, HBP modérée EAU Guidelines), la durée minimale de traitement (3 à 6 mois pour le </w:t>
      </w:r>
      <w:r>
        <w:rPr>
          <w:i/>
        </w:rPr>
        <w:t>Ginkgo biloba</w:t>
      </w:r>
      <w:r>
        <w:t xml:space="preserve">, 6 mois pour le </w:t>
      </w:r>
      <w:r>
        <w:rPr>
          <w:i/>
        </w:rPr>
        <w:t>Serenoa repens</w:t>
      </w:r>
      <w:r>
        <w:t xml:space="preserve">), et les critères d'évaluation de l'efficacité (test de marche à 6 minutes pour la claudication, IPSS pour l'HBP). </w:t>
      </w:r>
      <w:r>
        <w:rPr>
          <w:b/>
        </w:rPr>
        <w:t>Conseil pharmaceutique</w:t>
      </w:r>
      <w:r>
        <w:t xml:space="preserve"> : les précautions d'emploi au comptoir, la surveillance des effets indésirables (saignements sous Ginkgo, troubles digestifs sous Serenoa), la limitation de la prescription aux spécialités standardisées et la non-substitution entre extraits de qualité différente.</w:t>
      </w:r>
    </w:p>
    <w:p>
      <w:pPr>
        <w:pStyle w:val="Heading2"/>
      </w:pPr>
      <w:r>
        <w:t>Chapitre II — Médecine nucléaire thérapeutique : introduction et cadre réglementaire</w:t>
      </w:r>
    </w:p>
    <w:p>
      <w:r>
        <w:t>La médecine nucléaire thérapeutique désigne l'usage clinique de radio-isotopes émetteurs de rayonnements ionisants à visée thérapeutique, distincte de la médecine nucléaire diagnostique (scintigraphie, TEP, scintigraphie osseuse diagnostique au Tc-99m) qui utilise des traceurs à dose radioactive faible. La thérapeutique nucléaire repose sur le concept de ciblage moléculaire de la radioactivité : un radio-isotopes émetteur (iode-131, yttrium-90, lutécium-177, radium-223) est couplé à un vecteur moléculaire (iode pour la thyroïde, anticorps monoclonal pour les lymphomes, mimétique du calcium pour l'os) qui délivre le rayonnement à proximité immédiate des cellules cibles (thyrocytes, cellules tumorales hématopoïétiques, ostéoblastes métastatiques). Ce chapitre traite une DCI unique, le dichlorure de radium-223 (Xofigo, Bayer Pharma AG), qui constitue le premier représentant de la classe des émetteurs alpha thérapeutiques commercialisé en Algérie.</w:t>
      </w:r>
    </w:p>
    <w:p>
      <w:r>
        <w:t xml:space="preserve">L'enseignement de la médecine nucléaire thérapeutique doit intégrer quatre dimensions complémentaires. </w:t>
      </w:r>
      <w:r>
        <w:rPr>
          <w:b/>
        </w:rPr>
        <w:t>Physique nucléaire</w:t>
      </w:r>
      <w:r>
        <w:t xml:space="preserve"> : les caractéristiques du radio-isotope (type de rayonnement émis : alpha, bêta, gamma ; demi-vie physique ; énergie émise ; parcours tissulaire). Le radium-223 est un émetteur alpha (demi-vie 11,4 jours, énergie 5,0-7,5 MeV, parcours tissulaire &lt; 100 µm) qui présente un rapport efficacité/toxicité très favorable par rapport aux émetteurs bêta historiques (strontium-89, samarium-153). </w:t>
      </w:r>
      <w:r>
        <w:rPr>
          <w:b/>
        </w:rPr>
        <w:t>Pharmacologie</w:t>
      </w:r>
      <w:r>
        <w:t xml:space="preserve"> : le mimétisme chimique du radium-223 avec le calcium lui permet de se déposer électivement au contact des zones de remodelage osseux accru que constituent les métastases ostéoblastiques du cancer de prostate. L'irradiation alpha à haut transfert linéique d'énergie (LET ~80 keV/µm) induit des cassures double-brin de l'ADN tumorale, létales pour les cellules ostéoblastiques métastatiques. </w:t>
      </w:r>
      <w:r>
        <w:rPr>
          <w:b/>
        </w:rPr>
        <w:t>Clinique</w:t>
      </w:r>
      <w:r>
        <w:t xml:space="preserve"> : l'indication stricte du radium-223 (cancer de prostate métastatique osseux symptomatique SANS métastases viscérales, en progression après docétaxel ou chez le patient nouveau castration-résistant), la posologie (55 kBq/kg IV toutes les 4 semaines, 6 injections), les effets indésirables (myélosuppression, diarrhée, nausées) et les contre-indications absolues (chimiothérapie concomitante). </w:t>
      </w:r>
      <w:r>
        <w:rPr>
          <w:b/>
        </w:rPr>
        <w:t>Radioprotection</w:t>
      </w:r>
      <w:r>
        <w:t xml:space="preserve"> : les règles de manipulation par personnel autorisé en service de médecine nucléaire agréé, l'isolement relatif du patient, l'élimination biologique par urines et selles, et les conseils aux patients et à l'entourage.</w:t>
      </w:r>
    </w:p>
    <w:p>
      <w:pPr>
        <w:pStyle w:val="Heading2"/>
      </w:pPr>
      <w:r>
        <w:t>Chapitre III — Dispositifs médicaux antacides : introduction et cadre réglementaire</w:t>
      </w:r>
    </w:p>
    <w:p>
      <w:r>
        <w:t xml:space="preserve">Les dispositifs médicaux antacides de la classe des alginates constituent une classe pharmacologique particulière à l'interface entre médicament et dispositif médical. L'alginate de sodium (E401, polysaccharide naturel extrait des algues brunes </w:t>
      </w:r>
      <w:r>
        <w:rPr>
          <w:i/>
        </w:rPr>
        <w:t>Laminaria digitata</w:t>
      </w:r>
      <w:r>
        <w:t xml:space="preserve">, </w:t>
      </w:r>
      <w:r>
        <w:rPr>
          <w:i/>
        </w:rPr>
        <w:t>Laminaria hyperborea</w:t>
      </w:r>
      <w:r>
        <w:t xml:space="preserve">, </w:t>
      </w:r>
      <w:r>
        <w:rPr>
          <w:i/>
        </w:rPr>
        <w:t>Macrocystis pyrifera</w:t>
      </w:r>
      <w:r>
        <w:t>), associé au bicarbonate de sodium, forme en milieu acide gastrique un gel flottant (raft) à la surface du contenu gastrique. Cette barrière physique neutralise le reflux acide gastro-œsophagien par un mécanisme purement mécanique et chimique, indépendant de toute absorption systémique significative. La classe des alginates représente le traitement de première intention du reflux gastro-œsophagien (RGO) symptomatique non compliqué, en particulier chez la femme enceinte (autorisation CRAT jusqu'au terme), l'enfant et le sujet âgé polymédicamenté. Trois DCI théoriques composent ce chapitre, consolidées en deux monographies distinctes : l'alginate double (alginate de sodium + bicarbonate de sodium) et l'alginate triple (alginate de sodium + bicarbonate de sodium + carbonate de calcium), cette dernière formulation apportant un effet tampon supplémentaire et une consistance de gel renforcée.</w:t>
      </w:r>
    </w:p>
    <w:p>
      <w:r>
        <w:t xml:space="preserve">L'enseignement des alginates doit intégrer quatre dimensions complémentaires. </w:t>
      </w:r>
      <w:r>
        <w:rPr>
          <w:b/>
        </w:rPr>
        <w:t>Chimie galénique</w:t>
      </w:r>
      <w:r>
        <w:t xml:space="preserve"> : le mécanisme de formation du raft (précipitation de l'alginate en milieu acide, libération de CO2 par le bicarbonate qui fait flotter le gel à la surface du contenu gastrique), l'influence du pH sur la viscosité du gel, et la pharmacocinétique minimale (absorption systémique négligeable pour l'alginate, absorption partielle du bicarbonate et du calcium). </w:t>
      </w:r>
      <w:r>
        <w:rPr>
          <w:b/>
        </w:rPr>
        <w:t>Clinique</w:t>
      </w:r>
      <w:r>
        <w:t xml:space="preserve"> : les indications validées (pyrosis isolé, reflux acide, RGO symptomatique non compliqué), la supériorité des IPP pour l'œsophagite sévère (grade C et D de Los Angeles), la place des alginates dans la stratégie thérapeutique du RGO en Algérie (première intention, en association avec les IPP ou en relais). </w:t>
      </w:r>
      <w:r>
        <w:rPr>
          <w:b/>
        </w:rPr>
        <w:t>Posologie et conseil</w:t>
      </w:r>
      <w:r>
        <w:t xml:space="preserve"> : la prise après les repas et au coucher (pour profiter de la couche protectrice nocturne), la séparation de 2 heures avec les autres médicaments oraux (diminution de leur absorption), le respect de la dose maximale quotidienne (4 prises/jour). </w:t>
      </w:r>
      <w:r>
        <w:rPr>
          <w:b/>
        </w:rPr>
        <w:t>Pharmacovigilance et précautions</w:t>
      </w:r>
      <w:r>
        <w:t xml:space="preserve"> : la surveillance de la calcémie en cas d'usage prolongé du carbonate de calcium (risque de syndrome lait-alcalin), l'adaptation posologique chez l'insuffisant rénal (risque d'alcalose métabolique), et la prévention de la constipation (effet osmotique du calcium).</w:t>
      </w:r>
    </w:p>
    <w:p>
      <w:pPr>
        <w:pStyle w:val="Heading2"/>
      </w:pPr>
      <w:r>
        <w:t>Conclusion de l'introduction</w:t>
      </w:r>
    </w:p>
    <w:p>
      <w:r>
        <w:t>Le fascicule XXIV, en traitant simultanément trois domaines thérapeutiques a priori hétérogènes, vise à apporter à l'étudiant en pharmacie et au pharmacien d'officine algérien un socle de connaissances cohérent et opérationnel pour la prise en charge pharmaceutique des patients atteints de pathologies vasculaires chroniques (artériopathie des membres inférieurs, insuffisance veineuse, troubles cognitifs du sujet âgé), de troubles mictionnels d'origine prostatique (HBP stade modéré), de cancer de prostate métastatique osseux en phase palliative, et de reflux gastro-œsophagien symptomatique. La consolidation des 12 DCI théoriques en 7 monographies distinctes permet une présentation pédagogique claire, sans renoncer à l'exhaustivité du tableau des spécialités disponibles en Algérie (28 spécialités au total, incluant les actifs, les non renouvelables et les retraits). Les chapitres suivants développent en détail les caractéristiques pharmacologiques, cliniques et réglementaires de chacune de ces 7 monographies, en intégrant les recommandations internationales les plus récentes (EMA HMPC, EANM, EAU, NCCN, ACG, SFED, CRAT) et en proposant des tableaux comparatifs de sous-classe pour faciliter l'arbitrage thérapeutique au comptoir.</w:t>
      </w:r>
    </w:p>
    <w:p>
      <w:pPr>
        <w:pStyle w:val="Heading1"/>
      </w:pPr>
      <w:r>
        <w:t>Chapitre 241 — Phytothérapie : Ginkgo biloba (extrait standardisé EGb 761 et variantes)</w:t>
      </w:r>
    </w:p>
    <w:p>
      <w:pPr>
        <w:pStyle w:val="Heading2"/>
      </w:pPr>
      <w:r>
        <w:t>Fascicule XXIV — Phytothérapie, Médecine Nucléaire &amp; Dispositifs Médicaux</w:t>
      </w:r>
    </w:p>
    <w:p>
      <w:pPr>
        <w:pStyle w:val="Heading2"/>
      </w:pPr>
      <w:r>
        <w:t>241.0 Introduction au chapitre 241 — Ginkgo biloba</w:t>
      </w:r>
    </w:p>
    <w:p>
      <w:r>
        <w:t xml:space="preserve">Le </w:t>
      </w:r>
      <w:r>
        <w:rPr>
          <w:i/>
        </w:rPr>
        <w:t>Ginkgo biloba</w:t>
      </w:r>
      <w:r>
        <w:t xml:space="preserve"> L., unique représentant survivant de la famille des Ginkgoacées (gymnosperme apparu il y a 270 millions d'années selon les données paléobotaniques), constitue l'une des plantes médicinales les plus prescrites au monde et l'une des plus étudiées sur le plan pharmacologique. Arbre sacré des temples bouddhistes et taoïstes d'Extrême-Orient, mentionné dans le </w:t>
      </w:r>
      <w:r>
        <w:rPr>
          <w:i/>
        </w:rPr>
        <w:t>Shennong Bencao Jing</w:t>
      </w:r>
      <w:r>
        <w:t xml:space="preserve"> ( Classique de la matière médicale du Laboureur Céleste, ~2800 av. J.-C.) pour ses propriétés respiratoires, le </w:t>
      </w:r>
      <w:r>
        <w:rPr>
          <w:i/>
        </w:rPr>
        <w:t>Ginkgo biloba</w:t>
      </w:r>
      <w:r>
        <w:t xml:space="preserve"> a connu son essor thérapeutique moderne à partir des années 1960 grâce aux travaux du Dr. Willmar Schwabe GmbH (Karlsruhe, Allemagne) qui ont abouti à la standardisation de l'extrait sec EGb 761 (Extrait de Ginkgo biloba, batch 761), titré à 24 % d'hétérosides de ginkgo (flavonoïdes) et 6 % de terpénolactones (ginkgolides A, B, C, J et bilobalide), dépourvu d'acide ginkgolique toxique. Cet extrait standardisé constitue la référence pharmacologique internationale pour la prescription de </w:t>
      </w:r>
      <w:r>
        <w:rPr>
          <w:i/>
        </w:rPr>
        <w:t>Ginkgo biloba</w:t>
      </w:r>
      <w:r>
        <w:t xml:space="preserve"> et est commercialisé sous de nombreuses spécialités mondiales (Tanakan, IPSEN ; Tebonin, Schwabe ; Rökan, Intersan ; Ginkgo Biloba Extract, Hexal).</w:t>
      </w:r>
    </w:p>
    <w:p>
      <w:r>
        <w:t xml:space="preserve">En Algérie, le </w:t>
      </w:r>
      <w:r>
        <w:rPr>
          <w:i/>
        </w:rPr>
        <w:t>Ginkgo biloba</w:t>
      </w:r>
      <w:r>
        <w:t xml:space="preserve"> est principalement prescrit dans deux indications validées par l'EMA HMPC (Committee on Herbal Medicinal Products) : la claudication intermittente de l'artériopathie chronique oblitérante des membres inférieurs de stade II de Leriche-Fontaine (indication AMM « bien établie »), et les troubles cognitifs du sujet âgé, en particulier la démence dégénérative légère à modérée de type Alzheimer et les troubles cognitifs vasculaires (indication AMM « usage traditionnel »). L'usage est également répandu, quoique moins bien documenté, dans les acouphènes vasculaires, les vertiges d'origine vasculaire, la rétinopathie diabétique et la maculopathie dégénérative. La prescription se fait pour des durées prolongées (3 à 6 mois minimum, souvent 6 à 12 mois), avec une évaluation de l'efficacité par test de marche à 6 minutes pour la claudication et par échelle cognitive (MMSE, ADAS-Cog) pour les troubles cognitifs. Le marché algérien du </w:t>
      </w:r>
      <w:r>
        <w:rPr>
          <w:i/>
        </w:rPr>
        <w:t>Ginkgo biloba</w:t>
      </w:r>
      <w:r>
        <w:t xml:space="preserve"> est dominé par les spécialités Tanakan (Laboratoires IPSEN N.V.) en solution buvable et comprimé pelliculé, Ginkoba (LAD Pharma), Isotanak (ISOPHARM ALGERIE), Gingéral et Tebokan Fort (retirés), toutes disponibles à la concentration standardisée de 40 mg/mL en solution buvable ou 40 mg en comprimé pelliculé.</w:t>
      </w:r>
    </w:p>
    <w:p>
      <w:r>
        <w:t>Ce chapitre consolide en une seule monographie les 4 dénominations théoriques distinctes (Ginkgo biloba, extrait standardisé titré à 24 %/6 %, Gingko avec variante orthographique, Ginkgo extrait quantifié) qui correspondent en réalité à une seule et même plante médicinale standardisée. Le tableau exhaustif des spécialités disponibles en Algérie regroupe ainsi 6 spécialités distinctes (4 actives, 2 retirées) qui couvrent l'ensemble des formes galéniques disponibles (solution buvable 40 mg/mL, comprimé pelliculé 40 mg) et des conditionnements (flacons 15 mL, 30 mL, 50 mL, 125 mL ; boîtes de 30 comprimés). La structure standardisée en douze sous-sections permet de couvrir l'ensemble des aspects pharmacologiques, cliniques et réglementaires nécessaires à la bonne prescription et au bon conseil pharmaceutique au comptoir.</w:t>
      </w:r>
    </w:p>
    <w:p>
      <w:pPr>
        <w:pStyle w:val="Heading2"/>
      </w:pPr>
      <w:r>
        <w:t>241.1 Liste des catégories thérapeutiques (classification ATC OMS)</w:t>
      </w:r>
    </w:p>
    <w:p>
      <w:r>
        <w:t xml:space="preserve">Le </w:t>
      </w:r>
      <w:r>
        <w:rPr>
          <w:i/>
        </w:rPr>
        <w:t>Ginkgo biloba</w:t>
      </w:r>
      <w:r>
        <w:t xml:space="preserve"> extrait standardisé est classé dans la classification ATC (Anatomical Therapeutic Chemical classification) de l'OMS sous le code </w:t>
      </w:r>
      <w:r>
        <w:rPr>
          <w:b/>
        </w:rPr>
        <w:t>N06DX02</w:t>
      </w:r>
      <w:r>
        <w:t>, qui se décompose comme suit :</w:t>
      </w:r>
    </w:p>
    <w:p>
      <w:pPr>
        <w:pStyle w:val="ListBullet"/>
      </w:pPr>
      <w:r/>
      <w:r>
        <w:rPr>
          <w:b/>
        </w:rPr>
        <w:t>N</w:t>
      </w:r>
      <w:r>
        <w:t xml:space="preserve"> : Système nerveux (niveau anatomique principal)</w:t>
      </w:r>
    </w:p>
    <w:p>
      <w:pPr>
        <w:pStyle w:val="ListBullet"/>
      </w:pPr>
      <w:r/>
      <w:r>
        <w:rPr>
          <w:b/>
        </w:rPr>
        <w:t>N06</w:t>
      </w:r>
      <w:r>
        <w:t xml:space="preserve"> : Psychoanaleptiques (niveau thérapeutique principal)</w:t>
      </w:r>
    </w:p>
    <w:p>
      <w:pPr>
        <w:pStyle w:val="ListBullet"/>
      </w:pPr>
      <w:r/>
      <w:r>
        <w:rPr>
          <w:b/>
        </w:rPr>
        <w:t>N06D</w:t>
      </w:r>
      <w:r>
        <w:t xml:space="preserve"> : Médicaments anti-démence (niveau pharmacologique)</w:t>
      </w:r>
    </w:p>
    <w:p>
      <w:pPr>
        <w:pStyle w:val="ListBullet"/>
      </w:pPr>
      <w:r/>
      <w:r>
        <w:rPr>
          <w:b/>
        </w:rPr>
        <w:t>N06DX</w:t>
      </w:r>
      <w:r>
        <w:t xml:space="preserve"> : Autres médicaments anti-démence (niveau sous-classe)</w:t>
      </w:r>
    </w:p>
    <w:p>
      <w:pPr>
        <w:pStyle w:val="ListBullet"/>
      </w:pPr>
      <w:r/>
      <w:r>
        <w:rPr>
          <w:b/>
        </w:rPr>
        <w:t>N06DX02</w:t>
      </w:r>
      <w:r>
        <w:t xml:space="preserve"> : Extrait de *Ginkgo biloba* (niveau substance)</w:t>
      </w:r>
    </w:p>
    <w:p>
      <w:r>
        <w:t xml:space="preserve">Cette classification ATC reflète l'usage principal reconnu par l'OMS et l'EMA pour l'extrait standardisé de </w:t>
      </w:r>
      <w:r>
        <w:rPr>
          <w:i/>
        </w:rPr>
        <w:t>Ginkgo biloba</w:t>
      </w:r>
      <w:r>
        <w:t xml:space="preserve">, à savoir le traitement des troubles cognitifs du sujet âgé (démence dégénérative et vasculaire). Cependant, l'usage clinique réel dépasse largement ce cadre, en particulier dans l'indication vasculaire périphérique (claudication intermittente) qui correspondrait techniquement au code ATC C04 (vasodilatateurs périphériques), mais qui n'a pas fait l'objet d'une classification spécifique pour l'extrait de </w:t>
      </w:r>
      <w:r>
        <w:rPr>
          <w:i/>
        </w:rPr>
        <w:t>Ginkgo biloba</w:t>
      </w:r>
      <w:r>
        <w:t xml:space="preserve"> dans la nomenclature ATC. Le statut réglementaire algérien du </w:t>
      </w:r>
      <w:r>
        <w:rPr>
          <w:i/>
        </w:rPr>
        <w:t>Ginkgo biloba</w:t>
      </w:r>
      <w:r>
        <w:t xml:space="preserve"> varie selon les spécialités : Tanakan (solution buvable et comprimé pelliculé) est classé hors liste (prescription médicale non obligatoire mais recommandée), Ginkoba (LAD Pharma) est également hors liste, Isotanak (ISOPHARM ALGERIE) est hors liste. Aucune spécialité de </w:t>
      </w:r>
      <w:r>
        <w:rPr>
          <w:i/>
        </w:rPr>
        <w:t>Ginkgo biloba</w:t>
      </w:r>
      <w:r>
        <w:t xml:space="preserve"> n'est classée sur la Liste I ou Liste II des substances vénéneuses en Algérie, ce qui signifie qu'elles sont théoriquement délivrables sans ordonnance. Toutefois, en pratique clinique courante, la prescription médicale est systématiquement requise par les sociétés savantes algériennes de gériatrie et de neurologie vasculaire pour les indications cognitives, et par les sociétés de médecine vasculaire pour l'artériopathie des membres inférieurs, en raison de la durée prolongée du traitement (3 à 6 mois minimum), de la nécessité d'évaluer l'efficacité par tests objectifs, et du risque hémorragique inhérent aux interactions avec les anticoagulants et antiagrégants.</w:t>
      </w:r>
    </w:p>
    <w:p>
      <w:pPr>
        <w:pStyle w:val="Heading2"/>
      </w:pPr>
      <w:r>
        <w:t>241.2 Médicaments disponibles en Algérie</w:t>
      </w:r>
    </w:p>
    <w:p>
      <w:r>
        <w:t xml:space="preserve">Le tableau ci-dessous recense l'ensemble des spécialités pharmaceutiques de </w:t>
      </w:r>
      <w:r>
        <w:rPr>
          <w:i/>
        </w:rPr>
        <w:t>Ginkgo biloba</w:t>
      </w:r>
      <w:r>
        <w:t xml:space="preserve"> disponibles ou ayant été disponibles sur le marché algérien, à la date de la nomenclature Avril 2026. Il inclut les spécialités actives (commercialisées), les spécialités non renouvelables (commercialisation suspendue transitoirement) et les spécialités définitivement retirées du marché algérien.</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GINKOBA</w:t>
            </w:r>
          </w:p>
        </w:tc>
        <w:tc>
          <w:tcPr>
            <w:tcW w:type="dxa" w:w="1385"/>
          </w:tcPr>
          <w:p>
            <w:r>
              <w:rPr>
                <w:rFonts w:ascii="Times New Roman" w:hAnsi="Times New Roman"/>
                <w:sz w:val="20"/>
              </w:rPr>
              <w:t>LAD PHARMA</w:t>
            </w:r>
          </w:p>
        </w:tc>
        <w:tc>
          <w:tcPr>
            <w:tcW w:type="dxa" w:w="1385"/>
          </w:tcPr>
          <w:p>
            <w:r>
              <w:rPr>
                <w:rFonts w:ascii="Times New Roman" w:hAnsi="Times New Roman"/>
                <w:sz w:val="20"/>
              </w:rPr>
              <w:t>Solution buvable, 40 mg/mL</w:t>
            </w:r>
          </w:p>
        </w:tc>
        <w:tc>
          <w:tcPr>
            <w:tcW w:type="dxa" w:w="1385"/>
          </w:tcPr>
          <w:p>
            <w:r>
              <w:rPr>
                <w:rFonts w:ascii="Times New Roman" w:hAnsi="Times New Roman"/>
                <w:sz w:val="20"/>
              </w:rPr>
              <w:t>Flacon de 15 mL</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ISOTANAK</w:t>
            </w:r>
          </w:p>
        </w:tc>
        <w:tc>
          <w:tcPr>
            <w:tcW w:type="dxa" w:w="1385"/>
          </w:tcPr>
          <w:p>
            <w:r>
              <w:rPr>
                <w:rFonts w:ascii="Times New Roman" w:hAnsi="Times New Roman"/>
                <w:sz w:val="20"/>
              </w:rPr>
              <w:t>ISOPHARM ALGERIE</w:t>
            </w:r>
          </w:p>
        </w:tc>
        <w:tc>
          <w:tcPr>
            <w:tcW w:type="dxa" w:w="1385"/>
          </w:tcPr>
          <w:p>
            <w:r>
              <w:rPr>
                <w:rFonts w:ascii="Times New Roman" w:hAnsi="Times New Roman"/>
                <w:sz w:val="20"/>
              </w:rPr>
              <w:t>Solution buvable, 40 mg/mL</w:t>
            </w:r>
          </w:p>
        </w:tc>
        <w:tc>
          <w:tcPr>
            <w:tcW w:type="dxa" w:w="1385"/>
          </w:tcPr>
          <w:p>
            <w:r>
              <w:rPr>
                <w:rFonts w:ascii="Times New Roman" w:hAnsi="Times New Roman"/>
                <w:sz w:val="20"/>
              </w:rPr>
              <w:t>Flacon de 50 mL avec seringue graduée</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TANAKAN (solution buvable)</w:t>
            </w:r>
          </w:p>
        </w:tc>
        <w:tc>
          <w:tcPr>
            <w:tcW w:type="dxa" w:w="1385"/>
          </w:tcPr>
          <w:p>
            <w:r>
              <w:rPr>
                <w:rFonts w:ascii="Times New Roman" w:hAnsi="Times New Roman"/>
                <w:sz w:val="20"/>
              </w:rPr>
              <w:t>LABORATOIRE IPSEN N.V</w:t>
            </w:r>
          </w:p>
        </w:tc>
        <w:tc>
          <w:tcPr>
            <w:tcW w:type="dxa" w:w="1385"/>
          </w:tcPr>
          <w:p>
            <w:r>
              <w:rPr>
                <w:rFonts w:ascii="Times New Roman" w:hAnsi="Times New Roman"/>
                <w:sz w:val="20"/>
              </w:rPr>
              <w:t>Solution buvable, 40 mg/mL (extrait titré à 24 % d'hétérosides de ginkgo et 6 % de ginkgolides-bilobalide)</w:t>
            </w:r>
          </w:p>
        </w:tc>
        <w:tc>
          <w:tcPr>
            <w:tcW w:type="dxa" w:w="1385"/>
          </w:tcPr>
          <w:p>
            <w:r>
              <w:rPr>
                <w:rFonts w:ascii="Times New Roman" w:hAnsi="Times New Roman"/>
                <w:sz w:val="20"/>
              </w:rPr>
              <w:t>Flacon de 30 mL + pipette graduée</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TANAKAN (comprimé pelliculé)</w:t>
            </w:r>
          </w:p>
        </w:tc>
        <w:tc>
          <w:tcPr>
            <w:tcW w:type="dxa" w:w="1385"/>
          </w:tcPr>
          <w:p>
            <w:r>
              <w:rPr>
                <w:rFonts w:ascii="Times New Roman" w:hAnsi="Times New Roman"/>
                <w:sz w:val="20"/>
              </w:rPr>
              <w:t>LABORATOIRE IPSEN N.V</w:t>
            </w:r>
          </w:p>
        </w:tc>
        <w:tc>
          <w:tcPr>
            <w:tcW w:type="dxa" w:w="1385"/>
          </w:tcPr>
          <w:p>
            <w:r>
              <w:rPr>
                <w:rFonts w:ascii="Times New Roman" w:hAnsi="Times New Roman"/>
                <w:sz w:val="20"/>
              </w:rPr>
              <w:t>Comprimé pelliculé, 40 mg (extrait quantifié)</w:t>
            </w:r>
          </w:p>
        </w:tc>
        <w:tc>
          <w:tcPr>
            <w:tcW w:type="dxa" w:w="1385"/>
          </w:tcPr>
          <w:p>
            <w:r>
              <w:rPr>
                <w:rFonts w:ascii="Times New Roman" w:hAnsi="Times New Roman"/>
                <w:sz w:val="20"/>
              </w:rPr>
              <w:t>Boîte de 30</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GINGERAL</w:t>
            </w:r>
          </w:p>
        </w:tc>
        <w:tc>
          <w:tcPr>
            <w:tcW w:type="dxa" w:w="1385"/>
          </w:tcPr>
          <w:p>
            <w:r>
              <w:rPr>
                <w:rFonts w:ascii="Times New Roman" w:hAnsi="Times New Roman"/>
                <w:sz w:val="20"/>
              </w:rPr>
              <w:t>KRG PHARMA</w:t>
            </w:r>
          </w:p>
        </w:tc>
        <w:tc>
          <w:tcPr>
            <w:tcW w:type="dxa" w:w="1385"/>
          </w:tcPr>
          <w:p>
            <w:r>
              <w:rPr>
                <w:rFonts w:ascii="Times New Roman" w:hAnsi="Times New Roman"/>
                <w:sz w:val="20"/>
              </w:rPr>
              <w:t>Solution buvable, 40 mg/mL</w:t>
            </w:r>
          </w:p>
        </w:tc>
        <w:tc>
          <w:tcPr>
            <w:tcW w:type="dxa" w:w="1385"/>
          </w:tcPr>
          <w:p>
            <w:r>
              <w:rPr>
                <w:rFonts w:ascii="Times New Roman" w:hAnsi="Times New Roman"/>
                <w:sz w:val="20"/>
              </w:rPr>
              <w:t>Flacon de 125 mL</w:t>
            </w:r>
          </w:p>
        </w:tc>
        <w:tc>
          <w:tcPr>
            <w:tcW w:type="dxa" w:w="1385"/>
          </w:tcPr>
          <w:p>
            <w:r>
              <w:rPr>
                <w:rFonts w:ascii="Times New Roman" w:hAnsi="Times New Roman"/>
                <w:sz w:val="20"/>
              </w:rPr>
              <w:t>Hors liste</w:t>
            </w:r>
          </w:p>
        </w:tc>
        <w:tc>
          <w:tcPr>
            <w:tcW w:type="dxa" w:w="1385"/>
          </w:tcPr>
          <w:p>
            <w:r>
              <w:rPr>
                <w:rFonts w:ascii="Times New Roman" w:hAnsi="Times New Roman"/>
                <w:sz w:val="20"/>
              </w:rPr>
              <w:t>RETRAIT</w:t>
            </w:r>
          </w:p>
        </w:tc>
      </w:tr>
      <w:tr>
        <w:tc>
          <w:tcPr>
            <w:tcW w:type="dxa" w:w="1385"/>
          </w:tcPr>
          <w:p>
            <w:r>
              <w:rPr>
                <w:rFonts w:ascii="Times New Roman" w:hAnsi="Times New Roman"/>
                <w:sz w:val="20"/>
              </w:rPr>
              <w:t>TEBOKAN FORT</w:t>
            </w:r>
          </w:p>
        </w:tc>
        <w:tc>
          <w:tcPr>
            <w:tcW w:type="dxa" w:w="1385"/>
          </w:tcPr>
          <w:p>
            <w:r>
              <w:rPr>
                <w:rFonts w:ascii="Times New Roman" w:hAnsi="Times New Roman"/>
                <w:sz w:val="20"/>
              </w:rPr>
              <w:t>CUKUROVA DIS TICARET AS</w:t>
            </w:r>
          </w:p>
        </w:tc>
        <w:tc>
          <w:tcPr>
            <w:tcW w:type="dxa" w:w="1385"/>
          </w:tcPr>
          <w:p>
            <w:r>
              <w:rPr>
                <w:rFonts w:ascii="Times New Roman" w:hAnsi="Times New Roman"/>
                <w:sz w:val="20"/>
              </w:rPr>
              <w:t>Solution buvable, 40 mg/mL</w:t>
            </w:r>
          </w:p>
        </w:tc>
        <w:tc>
          <w:tcPr>
            <w:tcW w:type="dxa" w:w="1385"/>
          </w:tcPr>
          <w:p>
            <w:r>
              <w:rPr>
                <w:rFonts w:ascii="Times New Roman" w:hAnsi="Times New Roman"/>
                <w:sz w:val="20"/>
              </w:rPr>
              <w:t>Flacon de 50 mL</w:t>
            </w:r>
          </w:p>
        </w:tc>
        <w:tc>
          <w:tcPr>
            <w:tcW w:type="dxa" w:w="1385"/>
          </w:tcPr>
          <w:p>
            <w:r>
              <w:rPr>
                <w:rFonts w:ascii="Times New Roman" w:hAnsi="Times New Roman"/>
                <w:sz w:val="20"/>
              </w:rPr>
              <w:t>Hors liste</w:t>
            </w:r>
          </w:p>
        </w:tc>
        <w:tc>
          <w:tcPr>
            <w:tcW w:type="dxa" w:w="1385"/>
          </w:tcPr>
          <w:p>
            <w:r>
              <w:rPr>
                <w:rFonts w:ascii="Times New Roman" w:hAnsi="Times New Roman"/>
                <w:sz w:val="20"/>
              </w:rPr>
              <w:t>RETRAIT</w:t>
            </w:r>
          </w:p>
        </w:tc>
      </w:tr>
    </w:tbl>
    <w:p/>
    <w:p>
      <w:r/>
      <w:r>
        <w:rPr>
          <w:b/>
        </w:rPr>
        <w:t>Remarques sur la consolidation des DCI</w:t>
      </w:r>
      <w:r>
        <w:t xml:space="preserve"> : Les quatre libellés de DCI théoriques du fichier source (`GINKGO BILOBA`, `GINGKO (GINKGO BILOBA L)`, `EXTRAIT DE GINKO BILOBA TITRE A 24% D'HETEROSIDES DE GINKGO BILOBA ET 6% DE GINKGOLIDES-BILOBALIDE`, `GINKGO (GINKGO BILOBA) EXTRAIT QUANTIFIE`) correspondent en réalité à une seule et même plante médicinale standardisée selon la monographie de l'EMA HMPC (HMPC/EMEA/516493/2007). Toutes les spécialités ci-dessus délivrent un extrait standardisé titré à 24 % d'hétérosides de ginkgo (flavonoïdes) et 6 % de terpénolactones (ginkgolides A, B, C, J et bilobalide), à la posologie de 40 mg par prise unitaire (1 mL de solution buvable ou 1 comprimé pelliculé). Les variantes orthographiques (Ginkgo vs Gingko vs Ginko) et les variantes de libellé de DCI (extrait standardisé, extrait titré, extrait quantifié) reflètent la diversité des choix de nomenclature du fabricant initial et des régulateurs algériens successifs, mais ne correspondent pas à des produits pharmacologiquement différents.</w:t>
      </w:r>
    </w:p>
    <w:p>
      <w:r/>
      <w:r>
        <w:rPr>
          <w:b/>
        </w:rPr>
        <w:t>Statut commercial détaillé</w:t>
      </w:r>
      <w:r>
        <w:t xml:space="preserve"> :</w:t>
      </w:r>
    </w:p>
    <w:p>
      <w:pPr>
        <w:pStyle w:val="ListBullet"/>
      </w:pPr>
      <w:r/>
      <w:r>
        <w:rPr>
          <w:b/>
        </w:rPr>
        <w:t>Spécialités actives (4)</w:t>
      </w:r>
      <w:r>
        <w:t xml:space="preserve"> : Tanakan (solution et comprimé, IPSEN), Ginkoba (LAD Pharma), Isotanak (ISOPHARM ALGERIE). Tanakan (IPSEN) est la spécialité princeps de référence, dont l'extrait EGb 761 a été développé par le Dr. Willmar Schwabe GmbH (Allemagne) et dont les études cliniques pivot (Guidi 2018, Gavrilova 2014) ont validé l'efficacité dans les troubles cognitifs.</w:t>
      </w:r>
    </w:p>
    <w:p>
      <w:pPr>
        <w:pStyle w:val="ListBullet"/>
      </w:pPr>
      <w:r/>
      <w:r>
        <w:rPr>
          <w:b/>
        </w:rPr>
        <w:t>Spécialités retirées (2)</w:t>
      </w:r>
      <w:r>
        <w:t xml:space="preserve"> : Gingéral (KRG Pharma) et Tebokan Fort (Cukurova Dis Ticaret AS) ont été retirées du marché algérien à des dates différentes, vraisemblablement en raison de difficultés commerciales ou réglementaires propres à ces fabricants. Le retrait ne signifie pas que le produit présentait un problème de sécurité ou d'efficacité, mais qu'il n'est plus commercialisé en Algérie. Les patients sous Gingéral ou Tebokan Fort doivent être orientés vers Tanakan, Ginkoba ou Isotanak comme alternative thérapeutique, en précisant que la posologie et le schéma thérapeutique sont strictement identiques (40 mg, 3 fois par jour).</w:t>
      </w:r>
    </w:p>
    <w:p>
      <w:pPr>
        <w:pStyle w:val="Heading2"/>
      </w:pPr>
      <w:r>
        <w:t>241.3 Sous-classe et mécanisme d'action moléculaire</w:t>
      </w:r>
    </w:p>
    <w:p>
      <w:pPr>
        <w:pStyle w:val="Heading3"/>
      </w:pPr>
      <w:r>
        <w:t>241.3.1 Composition chimique de l'extrait standardisé EGb 761</w:t>
      </w:r>
    </w:p>
    <w:p>
      <w:r>
        <w:t xml:space="preserve">L'extrait standardisé de </w:t>
      </w:r>
      <w:r>
        <w:rPr>
          <w:i/>
        </w:rPr>
        <w:t>Ginkgo biloba</w:t>
      </w:r>
      <w:r>
        <w:t xml:space="preserve"> EGb 761 est obtenu à partir des feuilles séchées de </w:t>
      </w:r>
      <w:r>
        <w:rPr>
          <w:i/>
        </w:rPr>
        <w:t>Ginkgo biloba</w:t>
      </w:r>
      <w:r>
        <w:t xml:space="preserve"> L. par extraction acétonique à 50 %, suivie d'une purification multi-étapes éliminant les acides ginkgoliques (responsables de réactions allergiques sévères) et concentrant les principes actifs. La composition pharmacologique standardisée de l'EGb 761 comprend :</w:t>
      </w:r>
    </w:p>
    <w:p>
      <w:pPr>
        <w:pStyle w:val="ListBullet"/>
      </w:pPr>
      <w:r/>
      <w:r>
        <w:rPr>
          <w:b/>
        </w:rPr>
        <w:t>Flavonoïdes (24 % de la masse sèche)</w:t>
      </w:r>
      <w:r>
        <w:t xml:space="preserve"> : principalement des hétérosides de flavonols (quercétine, kaempférol, isorhamnetine), sous forme de glycosides (3-O-rutinosides, 3-O-glucuronides, 3-O-glucosides). Ces composés exercent une activité antioxydante puissante, piégeant les radicaux libres (ROS) au niveau endothélial et neuronal, et inhibant la peroxydation lipidique membranaire.</w:t>
      </w:r>
    </w:p>
    <w:p>
      <w:pPr>
        <w:pStyle w:val="ListBullet"/>
      </w:pPr>
      <w:r/>
      <w:r>
        <w:rPr>
          <w:b/>
        </w:rPr>
        <w:t>Terpénolactones (6 % de la masse sèche)</w:t>
      </w:r>
      <w:r>
        <w:t xml:space="preserve"> : ginkgolides A (GA), B (GB), C (GC), J (GJ) et bilobalide (BB). Les ginkgolides sont des diterpènes trilactoniques antagonistes du facteur d'activation plaquettaire (PAF), responsables de l'effet anti-agrégant et vasculo-protecteur. Le bilobalide, séquiterpène trilactonique, exerce un effet neuroprotecteur en inhibant l'apoptose neuronale induite par l'ischémie.</w:t>
      </w:r>
    </w:p>
    <w:p>
      <w:pPr>
        <w:pStyle w:val="ListBullet"/>
      </w:pPr>
      <w:r/>
      <w:r>
        <w:rPr>
          <w:b/>
        </w:rPr>
        <w:t>Acides ginkgoliques (éliminés à &lt; 5 ppm)</w:t>
      </w:r>
      <w:r>
        <w:t xml:space="preserve"> : composés anacardiques allergisants présents dans la feuille brute, rigoureusement éliminés par le procédé de purification EGb 761.</w:t>
      </w:r>
    </w:p>
    <w:p>
      <w:pPr>
        <w:pStyle w:val="Heading3"/>
      </w:pPr>
      <w:r>
        <w:t>241.3.2 Mécanisme d'action moléculaire principal</w:t>
      </w:r>
    </w:p>
    <w:p>
      <w:r>
        <w:t xml:space="preserve">Le </w:t>
      </w:r>
      <w:r>
        <w:rPr>
          <w:i/>
        </w:rPr>
        <w:t>Ginkgo biloba</w:t>
      </w:r>
      <w:r>
        <w:t xml:space="preserve"> exerce ses effets pharmacologiques par un mécanisme plurimodal impliquant quatre voies principales. </w:t>
      </w:r>
      <w:r>
        <w:rPr>
          <w:b/>
        </w:rPr>
        <w:t>Antagonisme du facteur d'activation plaquettaire (PAF)</w:t>
      </w:r>
      <w:r>
        <w:t xml:space="preserve"> : les ginkgolides (en particulier GB, le plus puissant, Ki ~ 0,5 µM) sont des antagonistes compétitifs spécifiques du récepteur PAF (récepteur couplé aux protéines G hétérotrimériques Gα12/13), empêchant l'activation plaquettaire, l'agrégation, la dégranulation et la sécrétion de TXA2. Cet effet anti-PAF est responsable de l'efficacité du </w:t>
      </w:r>
      <w:r>
        <w:rPr>
          <w:i/>
        </w:rPr>
        <w:t>Ginkgo biloba</w:t>
      </w:r>
      <w:r>
        <w:t xml:space="preserve"> dans la claudication intermittente (amélioration de la microcirculation artériolaire) et de l'interaction hémorragique avec les AVK et antiagrégants plaquettaires. </w:t>
      </w:r>
      <w:r>
        <w:rPr>
          <w:b/>
        </w:rPr>
        <w:t>Effet antioxydant</w:t>
      </w:r>
      <w:r>
        <w:t xml:space="preserve"> : les flavonoïdes piégent les radicaux libres au niveau endothélial, neuronal et rétinien, protégeant les cellules du stress oxydatif impliqué dans le vieillissement, l'ischémie et la neurodégénérescence. </w:t>
      </w:r>
      <w:r>
        <w:rPr>
          <w:b/>
        </w:rPr>
        <w:t>Amélioration de la microcirculation</w:t>
      </w:r>
      <w:r>
        <w:t xml:space="preserve"> : l'effet anti-PAF combiné à l'effet antioxydant et à la régulation endothéliale du monoxyde d'azote (NO) améliore le flux sanguin microcirculatoire cérébral, rétinien et périphérique. </w:t>
      </w:r>
      <w:r>
        <w:rPr>
          <w:b/>
        </w:rPr>
        <w:t>Neuroprotection</w:t>
      </w:r>
      <w:r>
        <w:t xml:space="preserve"> : le bilobalide protège les neurones de l'apoptose induite par l'ischémie en inhibant la perméabilisation mitochondriale et la libération de cytochrome c, et en préservant la fonction mitochondriale énergétique.</w:t>
      </w:r>
    </w:p>
    <w:p>
      <w:pPr>
        <w:pStyle w:val="Heading3"/>
      </w:pPr>
      <w:r>
        <w:t>241.3.3 Pharmacocinétique</w:t>
      </w:r>
    </w:p>
    <w:p>
      <w:r>
        <w:t xml:space="preserve">L'extrait standardisé de </w:t>
      </w:r>
      <w:r>
        <w:rPr>
          <w:i/>
        </w:rPr>
        <w:t>Ginkgo biloba</w:t>
      </w:r>
      <w:r>
        <w:t xml:space="preserve"> est administré par voie orale. Les flavonoïdes sont absorbés au niveau intestinal, métabolisés par la flore colique (clivage des glycosides en aglycones) puis par le cytochrome P450 hépatique (CYP3A4, CYP2C9), et conjugués en glucuronides et sulfates. La biodisponibilité des flavonoïdes est de l'ordre de 30-60 % pour les glycosides et 10-30 % pour les aglycones. Les ginkgolides sont absorbés avec une biodisponibilité de 80-90 % (GA), 50-70 % (GB), 30-50 % (GC). Les pics plasmatiques sont atteints en 1 à 3 heures. Les demi-vies d'élimination sont de 4 à 6 heures pour les flavonoïdes conjugués et 4 à 10 heures pour les ginkgolides. L'élimination est principalement urinaire (flavonoïdes conjugués) et biliaire (métabolites hépatiques). L'état d'équilibre est atteint en 5 à 7 jours. L'administration en 3 prises quotidiennes (à 8h, 14h, 20h) permet de maintenir une concentration plasmatique efficace tout au long du nycthémère.</w:t>
      </w:r>
    </w:p>
    <w:p>
      <w:pPr>
        <w:pStyle w:val="Heading3"/>
      </w:pPr>
      <w:r>
        <w:t>241.3.4 Inductibilité enzymatique</w:t>
      </w:r>
    </w:p>
    <w:p>
      <w:r>
        <w:t xml:space="preserve">Le </w:t>
      </w:r>
      <w:r>
        <w:rPr>
          <w:i/>
        </w:rPr>
        <w:t>Ginkgo biloba</w:t>
      </w:r>
      <w:r>
        <w:t xml:space="preserve"> est un inducteur modéré du cytochrome P450 CYP2C19 et un inhibiteur modéré du CYP3A4 selon les données in vitro et ex vivo, ce qui justifie les interactions médicamenteuses documentées (notamment avec les AVK métabolisés par CYP2C9 et les inhibiteurs calciques métabolisés par CYP3A4). L'induction du CYP2C19 peut réduire l'efficacité des inhibiteurs de la pompe à protons (oméprazole, ésoméprazole) et de certains anticonvulsivants. L'inhibition du CYP3A4 peut augmenter les concentrations plasmatiques des statines (simvastatine, atorvastatine), des inhibiteurs calciques (amlodipine, nifédipine) et de certains antirétroviraux.</w:t>
      </w:r>
    </w:p>
    <w:p>
      <w:pPr>
        <w:pStyle w:val="Heading2"/>
      </w:pPr>
      <w:r>
        <w:t>241.4 Profil pharmacologique — indications, contre-indications, effets indésirables</w:t>
      </w:r>
    </w:p>
    <w:p>
      <w:pPr>
        <w:pStyle w:val="Heading3"/>
      </w:pPr>
      <w:r>
        <w:t>241.4.1 Indications thérapeutiques validées</w:t>
      </w:r>
    </w:p>
    <w:p>
      <w:r>
        <w:t xml:space="preserve">Les indications de l'extrait standardisé de </w:t>
      </w:r>
      <w:r>
        <w:rPr>
          <w:i/>
        </w:rPr>
        <w:t>Ginkgo biloba</w:t>
      </w:r>
      <w:r>
        <w:t xml:space="preserve"> validées par l'EMA HMPC (Committee on Herbal Medicinal Products) et reconnues par l'ANSM (France) sont :</w:t>
      </w:r>
    </w:p>
    <w:p>
      <w:pPr>
        <w:pStyle w:val="ListBullet"/>
      </w:pPr>
      <w:r/>
      <w:r>
        <w:rPr>
          <w:b/>
        </w:rPr>
        <w:t>Indication AMM « bien établie » (well-established use)</w:t>
      </w:r>
      <w:r>
        <w:t xml:space="preserve"> : traitement adjuvant de la claudication intermittente dans l'artériopathie chronique oblitérante des membres inférieurs (ACOMI) de stade II de Leriche-Fontaine, en complément des mesures hygiéno-diététiques (arrêt du tabac, marche quotidienne) et du traitement de fond antiagrégant plaquettaire (aspirine 75 mg/j). L'efficacité est évaluée par le test de marche à 6 minutes (TDM6), avec un critère d'efficacité défini par une augmentation de la distance de marche sans douleur d'au moins 20 % après 3 à 6 mois de traitement. Les essais cliniques pivot (Schneider 1992, Peters 2008) ont démontré une augmentation moyenne de 30 à 45 mètres de la distance de marche sans douleur après 6 mois de traitement par EGb 761 à 240 mg/jour.</w:t>
      </w:r>
    </w:p>
    <w:p>
      <w:pPr>
        <w:pStyle w:val="ListBullet"/>
      </w:pPr>
      <w:r/>
      <w:r>
        <w:rPr>
          <w:b/>
        </w:rPr>
        <w:t>Indication « usage traditionnel » (traditional use)</w:t>
      </w:r>
      <w:r>
        <w:t xml:space="preserve"> : traitement symptomatique des troubles cognitifs du sujet âgé, en particulier la démence dégénérative légère à modérée de type Alzheimer et les troubles cognitifs vasculaires. L'efficacité est modeste mais significative sur l'échelle ADAS-Cog (Alzheimer's Disease Assessment Scale – Cognitive subscale) et l'échelle CGI (Clinical Global Impression). L'étude Guidi (2018) publiée dans *Neuropsychiatric Disease and Treatment* a démontré une stabilisation cognitive sur 24 semaines de traitement par EGb 761 à 240 mg/jour chez des patients présentant une démence légère à modérée (MMSE 14-25). L'étude GEM (Ginkgo Evaluation of Memory, DeKosky 2008, *JAMA*) n'a pas confirmé l'effet préventif du *Ginkgo biloba* sur la conversion de troubles cognitifs légers (MCI) vers la démence Alzheimer, ce qui restreint l'indication au traitement symptomatique et non à la prévention primaire.</w:t>
      </w:r>
    </w:p>
    <w:p>
      <w:pPr>
        <w:pStyle w:val="ListBullet"/>
      </w:pPr>
      <w:r/>
      <w:r>
        <w:rPr>
          <w:b/>
        </w:rPr>
        <w:t>Indications non validées mais d'usage clinique répandu</w:t>
      </w:r>
      <w:r>
        <w:t xml:space="preserve"> : acouphènes vasculaires (essai clinique négatif selon Drew 2001, *BMJ*), vertiges d'origine vasculaire (essai clinique positif selon Hamann 2001), rétinopathie diabétique, maculopathie dégénérative liée à l'âge, syndrome de Raynaud, anxiété généralisée du sujet âgé (essai positif selon Woelk 2007, *Journal of Psychiatric Research*).</w:t>
      </w:r>
    </w:p>
    <w:p>
      <w:pPr>
        <w:pStyle w:val="Heading3"/>
      </w:pPr>
      <w:r>
        <w:t>241.4.2 Contre-indications</w:t>
      </w:r>
    </w:p>
    <w:p>
      <w:r>
        <w:t xml:space="preserve">Les contre-indications de l'extrait standardisé de </w:t>
      </w:r>
      <w:r>
        <w:rPr>
          <w:i/>
        </w:rPr>
        <w:t>Ginkgo biloba</w:t>
      </w:r>
      <w:r>
        <w:t xml:space="preserve"> sont limitées mais importantes à connaître :</w:t>
      </w:r>
    </w:p>
    <w:p>
      <w:pPr>
        <w:pStyle w:val="ListBullet"/>
      </w:pPr>
      <w:r>
        <w:t>**Hypersensibilité à l'extrait de *Ginkgo biloba* ou à l'un des excipients** : rare mais documentée, se manifestant par réactions cutanées (rash, prurit, urticaire), réactions respiratoires (bronchospasme) ou réactions anaphylactoïdes.</w:t>
      </w:r>
    </w:p>
    <w:p>
      <w:pPr>
        <w:pStyle w:val="ListBullet"/>
      </w:pPr>
      <w:r/>
      <w:r>
        <w:rPr>
          <w:b/>
        </w:rPr>
        <w:t>Grossesse et allaitement</w:t>
      </w:r>
      <w:r>
        <w:t xml:space="preserve"> : par mesure de précaution, en raison du risque hémorragique (effet anti-PAF) et de la perturbation de l'homéostasie vasculaire fœtoplacentaire. Le CRAT (Centre de Renseignements sur les Agents Tératogènes) recommande d'éviter le *Ginkgo biloba* pendant la grossesse et l'allaitement.</w:t>
      </w:r>
    </w:p>
    <w:p>
      <w:pPr>
        <w:pStyle w:val="ListBullet"/>
      </w:pPr>
      <w:r/>
      <w:r>
        <w:rPr>
          <w:b/>
        </w:rPr>
        <w:t>Troubles de la coagulation héréditaires ou acquis</w:t>
      </w:r>
      <w:r>
        <w:t xml:space="preserve"> : hémophilie, maladie de Willebrand, thrombopénie, traitement anticoagulant ou antiagrégant en cours (cf. section 241.6 sur les interactions).</w:t>
      </w:r>
    </w:p>
    <w:p>
      <w:pPr>
        <w:pStyle w:val="ListBullet"/>
      </w:pPr>
      <w:r/>
      <w:r>
        <w:rPr>
          <w:b/>
        </w:rPr>
        <w:t>Pré-opératoire</w:t>
      </w:r>
      <w:r>
        <w:t xml:space="preserve"> : arrêt du *Ginkgo biloba* 36 à 72 heures (soit 3 à 5 demi-vies) avant tout acte chirurgical ou geste invasif, en raison du risque hémorragique accru.</w:t>
      </w:r>
    </w:p>
    <w:p>
      <w:pPr>
        <w:pStyle w:val="Heading3"/>
      </w:pPr>
      <w:r>
        <w:t>241.4.3 Effets indésirables</w:t>
      </w:r>
    </w:p>
    <w:p>
      <w:r>
        <w:t xml:space="preserve">Le profil d'effets indésirables de l'extrait standardisé de </w:t>
      </w:r>
      <w:r>
        <w:rPr>
          <w:i/>
        </w:rPr>
        <w:t>Ginkgo biloba</w:t>
      </w:r>
      <w:r>
        <w:t xml:space="preserve"> est globalement favorable, avec une incidence des effets indésirables comparable à celle du placebo dans les essais cliniques pivot. Les effets indésirables rapportés sont :</w:t>
      </w:r>
    </w:p>
    <w:p>
      <w:pPr>
        <w:pStyle w:val="ListBullet"/>
      </w:pPr>
      <w:r/>
      <w:r>
        <w:rPr>
          <w:b/>
        </w:rPr>
        <w:t>Effets gastro-intestinaux (1 à 5 %)</w:t>
      </w:r>
      <w:r>
        <w:t xml:space="preserve"> : nausées, dyspepsie, diarrhée, douleurs abdominales. Ces effets sont généralement bénins et réversibles à l'arrêt du traitement ou à la réduction posologique.</w:t>
      </w:r>
    </w:p>
    <w:p>
      <w:pPr>
        <w:pStyle w:val="ListBullet"/>
      </w:pPr>
      <w:r/>
      <w:r>
        <w:rPr>
          <w:b/>
        </w:rPr>
        <w:t>Effets neurologiques (1 à 3 %)</w:t>
      </w:r>
      <w:r>
        <w:t xml:space="preserve"> : céphalées, vertiges, rarement insomnie. Ces effets sont paradoxaux compte tenu de l'indication cognitive du produit, et peuvent traduire une amélioration paradoxale de la vigilance.</w:t>
      </w:r>
    </w:p>
    <w:p>
      <w:pPr>
        <w:pStyle w:val="ListBullet"/>
      </w:pPr>
      <w:r/>
      <w:r>
        <w:rPr>
          <w:b/>
        </w:rPr>
        <w:t>Effets cutanés (0,5 à 2 %)</w:t>
      </w:r>
      <w:r>
        <w:t xml:space="preserve"> : rash, prurit, exceptionnellement urticaire et réaction anaphylactoïde. L'élimination des acides ginkgoliques lors de la purification EGb 761 a considérablement réduit l'incidence des réactions allergiques.</w:t>
      </w:r>
    </w:p>
    <w:p>
      <w:pPr>
        <w:pStyle w:val="ListBullet"/>
      </w:pPr>
      <w:r/>
      <w:r>
        <w:rPr>
          <w:b/>
        </w:rPr>
        <w:t>Effets hémorragiques (incidence mal mesurée, cas cliniques publiés)</w:t>
      </w:r>
      <w:r>
        <w:t xml:space="preserve"> : saignements (épistaxis, gingivorragies, ecchymoses spontanées, hémorragie digestive, hémorragie cérébrale) rapportés principalement en cas d'association avec AVK, antiagrégants plaquettaires ou AINS. Le mécanisme est l'effet anti-PAF des ginkgolides, qui potentialise l'effet anticoagulant et antiagrégant des traitements associés.</w:t>
      </w:r>
    </w:p>
    <w:p>
      <w:pPr>
        <w:pStyle w:val="ListBullet"/>
      </w:pPr>
      <w:r/>
      <w:r>
        <w:rPr>
          <w:b/>
        </w:rPr>
        <w:t>Effets endocriniens rares</w:t>
      </w:r>
      <w:r>
        <w:t xml:space="preserve"> : cas rapportés de gynécomastie, probablement lié à un effet phytoestrogénique faible des flavonoïdes.</w:t>
      </w:r>
    </w:p>
    <w:p>
      <w:pPr>
        <w:pStyle w:val="Heading2"/>
      </w:pPr>
      <w:r>
        <w:t>241.5 Prévention et gestion des effets indésirables</w:t>
      </w:r>
    </w:p>
    <w:p>
      <w:r>
        <w:t xml:space="preserve">La prévention et la gestion des effets indésirables du </w:t>
      </w:r>
      <w:r>
        <w:rPr>
          <w:i/>
        </w:rPr>
        <w:t>Ginkgo biloba</w:t>
      </w:r>
      <w:r>
        <w:t xml:space="preserve"> reposent sur quatre piliers fondamentaux : la sélection du patient, l'éducation thérapeutique, la surveillance clinique et la gestion des situations à risque. Premièrement, la sélection du patient doit éliminer les contre-indications absolues (troubles de la coagulation, traitement anticoagulant ou antiagrégant en cours, intervention chirurgicale programmée à moins de 72 heures) et évaluer les situations à risque relatif (sujet âgé fragile, insuffisance rénale modérée, polymédication). Un interrogatoire minutieux sur les traitements associés (AVK, antiagrégants, AINS, compléments alimentaires à base de plantes pouvant contenir d'autres antiagrégants comme l'ail, le curcuma, le ginseng) est indispensable avant l'initiation du traitement.</w:t>
      </w:r>
    </w:p>
    <w:p>
      <w:r>
        <w:t xml:space="preserve">Deuxièmement, l'éducation thérapeutique du patient doit porter sur la durée prolongée du traitement (3 à 6 mois minimum pour évaluer l'efficacité, et souvent 6 à 12 mois en pratique clinique courante), sur l'observance posologique (3 prises quotidiennes espacées de 8 heures pour maintenir une concentration plasmatique efficace), sur les signes d'appel à surveiller (épistaxis, gingivorragies, ecchymoses spontanées, selles noires, céphalées inhabituelles) et sur l'arrêt pré-opératoire systématique (information au chirurgien et à l'anesthésiste de la prise de </w:t>
      </w:r>
      <w:r>
        <w:rPr>
          <w:i/>
        </w:rPr>
        <w:t>Ginkgo biloba</w:t>
      </w:r>
      <w:r>
        <w:t xml:space="preserve">, arrêt 36 à 72 heures avant l'intervention). Le patient doit également être informé de la nécessité d'informer tous les médecins consultés (médecin traitant, cardiologue, gériatre, chirurgien) de la prise de </w:t>
      </w:r>
      <w:r>
        <w:rPr>
          <w:i/>
        </w:rPr>
        <w:t>Ginkgo biloba</w:t>
      </w:r>
      <w:r>
        <w:t>, en raison des interactions médicamenteuses potentielles.</w:t>
      </w:r>
    </w:p>
    <w:p>
      <w:r>
        <w:t>Troisièmement, la surveillance clinique comprend une évaluation initiale (test de marche à 6 minutes pour la claudication, MMSE pour les troubles cognitifs), une évaluation intermédiaire à 3 mois (efficacité, tolérance, observance) et une évaluation à 6 mois (décision de poursuite ou d'arrêt). Une numération formule sanguine (NFS) et un bilan d'hémostase (TP, INR, TCA) ne sont pas systématiques mais doivent être réalisés en cas d'association avec un traitement anticoagulant ou antiagrégant, ou en cas de survenue de saignements. Une consultation médicale rapide doit être recommandée en cas d'épistaxis supérieur à 10 minutes, de gingivorragies persistantes, d'ecchymoses étendues ou de selles noires (méléna).</w:t>
      </w:r>
    </w:p>
    <w:p>
      <w:r>
        <w:t xml:space="preserve">Quatrièmement, la gestion des situations à risque comprend : la réduction posologique en cas d'effets gastro-intestinaux persistants (passage de 3 prises de 40 mg à 2 prises de 40 mg) ; l'arrêt temporaire en cas d'événement hémorragique mineur (épistaxis, gingivorragies) avec réévaluation à 7 jours ; l'arrêt définitif en cas d'événement hémorragique sévère (méléna, hématémèse, hémorragie cérébrale) ou d'association indispensable avec un traitement anticoagulant ou antiagrégant nouvellement prescrit (changement de stratégie thérapeutique vers un autre vasodilatateur périphérique ou un autre anti-démence). Le patient sous AVK ou antiagrégant plaquettaire (aspirine, clopidogrel) ne doit pas recevoir de </w:t>
      </w:r>
      <w:r>
        <w:rPr>
          <w:i/>
        </w:rPr>
        <w:t>Ginkgo biloba</w:t>
      </w:r>
      <w:r>
        <w:t xml:space="preserve"> en raison du risque hémorragique majeur (cf. section 241.6).</w:t>
      </w:r>
    </w:p>
    <w:p>
      <w:pPr>
        <w:pStyle w:val="Heading2"/>
      </w:pPr>
      <w:r>
        <w:t>241.6 Interactions médicamenteuses</w:t>
      </w:r>
    </w:p>
    <w:p>
      <w:r>
        <w:t xml:space="preserve">Les interactions médicamenteuses du </w:t>
      </w:r>
      <w:r>
        <w:rPr>
          <w:i/>
        </w:rPr>
        <w:t>Ginkgo biloba</w:t>
      </w:r>
      <w:r>
        <w:t xml:space="preserve"> sont principalement liées à son effet anti-PAF (risque hémorragique) et à ses effets d'induction/inhibition du cytochrome P450 (modification des concentrations des médicaments métabolisés). Les principales interactions sont classées selon l'ANSM en contre-indications absolues, associations déconseillées et précautions d'emploi.</w:t>
      </w:r>
    </w:p>
    <w:p>
      <w:pPr>
        <w:pStyle w:val="Heading3"/>
      </w:pPr>
      <w:r>
        <w:t>241.6.1 Contre-indications absolues (ne pas associer)</w:t>
      </w:r>
    </w:p>
    <w:p>
      <w:pPr>
        <w:pStyle w:val="ListBullet"/>
      </w:pPr>
      <w:r/>
      <w:r>
        <w:rPr>
          <w:b/>
        </w:rPr>
        <w:t>Antivitamines K (AVK : warfarine, acénocoumarol, fluindione)</w:t>
      </w:r>
      <w:r>
        <w:t xml:space="preserve"> : augmentation majeure du risque hémorragique (INR augmenté, saignements) par potentialisation de l'effet anti-PAF du *Ginkgo biloba* avec l'effet anticoagulant des AVK. Plusieurs cas publiés d'hémorragie cérébrale, d'hémorragie digestive et d'hématome spontané ont été rapportés avec cette association. Le CRAT et l'ANSM recommandent de ne jamais associer *Ginkgo biloba* et AVK.</w:t>
      </w:r>
    </w:p>
    <w:p>
      <w:pPr>
        <w:pStyle w:val="ListBullet"/>
      </w:pPr>
      <w:r/>
      <w:r>
        <w:rPr>
          <w:b/>
        </w:rPr>
        <w:t>Anticoagulants oraux directs (AOD : dabigatran, rivaroxaban, apixaban, edoxaban)</w:t>
      </w:r>
      <w:r>
        <w:t xml:space="preserve"> : même mécanisme de potentialisation du risque hémorragique, sans possibilité de surveillance biologique fiable (pas d'équivalent de l'INR pour les AOD).</w:t>
      </w:r>
    </w:p>
    <w:p>
      <w:pPr>
        <w:pStyle w:val="ListBullet"/>
      </w:pPr>
      <w:r/>
      <w:r>
        <w:rPr>
          <w:b/>
        </w:rPr>
        <w:t>Héparines (HBPM : enoxaparine, daltéparine ; héparine non fractionnée)</w:t>
      </w:r>
      <w:r>
        <w:t xml:space="preserve"> : potentialisation du risque hémorragique en contexte de thromboprophylaxie ou de traitement curatif.</w:t>
      </w:r>
    </w:p>
    <w:p>
      <w:pPr>
        <w:pStyle w:val="Heading3"/>
      </w:pPr>
      <w:r>
        <w:t>241.6.2 Associations déconseillées (à éviter sauf surveillance stricte)</w:t>
      </w:r>
    </w:p>
    <w:p>
      <w:pPr>
        <w:pStyle w:val="ListBullet"/>
      </w:pPr>
      <w:r/>
      <w:r>
        <w:rPr>
          <w:b/>
        </w:rPr>
        <w:t>Antiagrégants plaquettaires (aspirine, clopidogrel, prasugrel, ticagrelor)</w:t>
      </w:r>
      <w:r>
        <w:t xml:space="preserve"> : potentialisation de l'effet anti-PAF du *Ginkgo biloba* avec l'effet antiagrégant plaquettaire, augmentation du risque hémorragique. À éviter en pratique clinique courante, sauf surveillance hématologique rapprochée et évaluation bénéfice/risque individualisée.</w:t>
      </w:r>
    </w:p>
    <w:p>
      <w:pPr>
        <w:pStyle w:val="ListBullet"/>
      </w:pPr>
      <w:r/>
      <w:r>
        <w:rPr>
          <w:b/>
        </w:rPr>
        <w:t>Anti-inflammatoires non stéroïdiens (AINS : ibuprofène, kétoprofène, diclofénac, naproxène, indométacine, kétoprofène)</w:t>
      </w:r>
      <w:r>
        <w:t xml:space="preserve"> : potentialisation du risque hémorragique (gastro-intestinal en particulier) par effet additif sur l'agrégation plaquettaire et inhibition de la synthèse des prostaglandines cytoprotectrices gastriques.</w:t>
      </w:r>
    </w:p>
    <w:p>
      <w:pPr>
        <w:pStyle w:val="ListBullet"/>
      </w:pPr>
      <w:r/>
      <w:r>
        <w:rPr>
          <w:b/>
        </w:rPr>
        <w:t>Inhibiteurs de la monoamine oxydase (IMAO : phénelzine, tranylcypromine)</w:t>
      </w:r>
      <w:r>
        <w:t xml:space="preserve"> : risque de crise hypertensive par effet synergique sur les catécholamines (effet théorique, peu documenté cliniquement).</w:t>
      </w:r>
    </w:p>
    <w:p>
      <w:pPr>
        <w:pStyle w:val="Heading3"/>
      </w:pPr>
      <w:r>
        <w:t>241.6.3 Précautions d'emploi</w:t>
      </w:r>
    </w:p>
    <w:p>
      <w:pPr>
        <w:pStyle w:val="ListBullet"/>
      </w:pPr>
      <w:r/>
      <w:r>
        <w:rPr>
          <w:b/>
        </w:rPr>
        <w:t>Inhibiteurs calciques (amlodipine, nifédipine, diltiazem, vérapamil)</w:t>
      </w:r>
      <w:r>
        <w:t xml:space="preserve"> : augmentation possible des concentrations plasmatiques de l'inhibiteur calcique par inhibition du CYP3A4 par le *Ginkgo biloba*, avec risque d'hypotension, d'œdèmes des membres inférieurs et de bradycardie. Surveillance clinique et adaptation posologique si nécessaire.</w:t>
      </w:r>
    </w:p>
    <w:p>
      <w:pPr>
        <w:pStyle w:val="ListBullet"/>
      </w:pPr>
      <w:r/>
      <w:r>
        <w:rPr>
          <w:b/>
        </w:rPr>
        <w:t>Statines (simvastatine, atorvastatine, lovastatine)</w:t>
      </w:r>
      <w:r>
        <w:t xml:space="preserve"> : augmentation possible des concentrations de la statine par inhibition du CYP3A4, avec risque accru de myopathie et de rhabdomyolyse. Surveillance clinique (douleurs musculaires, CPK) et adaptation posologique.</w:t>
      </w:r>
    </w:p>
    <w:p>
      <w:pPr>
        <w:pStyle w:val="ListBullet"/>
      </w:pPr>
      <w:r/>
      <w:r>
        <w:rPr>
          <w:b/>
        </w:rPr>
        <w:t>Inhibiteurs de la pompe à protons (IPP : oméprazole, ésoméprazole, lansoprazole, pantoprazole)</w:t>
      </w:r>
      <w:r>
        <w:t xml:space="preserve"> : induction du CYP2C19 par le *Ginkgo biloba*, diminution possible de l'efficacité de l'IPP sur le reflux gastro-œsophagien. Surveillance clinique.</w:t>
      </w:r>
    </w:p>
    <w:p>
      <w:pPr>
        <w:pStyle w:val="ListBullet"/>
      </w:pPr>
      <w:r/>
      <w:r>
        <w:rPr>
          <w:b/>
        </w:rPr>
        <w:t>Anticonvulsivants (valproate, phénytoïne, carbamazépine, phénobarbital)</w:t>
      </w:r>
      <w:r>
        <w:t xml:space="preserve"> : modification possible des concentrations plasmatiques par induction ou inhibition enzymatique. Surveillance des concentrations plasmatiques des anticonvulsivants.</w:t>
      </w:r>
    </w:p>
    <w:p>
      <w:pPr>
        <w:pStyle w:val="ListBullet"/>
      </w:pPr>
      <w:r/>
      <w:r>
        <w:rPr>
          <w:b/>
        </w:rPr>
        <w:t>Antidiabétiques oraux (metformine, sulfamides, glinides, thiazolidinediones)</w:t>
      </w:r>
      <w:r>
        <w:t xml:space="preserve"> : modification possible de la glycémie par effet métabolique du *Ginkgo biloba* (effet insulinomimétique faible des flavonoïdes). Surveillance glycémique accrue.</w:t>
      </w:r>
    </w:p>
    <w:p>
      <w:pPr>
        <w:pStyle w:val="Heading3"/>
      </w:pPr>
      <w:r>
        <w:t>241.6.4 Interactions avec les examens paracliniques</w:t>
      </w:r>
    </w:p>
    <w:p>
      <w:pPr>
        <w:pStyle w:val="ListBullet"/>
      </w:pPr>
      <w:r/>
      <w:r>
        <w:rPr>
          <w:b/>
        </w:rPr>
        <w:t>INR (International Normalized Ratio)</w:t>
      </w:r>
      <w:r>
        <w:t xml:space="preserve"> : augmentation possible de l'INR sous AVK en cas d'association avec *Ginkgo biloba*, même si l'association est contre-indiquée (le *Ginkgo biloba* peut être prescrit par méconnaissance par un autre professionnel de santé). Surveillance accrue de l'INR en cas d'association inopinée.</w:t>
      </w:r>
    </w:p>
    <w:p>
      <w:pPr>
        <w:pStyle w:val="ListBullet"/>
      </w:pPr>
      <w:r/>
      <w:r>
        <w:rPr>
          <w:b/>
        </w:rPr>
        <w:t>Temps de saignement (TS)</w:t>
      </w:r>
      <w:r>
        <w:t xml:space="preserve"> : allongement possible du temps de saignement en raison de l'effet anti-PAF.</w:t>
      </w:r>
    </w:p>
    <w:p>
      <w:pPr>
        <w:pStyle w:val="ListBullet"/>
      </w:pPr>
      <w:r/>
      <w:r>
        <w:rPr>
          <w:b/>
        </w:rPr>
        <w:t>Glycémie</w:t>
      </w:r>
      <w:r>
        <w:t xml:space="preserve"> : modification possible de la glycémie chez le diabétique.</w:t>
      </w:r>
    </w:p>
    <w:p>
      <w:pPr>
        <w:pStyle w:val="ListBullet"/>
      </w:pPr>
      <w:r/>
      <w:r>
        <w:rPr>
          <w:b/>
        </w:rPr>
        <w:t>Enzymes hépatiques (ALAT, ASAT, GGT, phosphatases alcalines)</w:t>
      </w:r>
      <w:r>
        <w:t xml:space="preserve"> : augmentation modérée et transitoire possible.</w:t>
      </w:r>
    </w:p>
    <w:p>
      <w:pPr>
        <w:pStyle w:val="Heading2"/>
      </w:pPr>
      <w:r>
        <w:t>241.7 Grossesse et allaitement (CRAT)</w:t>
      </w:r>
    </w:p>
    <w:p>
      <w:r>
        <w:t xml:space="preserve">Les données concernant l'usage du </w:t>
      </w:r>
      <w:r>
        <w:rPr>
          <w:i/>
        </w:rPr>
        <w:t>Ginkgo biloba</w:t>
      </w:r>
      <w:r>
        <w:t xml:space="preserve"> pendant la grossesse et l'allaitement sont limitées et le CRAT (Centre de Renseignements sur les Agents Tératogènes, Hôpital Armand-Trousseau, Paris) recommande par mesure de précaution d'éviter l'usage du </w:t>
      </w:r>
      <w:r>
        <w:rPr>
          <w:i/>
        </w:rPr>
        <w:t>Ginkgo biloba</w:t>
      </w:r>
      <w:r>
        <w:t xml:space="preserve"> pendant la grossesse et l'allaitement. Plusieurs arguments justifient cette position de prudence. Premièrement, l'effet anti-PAF des ginkgolides pourrait perturber l'homéostasie vasculaire fœtoplacentaire, en particulier au niveau des artères spirales utérines dont la transformation physiologique sous l'effet des trophoblastes extravilleux dépend d'un équilibre fin entre pro- et anti-coagulation. Une perturbation de cet équilibre pourrait théoriquement exposer à un risque de pré-éclampsie, d'hématome rétroplacentaire ou de retard de croissance intra-utérin (RCIU), bien que ces complications n'aient pas été spécifiquement documentées chez l'humain en lien avec le </w:t>
      </w:r>
      <w:r>
        <w:rPr>
          <w:i/>
        </w:rPr>
        <w:t>Ginkgo biloba</w:t>
      </w:r>
      <w:r>
        <w:t>.</w:t>
      </w:r>
    </w:p>
    <w:p>
      <w:r>
        <w:t>Deuxièmement, l'effet anti-PAF pourrait augmenter le risque hémorragique au moment de l'accouchement (hémorragie de la délivrance), en particulier en cas d'association avec l'anesthésie locorégionale (péridurale) qui expose déjà à un risque d'hématome péridural en cas de trouble de la coagulation. Le risque d'hématome péridural, bien que rare (~1/150 000 péridurales), est suffisamment grave (compression médullaire, paraplégie) pour contre-indiquer tout traitement interférant avec la coagulation en fin de grossesse.</w:t>
      </w:r>
    </w:p>
    <w:p>
      <w:r>
        <w:t>Troisièmement, les données animales sont limitées et ne permettent pas d'exclure un effet tératogène ou fœtotoxique. Les études de toxicité de la reproduction effectuées avec l'EGb 761 chez le rat et la souris n'ont pas montré d'effet tératogène, mais la transposition à l'humain reste délicate en l'absence d'études cliniques contrôlées. La présence de flavonoïdes phytoestrogéniques pourrait théoriquement interférer avec le développement hormonal fœtal, en particulier chez le fœtus masculin (effet anti-androgénique possible, non documenté).</w:t>
      </w:r>
    </w:p>
    <w:p>
      <w:r>
        <w:t xml:space="preserve">Quatrièmement, le passage du </w:t>
      </w:r>
      <w:r>
        <w:rPr>
          <w:i/>
        </w:rPr>
        <w:t>Ginkgo biloba</w:t>
      </w:r>
      <w:r>
        <w:t xml:space="preserve"> dans le lait maternel n'est pas documenté, mais les flavonoïdes conjugués sont en général faiblement excrétés dans le lait. Le risque pour le nourrisson allaité est probablement faible, mais le principe de précaution conduit à recommander l'évitement pendant l'allaitement, en particulier chez le nouveau-né et le prématuré dont la barrière hémato-encéphalique et la fonction hépatique sont immatures.</w:t>
      </w:r>
    </w:p>
    <w:p>
      <w:r>
        <w:t xml:space="preserve">En cas de découverte fortuite d'une grossesse chez une patiente sous </w:t>
      </w:r>
      <w:r>
        <w:rPr>
          <w:i/>
        </w:rPr>
        <w:t>Ginkgo biloba</w:t>
      </w:r>
      <w:r>
        <w:t xml:space="preserve">, l'arrêt du traitement est recommandé sans nécessité d'examens complémentaires systématiques (échographie morphologique de contrôle à 22 SA comme pour toute grossesse, surveillance de la croissance fœtale). En cas d'allaitement en cours sous </w:t>
      </w:r>
      <w:r>
        <w:rPr>
          <w:i/>
        </w:rPr>
        <w:t>Ginkgo biloba</w:t>
      </w:r>
      <w:r>
        <w:t>, l'arrêt est également recommandé. Les alternatives thérapeutiques à envisager pendant la grossesse et l'allaitement pour les indications cognitives du sujet âgé ne sont pas pertinentes (la grossesse et l'allaitement concernent des femmes en âge de procréer, population qui n'a pas d'indication de démence dégénérative ; en revanche, la claudication intermittente peut concerner la femme enceinte fumeuse, pour laquelle l'arrêt du tabac reste le traitement de première intention, complété éventuellement par la marche quotidienne et les mesures hygiéno-diététiques).</w:t>
      </w:r>
    </w:p>
    <w:p>
      <w:pPr>
        <w:pStyle w:val="Heading2"/>
      </w:pPr>
      <w:r>
        <w:t>241.8 Posologie et mode d'administration</w:t>
      </w:r>
    </w:p>
    <w:p>
      <w:pPr>
        <w:pStyle w:val="Heading3"/>
      </w:pPr>
      <w:r>
        <w:t>241.8.1 Posologie adulte standard</w:t>
      </w:r>
    </w:p>
    <w:p>
      <w:r>
        <w:t xml:space="preserve">La posologie standard de l'extrait standardisé de </w:t>
      </w:r>
      <w:r>
        <w:rPr>
          <w:i/>
        </w:rPr>
        <w:t>Ginkgo biloba</w:t>
      </w:r>
      <w:r>
        <w:t xml:space="preserve"> EGb 761 chez l'adulte est de </w:t>
      </w:r>
      <w:r>
        <w:rPr>
          <w:b/>
        </w:rPr>
        <w:t>120 à 240 mg par jour</w:t>
      </w:r>
      <w:r>
        <w:t>, répartis en 2 à 3 prises quotidiennes, par voie orale. La posologie de 240 mg/jour (3 prises de 40 mg ou 2 prises de 120 mg) est recommandée pour les indications validées par l'EMA HMPC (claudication intermittente et troubles cognitifs), tandis que la posologie de 120 mg/jour peut être utilisée en traitement d'entretien après 6 mois de traitement à pleine dose.</w:t>
      </w:r>
    </w:p>
    <w:p>
      <w:r/>
      <w:r>
        <w:rPr>
          <w:b/>
        </w:rPr>
        <w:t>Posologie pratique avec les spécialités algériennes</w:t>
      </w:r>
      <w:r>
        <w:t xml:space="preserve"> :</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Spécialité</w:t>
            </w:r>
          </w:p>
        </w:tc>
        <w:tc>
          <w:tcPr>
            <w:tcW w:type="dxa" w:w="1662"/>
            <w:shd w:val="clear" w:color="auto" w:fill="F2F2F2"/>
          </w:tcPr>
          <w:p>
            <w:r>
              <w:rPr>
                <w:rFonts w:ascii="Times New Roman" w:hAnsi="Times New Roman"/>
                <w:b/>
                <w:sz w:val="20"/>
              </w:rPr>
              <w:t>Forme</w:t>
            </w:r>
          </w:p>
        </w:tc>
        <w:tc>
          <w:tcPr>
            <w:tcW w:type="dxa" w:w="1662"/>
            <w:shd w:val="clear" w:color="auto" w:fill="F2F2F2"/>
          </w:tcPr>
          <w:p>
            <w:r>
              <w:rPr>
                <w:rFonts w:ascii="Times New Roman" w:hAnsi="Times New Roman"/>
                <w:b/>
                <w:sz w:val="20"/>
              </w:rPr>
              <w:t>Dosage unitaire</w:t>
            </w:r>
          </w:p>
        </w:tc>
        <w:tc>
          <w:tcPr>
            <w:tcW w:type="dxa" w:w="1662"/>
            <w:shd w:val="clear" w:color="auto" w:fill="F2F2F2"/>
          </w:tcPr>
          <w:p>
            <w:r>
              <w:rPr>
                <w:rFonts w:ascii="Times New Roman" w:hAnsi="Times New Roman"/>
                <w:b/>
                <w:sz w:val="20"/>
              </w:rPr>
              <w:t>Posologie usuelle</w:t>
            </w:r>
          </w:p>
        </w:tc>
        <w:tc>
          <w:tcPr>
            <w:tcW w:type="dxa" w:w="1662"/>
            <w:shd w:val="clear" w:color="auto" w:fill="F2F2F2"/>
          </w:tcPr>
          <w:p>
            <w:r>
              <w:rPr>
                <w:rFonts w:ascii="Times New Roman" w:hAnsi="Times New Roman"/>
                <w:b/>
                <w:sz w:val="20"/>
              </w:rPr>
              <w:t>Prises par jour</w:t>
            </w:r>
          </w:p>
        </w:tc>
      </w:tr>
      <w:tr>
        <w:tc>
          <w:tcPr>
            <w:tcW w:type="dxa" w:w="1662"/>
          </w:tcPr>
          <w:p>
            <w:r>
              <w:rPr>
                <w:rFonts w:ascii="Times New Roman" w:hAnsi="Times New Roman"/>
                <w:sz w:val="20"/>
              </w:rPr>
              <w:t>Tanakan (IPSEN)</w:t>
            </w:r>
          </w:p>
        </w:tc>
        <w:tc>
          <w:tcPr>
            <w:tcW w:type="dxa" w:w="1662"/>
          </w:tcPr>
          <w:p>
            <w:r>
              <w:rPr>
                <w:rFonts w:ascii="Times New Roman" w:hAnsi="Times New Roman"/>
                <w:sz w:val="20"/>
              </w:rPr>
              <w:t>Solution buvable</w:t>
            </w:r>
          </w:p>
        </w:tc>
        <w:tc>
          <w:tcPr>
            <w:tcW w:type="dxa" w:w="1662"/>
          </w:tcPr>
          <w:p>
            <w:r>
              <w:rPr>
                <w:rFonts w:ascii="Times New Roman" w:hAnsi="Times New Roman"/>
                <w:sz w:val="20"/>
              </w:rPr>
              <w:t>40 mg/mL</w:t>
            </w:r>
          </w:p>
        </w:tc>
        <w:tc>
          <w:tcPr>
            <w:tcW w:type="dxa" w:w="1662"/>
          </w:tcPr>
          <w:p>
            <w:r>
              <w:rPr>
                <w:rFonts w:ascii="Times New Roman" w:hAnsi="Times New Roman"/>
                <w:sz w:val="20"/>
              </w:rPr>
              <w:t>1 mL (40 mg) par prise</w:t>
            </w:r>
          </w:p>
        </w:tc>
        <w:tc>
          <w:tcPr>
            <w:tcW w:type="dxa" w:w="1662"/>
          </w:tcPr>
          <w:p>
            <w:r>
              <w:rPr>
                <w:rFonts w:ascii="Times New Roman" w:hAnsi="Times New Roman"/>
                <w:sz w:val="20"/>
              </w:rPr>
              <w:t>3 fois par jour (soit 120 mg/jour en dose d'attaque) ou 4 mL matin et soir (240 mg/jour en pleine dose)</w:t>
            </w:r>
          </w:p>
        </w:tc>
      </w:tr>
      <w:tr>
        <w:tc>
          <w:tcPr>
            <w:tcW w:type="dxa" w:w="1662"/>
          </w:tcPr>
          <w:p>
            <w:r>
              <w:rPr>
                <w:rFonts w:ascii="Times New Roman" w:hAnsi="Times New Roman"/>
                <w:sz w:val="20"/>
              </w:rPr>
              <w:t>Tanakan (IPSEN)</w:t>
            </w:r>
          </w:p>
        </w:tc>
        <w:tc>
          <w:tcPr>
            <w:tcW w:type="dxa" w:w="1662"/>
          </w:tcPr>
          <w:p>
            <w:r>
              <w:rPr>
                <w:rFonts w:ascii="Times New Roman" w:hAnsi="Times New Roman"/>
                <w:sz w:val="20"/>
              </w:rPr>
              <w:t>Comprimé pelliculé</w:t>
            </w:r>
          </w:p>
        </w:tc>
        <w:tc>
          <w:tcPr>
            <w:tcW w:type="dxa" w:w="1662"/>
          </w:tcPr>
          <w:p>
            <w:r>
              <w:rPr>
                <w:rFonts w:ascii="Times New Roman" w:hAnsi="Times New Roman"/>
                <w:sz w:val="20"/>
              </w:rPr>
              <w:t>40 mg</w:t>
            </w:r>
          </w:p>
        </w:tc>
        <w:tc>
          <w:tcPr>
            <w:tcW w:type="dxa" w:w="1662"/>
          </w:tcPr>
          <w:p>
            <w:r>
              <w:rPr>
                <w:rFonts w:ascii="Times New Roman" w:hAnsi="Times New Roman"/>
                <w:sz w:val="20"/>
              </w:rPr>
              <w:t>1 comprimé par prise</w:t>
            </w:r>
          </w:p>
        </w:tc>
        <w:tc>
          <w:tcPr>
            <w:tcW w:type="dxa" w:w="1662"/>
          </w:tcPr>
          <w:p>
            <w:r>
              <w:rPr>
                <w:rFonts w:ascii="Times New Roman" w:hAnsi="Times New Roman"/>
                <w:sz w:val="20"/>
              </w:rPr>
              <w:t>3 fois par jour (120 mg/jour) ou 2 comprimés matin et soir (240 mg/jour)</w:t>
            </w:r>
          </w:p>
        </w:tc>
      </w:tr>
      <w:tr>
        <w:tc>
          <w:tcPr>
            <w:tcW w:type="dxa" w:w="1662"/>
          </w:tcPr>
          <w:p>
            <w:r>
              <w:rPr>
                <w:rFonts w:ascii="Times New Roman" w:hAnsi="Times New Roman"/>
                <w:sz w:val="20"/>
              </w:rPr>
              <w:t>Ginkoba (LAD Pharma)</w:t>
            </w:r>
          </w:p>
        </w:tc>
        <w:tc>
          <w:tcPr>
            <w:tcW w:type="dxa" w:w="1662"/>
          </w:tcPr>
          <w:p>
            <w:r>
              <w:rPr>
                <w:rFonts w:ascii="Times New Roman" w:hAnsi="Times New Roman"/>
                <w:sz w:val="20"/>
              </w:rPr>
              <w:t>Solution buvable</w:t>
            </w:r>
          </w:p>
        </w:tc>
        <w:tc>
          <w:tcPr>
            <w:tcW w:type="dxa" w:w="1662"/>
          </w:tcPr>
          <w:p>
            <w:r>
              <w:rPr>
                <w:rFonts w:ascii="Times New Roman" w:hAnsi="Times New Roman"/>
                <w:sz w:val="20"/>
              </w:rPr>
              <w:t>40 mg/mL</w:t>
            </w:r>
          </w:p>
        </w:tc>
        <w:tc>
          <w:tcPr>
            <w:tcW w:type="dxa" w:w="1662"/>
          </w:tcPr>
          <w:p>
            <w:r>
              <w:rPr>
                <w:rFonts w:ascii="Times New Roman" w:hAnsi="Times New Roman"/>
                <w:sz w:val="20"/>
              </w:rPr>
              <w:t>1 mL (40 mg) par prise</w:t>
            </w:r>
          </w:p>
        </w:tc>
        <w:tc>
          <w:tcPr>
            <w:tcW w:type="dxa" w:w="1662"/>
          </w:tcPr>
          <w:p>
            <w:r>
              <w:rPr>
                <w:rFonts w:ascii="Times New Roman" w:hAnsi="Times New Roman"/>
                <w:sz w:val="20"/>
              </w:rPr>
              <w:t>3 fois par jour</w:t>
            </w:r>
          </w:p>
        </w:tc>
      </w:tr>
      <w:tr>
        <w:tc>
          <w:tcPr>
            <w:tcW w:type="dxa" w:w="1662"/>
          </w:tcPr>
          <w:p>
            <w:r>
              <w:rPr>
                <w:rFonts w:ascii="Times New Roman" w:hAnsi="Times New Roman"/>
                <w:sz w:val="20"/>
              </w:rPr>
              <w:t>Isotanak (ISOPHARM ALGERIE)</w:t>
            </w:r>
          </w:p>
        </w:tc>
        <w:tc>
          <w:tcPr>
            <w:tcW w:type="dxa" w:w="1662"/>
          </w:tcPr>
          <w:p>
            <w:r>
              <w:rPr>
                <w:rFonts w:ascii="Times New Roman" w:hAnsi="Times New Roman"/>
                <w:sz w:val="20"/>
              </w:rPr>
              <w:t>Solution buvable</w:t>
            </w:r>
          </w:p>
        </w:tc>
        <w:tc>
          <w:tcPr>
            <w:tcW w:type="dxa" w:w="1662"/>
          </w:tcPr>
          <w:p>
            <w:r>
              <w:rPr>
                <w:rFonts w:ascii="Times New Roman" w:hAnsi="Times New Roman"/>
                <w:sz w:val="20"/>
              </w:rPr>
              <w:t>40 mg/mL</w:t>
            </w:r>
          </w:p>
        </w:tc>
        <w:tc>
          <w:tcPr>
            <w:tcW w:type="dxa" w:w="1662"/>
          </w:tcPr>
          <w:p>
            <w:r>
              <w:rPr>
                <w:rFonts w:ascii="Times New Roman" w:hAnsi="Times New Roman"/>
                <w:sz w:val="20"/>
              </w:rPr>
              <w:t>1 mL (40 mg) par prise</w:t>
            </w:r>
          </w:p>
        </w:tc>
        <w:tc>
          <w:tcPr>
            <w:tcW w:type="dxa" w:w="1662"/>
          </w:tcPr>
          <w:p>
            <w:r>
              <w:rPr>
                <w:rFonts w:ascii="Times New Roman" w:hAnsi="Times New Roman"/>
                <w:sz w:val="20"/>
              </w:rPr>
              <w:t>3 fois par jour</w:t>
            </w:r>
          </w:p>
        </w:tc>
      </w:tr>
    </w:tbl>
    <w:p/>
    <w:p>
      <w:r>
        <w:t xml:space="preserve">La posologie usuelle recommandée par les sociétés savantes algériennes (Société Algérienne de Neurologie, Société Algérienne de Médecine Vasculaire) est de </w:t>
      </w:r>
      <w:r>
        <w:rPr>
          <w:b/>
        </w:rPr>
        <w:t>40 mg × 3/jour</w:t>
      </w:r>
      <w:r>
        <w:t xml:space="preserve"> soit 120 mg/jour pendant 3 mois, puis réévaluation. En cas d'efficacité insuffisante à 3 mois (augmentation de la distance de marche &lt; 20 % au TDM6 ou stabilité cognitive à l'échelle cognitive), l'augmentation à </w:t>
      </w:r>
      <w:r>
        <w:rPr>
          <w:b/>
        </w:rPr>
        <w:t>80 mg × 3/jour</w:t>
      </w:r>
      <w:r>
        <w:t xml:space="preserve"> soit 240 mg/jour peut être discutée.</w:t>
      </w:r>
    </w:p>
    <w:p>
      <w:pPr>
        <w:pStyle w:val="Heading3"/>
      </w:pPr>
      <w:r>
        <w:t>241.8.2 Posologie chez le sujet âgé</w:t>
      </w:r>
    </w:p>
    <w:p>
      <w:r>
        <w:t xml:space="preserve">Chez le sujet âgé (≥ 75 ans), la posologie initiale recommandée est de </w:t>
      </w:r>
      <w:r>
        <w:rPr>
          <w:b/>
        </w:rPr>
        <w:t>40 mg × 2/jour</w:t>
      </w:r>
      <w:r>
        <w:t xml:space="preserve"> soit 80 mg/jour pendant 1 mois, puis augmentation à 120 mg/jour en l'absence d'effets indésirables. Cette posologie progressive permet de limiter les effets indésirables gastro-intestinaux et céphalées parfois observés en début de traitement. La posologie maximale chez le sujet âgé est de 240 mg/jour.</w:t>
      </w:r>
    </w:p>
    <w:p>
      <w:pPr>
        <w:pStyle w:val="Heading3"/>
      </w:pPr>
      <w:r>
        <w:t>241.8.3 Posologie chez l'enfant et l'adolescent</w:t>
      </w:r>
    </w:p>
    <w:p>
      <w:r>
        <w:t xml:space="preserve">L'extrait standardisé de </w:t>
      </w:r>
      <w:r>
        <w:rPr>
          <w:i/>
        </w:rPr>
        <w:t>Ginkgo biloba</w:t>
      </w:r>
      <w:r>
        <w:t xml:space="preserve"> n'est pas recommandé chez l'enfant et l'adolescent de moins de 18 ans en raison du manque de données cliniques. L'usage peut être discuté au cas par cas chez l'adolescent présentant une claudication intermittente exceptionnelle (artériopathie juvénile, maladie de Buerger) sous stricte surveillance médicale spécialisée.</w:t>
      </w:r>
    </w:p>
    <w:p>
      <w:pPr>
        <w:pStyle w:val="Heading3"/>
      </w:pPr>
      <w:r>
        <w:t>241.8.4 Posologie chez l'insuffisant rénal et hépatique</w:t>
      </w:r>
    </w:p>
    <w:p>
      <w:r>
        <w:t>Aucune adaptation posologique n'est nécessaire chez l'insuffisant rénal modéré à sévère en raison de l'absence d'accumulation significative des métabolites. Chez l'insuffisant hépatique modéré, une surveillance accrue est recommandée en raison du métabolisme hépatique des flavonoïdes et ginkgolides par le cytochrome P450.</w:t>
      </w:r>
    </w:p>
    <w:p>
      <w:pPr>
        <w:pStyle w:val="Heading3"/>
      </w:pPr>
      <w:r>
        <w:t>241.8.5 Mode d'administration</w:t>
      </w:r>
    </w:p>
    <w:p>
      <w:r>
        <w:t>La solution buvable doit être prise pure ou diluée dans un demi-verre d'eau, de préférence au cours des repas pour limiter les effets gastro-intestinaux. La pipette graduée permet un dosage précis en mL (1 mL = 40 mg). Le comprimé pelliculé doit être avalé entier avec un grand verre d'eau, au cours des repas. Les prises doivent être espacées d'environ 8 heures (par exemple 8h, 14h, 20h) pour maintenir une concentration plasmatique efficace tout au long du nycthémère.</w:t>
      </w:r>
    </w:p>
    <w:p>
      <w:pPr>
        <w:pStyle w:val="Heading3"/>
      </w:pPr>
      <w:r>
        <w:t>241.8.6 Durée de traitement</w:t>
      </w:r>
    </w:p>
    <w:p>
      <w:r>
        <w:t xml:space="preserve">La durée minimale de traitement est de </w:t>
      </w:r>
      <w:r>
        <w:rPr>
          <w:b/>
        </w:rPr>
        <w:t>3 à 6 mois</w:t>
      </w:r>
      <w:r>
        <w:t xml:space="preserve"> pour évaluer l'efficacité. L'évaluation doit se faire par tests objectifs : test de marche à 6 minutes (TDM6) pour la claudication intermittente, MMSE ou ADAS-Cog pour les troubles cognitifs. En cas d'efficacité, le traitement peut être poursuivi sur 6 à 12 mois, avec réévaluation annuelle. En cas d'inefficacité à 6 mois, l'arrêt du traitement doit être discuté et une alternative thérapeutique envisagée (cilostazol pour la claudication, inhibiteurs de la cholinestérase ou mémantine pour la démence). L'arrêt brutal du traitement n'est pas déconseillé en raison de l'absence de syndrome de sevrage documenté.</w:t>
      </w:r>
    </w:p>
    <w:p>
      <w:pPr>
        <w:pStyle w:val="Heading2"/>
      </w:pPr>
      <w:r>
        <w:t>241.9 Arbitrage et bénéfices des formes galéniques</w:t>
      </w:r>
    </w:p>
    <w:p>
      <w:r>
        <w:t xml:space="preserve">L'arbitrage entre les formes galéniques disponibles en Algérie pour le </w:t>
      </w:r>
      <w:r>
        <w:rPr>
          <w:i/>
        </w:rPr>
        <w:t>Ginkgo biloba</w:t>
      </w:r>
      <w:r>
        <w:t xml:space="preserve"> porte principalement sur le choix entre solution buvable et comprimé pelliculé. Les deux formes sont bioéquivalentes en termes de biodisponibilité (les flavonoïdes et ginkgolides sont absorbés de manière comparable), mais présentent des avantages et inconvénients distincts.</w:t>
      </w:r>
    </w:p>
    <w:p>
      <w:pPr>
        <w:pStyle w:val="Heading3"/>
      </w:pPr>
      <w:r>
        <w:t>241.9.1 Solution buvable (Tanakan, Ginkoba, Isotanak)</w:t>
      </w:r>
    </w:p>
    <w:p>
      <w:r/>
      <w:r>
        <w:rPr>
          <w:b/>
        </w:rPr>
        <w:t>Avantages</w:t>
      </w:r>
      <w:r>
        <w:t xml:space="preserve"> : la solution buvable est particulièrement adaptée au sujet âgé présentant des troubles de déglutition (dysphagie), au patient avec stomatite prothétique ou chez lequel la déglutition d'un comprimé est difficile. La pipette graduée permet un dosage précis et une adaptation posologique fine (1 mL = 40 mg), utile pour la titration progressive chez le sujet âgé fragile. La solution buvable peut être diluée dans une boisson sucrée pour masquer le goût légèrement amer (due aux flavonoïdes), ce qui facilite l'observance chez les patients présentant une aversion pour les comprimés. Le flacon de 30 mL avec pipette (Tanakan) couvre 10 jours de traitement à 120 mg/jour (3 mL/jour), tandis que le flacon de 50 mL (Isotanak avec seringue graduée) couvre 16 jours, et le flacon de 15 mL (Ginkoba) couvre 5 jours.</w:t>
      </w:r>
    </w:p>
    <w:p>
      <w:r/>
      <w:r>
        <w:rPr>
          <w:b/>
        </w:rPr>
        <w:t>Inconvénients</w:t>
      </w:r>
      <w:r>
        <w:t xml:space="preserve"> : la solution buvable contient de l'éthanol comme conservateur et solvant (taux variable selon les spécialités, généralement 5-10 % v/v), ce qui contre-indique son usage chez le patient alcoolique en sevrage, le patient sous disulfirame, et nécessite une prudence chez le patient présentant une hépatopathie sévère. La solution buvable est également plus contraignante à transporter (flacon en verre ou plastique, risque de renversement), nécessite une conservation à température ambiante (15-25 °C) à l'abri de la lumière, et présente un risque de contamination bactérienne après ouverture (durée de conservation après ouverture : 1 à 3 mois selon les spécialités, à vérifier sur la notice).</w:t>
      </w:r>
    </w:p>
    <w:p>
      <w:pPr>
        <w:pStyle w:val="Heading3"/>
      </w:pPr>
      <w:r>
        <w:t>241.9.2 Comprimé pelliculé (Tanakan)</w:t>
      </w:r>
    </w:p>
    <w:p>
      <w:r/>
      <w:r>
        <w:rPr>
          <w:b/>
        </w:rPr>
        <w:t>Avantages</w:t>
      </w:r>
      <w:r>
        <w:t xml:space="preserve"> : le comprimé pelliculé est plus pratique à transporter et à prendre (pas de flacon, pas de mesurette), présente une meilleure stabilité (pas de conservation après ouverture), et est dénué d'éthanol, ce qui le rend utilisable chez le patient alcoolique en sevrage et chez le patient présentant une hépatopathie. Le comprimé pelliculé est également plus facile à avaler que les comprimés non pelliculés en raison du pelliculage lisse (hydroxypropylméthylcellulose + talc + macrogol). La boîte de 30 comprimés couvre 10 jours de traitement à 120 mg/jour (3 comprimés/jour) ou 15 jours à 80 mg/jour.</w:t>
      </w:r>
    </w:p>
    <w:p>
      <w:r/>
      <w:r>
        <w:rPr>
          <w:b/>
        </w:rPr>
        <w:t>Inconvénients</w:t>
      </w:r>
      <w:r>
        <w:t xml:space="preserve"> : le comprimé pelliculé ne permet pas d'adaptation posologique fine (seulement 40 mg par comprimé), ce qui impose un passage à la solution buvable en cas de besoin de posologie intermédiaire. Le comprimé pelliculé ne convient pas au sujet âgé présentant des troubles de déglutition, et ne peut être écrasé ou fractionné en raison du pelliculage (qui protège le principe actif de la dégradation gastrique).</w:t>
      </w:r>
    </w:p>
    <w:p>
      <w:pPr>
        <w:pStyle w:val="Heading3"/>
      </w:pPr>
      <w:r>
        <w:t>241.9.3 Recommandation d'arbitrage</w:t>
      </w:r>
    </w:p>
    <w:p>
      <w:r>
        <w:t>En pratique clinique courante en Algérie, la recommandation d'arbitrage entre les deux formes galéniques repose sur trois critères : l'âge du patient, les comorbidités (troubles de déglutition, alcoolisme, hépatopathie) et la préférence du patient. Chez le sujet âgé présentant des troubles de déglutition, la solution buvable est privilégiée (Tanakan flacon 30 mL avec pipette, ou Isotanak flacon 50 mL avec seringue graduée pour une meilleure ergonomie). Chez le patient adulte actif sans trouble de déglutition, le comprimé pelliculé (Tanakan cp 40 mg) est privilégié pour sa praticité. Chez le patient alcoolique en sevrage ou présentant une hépatopathie, le comprimé pelliculé est impératif. Chez le patient sous polymédication (traitement antihypertenseur, hypolipémiants, antidiabétiques), le comprimé pelliculé est également privilégié pour faciliter l'observance et limiter les erreurs de prise.</w:t>
      </w:r>
    </w:p>
    <w:p>
      <w:pPr>
        <w:pStyle w:val="Heading3"/>
      </w:pPr>
      <w:r>
        <w:t>241.9.4 Critères de choix entre spécialités commerciales</w:t>
      </w:r>
    </w:p>
    <w:p>
      <w:r>
        <w:t>Le choix entre Tanakan (IPSEN), Ginkoba (LAD Pharma) et Isotanak (ISOPHARM ALGERIE) repose principalement sur des critères de disponibilité et de coût. Tanakan est la spécialité princeps de référence, dont l'extrait EGb 761 a été développé par le Dr. Willmar Schwabe GmbH et dont les études cliniques pivot ont été réalisées. Son choix est privilégié par les neurologues et gériatres algériens pour les indications cognitives en raison du niveau de preuve spécifique à l'EGb 761. Ginkoba et Isotanak sont des spécialités génériques ou assimilées, dont la bioéquivalence avec Tanakan doit être vérifiée sur les données du fabricant (études de bioéquivalence publiées ou dossier réglementaire). En pratique, ces spécialités sont considérées comme équivalentes en termes d'efficacité et de sécurité, et le choix peut se faire sur la disponibilité en pharmacie d'officine et le coût. Pour le patient sous Tanakan, le passage à Ginkoba ou Isotanak ne nécessite pas de réadaptation posologique (posologie identique de 40 mg × 3/jour).</w:t>
      </w:r>
    </w:p>
    <w:p>
      <w:pPr>
        <w:pStyle w:val="Heading2"/>
      </w:pPr>
      <w:r>
        <w:t>241.10 Instructions et conseils au patient</w:t>
      </w:r>
    </w:p>
    <w:p>
      <w:pPr>
        <w:pStyle w:val="Heading3"/>
      </w:pPr>
      <w:r>
        <w:t>241.10.1 Information sur le traitement</w:t>
      </w:r>
    </w:p>
    <w:p>
      <w:r>
        <w:t xml:space="preserve">Le patient doit être informé que le </w:t>
      </w:r>
      <w:r>
        <w:rPr>
          <w:i/>
        </w:rPr>
        <w:t>Ginkgo biloba</w:t>
      </w:r>
      <w:r>
        <w:t xml:space="preserve"> est un médicament à base de plante médicinale standardisée, qui agit en améliorant la microcirculation sanguine et en protégeant les cellules nerveuses du stress oxydatif. L'effet thérapeutique n'est pas immédiat et nécessite une prise régulière pendant au moins 3 à 6 mois pour évaluer l'efficacité. Le patient doit être informé que l'efficacité est modeste (augmentation de la distance de marche de 30 à 45 mètres après 6 mois de traitement dans la claudication intermittente, stabilisation cognitive sur l'échelle ADAS-Cog dans la démence légère) et que le traitement ne doit pas être considéré comme une alternative aux mesures hygiéno-diététiques (arrêt du tabac, marche quotidienne, alimentation équilibrée) ni aux autres traitements de fond (antiagrégants plaquettaires, statines, antihypertenseurs).</w:t>
      </w:r>
    </w:p>
    <w:p>
      <w:pPr>
        <w:pStyle w:val="Heading3"/>
      </w:pPr>
      <w:r>
        <w:t>241.10.2 Conseil sur le mode de prise</w:t>
      </w:r>
    </w:p>
    <w:p>
      <w:r>
        <w:t xml:space="preserve">Le patient doit être conseillé sur le mode de prise : </w:t>
      </w:r>
      <w:r>
        <w:rPr>
          <w:b/>
        </w:rPr>
        <w:t>3 prises par jour, à 8h, 14h et 20h, au cours des repas</w:t>
      </w:r>
      <w:r>
        <w:t>, pour la solution buvable comme pour le comprimé pelliculé. La solution buvable doit être prise pure ou diluée dans un demi-verre d'eau. Le comprimé pelliculé doit être avalé entier avec un grand verre d'eau (ne pas écraser, ne pas fractionner, ne pas croquer). Le patient doit être informé de l'importance de la régularité des prises (prise à heure fixe) pour maintenir une concentration plasmatique efficace, et de l'interdiction de doubler la dose en cas d'oubli (en cas d'oubli d'une prise, ne pas la doubler à la prise suivante).</w:t>
      </w:r>
    </w:p>
    <w:p>
      <w:pPr>
        <w:pStyle w:val="Heading3"/>
      </w:pPr>
      <w:r>
        <w:t>241.10.3 Précautions à prendre</w:t>
      </w:r>
    </w:p>
    <w:p>
      <w:r>
        <w:t xml:space="preserve">Le patient doit être informé des précautions suivantes : </w:t>
      </w:r>
      <w:r>
        <w:rPr>
          <w:b/>
        </w:rPr>
        <w:t>arrêt du traitement 36 à 72 heures avant toute intervention chirurgicale ou geste invasif</w:t>
      </w:r>
      <w:r>
        <w:t xml:space="preserve"> (extraction dentaire, endoscopie, biopsie) avec information préalable du chirurgien et de l'anesthésiste de la prise de </w:t>
      </w:r>
      <w:r>
        <w:rPr>
          <w:i/>
        </w:rPr>
        <w:t>Ginkgo biloba</w:t>
      </w:r>
      <w:r>
        <w:t xml:space="preserve"> ; </w:t>
      </w:r>
      <w:r>
        <w:rPr>
          <w:b/>
        </w:rPr>
        <w:t>arrêt du traitement en cas de survenue de saignement anormal</w:t>
      </w:r>
      <w:r>
        <w:t xml:space="preserve"> (épistaxis supérieur à 10 minutes, gingivorragies persistantes, ecchymoses spontanées, selles noires, céphalées inhabituelles) et consultation médicale rapide ; </w:t>
      </w:r>
      <w:r>
        <w:rPr>
          <w:b/>
        </w:rPr>
        <w:t>interdiction de consommer des compléments alimentaires à base d'autres plantes médicinales à effet anticoagulant ou antiagrégant</w:t>
      </w:r>
      <w:r>
        <w:t xml:space="preserve"> (ail, curcuma, ginseng, saule, reine-des-prés) sans avis médical préalable.</w:t>
      </w:r>
    </w:p>
    <w:p>
      <w:pPr>
        <w:pStyle w:val="Heading3"/>
      </w:pPr>
      <w:r>
        <w:t>241.10.4 Surveillance de l'efficacité et de la tolérance</w:t>
      </w:r>
    </w:p>
    <w:p>
      <w:r>
        <w:t>Le patient doit être informé de la nécessité d'une consultation médicale de suivi à 3 mois pour évaluer l'efficacité (test de marche à 6 minutes pour la claudication, échelle cognitive pour les troubles cognitifs) et la tolérance (interrogatoire sur les saignements, les troubles digestifs, les céphalées), puis d'une consultation à 6 mois pour décider de la poursuite ou de l'arrêt du traitement. Le patient doit être muni d'un carnet de suivi pour noter les prises, les effets indésirables éventuels et les événements intercurrents.</w:t>
      </w:r>
    </w:p>
    <w:p>
      <w:pPr>
        <w:pStyle w:val="Heading3"/>
      </w:pPr>
      <w:r>
        <w:t>241.10.5 Conservation et stockage</w:t>
      </w:r>
    </w:p>
    <w:p>
      <w:r>
        <w:t>La solution buvable doit être conservée à température ambiante (15-25 °C), à l'abri de la lumière et de l'humidité, hors de portée des enfants. Après ouverture, la solution buvable se conserve pendant 1 à 3 mois selon les spécialités (à vérifier sur la notice : Tanakan 1 mois, Isotanak 3 mois). Le comprimé pelliculé se conserve à température ambiante (15-25 °C), à l'abri de l'humidité, dans son emballage d'origine, jusqu'à la date de péremption indiquée sur la boîte. Le patient doit être informé de ne pas utiliser de spécialité périmée et de rapporter les spécialités non utilisées à la pharmacie d'officine pour élimination appropriée.</w:t>
      </w:r>
    </w:p>
    <w:p>
      <w:pPr>
        <w:pStyle w:val="Heading3"/>
      </w:pPr>
      <w:r>
        <w:t>241.10.6 Conseil au patient sous traitement associé</w:t>
      </w:r>
    </w:p>
    <w:p>
      <w:r>
        <w:t xml:space="preserve">Le patient sous polymédication (antihypertenseur, hypolipémiant, antidiabétique, antiagrégant plaquettaire) doit être informé que le </w:t>
      </w:r>
      <w:r>
        <w:rPr>
          <w:i/>
        </w:rPr>
        <w:t>Ginkgo biloba</w:t>
      </w:r>
      <w:r>
        <w:t xml:space="preserve"> peut interagir avec certains médicaments et que tout nouveau traitement doit être signalé au pharmacien d'officine et au médecin prescripteur. Le patient sous AVK ou antiagrégant plaquettaire doit être informé que l'association avec le </w:t>
      </w:r>
      <w:r>
        <w:rPr>
          <w:i/>
        </w:rPr>
        <w:t>Ginkgo biloba</w:t>
      </w:r>
      <w:r>
        <w:t xml:space="preserve"> est contre-indiquée et qu'il doit consulter son médecin pour discuter d'une alternative thérapeutique (cilostazol pour la claudication, inhibiteurs de la cholinestérase pour la démence).</w:t>
      </w:r>
    </w:p>
    <w:p>
      <w:pPr>
        <w:pStyle w:val="Heading2"/>
      </w:pPr>
      <w:r>
        <w:t>241.11 Notes, règles d'or et pièges au comptoir</w:t>
      </w:r>
    </w:p>
    <w:p>
      <w:pPr>
        <w:pStyle w:val="Heading3"/>
      </w:pPr>
      <w:r>
        <w:t>241.11.1 Règles d'or du conseil pharmaceutique au comptoir</w:t>
      </w:r>
    </w:p>
    <w:p>
      <w:pPr>
        <w:pStyle w:val="ListNumber"/>
      </w:pPr>
      <w:r/>
      <w:r>
        <w:rPr>
          <w:b/>
        </w:rPr>
        <w:t>Toujours demander si le patient prend un traitement anticoagulant (AVK, AOD, héparine) ou antiagrégant plaquettaire (aspirine, clopidogrel)</w:t>
      </w:r>
      <w:r>
        <w:t xml:space="preserve"> avant de délivrer du *Ginkgo biloba*. En cas de réponse positive, ne pas délivrer et orienter le patient vers son médecin pour discussion d'une alternative thérapeutique.</w:t>
      </w:r>
    </w:p>
    <w:p>
      <w:pPr>
        <w:pStyle w:val="ListNumber"/>
      </w:pPr>
      <w:r/>
      <w:r>
        <w:rPr>
          <w:b/>
        </w:rPr>
        <w:t>Toujours demander si le patient a une intervention chirurgicale programmée</w:t>
      </w:r>
      <w:r>
        <w:t xml:space="preserve"> dans les 3 mois à venir. En cas de réponse positive, informer le patient de l'arrêt pré-opératoire nécessaire (36 à 72 heures avant l'intervention) et de l'information à donner au chirurgien et à l'anesthésiste.</w:t>
      </w:r>
    </w:p>
    <w:p>
      <w:pPr>
        <w:pStyle w:val="ListNumber"/>
      </w:pPr>
      <w:r/>
      <w:r>
        <w:rPr>
          <w:b/>
        </w:rPr>
        <w:t>Toujours informer le patient de la durée prolongée du traitement</w:t>
      </w:r>
      <w:r>
        <w:t xml:space="preserve"> (3 à 6 mois minimum) et de la nécessité d'une consultation médicale de suivi à 3 mois et à 6 mois.</w:t>
      </w:r>
    </w:p>
    <w:p>
      <w:pPr>
        <w:pStyle w:val="ListNumber"/>
      </w:pPr>
      <w:r/>
      <w:r>
        <w:rPr>
          <w:b/>
        </w:rPr>
        <w:t>Toujours informer le patient des signes d'appel à surveiller</w:t>
      </w:r>
      <w:r>
        <w:t xml:space="preserve"> (épistaxis, gingivorragies, ecchymoses spontanées, selles noires, céphalées inhabituelles) et de l'arrêt immédiat du traitement en cas de survenue, avec consultation médicale rapide.</w:t>
      </w:r>
    </w:p>
    <w:p>
      <w:pPr>
        <w:pStyle w:val="ListNumber"/>
      </w:pPr>
      <w:r/>
      <w:r>
        <w:rPr>
          <w:b/>
        </w:rPr>
        <w:t>Toujours informer le patient de l'interdiction de consommer des compléments alimentaires à base d'autres plantes médicinales à effet anticoagulant ou antiagrégant</w:t>
      </w:r>
      <w:r>
        <w:t xml:space="preserve"> sans avis médical préalable.</w:t>
      </w:r>
    </w:p>
    <w:p>
      <w:pPr>
        <w:pStyle w:val="Heading3"/>
      </w:pPr>
      <w:r>
        <w:t>241.11.2 Pièges à éviter au comptoir</w:t>
      </w:r>
    </w:p>
    <w:p>
      <w:pPr>
        <w:pStyle w:val="ListNumber"/>
      </w:pPr>
      <w:r>
        <w:t>**Ne pas confondre les extraits standardisés (EGb 761, Tanakan, Ginkoba, Isotanak) avec les compléments alimentaires à base de *Ginkgo biloba*** vendus en dehors de la pharmacie d'officine (magasins diététiques, internet). Ces compléments ne sont pas standardisés, peuvent contenir des doses variables d'acide ginkgolique toxique, et ne sont pas soumis au même niveau de contrôle qualité. Le patient doit être informé de ne pas se fournir en compléments alimentaires non contrôlés.</w:t>
      </w:r>
    </w:p>
    <w:p>
      <w:pPr>
        <w:pStyle w:val="ListNumber"/>
      </w:pPr>
      <w:r/>
      <w:r>
        <w:rPr>
          <w:b/>
        </w:rPr>
        <w:t>Ne pas substituer entre extraits de qualité différente</w:t>
      </w:r>
      <w:r>
        <w:t>. Le patient sous Tanakan (extrait EGb 761 princeps) ne doit pas être substitué par un extrait de qualité différente sans information préalable. La substitution entre Tanakan, Ginkoba et Isotanak est possible en raison de leur standardisation identique (40 mg/mL ou 40 mg/cp), mais doit être signalée au patient.</w:t>
      </w:r>
    </w:p>
    <w:p>
      <w:pPr>
        <w:pStyle w:val="ListNumber"/>
      </w:pPr>
      <w:r/>
      <w:r>
        <w:rPr>
          <w:b/>
        </w:rPr>
        <w:t>Ne pas méconnaître les interactions avec les AINS en automédication</w:t>
      </w:r>
      <w:r>
        <w:t>. Le patient sous *Ginkgo biloba* qui achète de l'ibuprofène ou du kétoprofène en automédication doit être informé du risque hémorragique accru et orienté vers le paracétamol comme antalgique de première intention.</w:t>
      </w:r>
    </w:p>
    <w:p>
      <w:pPr>
        <w:pStyle w:val="ListNumber"/>
      </w:pPr>
      <w:r/>
      <w:r>
        <w:rPr>
          <w:b/>
        </w:rPr>
        <w:t>Ne pas oublier de demander l'avis du médecin en cas d'association avec un inhibiteur calcique, une statine ou un IPP</w:t>
      </w:r>
      <w:r>
        <w:t>, en raison du risque d'interaction pharmacocinétique (CYP3A4, CYP2C19).</w:t>
      </w:r>
    </w:p>
    <w:p>
      <w:pPr>
        <w:pStyle w:val="ListNumber"/>
      </w:pPr>
      <w:r/>
      <w:r>
        <w:rPr>
          <w:b/>
        </w:rPr>
        <w:t>Ne pas méconnaître le risque d'allongement du temps de saignement</w:t>
      </w:r>
      <w:r>
        <w:t xml:space="preserve"> qui doit être signalé au médecin en cas d'examen biologique programmé (INR, TP, TCA, temps de saignement).</w:t>
      </w:r>
    </w:p>
    <w:p>
      <w:pPr>
        <w:pStyle w:val="Heading3"/>
      </w:pPr>
      <w:r>
        <w:t>241.11.3 Notes pédagogiques pour l'étudiant en pharmacie</w:t>
      </w:r>
    </w:p>
    <w:p>
      <w:r>
        <w:t xml:space="preserve">L'étudiant en pharmacie doit retenir que le </w:t>
      </w:r>
      <w:r>
        <w:rPr>
          <w:i/>
        </w:rPr>
        <w:t>Ginkgo biloba</w:t>
      </w:r>
      <w:r>
        <w:t xml:space="preserve"> est un médicament à base de plante médicinales standardisée, dont l'efficacité est démontrée dans deux indications principales (claudication intermittente et troubles cognitifs du sujet âgé) et dont le profil de tolérance est globalement favorable, mais dont l'interaction avec les anticoagulants et antiagrégants plaquettaires constitue un risque majeur à connaître absolument. L'étudiant doit également retenir les points suivants : la standardisation de l'extrait (24 % flavonoïdes, 6 % terpénolactones, sans acide ginkgolique) est essentielle à l'efficacité et à la sécurité ; la posologie standard est de 120 à 240 mg/jour en 2 à 3 prises ; la durée minimale de traitement est de 3 à 6 mois ; l'arrêt pré-opératoire est systématique (36 à 72 heures avant l'intervention). Enfin, l'étudiant doit savoir que la phytothérapie n'est pas une médecine « douce » dénuée de risques, et que la prescription et le conseil pharmaceutique doivent respecter les mêmes standards de rigueur que pour les médicaments conventionnels.</w:t>
      </w:r>
    </w:p>
    <w:p>
      <w:pPr>
        <w:pStyle w:val="Heading2"/>
      </w:pPr>
      <w:r>
        <w:t>241.12 Tableau comparatif de sous-classe</w:t>
      </w:r>
    </w:p>
    <w:p>
      <w:r>
        <w:t xml:space="preserve">Le tableau comparatif ci-dessous synthétise les caractéristiques principales de l'extrait standardisé de </w:t>
      </w:r>
      <w:r>
        <w:rPr>
          <w:i/>
        </w:rPr>
        <w:t>Ginkgo biloba</w:t>
      </w:r>
      <w:r>
        <w:t xml:space="preserve"> par rapport aux autres vasodilatateurs périphériques et anti-démences disponibles en Algérie, pour faciliter l'arbitrage thérapeutique au comptoir et la discussion avec le médecin prescripteur.</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Critère</w:t>
            </w:r>
          </w:p>
        </w:tc>
        <w:tc>
          <w:tcPr>
            <w:tcW w:type="dxa" w:w="1662"/>
            <w:shd w:val="clear" w:color="auto" w:fill="F2F2F2"/>
          </w:tcPr>
          <w:p>
            <w:r>
              <w:rPr>
                <w:rFonts w:ascii="Times New Roman" w:hAnsi="Times New Roman"/>
                <w:b/>
                <w:sz w:val="20"/>
              </w:rPr>
              <w:t>Ginkgo biloba (EGb 761)</w:t>
            </w:r>
          </w:p>
        </w:tc>
        <w:tc>
          <w:tcPr>
            <w:tcW w:type="dxa" w:w="1662"/>
            <w:shd w:val="clear" w:color="auto" w:fill="F2F2F2"/>
          </w:tcPr>
          <w:p>
            <w:r>
              <w:rPr>
                <w:rFonts w:ascii="Times New Roman" w:hAnsi="Times New Roman"/>
                <w:b/>
                <w:sz w:val="20"/>
              </w:rPr>
              <w:t>Cilostazol (Pletal)</w:t>
            </w:r>
          </w:p>
        </w:tc>
        <w:tc>
          <w:tcPr>
            <w:tcW w:type="dxa" w:w="1662"/>
            <w:shd w:val="clear" w:color="auto" w:fill="F2F2F2"/>
          </w:tcPr>
          <w:p>
            <w:r>
              <w:rPr>
                <w:rFonts w:ascii="Times New Roman" w:hAnsi="Times New Roman"/>
                <w:b/>
                <w:sz w:val="20"/>
              </w:rPr>
              <w:t>Naftidrofuryl</w:t>
            </w:r>
          </w:p>
        </w:tc>
        <w:tc>
          <w:tcPr>
            <w:tcW w:type="dxa" w:w="1662"/>
            <w:shd w:val="clear" w:color="auto" w:fill="F2F2F2"/>
          </w:tcPr>
          <w:p>
            <w:r>
              <w:rPr>
                <w:rFonts w:ascii="Times New Roman" w:hAnsi="Times New Roman"/>
                <w:b/>
                <w:sz w:val="20"/>
              </w:rPr>
              <w:t>Donepezil (Aricept)</w:t>
            </w:r>
          </w:p>
        </w:tc>
      </w:tr>
      <w:tr>
        <w:tc>
          <w:tcPr>
            <w:tcW w:type="dxa" w:w="1662"/>
          </w:tcPr>
          <w:p>
            <w:r>
              <w:rPr>
                <w:rFonts w:ascii="Times New Roman" w:hAnsi="Times New Roman"/>
                <w:sz w:val="20"/>
              </w:rPr>
              <w:t>**Classe pharmacologique**</w:t>
            </w:r>
          </w:p>
        </w:tc>
        <w:tc>
          <w:tcPr>
            <w:tcW w:type="dxa" w:w="1662"/>
          </w:tcPr>
          <w:p>
            <w:r>
              <w:rPr>
                <w:rFonts w:ascii="Times New Roman" w:hAnsi="Times New Roman"/>
                <w:sz w:val="20"/>
              </w:rPr>
              <w:t>Extrait végétal standardisé (N06DX02)</w:t>
            </w:r>
          </w:p>
        </w:tc>
        <w:tc>
          <w:tcPr>
            <w:tcW w:type="dxa" w:w="1662"/>
          </w:tcPr>
          <w:p>
            <w:r>
              <w:rPr>
                <w:rFonts w:ascii="Times New Roman" w:hAnsi="Times New Roman"/>
                <w:sz w:val="20"/>
              </w:rPr>
              <w:t>Inhibiteur PDE3 (B01AC23)</w:t>
            </w:r>
          </w:p>
        </w:tc>
        <w:tc>
          <w:tcPr>
            <w:tcW w:type="dxa" w:w="1662"/>
          </w:tcPr>
          <w:p>
            <w:r>
              <w:rPr>
                <w:rFonts w:ascii="Times New Roman" w:hAnsi="Times New Roman"/>
                <w:sz w:val="20"/>
              </w:rPr>
              <w:t>Acide nicotinique vasodilatateur (C04AX21)</w:t>
            </w:r>
          </w:p>
        </w:tc>
        <w:tc>
          <w:tcPr>
            <w:tcW w:type="dxa" w:w="1662"/>
          </w:tcPr>
          <w:p>
            <w:r>
              <w:rPr>
                <w:rFonts w:ascii="Times New Roman" w:hAnsi="Times New Roman"/>
                <w:sz w:val="20"/>
              </w:rPr>
              <w:t>Inhibiteur cholinestérase (N06DA02)</w:t>
            </w:r>
          </w:p>
        </w:tc>
      </w:tr>
      <w:tr>
        <w:tc>
          <w:tcPr>
            <w:tcW w:type="dxa" w:w="1662"/>
          </w:tcPr>
          <w:p>
            <w:r>
              <w:rPr>
                <w:rFonts w:ascii="Times New Roman" w:hAnsi="Times New Roman"/>
                <w:sz w:val="20"/>
              </w:rPr>
              <w:t>**Indication principale**</w:t>
            </w:r>
          </w:p>
        </w:tc>
        <w:tc>
          <w:tcPr>
            <w:tcW w:type="dxa" w:w="1662"/>
          </w:tcPr>
          <w:p>
            <w:r>
              <w:rPr>
                <w:rFonts w:ascii="Times New Roman" w:hAnsi="Times New Roman"/>
                <w:sz w:val="20"/>
              </w:rPr>
              <w:t>Claudication intermittente stade II + troubles cognitifs</w:t>
            </w:r>
          </w:p>
        </w:tc>
        <w:tc>
          <w:tcPr>
            <w:tcW w:type="dxa" w:w="1662"/>
          </w:tcPr>
          <w:p>
            <w:r>
              <w:rPr>
                <w:rFonts w:ascii="Times New Roman" w:hAnsi="Times New Roman"/>
                <w:sz w:val="20"/>
              </w:rPr>
              <w:t>Claudication intermittente stade II</w:t>
            </w:r>
          </w:p>
        </w:tc>
        <w:tc>
          <w:tcPr>
            <w:tcW w:type="dxa" w:w="1662"/>
          </w:tcPr>
          <w:p>
            <w:r>
              <w:rPr>
                <w:rFonts w:ascii="Times New Roman" w:hAnsi="Times New Roman"/>
                <w:sz w:val="20"/>
              </w:rPr>
              <w:t>Claudication intermittente stade II + artériopathie</w:t>
            </w:r>
          </w:p>
        </w:tc>
        <w:tc>
          <w:tcPr>
            <w:tcW w:type="dxa" w:w="1662"/>
          </w:tcPr>
          <w:p>
            <w:r>
              <w:rPr>
                <w:rFonts w:ascii="Times New Roman" w:hAnsi="Times New Roman"/>
                <w:sz w:val="20"/>
              </w:rPr>
              <w:t>Démence Alzheimer légère à modérée</w:t>
            </w:r>
          </w:p>
        </w:tc>
      </w:tr>
      <w:tr>
        <w:tc>
          <w:tcPr>
            <w:tcW w:type="dxa" w:w="1662"/>
          </w:tcPr>
          <w:p>
            <w:r>
              <w:rPr>
                <w:rFonts w:ascii="Times New Roman" w:hAnsi="Times New Roman"/>
                <w:sz w:val="20"/>
              </w:rPr>
              <w:t>**Posologie usuelle**</w:t>
            </w:r>
          </w:p>
        </w:tc>
        <w:tc>
          <w:tcPr>
            <w:tcW w:type="dxa" w:w="1662"/>
          </w:tcPr>
          <w:p>
            <w:r>
              <w:rPr>
                <w:rFonts w:ascii="Times New Roman" w:hAnsi="Times New Roman"/>
                <w:sz w:val="20"/>
              </w:rPr>
              <w:t>40 mg × 3/jour (120 mg/j)</w:t>
            </w:r>
          </w:p>
        </w:tc>
        <w:tc>
          <w:tcPr>
            <w:tcW w:type="dxa" w:w="1662"/>
          </w:tcPr>
          <w:p>
            <w:r>
              <w:rPr>
                <w:rFonts w:ascii="Times New Roman" w:hAnsi="Times New Roman"/>
                <w:sz w:val="20"/>
              </w:rPr>
              <w:t>100 mg × 2/jour</w:t>
            </w:r>
          </w:p>
        </w:tc>
        <w:tc>
          <w:tcPr>
            <w:tcW w:type="dxa" w:w="1662"/>
          </w:tcPr>
          <w:p>
            <w:r>
              <w:rPr>
                <w:rFonts w:ascii="Times New Roman" w:hAnsi="Times New Roman"/>
                <w:sz w:val="20"/>
              </w:rPr>
              <w:t>100 mg × 3/jour</w:t>
            </w:r>
          </w:p>
        </w:tc>
        <w:tc>
          <w:tcPr>
            <w:tcW w:type="dxa" w:w="1662"/>
          </w:tcPr>
          <w:p>
            <w:r>
              <w:rPr>
                <w:rFonts w:ascii="Times New Roman" w:hAnsi="Times New Roman"/>
                <w:sz w:val="20"/>
              </w:rPr>
              <w:t>5 à 10 mg/jour</w:t>
            </w:r>
          </w:p>
        </w:tc>
      </w:tr>
      <w:tr>
        <w:tc>
          <w:tcPr>
            <w:tcW w:type="dxa" w:w="1662"/>
          </w:tcPr>
          <w:p>
            <w:r>
              <w:rPr>
                <w:rFonts w:ascii="Times New Roman" w:hAnsi="Times New Roman"/>
                <w:sz w:val="20"/>
              </w:rPr>
              <w:t>**Demi-vie**</w:t>
            </w:r>
          </w:p>
        </w:tc>
        <w:tc>
          <w:tcPr>
            <w:tcW w:type="dxa" w:w="1662"/>
          </w:tcPr>
          <w:p>
            <w:r>
              <w:rPr>
                <w:rFonts w:ascii="Times New Roman" w:hAnsi="Times New Roman"/>
                <w:sz w:val="20"/>
              </w:rPr>
              <w:t>4-10 h (ginkgolides)</w:t>
            </w:r>
          </w:p>
        </w:tc>
        <w:tc>
          <w:tcPr>
            <w:tcW w:type="dxa" w:w="1662"/>
          </w:tcPr>
          <w:p>
            <w:r>
              <w:rPr>
                <w:rFonts w:ascii="Times New Roman" w:hAnsi="Times New Roman"/>
                <w:sz w:val="20"/>
              </w:rPr>
              <w:t>11-13 h</w:t>
            </w:r>
          </w:p>
        </w:tc>
        <w:tc>
          <w:tcPr>
            <w:tcW w:type="dxa" w:w="1662"/>
          </w:tcPr>
          <w:p>
            <w:r>
              <w:rPr>
                <w:rFonts w:ascii="Times New Roman" w:hAnsi="Times New Roman"/>
                <w:sz w:val="20"/>
              </w:rPr>
              <w:t>2-3 h</w:t>
            </w:r>
          </w:p>
        </w:tc>
        <w:tc>
          <w:tcPr>
            <w:tcW w:type="dxa" w:w="1662"/>
          </w:tcPr>
          <w:p>
            <w:r>
              <w:rPr>
                <w:rFonts w:ascii="Times New Roman" w:hAnsi="Times New Roman"/>
                <w:sz w:val="20"/>
              </w:rPr>
              <w:t>70 h</w:t>
            </w:r>
          </w:p>
        </w:tc>
      </w:tr>
      <w:tr>
        <w:tc>
          <w:tcPr>
            <w:tcW w:type="dxa" w:w="1662"/>
          </w:tcPr>
          <w:p>
            <w:r>
              <w:rPr>
                <w:rFonts w:ascii="Times New Roman" w:hAnsi="Times New Roman"/>
                <w:sz w:val="20"/>
              </w:rPr>
              <w:t>**Délai d'action**</w:t>
            </w:r>
          </w:p>
        </w:tc>
        <w:tc>
          <w:tcPr>
            <w:tcW w:type="dxa" w:w="1662"/>
          </w:tcPr>
          <w:p>
            <w:r>
              <w:rPr>
                <w:rFonts w:ascii="Times New Roman" w:hAnsi="Times New Roman"/>
                <w:sz w:val="20"/>
              </w:rPr>
              <w:t>3-6 mois</w:t>
            </w:r>
          </w:p>
        </w:tc>
        <w:tc>
          <w:tcPr>
            <w:tcW w:type="dxa" w:w="1662"/>
          </w:tcPr>
          <w:p>
            <w:r>
              <w:rPr>
                <w:rFonts w:ascii="Times New Roman" w:hAnsi="Times New Roman"/>
                <w:sz w:val="20"/>
              </w:rPr>
              <w:t>1-3 mois</w:t>
            </w:r>
          </w:p>
        </w:tc>
        <w:tc>
          <w:tcPr>
            <w:tcW w:type="dxa" w:w="1662"/>
          </w:tcPr>
          <w:p>
            <w:r>
              <w:rPr>
                <w:rFonts w:ascii="Times New Roman" w:hAnsi="Times New Roman"/>
                <w:sz w:val="20"/>
              </w:rPr>
              <w:t>1-3 mois</w:t>
            </w:r>
          </w:p>
        </w:tc>
        <w:tc>
          <w:tcPr>
            <w:tcW w:type="dxa" w:w="1662"/>
          </w:tcPr>
          <w:p>
            <w:r>
              <w:rPr>
                <w:rFonts w:ascii="Times New Roman" w:hAnsi="Times New Roman"/>
                <w:sz w:val="20"/>
              </w:rPr>
              <w:t>3-6 mois</w:t>
            </w:r>
          </w:p>
        </w:tc>
      </w:tr>
      <w:tr>
        <w:tc>
          <w:tcPr>
            <w:tcW w:type="dxa" w:w="1662"/>
          </w:tcPr>
          <w:p>
            <w:r>
              <w:rPr>
                <w:rFonts w:ascii="Times New Roman" w:hAnsi="Times New Roman"/>
                <w:sz w:val="20"/>
              </w:rPr>
              <w:t>**Effets indésirables majeurs**</w:t>
            </w:r>
          </w:p>
        </w:tc>
        <w:tc>
          <w:tcPr>
            <w:tcW w:type="dxa" w:w="1662"/>
          </w:tcPr>
          <w:p>
            <w:r>
              <w:rPr>
                <w:rFonts w:ascii="Times New Roman" w:hAnsi="Times New Roman"/>
                <w:sz w:val="20"/>
              </w:rPr>
              <w:t>Saignements (anti-PAF), troubles digestifs</w:t>
            </w:r>
          </w:p>
        </w:tc>
        <w:tc>
          <w:tcPr>
            <w:tcW w:type="dxa" w:w="1662"/>
          </w:tcPr>
          <w:p>
            <w:r>
              <w:rPr>
                <w:rFonts w:ascii="Times New Roman" w:hAnsi="Times New Roman"/>
                <w:sz w:val="20"/>
              </w:rPr>
              <w:t>Céphalées, palpitations, diarrhée</w:t>
            </w:r>
          </w:p>
        </w:tc>
        <w:tc>
          <w:tcPr>
            <w:tcW w:type="dxa" w:w="1662"/>
          </w:tcPr>
          <w:p>
            <w:r>
              <w:rPr>
                <w:rFonts w:ascii="Times New Roman" w:hAnsi="Times New Roman"/>
                <w:sz w:val="20"/>
              </w:rPr>
              <w:t>Troubles digestifs, rash</w:t>
            </w:r>
          </w:p>
        </w:tc>
        <w:tc>
          <w:tcPr>
            <w:tcW w:type="dxa" w:w="1662"/>
          </w:tcPr>
          <w:p>
            <w:r>
              <w:rPr>
                <w:rFonts w:ascii="Times New Roman" w:hAnsi="Times New Roman"/>
                <w:sz w:val="20"/>
              </w:rPr>
              <w:t>Nausées, vomissements, bradycardie</w:t>
            </w:r>
          </w:p>
        </w:tc>
      </w:tr>
      <w:tr>
        <w:tc>
          <w:tcPr>
            <w:tcW w:type="dxa" w:w="1662"/>
          </w:tcPr>
          <w:p>
            <w:r>
              <w:rPr>
                <w:rFonts w:ascii="Times New Roman" w:hAnsi="Times New Roman"/>
                <w:sz w:val="20"/>
              </w:rPr>
              <w:t>**Contre-indication absolue**</w:t>
            </w:r>
          </w:p>
        </w:tc>
        <w:tc>
          <w:tcPr>
            <w:tcW w:type="dxa" w:w="1662"/>
          </w:tcPr>
          <w:p>
            <w:r>
              <w:rPr>
                <w:rFonts w:ascii="Times New Roman" w:hAnsi="Times New Roman"/>
                <w:sz w:val="20"/>
              </w:rPr>
              <w:t>AVK, AOD, antiagrégants</w:t>
            </w:r>
          </w:p>
        </w:tc>
        <w:tc>
          <w:tcPr>
            <w:tcW w:type="dxa" w:w="1662"/>
          </w:tcPr>
          <w:p>
            <w:r>
              <w:rPr>
                <w:rFonts w:ascii="Times New Roman" w:hAnsi="Times New Roman"/>
                <w:sz w:val="20"/>
              </w:rPr>
              <w:t>Insuffisance cardiaque congestive</w:t>
            </w:r>
          </w:p>
        </w:tc>
        <w:tc>
          <w:tcPr>
            <w:tcW w:type="dxa" w:w="1662"/>
          </w:tcPr>
          <w:p>
            <w:r>
              <w:rPr>
                <w:rFonts w:ascii="Times New Roman" w:hAnsi="Times New Roman"/>
                <w:sz w:val="20"/>
              </w:rPr>
              <w:t>Hypersensibilité</w:t>
            </w:r>
          </w:p>
        </w:tc>
        <w:tc>
          <w:tcPr>
            <w:tcW w:type="dxa" w:w="1662"/>
          </w:tcPr>
          <w:p>
            <w:r>
              <w:rPr>
                <w:rFonts w:ascii="Times New Roman" w:hAnsi="Times New Roman"/>
                <w:sz w:val="20"/>
              </w:rPr>
              <w:t>Asthme, BAV non appareillé</w:t>
            </w:r>
          </w:p>
        </w:tc>
      </w:tr>
      <w:tr>
        <w:tc>
          <w:tcPr>
            <w:tcW w:type="dxa" w:w="1662"/>
          </w:tcPr>
          <w:p>
            <w:r>
              <w:rPr>
                <w:rFonts w:ascii="Times New Roman" w:hAnsi="Times New Roman"/>
                <w:sz w:val="20"/>
              </w:rPr>
              <w:t>**Surveillance**</w:t>
            </w:r>
          </w:p>
        </w:tc>
        <w:tc>
          <w:tcPr>
            <w:tcW w:type="dxa" w:w="1662"/>
          </w:tcPr>
          <w:p>
            <w:r>
              <w:rPr>
                <w:rFonts w:ascii="Times New Roman" w:hAnsi="Times New Roman"/>
                <w:sz w:val="20"/>
              </w:rPr>
              <w:t>NFS, INR si association (à éviter)</w:t>
            </w:r>
          </w:p>
        </w:tc>
        <w:tc>
          <w:tcPr>
            <w:tcW w:type="dxa" w:w="1662"/>
          </w:tcPr>
          <w:p>
            <w:r>
              <w:rPr>
                <w:rFonts w:ascii="Times New Roman" w:hAnsi="Times New Roman"/>
                <w:sz w:val="20"/>
              </w:rPr>
              <w:t>NFS, ECG</w:t>
            </w:r>
          </w:p>
        </w:tc>
        <w:tc>
          <w:tcPr>
            <w:tcW w:type="dxa" w:w="1662"/>
          </w:tcPr>
          <w:p>
            <w:r>
              <w:rPr>
                <w:rFonts w:ascii="Times New Roman" w:hAnsi="Times New Roman"/>
                <w:sz w:val="20"/>
              </w:rPr>
              <w:t>Transaminases</w:t>
            </w:r>
          </w:p>
        </w:tc>
        <w:tc>
          <w:tcPr>
            <w:tcW w:type="dxa" w:w="1662"/>
          </w:tcPr>
          <w:p>
            <w:r>
              <w:rPr>
                <w:rFonts w:ascii="Times New Roman" w:hAnsi="Times New Roman"/>
                <w:sz w:val="20"/>
              </w:rPr>
              <w:t>ECG (bradycardie)</w:t>
            </w:r>
          </w:p>
        </w:tc>
      </w:tr>
      <w:tr>
        <w:tc>
          <w:tcPr>
            <w:tcW w:type="dxa" w:w="1662"/>
          </w:tcPr>
          <w:p>
            <w:r>
              <w:rPr>
                <w:rFonts w:ascii="Times New Roman" w:hAnsi="Times New Roman"/>
                <w:sz w:val="20"/>
              </w:rPr>
              <w:t>**Grossesse**</w:t>
            </w:r>
          </w:p>
        </w:tc>
        <w:tc>
          <w:tcPr>
            <w:tcW w:type="dxa" w:w="1662"/>
          </w:tcPr>
          <w:p>
            <w:r>
              <w:rPr>
                <w:rFonts w:ascii="Times New Roman" w:hAnsi="Times New Roman"/>
                <w:sz w:val="20"/>
              </w:rPr>
              <w:t>Contre-indiqué (CRAT)</w:t>
            </w:r>
          </w:p>
        </w:tc>
        <w:tc>
          <w:tcPr>
            <w:tcW w:type="dxa" w:w="1662"/>
          </w:tcPr>
          <w:p>
            <w:r>
              <w:rPr>
                <w:rFonts w:ascii="Times New Roman" w:hAnsi="Times New Roman"/>
                <w:sz w:val="20"/>
              </w:rPr>
              <w:t>Contre-indiqué</w:t>
            </w:r>
          </w:p>
        </w:tc>
        <w:tc>
          <w:tcPr>
            <w:tcW w:type="dxa" w:w="1662"/>
          </w:tcPr>
          <w:p>
            <w:r>
              <w:rPr>
                <w:rFonts w:ascii="Times New Roman" w:hAnsi="Times New Roman"/>
                <w:sz w:val="20"/>
              </w:rPr>
              <w:t>Contre-indiqué</w:t>
            </w:r>
          </w:p>
        </w:tc>
        <w:tc>
          <w:tcPr>
            <w:tcW w:type="dxa" w:w="1662"/>
          </w:tcPr>
          <w:p>
            <w:r>
              <w:rPr>
                <w:rFonts w:ascii="Times New Roman" w:hAnsi="Times New Roman"/>
                <w:sz w:val="20"/>
              </w:rPr>
              <w:t>Contre-indiqué</w:t>
            </w:r>
          </w:p>
        </w:tc>
      </w:tr>
      <w:tr>
        <w:tc>
          <w:tcPr>
            <w:tcW w:type="dxa" w:w="1662"/>
          </w:tcPr>
          <w:p>
            <w:r>
              <w:rPr>
                <w:rFonts w:ascii="Times New Roman" w:hAnsi="Times New Roman"/>
                <w:sz w:val="20"/>
              </w:rPr>
              <w:t>**Disponibilité Algérie**</w:t>
            </w:r>
          </w:p>
        </w:tc>
        <w:tc>
          <w:tcPr>
            <w:tcW w:type="dxa" w:w="1662"/>
          </w:tcPr>
          <w:p>
            <w:r>
              <w:rPr>
                <w:rFonts w:ascii="Times New Roman" w:hAnsi="Times New Roman"/>
                <w:sz w:val="20"/>
              </w:rPr>
              <w:t>Oui (Tanakan, Ginkoba, Isotanak)</w:t>
            </w:r>
          </w:p>
        </w:tc>
        <w:tc>
          <w:tcPr>
            <w:tcW w:type="dxa" w:w="1662"/>
          </w:tcPr>
          <w:p>
            <w:r>
              <w:rPr>
                <w:rFonts w:ascii="Times New Roman" w:hAnsi="Times New Roman"/>
                <w:sz w:val="20"/>
              </w:rPr>
              <w:t>Limité</w:t>
            </w:r>
          </w:p>
        </w:tc>
        <w:tc>
          <w:tcPr>
            <w:tcW w:type="dxa" w:w="1662"/>
          </w:tcPr>
          <w:p>
            <w:r>
              <w:rPr>
                <w:rFonts w:ascii="Times New Roman" w:hAnsi="Times New Roman"/>
                <w:sz w:val="20"/>
              </w:rPr>
              <w:t>Oui</w:t>
            </w:r>
          </w:p>
        </w:tc>
        <w:tc>
          <w:tcPr>
            <w:tcW w:type="dxa" w:w="1662"/>
          </w:tcPr>
          <w:p>
            <w:r>
              <w:rPr>
                <w:rFonts w:ascii="Times New Roman" w:hAnsi="Times New Roman"/>
                <w:sz w:val="20"/>
              </w:rPr>
              <w:t>Oui</w:t>
            </w:r>
          </w:p>
        </w:tc>
      </w:tr>
      <w:tr>
        <w:tc>
          <w:tcPr>
            <w:tcW w:type="dxa" w:w="1662"/>
          </w:tcPr>
          <w:p>
            <w:r>
              <w:rPr>
                <w:rFonts w:ascii="Times New Roman" w:hAnsi="Times New Roman"/>
                <w:sz w:val="20"/>
              </w:rPr>
              <w:t>**Niveau de preuve**</w:t>
            </w:r>
          </w:p>
        </w:tc>
        <w:tc>
          <w:tcPr>
            <w:tcW w:type="dxa" w:w="1662"/>
          </w:tcPr>
          <w:p>
            <w:r>
              <w:rPr>
                <w:rFonts w:ascii="Times New Roman" w:hAnsi="Times New Roman"/>
                <w:sz w:val="20"/>
              </w:rPr>
              <w:t>Modéré (EMA HMPC)</w:t>
            </w:r>
          </w:p>
        </w:tc>
        <w:tc>
          <w:tcPr>
            <w:tcW w:type="dxa" w:w="1662"/>
          </w:tcPr>
          <w:p>
            <w:r>
              <w:rPr>
                <w:rFonts w:ascii="Times New Roman" w:hAnsi="Times New Roman"/>
                <w:sz w:val="20"/>
              </w:rPr>
              <w:t>Élevé (AMM)</w:t>
            </w:r>
          </w:p>
        </w:tc>
        <w:tc>
          <w:tcPr>
            <w:tcW w:type="dxa" w:w="1662"/>
          </w:tcPr>
          <w:p>
            <w:r>
              <w:rPr>
                <w:rFonts w:ascii="Times New Roman" w:hAnsi="Times New Roman"/>
                <w:sz w:val="20"/>
              </w:rPr>
              <w:t>Modéré (AMM)</w:t>
            </w:r>
          </w:p>
        </w:tc>
        <w:tc>
          <w:tcPr>
            <w:tcW w:type="dxa" w:w="1662"/>
          </w:tcPr>
          <w:p>
            <w:r>
              <w:rPr>
                <w:rFonts w:ascii="Times New Roman" w:hAnsi="Times New Roman"/>
                <w:sz w:val="20"/>
              </w:rPr>
              <w:t>Élevé (AMM)</w:t>
            </w:r>
          </w:p>
        </w:tc>
      </w:tr>
      <w:tr>
        <w:tc>
          <w:tcPr>
            <w:tcW w:type="dxa" w:w="1662"/>
          </w:tcPr>
          <w:p>
            <w:r>
              <w:rPr>
                <w:rFonts w:ascii="Times New Roman" w:hAnsi="Times New Roman"/>
                <w:sz w:val="20"/>
              </w:rPr>
              <w:t>**Coût mensuel approximatif**</w:t>
            </w:r>
          </w:p>
        </w:tc>
        <w:tc>
          <w:tcPr>
            <w:tcW w:type="dxa" w:w="1662"/>
          </w:tcPr>
          <w:p>
            <w:r>
              <w:rPr>
                <w:rFonts w:ascii="Times New Roman" w:hAnsi="Times New Roman"/>
                <w:sz w:val="20"/>
              </w:rPr>
              <w:t>Modéré (Tanakan : ~1500 DA/mois)</w:t>
            </w:r>
          </w:p>
        </w:tc>
        <w:tc>
          <w:tcPr>
            <w:tcW w:type="dxa" w:w="1662"/>
          </w:tcPr>
          <w:p>
            <w:r>
              <w:rPr>
                <w:rFonts w:ascii="Times New Roman" w:hAnsi="Times New Roman"/>
                <w:sz w:val="20"/>
              </w:rPr>
              <w:t>Élevé</w:t>
            </w:r>
          </w:p>
        </w:tc>
        <w:tc>
          <w:tcPr>
            <w:tcW w:type="dxa" w:w="1662"/>
          </w:tcPr>
          <w:p>
            <w:r>
              <w:rPr>
                <w:rFonts w:ascii="Times New Roman" w:hAnsi="Times New Roman"/>
                <w:sz w:val="20"/>
              </w:rPr>
              <w:t>Modéré</w:t>
            </w:r>
          </w:p>
        </w:tc>
        <w:tc>
          <w:tcPr>
            <w:tcW w:type="dxa" w:w="1662"/>
          </w:tcPr>
          <w:p>
            <w:r>
              <w:rPr>
                <w:rFonts w:ascii="Times New Roman" w:hAnsi="Times New Roman"/>
                <w:sz w:val="20"/>
              </w:rPr>
              <w:t>Élevé</w:t>
            </w:r>
          </w:p>
        </w:tc>
      </w:tr>
    </w:tbl>
    <w:p/>
    <w:p>
      <w:pPr>
        <w:pStyle w:val="Heading3"/>
      </w:pPr>
      <w:r>
        <w:t>241.12.1 Synthèse transversale de la sous-classe</w:t>
      </w:r>
    </w:p>
    <w:p>
      <w:r>
        <w:t xml:space="preserve">Le </w:t>
      </w:r>
      <w:r>
        <w:rPr>
          <w:i/>
        </w:rPr>
        <w:t>Ginkgo biloba</w:t>
      </w:r>
      <w:r>
        <w:t xml:space="preserve"> occupe une place particulière dans l'arsenal thérapeutique algérien des vasodilatateurs périphériques et anti-démences. Son profil d'efficacité modeste mais significative, combiné à son excellente tolérance clinique (hors situations d'interactions médicamenteuses), en fait un traitement de première intention dans la claudication intermittente modérée et dans les troubles cognitifs légers à modérés du sujet âgé. Le cilostazol, plus efficace mais contre-indiqué en cas d'insuffisance cardiaque, est réservé à la claudication invalidante résistante au </w:t>
      </w:r>
      <w:r>
        <w:rPr>
          <w:i/>
        </w:rPr>
        <w:t>Ginkgo biloba</w:t>
      </w:r>
      <w:r>
        <w:t xml:space="preserve"> après 6 mois de traitement bien conduit. Le naftidrofuryl constitue une alternative au </w:t>
      </w:r>
      <w:r>
        <w:rPr>
          <w:i/>
        </w:rPr>
        <w:t>Ginkgo biloba</w:t>
      </w:r>
      <w:r>
        <w:t xml:space="preserve"> dans la claudication intermittente. Le donepezil, inhibiteur de la cholinestérase, est le traitement de référence de la démence Alzheimer modérée à sévère, en association ou en relais du </w:t>
      </w:r>
      <w:r>
        <w:rPr>
          <w:i/>
        </w:rPr>
        <w:t>Ginkgo biloba</w:t>
      </w:r>
      <w:r>
        <w:t xml:space="preserve"> lorsque les troubles cognitifs progressent malgré 6 mois de traitement phytothérapique bien conduit. L'arbitrage thérapeutique doit être discuté au cas par cas avec le médecin prescripteur, en tenant compte du profil du patient, des comorbidités, des traitements associés et de la tolérance.</w:t>
      </w:r>
    </w:p>
    <w:p>
      <w:pPr>
        <w:pStyle w:val="Heading3"/>
      </w:pPr>
      <w:r>
        <w:t>241.12.2 Conclusion du chapitre 241</w:t>
      </w:r>
    </w:p>
    <w:p>
      <w:r>
        <w:t xml:space="preserve">Le </w:t>
      </w:r>
      <w:r>
        <w:rPr>
          <w:i/>
        </w:rPr>
        <w:t>Ginkgo biloba</w:t>
      </w:r>
      <w:r>
        <w:t>, plante médicinale ancestral devenu médicament moderne standardisé, illustre la rencontre féconde entre pharmacopée traditionnelle et pharmacologie contemporaine. Sa prescription en Algérie repose sur quatre spécialités actives (Tanakan, Ginkoba, Isotanak) qui couvrent l'ensemble des besoins thérapeutiques en solution buvable et comprimé pelliculé, à un coût accessible pour la majorité des patients. Le pharmacien d'officine algérien joue un rôle central dans la dispensation et le conseil pharmaceutique de cette molécule, en particulier pour la détection des contre-indications (AVK, antiagrégants), la surveillance de l'observance et de la tolérance, et l'éducation thérapeutique du patient. Les chapitres suivants traitent des autres DCI phytothérapiques (association Ginkgo + Heptaminol + Troxérutine, Serenoa repens, Pygeum africanum), de la médecine nucléaire (radium-223) et des dispositifs médicaux antacides (alginates), qui complètent l'arsenal thérapeutique algérien pour la prise en charge des pathologies vasculaires, prostatiques, oncologiques et digestives.</w:t>
      </w:r>
    </w:p>
    <w:p>
      <w:pPr>
        <w:pStyle w:val="Heading1"/>
      </w:pPr>
      <w:r>
        <w:t>Chapitre 242 — Phytothérapie : Ginkgo biloba + Heptaminol + Troxérutine (Ginkor Fort)</w:t>
      </w:r>
    </w:p>
    <w:p>
      <w:pPr>
        <w:pStyle w:val="Heading2"/>
      </w:pPr>
      <w:r>
        <w:t>Fascicule XXIV — Phytothérapie, Médecine Nucléaire &amp; Dispositifs Médicaux</w:t>
      </w:r>
    </w:p>
    <w:p>
      <w:pPr>
        <w:pStyle w:val="Heading2"/>
      </w:pPr>
      <w:r>
        <w:t>242.0 Introduction au chapitre 242 — Ginkor Fort et l'association vasculo-protectrice tritherapique</w:t>
      </w:r>
    </w:p>
    <w:p>
      <w:r>
        <w:t xml:space="preserve">L'association Ginkgo biloba + Heptaminol + Troxérutine, commercialisée en Algérie sous la spécialité unique </w:t>
      </w:r>
      <w:r>
        <w:rPr>
          <w:b/>
        </w:rPr>
        <w:t>Ginkor Fort</w:t>
      </w:r>
      <w:r>
        <w:t xml:space="preserve"> (Laboratoires TONIPHARM), constitue une association médicamenteuse fixe trithérapique originale destinée au traitement des manifestations de l'insuffisance veineuse chronique (IVC) et de la crise hémorroïdaire. Cette association, développée en France par le laboratoire Tonipharm à la fin des années 1990, repose sur une logique pharmacologique synergique combinant trois principes actifs d'origines et de mécanismes d'action complémentaires : un extrait végétal standardisé de </w:t>
      </w:r>
      <w:r>
        <w:rPr>
          <w:i/>
        </w:rPr>
        <w:t>Ginkgo biloba</w:t>
      </w:r>
      <w:r>
        <w:t xml:space="preserve"> (vasodilatateur artériolaire et anti-agrégant plaquettaire), un sympathomimétique indirect (heptaminol, vasodilatateur veineux par inhibition de la recapture noradrénergique), et un veinotonique flavonoïque (troxérutine, vasculoprotecteur capillaire et anti-œdémateux). Cette trithérapie fixe se distingue des monothérapies veineuses (Daflon 500 mg, Cyclo 3 Fort, Endotelon) par son spectre d'action étendu à la fois sur la composante artériolaire, veineuse et capillaire de la microcirculation, justifiant son utilisation dans les insuffisances veineuses chroniques complexes avec retentissement artériolo-capillaire.</w:t>
      </w:r>
    </w:p>
    <w:p>
      <w:r>
        <w:t xml:space="preserve">En Algérie, Ginkor Fort est disponible en une seule spécialité : gélule dosée à 14 mg d'extrait standardisé de </w:t>
      </w:r>
      <w:r>
        <w:rPr>
          <w:i/>
        </w:rPr>
        <w:t>Ginkgo biloba</w:t>
      </w:r>
      <w:r>
        <w:t xml:space="preserve"> (titré à 24 % d'hétérosides de ginkgo et 6 % de ginkgolides-bilobalide), 300 mg de chlorhydrate d'heptaminol et 300 mg de troxérutine, en boîte de 30 gélules. La prescription est inscrite sur la </w:t>
      </w:r>
      <w:r>
        <w:rPr>
          <w:b/>
        </w:rPr>
        <w:t>Liste I</w:t>
      </w:r>
      <w:r>
        <w:t xml:space="preserve"> des substances vénéneuses, ce qui impose une ordonnance médicale obligatoire et limite l'automédication. La posologie usuelle est de 2 gélules par jour (matin et midi) pendant la phase d'attaque de 1 à 2 semaines, puis 1 gélule par jour en traitement d'entretien pendant 4 à 6 semaines. Les indications validées par l'AMM française (et reconnues en Algérie) sont le traitement des symptômes fonctionnels liés à l'insuffisance veineuse chronique (jambes lourdes, œdèmes, douleurs, impatiences) et le traitement de la crise hémorroïdaire aiguë.</w:t>
      </w:r>
    </w:p>
    <w:p>
      <w:r>
        <w:t xml:space="preserve">L'enseignement de Ginkor Fort à l'étudiant en pharmacie algérien doit intégrer quatre dimensions complémentaires. </w:t>
      </w:r>
      <w:r>
        <w:rPr>
          <w:b/>
        </w:rPr>
        <w:t>Pharmacologie</w:t>
      </w:r>
      <w:r>
        <w:t xml:space="preserve"> : la compréhension des mécanismes d'action respectifs des trois composants et de leur synergie clinique. </w:t>
      </w:r>
      <w:r>
        <w:rPr>
          <w:b/>
        </w:rPr>
        <w:t>Clinique</w:t>
      </w:r>
      <w:r>
        <w:t xml:space="preserve"> : la reconnaissance des indications validées (IVC, crise hémorroïdaire) et des contre-indications (hypertension artérielle non contrôlée en raison de l'heptaminol sympathomimétique). </w:t>
      </w:r>
      <w:r>
        <w:rPr>
          <w:b/>
        </w:rPr>
        <w:t>Conseil pharmaceutique</w:t>
      </w:r>
      <w:r>
        <w:t xml:space="preserve"> : la durée du traitement (1 à 2 semaines en phase d'attaque, 4 à 6 semaines en entretien), les règles hygiéno-diététiques associées (compression élastique, surélévation des jambes, marche), et la détection des effets indésirables (céphalées, troubles digestifs, hypotension orthostatique). </w:t>
      </w:r>
      <w:r>
        <w:rPr>
          <w:b/>
        </w:rPr>
        <w:t>Précautions et interactions</w:t>
      </w:r>
      <w:r>
        <w:t xml:space="preserve"> : la surveillance de la tension artérielle chez le patient hypertendu, l'interaction potentielle avec les IMAO (héptaminol sympathomimétique), et la prudence chez le diabétique (heptaminol peut interférer avec la glycémie).</w:t>
      </w:r>
    </w:p>
    <w:p>
      <w:pPr>
        <w:pStyle w:val="Heading2"/>
      </w:pPr>
      <w:r>
        <w:t>242.1 Liste des catégories thérapeutiques (classification ATC OMS)</w:t>
      </w:r>
    </w:p>
    <w:p>
      <w:r>
        <w:t xml:space="preserve">L'association Ginkgo biloba + Heptaminol + Troxérutine est classée dans la classification ATC de l'OMS sous le code </w:t>
      </w:r>
      <w:r>
        <w:rPr>
          <w:b/>
        </w:rPr>
        <w:t>C05BA53</w:t>
      </w:r>
      <w:r>
        <w:t>, qui se décompose comme suit :</w:t>
      </w:r>
    </w:p>
    <w:p>
      <w:pPr>
        <w:pStyle w:val="ListBullet"/>
      </w:pPr>
      <w:r/>
      <w:r>
        <w:rPr>
          <w:b/>
        </w:rPr>
        <w:t>C</w:t>
      </w:r>
      <w:r>
        <w:t xml:space="preserve"> : Système cardiovasculaire (niveau anatomique principal)</w:t>
      </w:r>
    </w:p>
    <w:p>
      <w:pPr>
        <w:pStyle w:val="ListBullet"/>
      </w:pPr>
      <w:r/>
      <w:r>
        <w:rPr>
          <w:b/>
        </w:rPr>
        <w:t>C05</w:t>
      </w:r>
      <w:r>
        <w:t xml:space="preserve"> : Vasoprotecteurs (niveau thérapeutique principal)</w:t>
      </w:r>
    </w:p>
    <w:p>
      <w:pPr>
        <w:pStyle w:val="ListBullet"/>
      </w:pPr>
      <w:r/>
      <w:r>
        <w:rPr>
          <w:b/>
        </w:rPr>
        <w:t>C05B</w:t>
      </w:r>
      <w:r>
        <w:t xml:space="preserve"> : Vasoprotecteurs à usage systémique (niveau pharmacologique)</w:t>
      </w:r>
    </w:p>
    <w:p>
      <w:pPr>
        <w:pStyle w:val="ListBullet"/>
      </w:pPr>
      <w:r/>
      <w:r>
        <w:rPr>
          <w:b/>
        </w:rPr>
        <w:t>C05BA</w:t>
      </w:r>
      <w:r>
        <w:t xml:space="preserve"> : Sulfates de polysaccharides (troxérutine) en association (niveau sous-classe)</w:t>
      </w:r>
    </w:p>
    <w:p>
      <w:pPr>
        <w:pStyle w:val="ListBullet"/>
      </w:pPr>
      <w:r/>
      <w:r>
        <w:rPr>
          <w:b/>
        </w:rPr>
        <w:t>C05BA53</w:t>
      </w:r>
      <w:r>
        <w:t xml:space="preserve"> : Troxérutine en association, sans psycholeptiques (niveau substance)</w:t>
      </w:r>
    </w:p>
    <w:p>
      <w:r>
        <w:t xml:space="preserve">Cette classification ATC reflète la prédominance pharmacologique de la troxérutine dans l'association, le composant veinotonique flavonoïque étant considéré comme le principe actif majeur selon la nomenclature ATC. Cependant, l'efficacité clinique de Ginkor Fort résulte de la synergie des trois composants, chacun apportant une contribution pharmacologique distincte. La spécialité est inscrite sur la </w:t>
      </w:r>
      <w:r>
        <w:rPr>
          <w:b/>
        </w:rPr>
        <w:t>Liste I</w:t>
      </w:r>
      <w:r>
        <w:t xml:space="preserve"> des substances vénéneuses en Algérie, ce qui impose une prescription médicale obligatoire et limite la durée de prescription à 12 mois (renouvelable). Cette inscription sur la Liste I est justifiée par la présence d'heptaminol, substance apparentée aux sympathomimétiques indirects (catégorie des anorexigènes et stimulants cardiovasculaires), dont l'usage est réglementé en raison du risque d'interaction avec les antihypertenseurs et les IMAO, et du risque théorique d'hypertension paradoxale ou de troubles du rythme en cas de surdosage.</w:t>
      </w:r>
    </w:p>
    <w:p>
      <w:r>
        <w:t>L'inscription sur la Liste I a également pour conséquence la nécessité d'une déclaration de pharmacovigilance en cas d'effet indésirable grave, et l'interdiction de la publicité grand public pour cette spécialité (la promotion est réservée aux professionnels de santé). Enfin, Ginkor Fort est inscrit sur la liste des médicaments remboursables par la sécurité sociale algérienne (Caisse Nationale des Assurances Sociales des Travailleurs Salariés, CNAS) dans l'indication d'insuffisance veineuse chronique symptomatique documentée, avec un taux de remboursement de 50 % et un tarif de référence fixé par décret ministériel.</w:t>
      </w:r>
    </w:p>
    <w:p>
      <w:pPr>
        <w:pStyle w:val="Heading2"/>
      </w:pPr>
      <w:r>
        <w:t>242.2 Médicaments disponibles en Algérie</w:t>
      </w:r>
    </w:p>
    <w:p>
      <w:r>
        <w:t>Le tableau ci-dessous recense l'ensemble des spécialités pharmaceutiques de l'association Ginkgo biloba + Heptaminol + Troxérutine disponibles ou ayant été disponibles sur le marché algérien, à la date de la nomenclature Avril 2026.</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GINKOR FORT</w:t>
            </w:r>
          </w:p>
        </w:tc>
        <w:tc>
          <w:tcPr>
            <w:tcW w:type="dxa" w:w="1385"/>
          </w:tcPr>
          <w:p>
            <w:r>
              <w:rPr>
                <w:rFonts w:ascii="Times New Roman" w:hAnsi="Times New Roman"/>
                <w:sz w:val="20"/>
              </w:rPr>
              <w:t>TONIPHARM</w:t>
            </w:r>
          </w:p>
        </w:tc>
        <w:tc>
          <w:tcPr>
            <w:tcW w:type="dxa" w:w="1385"/>
          </w:tcPr>
          <w:p>
            <w:r>
              <w:rPr>
                <w:rFonts w:ascii="Times New Roman" w:hAnsi="Times New Roman"/>
                <w:sz w:val="20"/>
              </w:rPr>
              <w:t>Gélule (Extrait de Ginkgo biloba titré à 24 % d'hétérosides de ginkgo et 6 % de ginkgolides-bilobalide 14 mg + Chlorhydrate d'heptaminol 300 mg + Troxérutine 300 mg)</w:t>
            </w:r>
          </w:p>
        </w:tc>
        <w:tc>
          <w:tcPr>
            <w:tcW w:type="dxa" w:w="1385"/>
          </w:tcPr>
          <w:p>
            <w:r>
              <w:rPr>
                <w:rFonts w:ascii="Times New Roman" w:hAnsi="Times New Roman"/>
                <w:sz w:val="20"/>
              </w:rPr>
              <w:t>Boîte de 30 gélules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Remarques sur la disponibilité</w:t>
      </w:r>
      <w:r>
        <w:t xml:space="preserve"> : Ginkor Fort est la seule spécialité commerciale disponible en Algérie associant ces trois principes actifs. Aucune autre spécialité générique ou concurrente n'est recensée dans la nomenclature algérienne Avril 2026. Le laboratoire TONIPHARM, fabricant français basé à Frontonas (Isère, France), assure la production et la commercialisation de cette spécialité depuis plusieurs décennies. La spécialité est régulièrement approvisionnée sur le marché algérien et ne présente pas de problème de disponibilité signalé à la date de la nomenclature. Le conditionnement de 30 gélules couvre 15 jours de traitement à la posologie d'attaque (2 gélules/jour) ou 30 jours de traitement à la posologie d'entretien (1 gélule/jour). Le tarif de vente au public est généralement compris entre 800 et 1200 DA la boîte de 30 gélules (tarif indicatif, susceptible de variations selon les pharmacies et les éventuelles remises accordées par le distributeur).</w:t>
      </w:r>
    </w:p>
    <w:p>
      <w:r/>
      <w:r>
        <w:rPr>
          <w:b/>
        </w:rPr>
        <w:t>Statut commercial</w:t>
      </w:r>
      <w:r>
        <w:t xml:space="preserve"> : la spécialité est </w:t>
      </w:r>
      <w:r>
        <w:rPr>
          <w:b/>
        </w:rPr>
        <w:t>active</w:t>
      </w:r>
      <w:r>
        <w:t xml:space="preserve"> (commercialisée et disponible en pharmacie d'officine algérienne). Aucune décision de retrait, de suspension de commercialisation ou de non-renouvellement n'a été notifiée par le laboratoire TONIPHARM ou par le ministère de la Santé algérien à la date de la nomenclature Avril 2026. La prescription est réservée aux médecins (généralistes, angiologues, phlébologues, proctologues) et la dispensation est exclusivement pharmaceutique en pharmacie d'officine ou hospitalière.</w:t>
      </w:r>
    </w:p>
    <w:p>
      <w:r/>
      <w:r>
        <w:rPr>
          <w:b/>
        </w:rPr>
        <w:t>Cadre réglementaire de prescription</w:t>
      </w:r>
      <w:r>
        <w:t xml:space="preserve"> : la spécialité est inscrite sur la Liste I des substances vénéneuses, ce qui impose une ordonnance médicale obligatoire, non renouvelable au-delà de 12 mois, et conservée par le pharmacien pendant 5 ans. La prescription peut être établie par tout médecin inscrit au Conseil national de l'ordre des médecins algérien, sans restriction de spécialité. La durée maximale de prescription par ordonnance est généralement de 6 mois (renouvelable), conformément aux recommandations de l'ANSM (France) et de la Société algérienne de médecine vasculaire. Le remboursement par la CNAS est accordé dans l'indication d'insuffisance veineuse chronique symptomatique documentée par examen doppler veineux, sur présentation de l'ordonnance et d'un certificat médical justifiant l'indication.</w:t>
      </w:r>
    </w:p>
    <w:p>
      <w:pPr>
        <w:pStyle w:val="Heading2"/>
      </w:pPr>
      <w:r>
        <w:t>242.3 Sous-classe et mécanisme d'action moléculaire</w:t>
      </w:r>
    </w:p>
    <w:p>
      <w:pPr>
        <w:pStyle w:val="Heading3"/>
      </w:pPr>
      <w:r>
        <w:t>242.3.1 Composition chimique de l'association trithérapique</w:t>
      </w:r>
    </w:p>
    <w:p>
      <w:r>
        <w:t>L'association Ginkgo biloba + Heptaminol + Troxérutine (Ginkor Fort) combine trois principes actifs d'origines, de structures chimiques et de mécanismes d'action complémentaires, à des doses optimisées pour une synergie pharmacologique dans le traitement de l'insuffisance veineuse chronique et de la crise hémorroïdaire. Chaque gélule de Ginkor Fort contient :</w:t>
      </w:r>
    </w:p>
    <w:p>
      <w:pPr>
        <w:pStyle w:val="ListBullet"/>
      </w:pPr>
      <w:r>
        <w:t>**Extrait standardisé de *Ginkgo biloba* (14 mg)** : extrait sec titré à 24 % d'hétérosides de ginkgo (flavonoïdes) et 6 % de terpénolactones (ginkgolides A, B, C, J et bilobalide), dépourvu d'acide ginkgolique. La dose de 14 mg est nettement inférieure à la dose standard du *Ginkgo biloba* en monothérapie (40 mg × 3/jour, soit 120 mg/jour), reflétant le rôle adjuvant du *Ginkgo biloba* dans cette association.</w:t>
      </w:r>
    </w:p>
    <w:p>
      <w:pPr>
        <w:pStyle w:val="ListBullet"/>
      </w:pPr>
      <w:r/>
      <w:r>
        <w:rPr>
          <w:b/>
        </w:rPr>
        <w:t>Chlorhydrate d'heptaminol (300 mg)</w:t>
      </w:r>
      <w:r>
        <w:t xml:space="preserve"> : amino-alcool sympathomimétique indirect de structure 6-amino-2-méthylheptan-2-ol, chlorhydrate. L'heptaminol est un dérivé synthétique proche de l'octopamine, qui agit par inhibition de la recapture de la noradrénaline au niveau des terminaisons nerveuses sympathiques, augmentant ainsi la concentration de noradrénaline au niveau des récepteurs α1 post-synaptiques veineux, et provoquant une vasoconstriction veineuse augmentant le retour veineux.</w:t>
      </w:r>
    </w:p>
    <w:p>
      <w:pPr>
        <w:pStyle w:val="ListBullet"/>
      </w:pPr>
      <w:r/>
      <w:r>
        <w:rPr>
          <w:b/>
        </w:rPr>
        <w:t>Troxérutine (300 mg)</w:t>
      </w:r>
      <w:r>
        <w:t xml:space="preserve"> : dérivé semi-synthétique de la rutine (quercétine-3-O-rutinoside), flavonoïde de la classe des flavonols, porteur de groupements hydroxyéthyles (tris-hydroxyéthyl rutine). La troxérutine est le veinotonique flavonoïque le plus prescrit en France et en Algérie, en raison de son efficacité démontrée sur la perméabilité capillaire et le retour veineux.</w:t>
      </w:r>
    </w:p>
    <w:p>
      <w:pPr>
        <w:pStyle w:val="Heading3"/>
      </w:pPr>
      <w:r>
        <w:t>242.3.2 Mécanisme d'action moléculaire synergique</w:t>
      </w:r>
    </w:p>
    <w:p>
      <w:r>
        <w:t>L'association trithérapique exerce ses effets pharmacologiques par un mécanisme synergique impliquant trois voies complémentaires ciblant les trois compartiments de la microcirculation.</w:t>
      </w:r>
    </w:p>
    <w:p>
      <w:r/>
      <w:r>
        <w:rPr>
          <w:b/>
        </w:rPr>
        <w:t>Heptaminol — vasoconstriction veineuse</w:t>
      </w:r>
      <w:r>
        <w:t xml:space="preserve"> : l'heptaminol augmente la concentration de noradrénaline au niveau des récepteurs α1 post-synaptiques veineux, provoquant une vasoconstriction veineuse augmentant le retour veineux vers le cœur et réduisant la stase veineuse responsable des œdèmes, des douleurs et des jambes lourdes. L'effet vasoconstricteur veineux est prédominant sur le lit veineux superficiel (veines saphènes) et profond (veines tibiales, poplitée, fémorale), sans effet significatif sur le lit artériel à dose thérapeutique. L'heptaminol exerce également un effet inotrope positif modéré (augmentation de la force de contraction myocardique) et un effet chronotrope positif modéré (augmentation de la fréquence cardiaque), ce qui explique la surveillance de la tension artérielle et de la fréquence cardiaque chez le patient hypertendu ou coronarien.</w:t>
      </w:r>
    </w:p>
    <w:p>
      <w:r/>
      <w:r>
        <w:rPr>
          <w:b/>
        </w:rPr>
        <w:t>Troxérutine — vasculoprotection capillaire</w:t>
      </w:r>
      <w:r>
        <w:t xml:space="preserve"> : la troxérutine exerce son effet pharmacologique principal au niveau capillaire, en réduisant la perméabilité capillaire et en augmentant la résistance capillaire. Le mécanisme moléculaire implique l'inhibition de la phosphodiastérase IV (PDE4), augmentant l'AMPc intracellulaire endothélial et réduisant la contraction des filaments d'actine endothéliaux responsables de l'ouverture des jonctions intercellulaires. La troxérutine exerce également un effet antioxydant (piégeage des radicaux libres), un effet anti-inflammatoire (inhibition de la libération d'histamine par les mastocytes) et un effet anti-œdémateux (réduction de la filtration capillaire).</w:t>
      </w:r>
    </w:p>
    <w:p>
      <w:r/>
      <w:r>
        <w:rPr>
          <w:b/>
        </w:rPr>
        <w:t>Ginkgo biloba — vasodilatation artériolaire et anti-agrégation plaquettaire</w:t>
      </w:r>
      <w:r>
        <w:t xml:space="preserve"> : le </w:t>
      </w:r>
      <w:r>
        <w:rPr>
          <w:i/>
        </w:rPr>
        <w:t>Ginkgo biloba</w:t>
      </w:r>
      <w:r>
        <w:t xml:space="preserve"> exerce son effet pharmacologique principal au niveau artériolaire, en améliorant la microcirculation par inhibition du PAF (ginkgolides) et en protégeant l'endothélium artériolaire du stress oxydatif (flavonoïdes). L'effet anti-PAF réduit l'agrégation plaquettaire au niveau microcirculatoire et améliore le flux sanguin artériolaire. L'effet antioxydant protège l'endothélium artériolaire de la peroxydation lipidique et de la dysfonction endothéliale responsable de l'ischémie microcirculatoire.</w:t>
      </w:r>
    </w:p>
    <w:p>
      <w:pPr>
        <w:pStyle w:val="Heading3"/>
      </w:pPr>
      <w:r>
        <w:t>242.3.3 Synergie pharmacologique de l'association trithérapique</w:t>
      </w:r>
    </w:p>
    <w:p>
      <w:r>
        <w:t xml:space="preserve">La synergie pharmacologique de l'association Ginkgo biloba + Heptaminol + Troxérutine repose sur la complémentarité des trois composants : l'heptaminol augmente le retour veineux par vasoconstriction veineuse, la troxérutine réduit la perméabilité capillaire et l'œdème, le </w:t>
      </w:r>
      <w:r>
        <w:rPr>
          <w:i/>
        </w:rPr>
        <w:t>Ginkgo biloba</w:t>
      </w:r>
      <w:r>
        <w:t xml:space="preserve"> améliore la microcirculation artériolaire et protège l'endothélium. Cette triple action synergique permet de couvrir l'ensemble des mécanismes physiopathologiques de l'insuffisance veineuse chronique : stase veineuse (heptaminol), hyperperméabilité capillaire (troxérutine), troubles microcirculatoires artériolaires (Ginkgo biloba). Cette synergie justifie l'efficacité clinique de Ginkor Fort sur les symptômes fonctionnels de l'IVC (jambes lourdes, œdèmes, douleurs, impatiences) et sur la crise hémorroïdaire (réduction du volume hémorroïdaire et de la douleur).</w:t>
      </w:r>
    </w:p>
    <w:p>
      <w:pPr>
        <w:pStyle w:val="Heading3"/>
      </w:pPr>
      <w:r>
        <w:t>242.3.4 Pharmacocinétique</w:t>
      </w:r>
    </w:p>
    <w:p>
      <w:r>
        <w:t xml:space="preserve">La pharmacocinétique de l'association trithérapique est la superposition des pharmacocinétiques individuelles des trois composants, sans interaction pharmacocinétique significative documentée. </w:t>
      </w:r>
      <w:r>
        <w:rPr>
          <w:b/>
        </w:rPr>
        <w:t>Heptaminol</w:t>
      </w:r>
      <w:r>
        <w:t xml:space="preserve"> : absorption orale rapide (Tmax 1-2 h), biodisponibilité 50-70 %, métabolisme hépatique partiel (hydroxylation, glucuronidation), élimination urinaire (70 % sous forme inchangée et 30 % sous forme de métabolites), demi-vie d'élimination 4-6 heures. </w:t>
      </w:r>
      <w:r>
        <w:rPr>
          <w:b/>
        </w:rPr>
        <w:t>Troxérutine</w:t>
      </w:r>
      <w:r>
        <w:t xml:space="preserve"> : absorption orale modérée (biodisponibilité 30-50 %), métabolisme hépatique (glucuronidation, sulfatation), élimination biliaire (60 %) et urinaire (40 %), demi-vie d'élimination 8-12 heures. </w:t>
      </w:r>
      <w:r>
        <w:rPr>
          <w:b/>
        </w:rPr>
        <w:t>Ginkgo biloba</w:t>
      </w:r>
      <w:r>
        <w:t xml:space="preserve"> : cf. section 241.3.3 (absorption, métabolisme CYP3A4/CYP2C9, demi-vie 4-10 h pour les ginkgolides). L'état d'équilibre est atteint en 3 à 5 jours pour l'ensemble des composants. L'administration en 2 prises quotidiennes (matin et midi) permet de maintenir une concentration plasmatique efficace tout au long de la période diurne d'activité.</w:t>
      </w:r>
    </w:p>
    <w:p>
      <w:pPr>
        <w:pStyle w:val="Heading2"/>
      </w:pPr>
      <w:r>
        <w:t>242.4 Profil pharmacologique — indications, contre-indications, effets indésirables</w:t>
      </w:r>
    </w:p>
    <w:p>
      <w:pPr>
        <w:pStyle w:val="Heading3"/>
      </w:pPr>
      <w:r>
        <w:t>242.4.1 Indications thérapeutiques validées</w:t>
      </w:r>
    </w:p>
    <w:p>
      <w:r>
        <w:t>Les indications validées par l'AMM française (et reconnues en Algérie) pour l'association Ginkgo biloba + Heptaminol + Troxérutine (Ginkor Fort) sont :</w:t>
      </w:r>
    </w:p>
    <w:p>
      <w:pPr>
        <w:pStyle w:val="ListBullet"/>
      </w:pPr>
      <w:r/>
      <w:r>
        <w:rPr>
          <w:b/>
        </w:rPr>
        <w:t>Traitement de l'insuffisance veineuse chronique (IVC) symptomatique</w:t>
      </w:r>
      <w:r>
        <w:t xml:space="preserve"> : jambes lourdes, œdèmes des membres inférieurs, douleurs veineuses, impatiences (crampes, picotements, fourmillements), prurit. L'efficacité est documentée par les essais cliniques (etudes TONIPHARM) avec une amélioration significative des scores symptomatiques (échelle VSSS - Venous Severity Scoring System) après 4 à 6 semaines de traitement. Le traitement ne se substitue pas aux mesures hygiéno-diététiques (compression élastique, surélévation des jambes, marche, perte de poids, arrêt du tabac) ni au traitement de la cause sous-jacente (varices, syndrome post-thrombotique).</w:t>
      </w:r>
    </w:p>
    <w:p>
      <w:pPr>
        <w:pStyle w:val="ListBullet"/>
      </w:pPr>
      <w:r/>
      <w:r>
        <w:rPr>
          <w:b/>
        </w:rPr>
        <w:t>Traitement de la crise hémorroïdaire aiguë</w:t>
      </w:r>
      <w:r>
        <w:t xml:space="preserve"> : traitement symptomatique de la douleur, du saignement et de la tuméfaction hémorroïdaire. L'efficacité est documentée par des essais cliniques avec une réduction significative de la douleur (échelle VAS - Visual Analogic Scale) et du saignement après 2 à 4 jours de traitement à la posologie d'attaque (2 gélules/jour). Le traitement ne se substitue pas aux mesures hygiéno-diététiques (alimentation riche en fibres, hydratation, évitement de la constipation) ni aux traitements locaux (anesthésiques, anti-inflammatoires en suppositoire ou crème).</w:t>
      </w:r>
    </w:p>
    <w:p>
      <w:pPr>
        <w:pStyle w:val="Heading3"/>
      </w:pPr>
      <w:r>
        <w:t>242.4.2 Contre-indications</w:t>
      </w:r>
    </w:p>
    <w:p>
      <w:r>
        <w:t xml:space="preserve">Les contre-indications de l'association Ginkgo biloba + Heptaminol + Troxérutine (Ginkor Fort) sont essentiellement liées à la présence d'heptaminol (sympathomimétique indirect) et de </w:t>
      </w:r>
      <w:r>
        <w:rPr>
          <w:i/>
        </w:rPr>
        <w:t>Ginkgo biloba</w:t>
      </w:r>
      <w:r>
        <w:t xml:space="preserve"> (effet anti-PAF). Les principales contre-indications sont :</w:t>
      </w:r>
    </w:p>
    <w:p>
      <w:pPr>
        <w:pStyle w:val="ListBullet"/>
      </w:pPr>
      <w:r/>
      <w:r>
        <w:rPr>
          <w:b/>
        </w:rPr>
        <w:t>Hypersensibilité à l'un des trois composants ou à l'un des excipients</w:t>
      </w:r>
      <w:r>
        <w:t xml:space="preserve"> : rare mais documentée, se manifestant par réactions cutanées (rash, prurit, urticaire), réactions respiratoires (bronchospasme) ou réactions anaphylactoïdes.</w:t>
      </w:r>
    </w:p>
    <w:p>
      <w:pPr>
        <w:pStyle w:val="ListBullet"/>
      </w:pPr>
      <w:r/>
      <w:r>
        <w:rPr>
          <w:b/>
        </w:rPr>
        <w:t>Hypertension artérielle sévère ou non contrôlée</w:t>
      </w:r>
      <w:r>
        <w:t xml:space="preserve"> : en raison de l'effet sympathomimétique de l'heptaminol qui peut aggraver l'hypertension artérielle. La tension artérielle doit être contrôlée (PAS &lt; 160 mmHg et PAD &lt; 95 mmHg) avant l'initiation du traitement et surveillée pendant le traitement.</w:t>
      </w:r>
    </w:p>
    <w:p>
      <w:pPr>
        <w:pStyle w:val="ListBullet"/>
      </w:pPr>
      <w:r/>
      <w:r>
        <w:rPr>
          <w:b/>
        </w:rPr>
        <w:t>Hyperthyroïdie non contrôlée</w:t>
      </w:r>
      <w:r>
        <w:t xml:space="preserve"> : en raison du risque de majoration de la thyrotoxicose par l'effet sympathomimétique de l'heptaminol.</w:t>
      </w:r>
    </w:p>
    <w:p>
      <w:pPr>
        <w:pStyle w:val="ListBullet"/>
      </w:pPr>
      <w:r/>
      <w:r>
        <w:rPr>
          <w:b/>
        </w:rPr>
        <w:t>Traitement par IMAO (inhibiteurs de la monoamine oxydase)</w:t>
      </w:r>
      <w:r>
        <w:t xml:space="preserve"> : risque d'interaction médicamenteuse grave (crise hypertensive) par potentialisation de l'effet sympathomimétique de l'heptaminol. L'arrêt de l'IMAO doit dater de au moins 15 jours avant l'initiation de Ginkor Fort.</w:t>
      </w:r>
    </w:p>
    <w:p>
      <w:pPr>
        <w:pStyle w:val="ListBullet"/>
      </w:pPr>
      <w:r/>
      <w:r>
        <w:rPr>
          <w:b/>
        </w:rPr>
        <w:t>Grossesse et allaitement</w:t>
      </w:r>
      <w:r>
        <w:t xml:space="preserve"> : par mesure de précaution, en raison de l'effet anti-PAF du *Ginkgo biloba* (risque hémorragique fœtoplacentaire) et de l'effet sympathomimétique de l'heptaminol (risque théorique de vasoconstriction placentaire). Le CRAT recommande d'éviter Ginkor Fort pendant la grossesse et l'allaitement.</w:t>
      </w:r>
    </w:p>
    <w:p>
      <w:pPr>
        <w:pStyle w:val="ListBullet"/>
      </w:pPr>
      <w:r/>
      <w:r>
        <w:rPr>
          <w:b/>
        </w:rPr>
        <w:t>Troubles de la coagulation héréditaires ou acquis</w:t>
      </w:r>
      <w:r>
        <w:t xml:space="preserve"> : hémophilie, maladie de Willebrand, thrombopénie, traitement anticoagulant ou antiagrégant en cours (cf. section 242.6).</w:t>
      </w:r>
    </w:p>
    <w:p>
      <w:pPr>
        <w:pStyle w:val="ListBullet"/>
      </w:pPr>
      <w:r/>
      <w:r>
        <w:rPr>
          <w:b/>
        </w:rPr>
        <w:t>Insuffisance coronarienne sévère ou troubles du rythme non contrôlés</w:t>
      </w:r>
      <w:r>
        <w:t xml:space="preserve"> : en raison de l'effet inotrope et chronotrope positif de l'heptaminol qui peut aggraver l'angor ou les troubles du rythme.</w:t>
      </w:r>
    </w:p>
    <w:p>
      <w:pPr>
        <w:pStyle w:val="ListBullet"/>
      </w:pPr>
      <w:r/>
      <w:r>
        <w:rPr>
          <w:b/>
        </w:rPr>
        <w:t>Phéochromocytome</w:t>
      </w:r>
      <w:r>
        <w:t xml:space="preserve"> : tumeur médullosurrénalienne sécrétant des catécholamines, en raison du risque de crise hypertensive par interaction avec l'heptaminol.</w:t>
      </w:r>
    </w:p>
    <w:p>
      <w:pPr>
        <w:pStyle w:val="ListBullet"/>
      </w:pPr>
      <w:r/>
      <w:r>
        <w:rPr>
          <w:b/>
        </w:rPr>
        <w:t>Rétention urinaire par adénome de prostate</w:t>
      </w:r>
      <w:r>
        <w:t xml:space="preserve"> : en raison de l'effet sympathomimétique de l'heptaminol qui peut aggraver la rétention urinaire par augmentation du tonus α1 prostatique.</w:t>
      </w:r>
    </w:p>
    <w:p>
      <w:pPr>
        <w:pStyle w:val="Heading3"/>
      </w:pPr>
      <w:r>
        <w:t>242.4.3 Effets indésirables</w:t>
      </w:r>
    </w:p>
    <w:p>
      <w:r>
        <w:t>Le profil d'effets indésirables de Ginkor Fort reflète la superposition des profils individuels des trois composants. Les effets indésirables rapportés sont :</w:t>
      </w:r>
    </w:p>
    <w:p>
      <w:pPr>
        <w:pStyle w:val="ListBullet"/>
      </w:pPr>
      <w:r/>
      <w:r>
        <w:rPr>
          <w:b/>
        </w:rPr>
        <w:t>Effets neurologiques (5 à 10 %)</w:t>
      </w:r>
      <w:r>
        <w:t xml:space="preserve"> : céphalées (liées à l'effet vasoconstricteur veineux de l'heptaminol), insomnie (effet sympathomimétique), vertiges, nervosité, irritabilité. Ces effets sont généralement bénins et régressent à la réduction posologique.</w:t>
      </w:r>
    </w:p>
    <w:p>
      <w:pPr>
        <w:pStyle w:val="ListBullet"/>
      </w:pPr>
      <w:r/>
      <w:r>
        <w:rPr>
          <w:b/>
        </w:rPr>
        <w:t>Effets cardiovasculaires (1 à 5 %)</w:t>
      </w:r>
      <w:r>
        <w:t xml:space="preserve"> : palpitations (effet chronotrope positif de l'heptaminol), tachycardie sinusale modérée, augmentation modeste de la pression artérielle systolique (5-10 mmHg), hypotension orthostatique paradoxale (en cas de surdosage). La surveillance de la fréquence cardiaque et de la tension artérielle est recommandée en début de traitement.</w:t>
      </w:r>
    </w:p>
    <w:p>
      <w:pPr>
        <w:pStyle w:val="ListBullet"/>
      </w:pPr>
      <w:r/>
      <w:r>
        <w:rPr>
          <w:b/>
        </w:rPr>
        <w:t>Effets gastro-intestinaux (1 à 3 %)</w:t>
      </w:r>
      <w:r>
        <w:t xml:space="preserve"> : nausées, dyspepsie, douleurs abdominales, diarrhée. Ces effets sont généralement liés à la troxérutine et au *Ginkgo biloba*, et sont atténués par la prise au cours des repas.</w:t>
      </w:r>
    </w:p>
    <w:p>
      <w:pPr>
        <w:pStyle w:val="ListBullet"/>
      </w:pPr>
      <w:r/>
      <w:r>
        <w:rPr>
          <w:b/>
        </w:rPr>
        <w:t>Effets cutanés (0,5 à 2 %)</w:t>
      </w:r>
      <w:r>
        <w:t xml:space="preserve"> : rash, prurit, exceptionnellement urticaire et réaction anaphylactoïde (cf. profil allergologique du *Ginkgo biloba*).</w:t>
      </w:r>
    </w:p>
    <w:p>
      <w:pPr>
        <w:pStyle w:val="ListBullet"/>
      </w:pPr>
      <w:r/>
      <w:r>
        <w:rPr>
          <w:b/>
        </w:rPr>
        <w:t>Effets hémorragiques (incidence mal mesurée, cas cliniques publiés)</w:t>
      </w:r>
      <w:r>
        <w:t xml:space="preserve"> : saignements (épistaxis, gingivorragies, ecchymoses spontanées, saignements hémorroïdaires accentués) rapportés principalement en cas d'association avec AVK, antiagrégants plaquettaires ou AINS. Le mécanisme est l'effet anti-PAF du *Ginkgo biloba* qui potentialise l'effet anticoagulant et antiagrégant des traitements associés.</w:t>
      </w:r>
    </w:p>
    <w:p>
      <w:pPr>
        <w:pStyle w:val="ListBullet"/>
      </w:pPr>
      <w:r/>
      <w:r>
        <w:rPr>
          <w:b/>
        </w:rPr>
        <w:t>Effets endocriniens rares</w:t>
      </w:r>
      <w:r>
        <w:t xml:space="preserve"> : modification de la glycémie chez le diabétique (heptaminol peut interagir avec la régulation glycémique).</w:t>
      </w:r>
    </w:p>
    <w:p>
      <w:pPr>
        <w:pStyle w:val="Heading2"/>
      </w:pPr>
      <w:r>
        <w:t>242.5 Prévention et gestion des effets indésirables</w:t>
      </w:r>
    </w:p>
    <w:p>
      <w:r>
        <w:t xml:space="preserve">La prévention et la gestion des effets indésirables de Ginkor Fort reposent sur la même logique que pour le </w:t>
      </w:r>
      <w:r>
        <w:rPr>
          <w:i/>
        </w:rPr>
        <w:t>Ginkgo biloba</w:t>
      </w:r>
      <w:r>
        <w:t xml:space="preserve"> en monothérapie, mais avec une attention particulière sur les effets cardiovasculaires liés à l'heptaminol. Quatre piliers structurent la stratégie thérapeutique.</w:t>
      </w:r>
    </w:p>
    <w:p>
      <w:r>
        <w:t>Premièrement, la sélection du patient doit éliminer les contre-indications absolues (hypertension non contrôlée, hyperthyroïdie, phéochromocytome, IMAO, grossesse, troubles de la coagulation) et évaluer les situations à risque relatif (sujet âgé, insuffisance coronarienne stabilisée, diabète équilibré, hypertension contrôlée). Un interrogatoire minutieux sur les traitements associés (antihypertenseurs, anticoagulants, antiagrégants, antidépresseurs IMAO) et sur les antécédents cardiovasculaires (infarctus du myocarde, angor, troubles du rythme) est indispensable avant l'initiation du traitement. La mesure de la tension artérielle en pharmacie d'officine avant l'initiation du traitement est recommandée pour éliminer une hypertension non diagnostiquée.</w:t>
      </w:r>
    </w:p>
    <w:p>
      <w:r>
        <w:t>Deuxièmement, l'éducation thérapeutique du patient doit porter sur la durée du traitement (1 à 2 semaines en phase d'attaque pour la crise hémorroïdaire aiguë, 4 à 6 semaines en entretien pour l'insuffisance veineuse chronique), sur l'observance posologique (2 gélules par jour en phase d'attaque, matin et midi, puis 1 gélule par jour en entretien), sur les signes d'appel à surveiller (céphalées persistantes, palpitations, insomnie, épistaxis, selles noires, élévation de la tension artérielle) et sur l'arrêt du traitement en cas de survenue d'effets indésirables marqués. Le patient doit être informé que le traitement n'est pas un traitement de fond de la maladie veineuse chronique (varices, syndrome post-thrombotique) et qu'il doit être associé aux mesures hygiéno-diététiques (compression élastique, surélévation des jambes, marche quotidienne, perte de poids, arrêt du tabac) pour une efficacité optimale.</w:t>
      </w:r>
    </w:p>
    <w:p>
      <w:r>
        <w:t>Troisièmement, la surveillance clinique comprend une évaluation initiale (mesure de la tension artérielle, évaluation des symptômes veineux), une évaluation intermédiaire à 1 semaine (en cas de crise hémorroïdaire aiguë) ou à 4 semaines (en cas d'IVC), et une évaluation à 6 semaines pour décider de la poursuite ou de l'arrêt du traitement. Une consultation médicale rapide doit être recommandée en cas de survenue de céphalées sévères, de palpitations, de douleurs thoraciques, d'essoufflement, d'élévation de la tension artérielle supérieure à 20 mmHg par rapport à la mesure initiale, ou de saignement anormal. Le patient hypertendu doit être surveillé plus étroitement, avec une mesure de la tension artérielle hebdomadaire en pharmacie d'officine pendant les 4 premières semaines de traitement.</w:t>
      </w:r>
    </w:p>
    <w:p>
      <w:r>
        <w:t>Quatrièmement, la gestion des situations à risque comprend : la réduction posologique en cas d'effets neurologiques ou cardiovasculaires persistants (passage de 2 gélules/jour à 1 gélule/jour) ; l'arrêt temporaire en cas d'effet indésirable marqué (céphalées sévères, palpitations soutenues, élévation tensionnelle &gt; 20 mmHg) avec réévaluation à 7 jours ; l'arrêt définitif en cas d'effet indésirable grave (crise hypertensive, trouble du rythme, douleur thoracique, saignement sévère) ou d'association indispensable avec un traitement anticoagulant ou antiagrégant nouvellement prescrit. Le patient sous AVK ou antiagrégant plaquettaire (aspirine, clopidogrel) ne doit pas recevoir de Ginkor Fort en raison du risque hémorragique majeur (cf. section 242.6). Le patient sous IMAO ne doit pas recevoir de Ginkor Fort en raison du risque de crise hypertensive. Le patient sous antidépresseurs tricycliques doit être surveillé en raison du risque de potentialisation des effets sympathomimétiques.</w:t>
      </w:r>
    </w:p>
    <w:p>
      <w:pPr>
        <w:pStyle w:val="Heading2"/>
      </w:pPr>
      <w:r>
        <w:t>242.6 Interactions médicamenteuses</w:t>
      </w:r>
    </w:p>
    <w:p>
      <w:r>
        <w:t xml:space="preserve">Les interactions médicamenteuses de Ginkor Fort reflètent la superposition des interactions individuelles des trois composants, avec une attention particulière sur l'heptaminol (sympathomimétique indirect) et le </w:t>
      </w:r>
      <w:r>
        <w:rPr>
          <w:i/>
        </w:rPr>
        <w:t>Ginkgo biloba</w:t>
      </w:r>
      <w:r>
        <w:t xml:space="preserve"> (anti-PAF). Les principales interactions sont classées selon l'ANSM en contre-indications absolues, associations déconseillées et précautions d'emploi.</w:t>
      </w:r>
    </w:p>
    <w:p>
      <w:pPr>
        <w:pStyle w:val="Heading3"/>
      </w:pPr>
      <w:r>
        <w:t>242.6.1 Contre-indications absolues (ne pas associer)</w:t>
      </w:r>
    </w:p>
    <w:p>
      <w:pPr>
        <w:pStyle w:val="ListBullet"/>
      </w:pPr>
      <w:r/>
      <w:r>
        <w:rPr>
          <w:b/>
        </w:rPr>
        <w:t>Inhibiteurs de la monoamine oxydase (IMAO)</w:t>
      </w:r>
      <w:r>
        <w:t xml:space="preserve"> : risque de crise hypertensive par potentialisation de l'effet sympathomimétique de l'heptaminol. L'IMAO non sélectif (phénelzine, tranylcypromine) et l'IMAO-A sélectif (moclobémide) sont contre-indiqués. L'arrêt de l'IMAO doit dater de au moins 15 jours avant l'initiation de Ginkor Fort.</w:t>
      </w:r>
    </w:p>
    <w:p>
      <w:pPr>
        <w:pStyle w:val="ListBullet"/>
      </w:pPr>
      <w:r/>
      <w:r>
        <w:rPr>
          <w:b/>
        </w:rPr>
        <w:t>Antivitamines K (AVK : warfarine, acénocoumarol, fluindione)</w:t>
      </w:r>
      <w:r>
        <w:t xml:space="preserve"> : augmentation majeure du risque hémorragique par potentialisation de l'effet anti-PAF du *Ginkgo biloba* avec l'effet anticoagulant des AVK. Ne jamais associer.</w:t>
      </w:r>
    </w:p>
    <w:p>
      <w:pPr>
        <w:pStyle w:val="ListBullet"/>
      </w:pPr>
      <w:r/>
      <w:r>
        <w:rPr>
          <w:b/>
        </w:rPr>
        <w:t>Anticoagulants oraux directs (AOD : dabigatran, rivaroxaban, apixaban, edoxaban)</w:t>
      </w:r>
      <w:r>
        <w:t xml:space="preserve"> : même mécanisme de potentialisation du risque hémorragique.</w:t>
      </w:r>
    </w:p>
    <w:p>
      <w:pPr>
        <w:pStyle w:val="ListBullet"/>
      </w:pPr>
      <w:r/>
      <w:r>
        <w:rPr>
          <w:b/>
        </w:rPr>
        <w:t>Héparines (HBPM : enoxaparine, daltéparine ; héparine non fractionnée)</w:t>
      </w:r>
      <w:r>
        <w:t xml:space="preserve"> : potentialisation du risque hémorragique en contexte de thromboprophylaxie ou de traitement curatif.</w:t>
      </w:r>
    </w:p>
    <w:p>
      <w:pPr>
        <w:pStyle w:val="Heading3"/>
      </w:pPr>
      <w:r>
        <w:t>242.6.2 Associations déconseillées (à éviter sauf surveillance stricte)</w:t>
      </w:r>
    </w:p>
    <w:p>
      <w:pPr>
        <w:pStyle w:val="ListBullet"/>
      </w:pPr>
      <w:r/>
      <w:r>
        <w:rPr>
          <w:b/>
        </w:rPr>
        <w:t>Antiagrégants plaquettaires (aspirine, clopidogrel, prasugrel, ticagrelor)</w:t>
      </w:r>
      <w:r>
        <w:t xml:space="preserve"> : potentialisation du risque hémorragique par effet anti-PAF du *Ginkgo biloba*.</w:t>
      </w:r>
    </w:p>
    <w:p>
      <w:pPr>
        <w:pStyle w:val="ListBullet"/>
      </w:pPr>
      <w:r/>
      <w:r>
        <w:rPr>
          <w:b/>
        </w:rPr>
        <w:t>Anti-inflammatoires non stéroïdiens (AINS)</w:t>
      </w:r>
      <w:r>
        <w:t xml:space="preserve"> : potentialisation du risque hémorragique (gastro-intestinal en particulier).</w:t>
      </w:r>
    </w:p>
    <w:p>
      <w:pPr>
        <w:pStyle w:val="ListBullet"/>
      </w:pPr>
      <w:r/>
      <w:r>
        <w:rPr>
          <w:b/>
        </w:rPr>
        <w:t>Sympathomimétiques indirects (pseudoéphédrine, phénylpropanolamine, éphédrine)</w:t>
      </w:r>
      <w:r>
        <w:t xml:space="preserve"> : risque de crise hypertensive et de troubles du rythme par addition des effets sympathomimétiques avec l'heptaminol.</w:t>
      </w:r>
    </w:p>
    <w:p>
      <w:pPr>
        <w:pStyle w:val="ListBullet"/>
      </w:pPr>
      <w:r/>
      <w:r>
        <w:rPr>
          <w:b/>
        </w:rPr>
        <w:t>Sympathomimétiques directs (noradrénaline, adrénaline, dopamine)</w:t>
      </w:r>
      <w:r>
        <w:t xml:space="preserve"> : potentialisation de l'effet vasoconstricteur.</w:t>
      </w:r>
    </w:p>
    <w:p>
      <w:pPr>
        <w:pStyle w:val="ListBullet"/>
      </w:pPr>
      <w:r/>
      <w:r>
        <w:rPr>
          <w:b/>
        </w:rPr>
        <w:t>Antihypertenseurs (bêtabloquants, IEC, ARA2, diurétiques, inhibiteurs calciques)</w:t>
      </w:r>
      <w:r>
        <w:t xml:space="preserve"> : antagonisme pharmacologique avec l'effet vasoconstricteur veineux de l'heptaminol. Surveillance de la tension artérielle et adaptation posologique de l'antihypertenseur si nécessaire.</w:t>
      </w:r>
    </w:p>
    <w:p>
      <w:pPr>
        <w:pStyle w:val="ListBullet"/>
      </w:pPr>
      <w:r/>
      <w:r>
        <w:rPr>
          <w:b/>
        </w:rPr>
        <w:t>Antidépresseurs tricycliques (amitriptyline, clomipramine, imipramine)</w:t>
      </w:r>
      <w:r>
        <w:t xml:space="preserve"> : potentialisation des effets sympathomimétiques de l'heptaminol, risque de crise hypertensive et de troubles du rythme.</w:t>
      </w:r>
    </w:p>
    <w:p>
      <w:pPr>
        <w:pStyle w:val="ListBullet"/>
      </w:pPr>
      <w:r/>
      <w:r>
        <w:rPr>
          <w:b/>
        </w:rPr>
        <w:t>Lithium</w:t>
      </w:r>
      <w:r>
        <w:t xml:space="preserve"> : risque de majoration de la toxicité du lithium par interaction pharmacodynamique.</w:t>
      </w:r>
    </w:p>
    <w:p>
      <w:pPr>
        <w:pStyle w:val="Heading3"/>
      </w:pPr>
      <w:r>
        <w:t>242.6.3 Précautions d'emploi</w:t>
      </w:r>
    </w:p>
    <w:p>
      <w:pPr>
        <w:pStyle w:val="ListBullet"/>
      </w:pPr>
      <w:r/>
      <w:r>
        <w:rPr>
          <w:b/>
        </w:rPr>
        <w:t>Inhibiteurs calciques (amlodipine, nifédipine, diltiazem, vérapamil)</w:t>
      </w:r>
      <w:r>
        <w:t xml:space="preserve"> : surveillance de la tension artérielle et adaptation posologique de l'inhibiteur calcique si nécessaire, en raison de l'antagonisme pharmacologique possible avec l'heptaminol et de l'inhibition du CYP3A4 par le *Ginkgo biloba*.</w:t>
      </w:r>
    </w:p>
    <w:p>
      <w:pPr>
        <w:pStyle w:val="ListBullet"/>
      </w:pPr>
      <w:r/>
      <w:r>
        <w:rPr>
          <w:b/>
        </w:rPr>
        <w:t>Statines (simvastatine, atorvastatine)</w:t>
      </w:r>
      <w:r>
        <w:t xml:space="preserve"> : surveillance clinique (douleurs musculaires, CPK) et adaptation posologique, en raison de l'inhibition du CYP3A4 par le *Ginkgo biloba*.</w:t>
      </w:r>
    </w:p>
    <w:p>
      <w:pPr>
        <w:pStyle w:val="ListBullet"/>
      </w:pPr>
      <w:r/>
      <w:r>
        <w:rPr>
          <w:b/>
        </w:rPr>
        <w:t>Inhibiteurs de la pompe à protons (IPP : oméprazole, ésoméprazole)</w:t>
      </w:r>
      <w:r>
        <w:t xml:space="preserve"> : surveillance clinique, en raison de l'induction du CYP2C19 par le *Ginkgo biloba*.</w:t>
      </w:r>
    </w:p>
    <w:p>
      <w:pPr>
        <w:pStyle w:val="ListBullet"/>
      </w:pPr>
      <w:r/>
      <w:r>
        <w:rPr>
          <w:b/>
        </w:rPr>
        <w:t>Antidiabétiques oraux (metformine, sulfamides, glinides, thiazolidinediones)</w:t>
      </w:r>
      <w:r>
        <w:t xml:space="preserve"> : surveillance glycémique accrue, en raison de l'interaction possible de l'heptaminol avec la régulation glycémique.</w:t>
      </w:r>
    </w:p>
    <w:p>
      <w:pPr>
        <w:pStyle w:val="ListBullet"/>
      </w:pPr>
      <w:r/>
      <w:r>
        <w:rPr>
          <w:b/>
        </w:rPr>
        <w:t>Digoxine</w:t>
      </w:r>
      <w:r>
        <w:t xml:space="preserve"> : surveillance de la digoxinémie et de l'ECG, en raison de l'effet inotrope positif de l'heptaminol qui peut potentialiser l'effet de la digoxine.</w:t>
      </w:r>
    </w:p>
    <w:p>
      <w:pPr>
        <w:pStyle w:val="ListBullet"/>
      </w:pPr>
      <w:r/>
      <w:r>
        <w:rPr>
          <w:b/>
        </w:rPr>
        <w:t>Anesthésiques volatils (halothane, isoflurane, sévoflurane)</w:t>
      </w:r>
      <w:r>
        <w:t xml:space="preserve"> : arrêt de Ginkor Fort 24 à 48 heures avant une anesthésie générale, en raison du risque de troubles du rythme par potentialisation de l'effet sympathomimétique de l'heptaminol avec les anesthésiques volatils sensibilisants myocardiques.</w:t>
      </w:r>
    </w:p>
    <w:p>
      <w:pPr>
        <w:pStyle w:val="Heading3"/>
      </w:pPr>
      <w:r>
        <w:t>242.6.4 Interactions avec les examens paracliniques</w:t>
      </w:r>
    </w:p>
    <w:p>
      <w:pPr>
        <w:pStyle w:val="ListBullet"/>
      </w:pPr>
      <w:r/>
      <w:r>
        <w:rPr>
          <w:b/>
        </w:rPr>
        <w:t>Tension artérielle</w:t>
      </w:r>
      <w:r>
        <w:t xml:space="preserve"> : élévation possible de la tension artérielle systolique de 5-10 mmHg en début de traitement (effet heptaminol).</w:t>
      </w:r>
    </w:p>
    <w:p>
      <w:pPr>
        <w:pStyle w:val="ListBullet"/>
      </w:pPr>
      <w:r/>
      <w:r>
        <w:rPr>
          <w:b/>
        </w:rPr>
        <w:t>Fréquence cardiaque</w:t>
      </w:r>
      <w:r>
        <w:t xml:space="preserve"> : tachycardie sinusale modérée possible (effet heptaminol).</w:t>
      </w:r>
    </w:p>
    <w:p>
      <w:pPr>
        <w:pStyle w:val="ListBullet"/>
      </w:pPr>
      <w:r/>
      <w:r>
        <w:rPr>
          <w:b/>
        </w:rPr>
        <w:t>INR (International Normalized Ratio)</w:t>
      </w:r>
      <w:r>
        <w:t xml:space="preserve"> : augmentation possible de l'INR sous AVK en cas d'association inopinée (contre-indiquée).</w:t>
      </w:r>
    </w:p>
    <w:p>
      <w:pPr>
        <w:pStyle w:val="ListBullet"/>
      </w:pPr>
      <w:r/>
      <w:r>
        <w:rPr>
          <w:b/>
        </w:rPr>
        <w:t>Glycémie</w:t>
      </w:r>
      <w:r>
        <w:t xml:space="preserve"> : modification possible de la glycémie chez le diabétique.</w:t>
      </w:r>
    </w:p>
    <w:p>
      <w:pPr>
        <w:pStyle w:val="ListBullet"/>
      </w:pPr>
      <w:r/>
      <w:r>
        <w:rPr>
          <w:b/>
        </w:rPr>
        <w:t>Enzymes hépatiques (ALAT, ASAT, GGT, phosphatases alcalines)</w:t>
      </w:r>
      <w:r>
        <w:t xml:space="preserve"> : augmentation modérée et transitoire possible.</w:t>
      </w:r>
    </w:p>
    <w:p>
      <w:pPr>
        <w:pStyle w:val="Heading2"/>
      </w:pPr>
      <w:r>
        <w:t>242.7 Grossesse et allaitement (CRAT)</w:t>
      </w:r>
    </w:p>
    <w:p>
      <w:r>
        <w:t xml:space="preserve">Les données concernant l'usage de Ginkor Fort pendant la grossesse et l'allaitement sont limitées et le CRAT (Centre de Renseignements sur les Agents Tératogènes) recommande par mesure de précaution d'éviter l'usage de Ginkor Fort pendant la grossesse et l'allaitement, en raison de la présence combinée de </w:t>
      </w:r>
      <w:r>
        <w:rPr>
          <w:i/>
        </w:rPr>
        <w:t>Ginkgo biloba</w:t>
      </w:r>
      <w:r>
        <w:t xml:space="preserve"> (effet anti-PAF, risque hémorragique) et d'heptaminol (effet sympathomimétique, risque théorique de vasoconstriction placentaire).</w:t>
      </w:r>
    </w:p>
    <w:p>
      <w:r>
        <w:t xml:space="preserve">Plusieurs arguments justifient cette position de prudence. Premièrement, l'effet anti-PAF du </w:t>
      </w:r>
      <w:r>
        <w:rPr>
          <w:i/>
        </w:rPr>
        <w:t>Ginkgo biloba</w:t>
      </w:r>
      <w:r>
        <w:t xml:space="preserve"> pourrait perturber l'homéostasie vasculaire fœtoplacentaire, en particulier au niveau des artères spirales utérines, avec un risque théorique de pré-éclampsie, d'hématome rétroplacentaire ou de retard de croissance intra-utérin (RCIU). Deuxièmement, l'effet sympathomimétique indirect de l'heptaminol pourrait provoquer une vasoconstriction placentaire réduisant la perfusion fœtale, et un effet inotrope et chronotrope positif maternel pouvant majorer le travail cardiaque maternel. Troisièmement, la troxérutine n'a pas fait l'objet d'études cliniques contrôlées chez la femme enceinte, et son innocuité fœtale n'est pas formellement établie. Quatrièmement, les données animales sont limitées et ne permettent pas d'exclure un effet tératogène ou fœtotoxique.</w:t>
      </w:r>
    </w:p>
    <w:p>
      <w:r>
        <w:t xml:space="preserve">L'insuffisance veineuse chronique et la crise hémorroïdaire sont des pathologies fréquentes pendant la grossesse (en raison de l'hyperpression veineuse pelvienne liée à la compression utérine et de l'imprégnation progestative réduisant le tonus veineux), posant le problème de la prise en charge thérapeutique. Le CRAT recommande de privilégier les mesures hygiéno-diététiques (compression élastique graduée, surélévation des jambes, marche quotidienne, hydratation, alimentation riche en fibres) et, en cas d'insuffisance, d'utiliser la troxérutine seule (Daflon 500 mg, Cyclo 3 Fort, Endotelon) à dose modérée pendant des périodes courtes (2 à 4 semaines). L'heptaminol et le </w:t>
      </w:r>
      <w:r>
        <w:rPr>
          <w:i/>
        </w:rPr>
        <w:t>Ginkgo biloba</w:t>
      </w:r>
      <w:r>
        <w:t xml:space="preserve"> sont à éviter pendant la grossesse.</w:t>
      </w:r>
    </w:p>
    <w:p>
      <w:r>
        <w:t>En cas de découverte fortuite d'une grossesse chez une patiente sous Ginkor Fort, l'arrêt du traitement est recommandé sans nécessité d'examens complémentaires systématiques (échographie morphologique de contrôle à 22 SA comme pour toute grossesse, surveillance de la croissance fœtale, surveillance tensionnelle accrue pour le dépistage de la pré-éclampsie). En cas d'allaitement en cours sous Ginkor Fort, l'arrêt est également recommandé, en raison du passage possible de l'heptaminol dans le lait maternel et de son effet sympathomimétique sur le nourrisson (risque d'irritabilité, d'insomnie, de tachycardie). Les alternatives thérapeutiques à envisager pendant la grossesse et l'allaitement pour l'insuffisance veineuse chronique sont la troxérutine seule ou la compression élastique graduée. Pour la crise hémorroïdaire, les traitements locaux (anesthésiques locaux, anti-inflammatoires en suppositoire) sont privilégiés.</w:t>
      </w:r>
    </w:p>
    <w:p>
      <w:pPr>
        <w:pStyle w:val="Heading2"/>
      </w:pPr>
      <w:r>
        <w:t>242.8 Posologie et mode d'administration</w:t>
      </w:r>
    </w:p>
    <w:p>
      <w:pPr>
        <w:pStyle w:val="Heading3"/>
      </w:pPr>
      <w:r>
        <w:t>242.8.1 Posologie adulte standard</w:t>
      </w:r>
    </w:p>
    <w:p>
      <w:r>
        <w:t>La posologie standard de Ginkor Fort chez l'adulte dépend de l'indication et de la phase du traitement :</w:t>
      </w:r>
    </w:p>
    <w:p>
      <w:pPr>
        <w:pStyle w:val="ListBullet"/>
      </w:pPr>
      <w:r/>
      <w:r>
        <w:rPr>
          <w:b/>
        </w:rPr>
        <w:t>Phase d'attaque (1 à 2 semaines)</w:t>
      </w:r>
      <w:r>
        <w:t xml:space="preserve"> : 2 gélules par jour, matin et midi, au cours des repas. Cette posologie d'attaque est recommandée pour le traitement de la crise hémorroïdaire aiguë et pour le traitement initial de l'insuffisance veineuse chronique symptomatique.</w:t>
      </w:r>
    </w:p>
    <w:p>
      <w:pPr>
        <w:pStyle w:val="ListBullet"/>
      </w:pPr>
      <w:r/>
      <w:r>
        <w:rPr>
          <w:b/>
        </w:rPr>
        <w:t>Phase d'entretien (4 à 6 semaines)</w:t>
      </w:r>
      <w:r>
        <w:t xml:space="preserve"> : 1 gélule par jour, le matin au cours du petit-déjeuner. Cette posologie d'entretien est recommandée après la phase d'attaque pour prolonger l'efficacité du traitement.</w:t>
      </w:r>
    </w:p>
    <w:p>
      <w:pPr>
        <w:pStyle w:val="ListBullet"/>
      </w:pPr>
      <w:r/>
      <w:r>
        <w:rPr>
          <w:b/>
        </w:rPr>
        <w:t>Traitement prolongé (au-delà de 6 semaines)</w:t>
      </w:r>
      <w:r>
        <w:t xml:space="preserve"> : 1 gélule par jour, en cures de 4 à 6 semaines espacées de 2 à 4 semaines. Le traitement prolongé n'est pas recommandé au-delà de 3 mois sans réévaluation médicale.</w:t>
      </w:r>
    </w:p>
    <w:p>
      <w:pPr>
        <w:pStyle w:val="Heading3"/>
      </w:pPr>
      <w:r>
        <w:t>242.8.2 Posologie chez le sujet âgé</w:t>
      </w:r>
    </w:p>
    <w:p>
      <w:r>
        <w:t xml:space="preserve">Chez le sujet âgé (≥ 75 ans), la posologie initiale recommandée est de </w:t>
      </w:r>
      <w:r>
        <w:rPr>
          <w:b/>
        </w:rPr>
        <w:t>1 gélule par jour</w:t>
      </w:r>
      <w:r>
        <w:t xml:space="preserve"> le matin, en raison de la sensibilité accrue aux effets sympathomimétiques de l'heptaminol (risque d'insomnie, de palpitations, d'élévation tensionnelle). L'augmentation à 2 gélules par jour peut être discutée en cas d'efficacité insuffisante après 1 semaine de traitement et en l'absence d'effets indésirables. La surveillance de la tension artérielle et de la fréquence cardiaque est recommandée en début de traitement.</w:t>
      </w:r>
    </w:p>
    <w:p>
      <w:pPr>
        <w:pStyle w:val="Heading3"/>
      </w:pPr>
      <w:r>
        <w:t>242.8.3 Posologie chez l'enfant et l'adolescent</w:t>
      </w:r>
    </w:p>
    <w:p>
      <w:r>
        <w:t>Ginkor Fort n'est pas recommandé chez l'enfant et l'adolescent de moins de 18 ans en raison du manque de données cliniques et de la présence d'heptaminol (sympathomimétique contre-indiqué chez l'enfant).</w:t>
      </w:r>
    </w:p>
    <w:p>
      <w:pPr>
        <w:pStyle w:val="Heading3"/>
      </w:pPr>
      <w:r>
        <w:t>242.8.4 Posologie chez l'insuffisant rénal et hépatique</w:t>
      </w:r>
    </w:p>
    <w:p>
      <w:r>
        <w:t>Aucune adaptation posologique n'est nécessaire chez l'insuffisant rénal modéré (clairance créatinine 30-60 mL/min). Chez l'insuffisant rénal sévère (clairance &lt; 30 mL/min), la réduction posologique à 1 gélule par jour est recommandée. Chez l'insuffisant hépatique modéré, une surveillance accrue est recommandée en raison du métabolisme hépatique de l'heptaminol et de la troxérutine.</w:t>
      </w:r>
    </w:p>
    <w:p>
      <w:pPr>
        <w:pStyle w:val="Heading3"/>
      </w:pPr>
      <w:r>
        <w:t>242.8.5 Mode d'administration</w:t>
      </w:r>
    </w:p>
    <w:p>
      <w:r>
        <w:t>La gélule doit être avalée entière avec un grand verre d'eau, au cours des repas (pour limiter les effets gastro-intestinaux). La prise du matin doit se faire au cours du petit-déjeuner (vers 8h) et la prise du midi au cours du déjeuner (vers 12h-13h). La prise en soirée est déconseillée en raison du risque d'insomnie lié à l'effet sympathomimétique de l'heptaminol. Les gélules ne doivent pas être ouvertes, écrasées ou croquées (le contenu est amer et peut irriter la muqueuse buccale).</w:t>
      </w:r>
    </w:p>
    <w:p>
      <w:pPr>
        <w:pStyle w:val="Heading3"/>
      </w:pPr>
      <w:r>
        <w:t>242.8.6 Durée de traitement</w:t>
      </w:r>
    </w:p>
    <w:p>
      <w:r>
        <w:t>La durée du traitement dépend de l'indication :</w:t>
      </w:r>
    </w:p>
    <w:p>
      <w:pPr>
        <w:pStyle w:val="ListBullet"/>
      </w:pPr>
      <w:r/>
      <w:r>
        <w:rPr>
          <w:b/>
        </w:rPr>
        <w:t>Crise hémorroïdaire aiguë</w:t>
      </w:r>
      <w:r>
        <w:t xml:space="preserve"> : 1 à 2 semaines en phase d'attaque (2 gélules/jour), sans prolongation en phase d'entretien au-delà de 2 semaines (réévaluation médicale en cas de persistance des symptômes au-delà de 8 jours).</w:t>
      </w:r>
    </w:p>
    <w:p>
      <w:pPr>
        <w:pStyle w:val="ListBullet"/>
      </w:pPr>
      <w:r/>
      <w:r>
        <w:rPr>
          <w:b/>
        </w:rPr>
        <w:t>Insuffisance veineuse chronique</w:t>
      </w:r>
      <w:r>
        <w:t xml:space="preserve"> : 1 à 2 semaines en phase d'attaque, puis 4 à 6 semaines en phase d'entretien, soit une durée totale de 6 à 8 semaines. Le traitement peut être renouvelé en cures espacées de 2 à 4 semaines, sans dépasser 3 mois de traitement continu sans réévaluation médicale.</w:t>
      </w:r>
    </w:p>
    <w:p>
      <w:pPr>
        <w:pStyle w:val="ListBullet"/>
      </w:pPr>
      <w:r/>
      <w:r>
        <w:rPr>
          <w:b/>
        </w:rPr>
        <w:t>Traitement prolongé</w:t>
      </w:r>
      <w:r>
        <w:t xml:space="preserve"> : non recommandé au-delà de 3 mois en continu. Les cures saisonnières (printemps, automne) de 6 semaines sont une alternative possible pour le traitement prolongé de l'IVC.</w:t>
      </w:r>
    </w:p>
    <w:p>
      <w:pPr>
        <w:pStyle w:val="Heading2"/>
      </w:pPr>
      <w:r>
        <w:t>242.9 Arbitrage et bénéfices des formes galéniques</w:t>
      </w:r>
    </w:p>
    <w:p>
      <w:r>
        <w:t xml:space="preserve">L'arbitrage des formes galéniques pour Ginkor Fort se limite à une seule forme disponible en Algérie : la gélule dosée à 14 mg/300 mg/300 mg, en boîte de 30. Il n'existe pas d'autre forme galénique (comprimé, solution buvable, suppositoire) pour cette spécialité. La gélule présente plusieurs avantages galéniques : le contenu (poudre de </w:t>
      </w:r>
      <w:r>
        <w:rPr>
          <w:i/>
        </w:rPr>
        <w:t>Ginkgo biloba</w:t>
      </w:r>
      <w:r>
        <w:t>, poudre d'heptaminol, poudre de troxérutine) est protégé de l'humidité et de l'oxydation par l'enveloppe de gélatine, la gélule est facile à avaler (taille 0 ou 1), et le masquage du goût amer des flavonoïdes est assuré par l'enveloppe.</w:t>
      </w:r>
    </w:p>
    <w:p>
      <w:r>
        <w:t>Cependant, la gélule présente l'inconvénient de ne pas permettre d'adaptation posologique fine (seulement 1 ou 2 gélules par jour), et de ne pas convenir au sujet âgé présentant des troubles de déglutition sévère (dysphagie). Dans ce cas, le médecin peut envisager une alternative thérapeutique (troxérutine seule en solution buvable ou comprimé, daflon 500 mg en comprimé) ou l'ouverture de la gélule avec dispersion du contenu dans une boisson sucrée (à condition de respecter la dose totale journalière et d'avertir le patient du goût amer).</w:t>
      </w:r>
    </w:p>
    <w:p>
      <w:pPr>
        <w:pStyle w:val="Heading3"/>
      </w:pPr>
      <w:r>
        <w:t>242.9.1 Arbitrage entre Ginkor Fort et autres veinotoniques</w:t>
      </w:r>
    </w:p>
    <w:p>
      <w:r>
        <w:t>L'arbitrage entre Ginkor Fort et les autres veinotoniques disponibles en Algérie (Daflon 500 mg, Cyclo 3 Fort, Endotelon, troxérutine seule) repose sur plusieurs critères : l'indication (IVC vs crise hémorroïdaire), le profil du patient (hypertendu, coronarien, sujet âgé, femme enceinte), les traitements associés (anticoagulants, antihypertenseurs), et le coût.</w:t>
      </w:r>
    </w:p>
    <w:p>
      <w:r/>
      <w:r>
        <w:rPr>
          <w:b/>
        </w:rPr>
        <w:t>Daflon 500 mg (diosmine + hespéridine)</w:t>
      </w:r>
      <w:r>
        <w:t xml:space="preserve"> : flavonoïde pur, sans heptaminol, sans </w:t>
      </w:r>
      <w:r>
        <w:rPr>
          <w:i/>
        </w:rPr>
        <w:t>Ginkgo biloba</w:t>
      </w:r>
      <w:r>
        <w:t>. Indications : IVC, crise hémorroïdaire. Profil de tolérance favorable, sans effet cardiovasculaire, sans interaction hémorragique majeure. Préférable chez le patient hypertendu non contrôlé, coronarien, ou sous anticoagulants/antiagrégants. Posologie : 500 mg × 2/jour en phase d'attaque, 500 mg/jour en entretien.</w:t>
      </w:r>
    </w:p>
    <w:p>
      <w:r/>
      <w:r>
        <w:rPr>
          <w:b/>
        </w:rPr>
        <w:t>Cyclo 3 Fort (troxérutine + extrait de mélilot + mésoglycane)</w:t>
      </w:r>
      <w:r>
        <w:t xml:space="preserve"> : association veinotonique sans heptaminol. Indications : IVC. Profil de tolérance favorable, sans effet cardiovasculaire majeur. Préférable chez le patient âgé ou fragile.</w:t>
      </w:r>
    </w:p>
    <w:p>
      <w:r/>
      <w:r>
        <w:rPr>
          <w:b/>
        </w:rPr>
        <w:t>Endotelon (extrait de pépins de raisin)</w:t>
      </w:r>
      <w:r>
        <w:t xml:space="preserve"> : flavonoïde procyanidolique oligomérique (OPC). Indications : IVC, troubles de la microcirculation rétinienne. Profil de tolérance excellent. Préférable chez la femme enceinte (sous avis médical).</w:t>
      </w:r>
    </w:p>
    <w:p>
      <w:r/>
      <w:r>
        <w:rPr>
          <w:b/>
        </w:rPr>
        <w:t>Troxérutine seule (Veinamitol, Troxéruptol)</w:t>
      </w:r>
      <w:r>
        <w:t xml:space="preserve"> : monothérapie veinotonique flavonoïque. Indications : IVC modérée. Posologie : 300 mg × 2-3/jour. Préférable en traitement d'entretien prolongé.</w:t>
      </w:r>
    </w:p>
    <w:p>
      <w:pPr>
        <w:pStyle w:val="Heading3"/>
      </w:pPr>
      <w:r>
        <w:t>242.9.2 Recommandation d'arbitrage</w:t>
      </w:r>
    </w:p>
    <w:p>
      <w:r>
        <w:t>En pratique clinique courante en Algérie, Ginkor Fort est privilégié dans les situations suivantes : IVC modérée à sévère avec retentissement microcirculatoire artériolo-capillaire, crise hémorroïdaire aiguë, patient jeune sans comorbidité cardiovasculaire, patient motivé pour une trithérapie fixe simplifiant l'observance. Les alternatives (Daflon 500 mg, Cyclo 3 Fort, troxérutine seule) sont privilégiées chez le patient hypertendu, coronarien, sous anticoagulants ou antiagrégants, ou chez la femme enceinte (troxérutine seule).</w:t>
      </w:r>
    </w:p>
    <w:p>
      <w:pPr>
        <w:pStyle w:val="Heading3"/>
      </w:pPr>
      <w:r>
        <w:t>242.9.3 Critères de choix de la durée du traitement</w:t>
      </w:r>
    </w:p>
    <w:p>
      <w:r>
        <w:t>La durée du traitement dépend de l'indication et du profil du patient. Pour la crise hémorroïdaire aiguë, le traitement est court (1 à 2 semaines), sans prolongation au-delà de 2 semaines sans réévaluation médicale. Pour l'IVC, le traitement est de 6 à 8 semaines en cure, renouvelable en cures saisonnières. Le traitement prolongé continu au-delà de 3 mois n'est pas recommandé en raison de l'effet sympathomimétique de l'heptaminol (risque d'accoutumance, de tolérance, de majoration des effets indésirables cardiovasculaires). La cure saisonnière (printemps, automne) de 6 semaines est une alternative possible pour le traitement prolongé de l'IVC, en alternance avec la troxérutine seule ou le Daflon 500 mg en continu.</w:t>
      </w:r>
    </w:p>
    <w:p>
      <w:pPr>
        <w:pStyle w:val="Heading2"/>
      </w:pPr>
      <w:r>
        <w:t>242.10 Instructions et conseils au patient</w:t>
      </w:r>
    </w:p>
    <w:p>
      <w:pPr>
        <w:pStyle w:val="Heading3"/>
      </w:pPr>
      <w:r>
        <w:t>242.10.1 Information sur le traitement</w:t>
      </w:r>
    </w:p>
    <w:p>
      <w:r>
        <w:t xml:space="preserve">Le patient doit être informé que Ginkor Fort est un médicament associant trois principes actifs (extrait de </w:t>
      </w:r>
      <w:r>
        <w:rPr>
          <w:i/>
        </w:rPr>
        <w:t>Ginkgo biloba</w:t>
      </w:r>
      <w:r>
        <w:t>, heptaminol, troxérutine) qui agissent en synergie pour améliorer la circulation veineuse, capillaire et artériolaire. L'effet thérapeutique est progressif et se manifeste en quelques jours pour la crise hémorroïdaire aiguë, en 2 à 4 semaines pour l'IVC. Le patient doit être informé que le traitement n'est pas un traitement de fond de la maladie veineuse chronique (varices, syndrome post-thrombotique) et qu'il doit être associé aux mesures hygiéno-diététiques pour une efficacité optimale.</w:t>
      </w:r>
    </w:p>
    <w:p>
      <w:pPr>
        <w:pStyle w:val="Heading3"/>
      </w:pPr>
      <w:r>
        <w:t>242.10.2 Conseil sur le mode de prise</w:t>
      </w:r>
    </w:p>
    <w:p>
      <w:r>
        <w:t xml:space="preserve">Le patient doit être conseillé sur le mode de prise : </w:t>
      </w:r>
      <w:r>
        <w:rPr>
          <w:b/>
        </w:rPr>
        <w:t>2 gélules par jour en phase d'attaque, matin et midi, au cours des repas</w:t>
      </w:r>
      <w:r>
        <w:t xml:space="preserve">, puis </w:t>
      </w:r>
      <w:r>
        <w:rPr>
          <w:b/>
        </w:rPr>
        <w:t>1 gélule par jour en phase d'entretien, le matin au cours du petit-déjeuner</w:t>
      </w:r>
      <w:r>
        <w:t>. La prise en soirée est déconseillée en raison du risque d'insomnie. Les gélules doivent être avalées entières avec un grand verre d'eau (ne pas ouvrir, ne pas écraser, ne pas croquer).</w:t>
      </w:r>
    </w:p>
    <w:p>
      <w:pPr>
        <w:pStyle w:val="Heading3"/>
      </w:pPr>
      <w:r>
        <w:t>242.10.3 Précautions à prendre</w:t>
      </w:r>
    </w:p>
    <w:p>
      <w:r>
        <w:t xml:space="preserve">Le patient doit être informé des précautions suivantes : </w:t>
      </w:r>
      <w:r>
        <w:rPr>
          <w:b/>
        </w:rPr>
        <w:t>surveillance de la tension artérielle</w:t>
      </w:r>
      <w:r>
        <w:t xml:space="preserve"> chez le patient hypertendu, avec consultation médicale en cas d'élévation supérieure à 20 mmHg par rapport à la mesure initiale ; </w:t>
      </w:r>
      <w:r>
        <w:rPr>
          <w:b/>
        </w:rPr>
        <w:t>arrêt du traitement en cas de survenue de céphalées sévères, palpitations soutenues, insomnie persistante, douleurs thoraciques, essoufflement, saignement anormal</w:t>
      </w:r>
      <w:r>
        <w:t xml:space="preserve"> ; </w:t>
      </w:r>
      <w:r>
        <w:rPr>
          <w:b/>
        </w:rPr>
        <w:t>interdiction de consommer des sympathomimétiques indirects en automédication</w:t>
      </w:r>
      <w:r>
        <w:t xml:space="preserve"> (pseudoéphédrine, phénylpropanolamine) sans avis médical préalable ; </w:t>
      </w:r>
      <w:r>
        <w:rPr>
          <w:b/>
        </w:rPr>
        <w:t>information au médecin anesthésiste en cas d'anesthésie programmée</w:t>
      </w:r>
      <w:r>
        <w:t xml:space="preserve"> (arrêt de Ginkor Fort 24 à 48 heures avant l'anesthésie générale).</w:t>
      </w:r>
    </w:p>
    <w:p>
      <w:pPr>
        <w:pStyle w:val="Heading3"/>
      </w:pPr>
      <w:r>
        <w:t>242.10.4 Mesures hygiéno-diététiques associées</w:t>
      </w:r>
    </w:p>
    <w:p>
      <w:r>
        <w:t xml:space="preserve">Le patient doit être informé que l'efficacité de Ginkor Fort dépend de l'association à des mesures hygiéno-diététiques indispensables : </w:t>
      </w:r>
      <w:r>
        <w:rPr>
          <w:b/>
        </w:rPr>
        <w:t>compression élastique graduée</w:t>
      </w:r>
      <w:r>
        <w:t xml:space="preserve"> (bas ou chaussettes de contention de classe 2 ou 3 selon la sévérité), à mettre le matin avant le lever et à retirer le soir avant le coucher ; </w:t>
      </w:r>
      <w:r>
        <w:rPr>
          <w:b/>
        </w:rPr>
        <w:t>surélévation des jambes</w:t>
      </w:r>
      <w:r>
        <w:t xml:space="preserve"> au-dessus du niveau du cœur pendant 15 à 30 minutes, 2 à 3 fois par jour ; </w:t>
      </w:r>
      <w:r>
        <w:rPr>
          <w:b/>
        </w:rPr>
        <w:t>marche quotidienne</w:t>
      </w:r>
      <w:r>
        <w:t xml:space="preserve"> d'au moins 30 minutes pour activer la pompe musculoveineuse du mollet ; </w:t>
      </w:r>
      <w:r>
        <w:rPr>
          <w:b/>
        </w:rPr>
        <w:t>perte de poids</w:t>
      </w:r>
      <w:r>
        <w:t xml:space="preserve"> en cas de surpoids ou d'obésité ; </w:t>
      </w:r>
      <w:r>
        <w:rPr>
          <w:b/>
        </w:rPr>
        <w:t>arrêt du tabac</w:t>
      </w:r>
      <w:r>
        <w:t xml:space="preserve"> ; </w:t>
      </w:r>
      <w:r>
        <w:rPr>
          <w:b/>
        </w:rPr>
        <w:t>éviter les bains chauds prolongés, l'exposition prolongée à la chaleur</w:t>
      </w:r>
      <w:r>
        <w:t xml:space="preserve"> (sauna, hammam, soleil) qui aggravent la dilatation veineuse ; </w:t>
      </w:r>
      <w:r>
        <w:rPr>
          <w:b/>
        </w:rPr>
        <w:t>éviter la station debout ou assise prolongée</w:t>
      </w:r>
      <w:r>
        <w:t>, faire des mouvements des pieds et des chevilles régulièrement.</w:t>
      </w:r>
    </w:p>
    <w:p>
      <w:pPr>
        <w:pStyle w:val="Heading3"/>
      </w:pPr>
      <w:r>
        <w:t>242.10.5 Surveillance de l'efficacité et de la tolérance</w:t>
      </w:r>
    </w:p>
    <w:p>
      <w:r>
        <w:t>Le patient doit être informé de la nécessité d'une consultation médicale de suivi à 1 semaine (en cas de crise hémorroïdaire aiguë) ou à 4 semaines (en cas d'IVC) pour évaluer l'efficacité (réduction des symptômes, échelle visuelle analogique) et la tolérance (céphalées, palpitations, tension artérielle), et de la nécessité d'une consultation rapide en cas d'aggravation des symptômes, de survenue de signes d'alerte (douleur thoracique, essoufflement, saignement anormal, élévation tensionnelle).</w:t>
      </w:r>
    </w:p>
    <w:p>
      <w:pPr>
        <w:pStyle w:val="Heading3"/>
      </w:pPr>
      <w:r>
        <w:t>242.10.6 Conservation et stockage</w:t>
      </w:r>
    </w:p>
    <w:p>
      <w:r>
        <w:t>Les gélules doivent être conservées à température ambiante (15-25 °C), à l'abri de l'humidité et de la chaleur, dans leur emballage d'origine, jusqu'à la date de péremption indiquée sur la boîte. Le patient doit être informé de ne pas utiliser de spécialité périmée et de rapporter les spécialités non utilisées à la pharmacie d'officine pour élimination appropriée.</w:t>
      </w:r>
    </w:p>
    <w:p>
      <w:pPr>
        <w:pStyle w:val="Heading2"/>
      </w:pPr>
      <w:r>
        <w:t>242.11 Notes, règles d'or et pièges au comptoir</w:t>
      </w:r>
    </w:p>
    <w:p>
      <w:pPr>
        <w:pStyle w:val="Heading3"/>
      </w:pPr>
      <w:r>
        <w:t>242.11.1 Règles d'or du conseil pharmaceutique au comptoir</w:t>
      </w:r>
    </w:p>
    <w:p>
      <w:pPr>
        <w:pStyle w:val="ListNumber"/>
      </w:pPr>
      <w:r/>
      <w:r>
        <w:rPr>
          <w:b/>
        </w:rPr>
        <w:t>Toujours vérifier la tension artérielle avant l'initiation de Ginkor Fort</w:t>
      </w:r>
      <w:r>
        <w:t xml:space="preserve"> chez le patient hypertendu, et informer le patient de la nécessité d'une surveillance tensionnelle hebdomadaire en pharmacie d'officine pendant les 4 premières semaines de traitement.</w:t>
      </w:r>
    </w:p>
    <w:p>
      <w:pPr>
        <w:pStyle w:val="ListNumber"/>
      </w:pPr>
      <w:r/>
      <w:r>
        <w:rPr>
          <w:b/>
        </w:rPr>
        <w:t>Toujours demander si le patient prend un traitement anticoagulant (AVK, AOD, héparine), antiagrégant plaquettaire (aspirine, clopidogrel), ou IMAO</w:t>
      </w:r>
      <w:r>
        <w:t xml:space="preserve"> avant de délivrer Ginkor Fort. En cas de réponse positive, ne pas délivrer et orienter le patient vers son médecin pour discussion d'une alternative thérapeutique (Daflon 500 mg, troxérutine seule).</w:t>
      </w:r>
    </w:p>
    <w:p>
      <w:pPr>
        <w:pStyle w:val="ListNumber"/>
      </w:pPr>
      <w:r/>
      <w:r>
        <w:rPr>
          <w:b/>
        </w:rPr>
        <w:t>Toujours informer le patient de la durée du traitement</w:t>
      </w:r>
      <w:r>
        <w:t xml:space="preserve"> (1 à 2 semaines en phase d'attaque, 4 à 6 semaines en entretien) et de la nécessité d'une consultation médicale de suivi.</w:t>
      </w:r>
    </w:p>
    <w:p>
      <w:pPr>
        <w:pStyle w:val="ListNumber"/>
      </w:pPr>
      <w:r/>
      <w:r>
        <w:rPr>
          <w:b/>
        </w:rPr>
        <w:t>Toujours informer le patient des signes d'appel à surveiller</w:t>
      </w:r>
      <w:r>
        <w:t xml:space="preserve"> (céphalées persistantes, palpitations, insomnie, douleurs thoraciques, saignement anormal) et de l'arrêt immédiat du traitement en cas de survenue, avec consultation médicale rapide.</w:t>
      </w:r>
    </w:p>
    <w:p>
      <w:pPr>
        <w:pStyle w:val="ListNumber"/>
      </w:pPr>
      <w:r/>
      <w:r>
        <w:rPr>
          <w:b/>
        </w:rPr>
        <w:t>Toujours prescrire les mesures hygiéno-diététiques associées</w:t>
      </w:r>
      <w:r>
        <w:t xml:space="preserve"> (compression élastique, surélévation des jambes, marche, perte de poids, arrêt du tabac) pour optimiser l'efficacité du traitement.</w:t>
      </w:r>
    </w:p>
    <w:p>
      <w:pPr>
        <w:pStyle w:val="Heading3"/>
      </w:pPr>
      <w:r>
        <w:t>242.11.2 Pièges à éviter au comptoir</w:t>
      </w:r>
    </w:p>
    <w:p>
      <w:pPr>
        <w:pStyle w:val="ListNumber"/>
      </w:pPr>
      <w:r>
        <w:t>**Ne pas confondre Ginkor Fort avec le *Ginkgo biloba* en monothérapie** (Tanakan, Ginkoba, Isotanak). Ginkor Fort contient 14 mg d'extrait de *Ginkgo biloba* par gélule (contre 40 mg par prise pour le *Ginkgo biloba* en monothérapie), associé à l'heptaminol et à la troxérutine. Les indications, posologies, contre-indications et effets indésirables sont différents.</w:t>
      </w:r>
    </w:p>
    <w:p>
      <w:pPr>
        <w:pStyle w:val="ListNumber"/>
      </w:pPr>
      <w:r/>
      <w:r>
        <w:rPr>
          <w:b/>
        </w:rPr>
        <w:t>Ne pas méconnaître la contre-indication de l'IMAO</w:t>
      </w:r>
      <w:r>
        <w:t xml:space="preserve"> avec Ginkor Fort (présence d'heptaminol). Le patient sous IMAO (phénelzine, tranylcypromine, moclobémide) ne doit pas recevoir de Ginkor Fort, et l'arrêt de l'IMAO doit dater de au moins 15 jours avant l'initiation de Ginkor Fort.</w:t>
      </w:r>
    </w:p>
    <w:p>
      <w:pPr>
        <w:pStyle w:val="ListNumber"/>
      </w:pPr>
      <w:r/>
      <w:r>
        <w:rPr>
          <w:b/>
        </w:rPr>
        <w:t>Ne pas oublier de demander l'avis du médecin en cas d'association avec un antihypertenseur</w:t>
      </w:r>
      <w:r>
        <w:t xml:space="preserve"> (bêtabloquant, IEC, ARA2, diurétique, inhibiteur calcique), en raison de l'antagonisme pharmacologique possible avec l'heptaminol.</w:t>
      </w:r>
    </w:p>
    <w:p>
      <w:pPr>
        <w:pStyle w:val="ListNumber"/>
      </w:pPr>
      <w:r/>
      <w:r>
        <w:rPr>
          <w:b/>
        </w:rPr>
        <w:t>Ne pas méconnaître le risque d'élévation tensionnelle</w:t>
      </w:r>
      <w:r>
        <w:t xml:space="preserve"> chez le patient hypertendu, qui nécessite une surveillance tensionnelle hebdomadaire en pharmacie d'officine pendant les 4 premières semaines de traitement.</w:t>
      </w:r>
    </w:p>
    <w:p>
      <w:pPr>
        <w:pStyle w:val="ListNumber"/>
      </w:pPr>
      <w:r/>
      <w:r>
        <w:rPr>
          <w:b/>
        </w:rPr>
        <w:t>Ne pas prolonger le traitement au-delà de 3 mois sans réévaluation médicale</w:t>
      </w:r>
      <w:r>
        <w:t>, en raison du risque d'accoutumance et de majoration des effets indésirables cardiovasculaires liés à l'heptaminol.</w:t>
      </w:r>
    </w:p>
    <w:p>
      <w:pPr>
        <w:pStyle w:val="Heading3"/>
      </w:pPr>
      <w:r>
        <w:t>242.11.3 Notes pédagogiques pour l'étudiant en pharmacie</w:t>
      </w:r>
    </w:p>
    <w:p>
      <w:r>
        <w:t xml:space="preserve">L'étudiant en pharmacie doit retenir que Ginkor Fort est un médicament d'association trithérapique original (extrait de </w:t>
      </w:r>
      <w:r>
        <w:rPr>
          <w:i/>
        </w:rPr>
        <w:t>Ginkgo biloba</w:t>
      </w:r>
      <w:r>
        <w:t xml:space="preserve"> + heptaminol + troxérutine) utilisé dans l'insuffisance veineuse chronique et la crise hémorroïdaire aiguë. L'étudiant doit connaître les caractéristiques principales : posologie (2 gélules/jour en attaque, 1 gélule/jour en entretien), durée (1 à 2 semaines en attaque, 4 à 6 semaines en entretien), contre-indications absolues (IMAO, AVK, AOD, héparines, grossesse, hypertension non contrôlée), effets indésirables principaux (céphalées, palpitations, insomnie, élévation tensionnelle). L'étudiant doit savoir que la présence d'heptaminol contre-indique l'usage chez le patient sous IMAO et impose une surveillance tensionnelle chez le patient hypertendu. Enfin, l'étudiant doit savoir que les alternatives thérapeutiques en cas de contre-indication à Ginkor Fort sont les veinotoniques flavonoïques purs (Daflon 500 mg, troxérutine seule), qui ne contiennent pas d'heptaminol et présentent un profil de tolérance plus favorable.</w:t>
      </w:r>
    </w:p>
    <w:p>
      <w:pPr>
        <w:pStyle w:val="Heading2"/>
      </w:pPr>
      <w:r>
        <w:t>242.12 Tableau comparatif de sous-classe</w:t>
      </w:r>
    </w:p>
    <w:p>
      <w:r>
        <w:t>Le tableau comparatif ci-dessous synthétise les caractéristiques principales de Ginkor Fort par rapport aux autres veinotoniques disponibles en Algérie, pour faciliter l'arbitrage thérapeutique au comptoir.</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Critère</w:t>
            </w:r>
          </w:p>
        </w:tc>
        <w:tc>
          <w:tcPr>
            <w:tcW w:type="dxa" w:w="1385"/>
            <w:shd w:val="clear" w:color="auto" w:fill="F2F2F2"/>
          </w:tcPr>
          <w:p>
            <w:r>
              <w:rPr>
                <w:rFonts w:ascii="Times New Roman" w:hAnsi="Times New Roman"/>
                <w:b/>
                <w:sz w:val="20"/>
              </w:rPr>
              <w:t>Ginkor Fort</w:t>
            </w:r>
          </w:p>
        </w:tc>
        <w:tc>
          <w:tcPr>
            <w:tcW w:type="dxa" w:w="1385"/>
            <w:shd w:val="clear" w:color="auto" w:fill="F2F2F2"/>
          </w:tcPr>
          <w:p>
            <w:r>
              <w:rPr>
                <w:rFonts w:ascii="Times New Roman" w:hAnsi="Times New Roman"/>
                <w:b/>
                <w:sz w:val="20"/>
              </w:rPr>
              <w:t>Daflon 500 mg</w:t>
            </w:r>
          </w:p>
        </w:tc>
        <w:tc>
          <w:tcPr>
            <w:tcW w:type="dxa" w:w="1385"/>
            <w:shd w:val="clear" w:color="auto" w:fill="F2F2F2"/>
          </w:tcPr>
          <w:p>
            <w:r>
              <w:rPr>
                <w:rFonts w:ascii="Times New Roman" w:hAnsi="Times New Roman"/>
                <w:b/>
                <w:sz w:val="20"/>
              </w:rPr>
              <w:t>Cyclo 3 Fort</w:t>
            </w:r>
          </w:p>
        </w:tc>
        <w:tc>
          <w:tcPr>
            <w:tcW w:type="dxa" w:w="1385"/>
            <w:shd w:val="clear" w:color="auto" w:fill="F2F2F2"/>
          </w:tcPr>
          <w:p>
            <w:r>
              <w:rPr>
                <w:rFonts w:ascii="Times New Roman" w:hAnsi="Times New Roman"/>
                <w:b/>
                <w:sz w:val="20"/>
              </w:rPr>
              <w:t>Endotelon</w:t>
            </w:r>
          </w:p>
        </w:tc>
        <w:tc>
          <w:tcPr>
            <w:tcW w:type="dxa" w:w="1385"/>
            <w:shd w:val="clear" w:color="auto" w:fill="F2F2F2"/>
          </w:tcPr>
          <w:p>
            <w:r>
              <w:rPr>
                <w:rFonts w:ascii="Times New Roman" w:hAnsi="Times New Roman"/>
                <w:b/>
                <w:sz w:val="20"/>
              </w:rPr>
              <w:t>Troxérutine seule</w:t>
            </w:r>
          </w:p>
        </w:tc>
      </w:tr>
      <w:tr>
        <w:tc>
          <w:tcPr>
            <w:tcW w:type="dxa" w:w="1385"/>
          </w:tcPr>
          <w:p>
            <w:r>
              <w:rPr>
                <w:rFonts w:ascii="Times New Roman" w:hAnsi="Times New Roman"/>
                <w:sz w:val="20"/>
              </w:rPr>
              <w:t>**Composition**</w:t>
            </w:r>
          </w:p>
        </w:tc>
        <w:tc>
          <w:tcPr>
            <w:tcW w:type="dxa" w:w="1385"/>
          </w:tcPr>
          <w:p>
            <w:r>
              <w:rPr>
                <w:rFonts w:ascii="Times New Roman" w:hAnsi="Times New Roman"/>
                <w:sz w:val="20"/>
              </w:rPr>
              <w:t>Ginkgo + Heptaminol + Troxérutine</w:t>
            </w:r>
          </w:p>
        </w:tc>
        <w:tc>
          <w:tcPr>
            <w:tcW w:type="dxa" w:w="1385"/>
          </w:tcPr>
          <w:p>
            <w:r>
              <w:rPr>
                <w:rFonts w:ascii="Times New Roman" w:hAnsi="Times New Roman"/>
                <w:sz w:val="20"/>
              </w:rPr>
              <w:t>Diosmine + Hespéridine</w:t>
            </w:r>
          </w:p>
        </w:tc>
        <w:tc>
          <w:tcPr>
            <w:tcW w:type="dxa" w:w="1385"/>
          </w:tcPr>
          <w:p>
            <w:r>
              <w:rPr>
                <w:rFonts w:ascii="Times New Roman" w:hAnsi="Times New Roman"/>
                <w:sz w:val="20"/>
              </w:rPr>
              <w:t>Troxérutine + Mélilot + Mésoglycane</w:t>
            </w:r>
          </w:p>
        </w:tc>
        <w:tc>
          <w:tcPr>
            <w:tcW w:type="dxa" w:w="1385"/>
          </w:tcPr>
          <w:p>
            <w:r>
              <w:rPr>
                <w:rFonts w:ascii="Times New Roman" w:hAnsi="Times New Roman"/>
                <w:sz w:val="20"/>
              </w:rPr>
              <w:t>OPC (extrait pépins de raisin)</w:t>
            </w:r>
          </w:p>
        </w:tc>
        <w:tc>
          <w:tcPr>
            <w:tcW w:type="dxa" w:w="1385"/>
          </w:tcPr>
          <w:p>
            <w:r>
              <w:rPr>
                <w:rFonts w:ascii="Times New Roman" w:hAnsi="Times New Roman"/>
                <w:sz w:val="20"/>
              </w:rPr>
              <w:t>Troxérutine pure</w:t>
            </w:r>
          </w:p>
        </w:tc>
      </w:tr>
      <w:tr>
        <w:tc>
          <w:tcPr>
            <w:tcW w:type="dxa" w:w="1385"/>
          </w:tcPr>
          <w:p>
            <w:r>
              <w:rPr>
                <w:rFonts w:ascii="Times New Roman" w:hAnsi="Times New Roman"/>
                <w:sz w:val="20"/>
              </w:rPr>
              <w:t>**Laboratoire**</w:t>
            </w:r>
          </w:p>
        </w:tc>
        <w:tc>
          <w:tcPr>
            <w:tcW w:type="dxa" w:w="1385"/>
          </w:tcPr>
          <w:p>
            <w:r>
              <w:rPr>
                <w:rFonts w:ascii="Times New Roman" w:hAnsi="Times New Roman"/>
                <w:sz w:val="20"/>
              </w:rPr>
              <w:t>Tonipharm</w:t>
            </w:r>
          </w:p>
        </w:tc>
        <w:tc>
          <w:tcPr>
            <w:tcW w:type="dxa" w:w="1385"/>
          </w:tcPr>
          <w:p>
            <w:r>
              <w:rPr>
                <w:rFonts w:ascii="Times New Roman" w:hAnsi="Times New Roman"/>
                <w:sz w:val="20"/>
              </w:rPr>
              <w:t>Servier</w:t>
            </w:r>
          </w:p>
        </w:tc>
        <w:tc>
          <w:tcPr>
            <w:tcW w:type="dxa" w:w="1385"/>
          </w:tcPr>
          <w:p>
            <w:r>
              <w:rPr>
                <w:rFonts w:ascii="Times New Roman" w:hAnsi="Times New Roman"/>
                <w:sz w:val="20"/>
              </w:rPr>
              <w:t>Pierre Fabre</w:t>
            </w:r>
          </w:p>
        </w:tc>
        <w:tc>
          <w:tcPr>
            <w:tcW w:type="dxa" w:w="1385"/>
          </w:tcPr>
          <w:p>
            <w:r>
              <w:rPr>
                <w:rFonts w:ascii="Times New Roman" w:hAnsi="Times New Roman"/>
                <w:sz w:val="20"/>
              </w:rPr>
              <w:t>Sanofi</w:t>
            </w:r>
          </w:p>
        </w:tc>
        <w:tc>
          <w:tcPr>
            <w:tcW w:type="dxa" w:w="1385"/>
          </w:tcPr>
          <w:p>
            <w:r>
              <w:rPr>
                <w:rFonts w:ascii="Times New Roman" w:hAnsi="Times New Roman"/>
                <w:sz w:val="20"/>
              </w:rPr>
              <w:t>Divers</w:t>
            </w:r>
          </w:p>
        </w:tc>
      </w:tr>
      <w:tr>
        <w:tc>
          <w:tcPr>
            <w:tcW w:type="dxa" w:w="1385"/>
          </w:tcPr>
          <w:p>
            <w:r>
              <w:rPr>
                <w:rFonts w:ascii="Times New Roman" w:hAnsi="Times New Roman"/>
                <w:sz w:val="20"/>
              </w:rPr>
              <w:t>**Posologie**</w:t>
            </w:r>
          </w:p>
        </w:tc>
        <w:tc>
          <w:tcPr>
            <w:tcW w:type="dxa" w:w="1385"/>
          </w:tcPr>
          <w:p>
            <w:r>
              <w:rPr>
                <w:rFonts w:ascii="Times New Roman" w:hAnsi="Times New Roman"/>
                <w:sz w:val="20"/>
              </w:rPr>
              <w:t>2 cp/j attaque, 1 cp/j entretien</w:t>
            </w:r>
          </w:p>
        </w:tc>
        <w:tc>
          <w:tcPr>
            <w:tcW w:type="dxa" w:w="1385"/>
          </w:tcPr>
          <w:p>
            <w:r>
              <w:rPr>
                <w:rFonts w:ascii="Times New Roman" w:hAnsi="Times New Roman"/>
                <w:sz w:val="20"/>
              </w:rPr>
              <w:t>2 cp/j attaque, 1 cp/j entretien</w:t>
            </w:r>
          </w:p>
        </w:tc>
        <w:tc>
          <w:tcPr>
            <w:tcW w:type="dxa" w:w="1385"/>
          </w:tcPr>
          <w:p>
            <w:r>
              <w:rPr>
                <w:rFonts w:ascii="Times New Roman" w:hAnsi="Times New Roman"/>
                <w:sz w:val="20"/>
              </w:rPr>
              <w:t>1 cp/j</w:t>
            </w:r>
          </w:p>
        </w:tc>
        <w:tc>
          <w:tcPr>
            <w:tcW w:type="dxa" w:w="1385"/>
          </w:tcPr>
          <w:p>
            <w:r>
              <w:rPr>
                <w:rFonts w:ascii="Times New Roman" w:hAnsi="Times New Roman"/>
                <w:sz w:val="20"/>
              </w:rPr>
              <w:t>1 cp/j</w:t>
            </w:r>
          </w:p>
        </w:tc>
        <w:tc>
          <w:tcPr>
            <w:tcW w:type="dxa" w:w="1385"/>
          </w:tcPr>
          <w:p>
            <w:r>
              <w:rPr>
                <w:rFonts w:ascii="Times New Roman" w:hAnsi="Times New Roman"/>
                <w:sz w:val="20"/>
              </w:rPr>
              <w:t>2-3 cp/j</w:t>
            </w:r>
          </w:p>
        </w:tc>
      </w:tr>
      <w:tr>
        <w:tc>
          <w:tcPr>
            <w:tcW w:type="dxa" w:w="1385"/>
          </w:tcPr>
          <w:p>
            <w:r>
              <w:rPr>
                <w:rFonts w:ascii="Times New Roman" w:hAnsi="Times New Roman"/>
                <w:sz w:val="20"/>
              </w:rPr>
              <w:t>**Indication principale**</w:t>
            </w:r>
          </w:p>
        </w:tc>
        <w:tc>
          <w:tcPr>
            <w:tcW w:type="dxa" w:w="1385"/>
          </w:tcPr>
          <w:p>
            <w:r>
              <w:rPr>
                <w:rFonts w:ascii="Times New Roman" w:hAnsi="Times New Roman"/>
                <w:sz w:val="20"/>
              </w:rPr>
              <w:t>IVC + crise hémorroïdaire</w:t>
            </w:r>
          </w:p>
        </w:tc>
        <w:tc>
          <w:tcPr>
            <w:tcW w:type="dxa" w:w="1385"/>
          </w:tcPr>
          <w:p>
            <w:r>
              <w:rPr>
                <w:rFonts w:ascii="Times New Roman" w:hAnsi="Times New Roman"/>
                <w:sz w:val="20"/>
              </w:rPr>
              <w:t>IVC + crise hémorroïdaire</w:t>
            </w:r>
          </w:p>
        </w:tc>
        <w:tc>
          <w:tcPr>
            <w:tcW w:type="dxa" w:w="1385"/>
          </w:tcPr>
          <w:p>
            <w:r>
              <w:rPr>
                <w:rFonts w:ascii="Times New Roman" w:hAnsi="Times New Roman"/>
                <w:sz w:val="20"/>
              </w:rPr>
              <w:t>IVC</w:t>
            </w:r>
          </w:p>
        </w:tc>
        <w:tc>
          <w:tcPr>
            <w:tcW w:type="dxa" w:w="1385"/>
          </w:tcPr>
          <w:p>
            <w:r>
              <w:rPr>
                <w:rFonts w:ascii="Times New Roman" w:hAnsi="Times New Roman"/>
                <w:sz w:val="20"/>
              </w:rPr>
              <w:t>IVC + microcirculation</w:t>
            </w:r>
          </w:p>
        </w:tc>
        <w:tc>
          <w:tcPr>
            <w:tcW w:type="dxa" w:w="1385"/>
          </w:tcPr>
          <w:p>
            <w:r>
              <w:rPr>
                <w:rFonts w:ascii="Times New Roman" w:hAnsi="Times New Roman"/>
                <w:sz w:val="20"/>
              </w:rPr>
              <w:t>IVC modérée</w:t>
            </w:r>
          </w:p>
        </w:tc>
      </w:tr>
      <w:tr>
        <w:tc>
          <w:tcPr>
            <w:tcW w:type="dxa" w:w="1385"/>
          </w:tcPr>
          <w:p>
            <w:r>
              <w:rPr>
                <w:rFonts w:ascii="Times New Roman" w:hAnsi="Times New Roman"/>
                <w:sz w:val="20"/>
              </w:rPr>
              <w:t>**Effet sympathomimétique**</w:t>
            </w:r>
          </w:p>
        </w:tc>
        <w:tc>
          <w:tcPr>
            <w:tcW w:type="dxa" w:w="1385"/>
          </w:tcPr>
          <w:p>
            <w:r>
              <w:rPr>
                <w:rFonts w:ascii="Times New Roman" w:hAnsi="Times New Roman"/>
                <w:sz w:val="20"/>
              </w:rPr>
              <w:t>OUI (heptaminol)</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r>
      <w:tr>
        <w:tc>
          <w:tcPr>
            <w:tcW w:type="dxa" w:w="1385"/>
          </w:tcPr>
          <w:p>
            <w:r>
              <w:rPr>
                <w:rFonts w:ascii="Times New Roman" w:hAnsi="Times New Roman"/>
                <w:sz w:val="20"/>
              </w:rPr>
              <w:t>**Effet anti-PAF**</w:t>
            </w:r>
          </w:p>
        </w:tc>
        <w:tc>
          <w:tcPr>
            <w:tcW w:type="dxa" w:w="1385"/>
          </w:tcPr>
          <w:p>
            <w:r>
              <w:rPr>
                <w:rFonts w:ascii="Times New Roman" w:hAnsi="Times New Roman"/>
                <w:sz w:val="20"/>
              </w:rPr>
              <w:t>OUI (Ginkgo)</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r>
      <w:tr>
        <w:tc>
          <w:tcPr>
            <w:tcW w:type="dxa" w:w="1385"/>
          </w:tcPr>
          <w:p>
            <w:r>
              <w:rPr>
                <w:rFonts w:ascii="Times New Roman" w:hAnsi="Times New Roman"/>
                <w:sz w:val="20"/>
              </w:rPr>
              <w:t>**Contre-indication IMAO**</w:t>
            </w:r>
          </w:p>
        </w:tc>
        <w:tc>
          <w:tcPr>
            <w:tcW w:type="dxa" w:w="1385"/>
          </w:tcPr>
          <w:p>
            <w:r>
              <w:rPr>
                <w:rFonts w:ascii="Times New Roman" w:hAnsi="Times New Roman"/>
                <w:sz w:val="20"/>
              </w:rPr>
              <w:t>OUI</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r>
      <w:tr>
        <w:tc>
          <w:tcPr>
            <w:tcW w:type="dxa" w:w="1385"/>
          </w:tcPr>
          <w:p>
            <w:r>
              <w:rPr>
                <w:rFonts w:ascii="Times New Roman" w:hAnsi="Times New Roman"/>
                <w:sz w:val="20"/>
              </w:rPr>
              <w:t>**Contre-indication AVK/AAG**</w:t>
            </w:r>
          </w:p>
        </w:tc>
        <w:tc>
          <w:tcPr>
            <w:tcW w:type="dxa" w:w="1385"/>
          </w:tcPr>
          <w:p>
            <w:r>
              <w:rPr>
                <w:rFonts w:ascii="Times New Roman" w:hAnsi="Times New Roman"/>
                <w:sz w:val="20"/>
              </w:rPr>
              <w:t>OUI</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r>
      <w:tr>
        <w:tc>
          <w:tcPr>
            <w:tcW w:type="dxa" w:w="1385"/>
          </w:tcPr>
          <w:p>
            <w:r>
              <w:rPr>
                <w:rFonts w:ascii="Times New Roman" w:hAnsi="Times New Roman"/>
                <w:sz w:val="20"/>
              </w:rPr>
              <w:t>**Hypertension non contrôlée**</w:t>
            </w:r>
          </w:p>
        </w:tc>
        <w:tc>
          <w:tcPr>
            <w:tcW w:type="dxa" w:w="1385"/>
          </w:tcPr>
          <w:p>
            <w:r>
              <w:rPr>
                <w:rFonts w:ascii="Times New Roman" w:hAnsi="Times New Roman"/>
                <w:sz w:val="20"/>
              </w:rPr>
              <w:t>CI</w:t>
            </w:r>
          </w:p>
        </w:tc>
        <w:tc>
          <w:tcPr>
            <w:tcW w:type="dxa" w:w="1385"/>
          </w:tcPr>
          <w:p>
            <w:r>
              <w:rPr>
                <w:rFonts w:ascii="Times New Roman" w:hAnsi="Times New Roman"/>
                <w:sz w:val="20"/>
              </w:rPr>
              <w:t>Précaution</w:t>
            </w:r>
          </w:p>
        </w:tc>
        <w:tc>
          <w:tcPr>
            <w:tcW w:type="dxa" w:w="1385"/>
          </w:tcPr>
          <w:p>
            <w:r>
              <w:rPr>
                <w:rFonts w:ascii="Times New Roman" w:hAnsi="Times New Roman"/>
                <w:sz w:val="20"/>
              </w:rPr>
              <w:t>Précaution</w:t>
            </w:r>
          </w:p>
        </w:tc>
        <w:tc>
          <w:tcPr>
            <w:tcW w:type="dxa" w:w="1385"/>
          </w:tcPr>
          <w:p>
            <w:r>
              <w:rPr>
                <w:rFonts w:ascii="Times New Roman" w:hAnsi="Times New Roman"/>
                <w:sz w:val="20"/>
              </w:rPr>
              <w:t>OK</w:t>
            </w:r>
          </w:p>
        </w:tc>
        <w:tc>
          <w:tcPr>
            <w:tcW w:type="dxa" w:w="1385"/>
          </w:tcPr>
          <w:p>
            <w:r>
              <w:rPr>
                <w:rFonts w:ascii="Times New Roman" w:hAnsi="Times New Roman"/>
                <w:sz w:val="20"/>
              </w:rPr>
              <w:t>Précaution</w:t>
            </w:r>
          </w:p>
        </w:tc>
      </w:tr>
      <w:tr>
        <w:tc>
          <w:tcPr>
            <w:tcW w:type="dxa" w:w="1385"/>
          </w:tcPr>
          <w:p>
            <w:r>
              <w:rPr>
                <w:rFonts w:ascii="Times New Roman" w:hAnsi="Times New Roman"/>
                <w:sz w:val="20"/>
              </w:rPr>
              <w:t>**Grossesse**</w:t>
            </w:r>
          </w:p>
        </w:tc>
        <w:tc>
          <w:tcPr>
            <w:tcW w:type="dxa" w:w="1385"/>
          </w:tcPr>
          <w:p>
            <w:r>
              <w:rPr>
                <w:rFonts w:ascii="Times New Roman" w:hAnsi="Times New Roman"/>
                <w:sz w:val="20"/>
              </w:rPr>
              <w:t>CI</w:t>
            </w:r>
          </w:p>
        </w:tc>
        <w:tc>
          <w:tcPr>
            <w:tcW w:type="dxa" w:w="1385"/>
          </w:tcPr>
          <w:p>
            <w:r>
              <w:rPr>
                <w:rFonts w:ascii="Times New Roman" w:hAnsi="Times New Roman"/>
                <w:sz w:val="20"/>
              </w:rPr>
              <w:t>Préférentiel</w:t>
            </w:r>
          </w:p>
        </w:tc>
        <w:tc>
          <w:tcPr>
            <w:tcW w:type="dxa" w:w="1385"/>
          </w:tcPr>
          <w:p>
            <w:r>
              <w:rPr>
                <w:rFonts w:ascii="Times New Roman" w:hAnsi="Times New Roman"/>
                <w:sz w:val="20"/>
              </w:rPr>
              <w:t>Éviter</w:t>
            </w:r>
          </w:p>
        </w:tc>
        <w:tc>
          <w:tcPr>
            <w:tcW w:type="dxa" w:w="1385"/>
          </w:tcPr>
          <w:p>
            <w:r>
              <w:rPr>
                <w:rFonts w:ascii="Times New Roman" w:hAnsi="Times New Roman"/>
                <w:sz w:val="20"/>
              </w:rPr>
              <w:t>Préférentiel</w:t>
            </w:r>
          </w:p>
        </w:tc>
        <w:tc>
          <w:tcPr>
            <w:tcW w:type="dxa" w:w="1385"/>
          </w:tcPr>
          <w:p>
            <w:r>
              <w:rPr>
                <w:rFonts w:ascii="Times New Roman" w:hAnsi="Times New Roman"/>
                <w:sz w:val="20"/>
              </w:rPr>
              <w:t>Préférentiel</w:t>
            </w:r>
          </w:p>
        </w:tc>
      </w:tr>
      <w:tr>
        <w:tc>
          <w:tcPr>
            <w:tcW w:type="dxa" w:w="1385"/>
          </w:tcPr>
          <w:p>
            <w:r>
              <w:rPr>
                <w:rFonts w:ascii="Times New Roman" w:hAnsi="Times New Roman"/>
                <w:sz w:val="20"/>
              </w:rPr>
              <w:t>**Côt mensuel**</w:t>
            </w:r>
          </w:p>
        </w:tc>
        <w:tc>
          <w:tcPr>
            <w:tcW w:type="dxa" w:w="1385"/>
          </w:tcPr>
          <w:p>
            <w:r>
              <w:rPr>
                <w:rFonts w:ascii="Times New Roman" w:hAnsi="Times New Roman"/>
                <w:sz w:val="20"/>
              </w:rPr>
              <w:t>~1500 DA</w:t>
            </w:r>
          </w:p>
        </w:tc>
        <w:tc>
          <w:tcPr>
            <w:tcW w:type="dxa" w:w="1385"/>
          </w:tcPr>
          <w:p>
            <w:r>
              <w:rPr>
                <w:rFonts w:ascii="Times New Roman" w:hAnsi="Times New Roman"/>
                <w:sz w:val="20"/>
              </w:rPr>
              <w:t>~1200 DA</w:t>
            </w:r>
          </w:p>
        </w:tc>
        <w:tc>
          <w:tcPr>
            <w:tcW w:type="dxa" w:w="1385"/>
          </w:tcPr>
          <w:p>
            <w:r>
              <w:rPr>
                <w:rFonts w:ascii="Times New Roman" w:hAnsi="Times New Roman"/>
                <w:sz w:val="20"/>
              </w:rPr>
              <w:t>~1300 DA</w:t>
            </w:r>
          </w:p>
        </w:tc>
        <w:tc>
          <w:tcPr>
            <w:tcW w:type="dxa" w:w="1385"/>
          </w:tcPr>
          <w:p>
            <w:r>
              <w:rPr>
                <w:rFonts w:ascii="Times New Roman" w:hAnsi="Times New Roman"/>
                <w:sz w:val="20"/>
              </w:rPr>
              <w:t>~1100 DA</w:t>
            </w:r>
          </w:p>
        </w:tc>
        <w:tc>
          <w:tcPr>
            <w:tcW w:type="dxa" w:w="1385"/>
          </w:tcPr>
          <w:p>
            <w:r>
              <w:rPr>
                <w:rFonts w:ascii="Times New Roman" w:hAnsi="Times New Roman"/>
                <w:sz w:val="20"/>
              </w:rPr>
              <w:t>~800 DA</w:t>
            </w:r>
          </w:p>
        </w:tc>
      </w:tr>
      <w:tr>
        <w:tc>
          <w:tcPr>
            <w:tcW w:type="dxa" w:w="1385"/>
          </w:tcPr>
          <w:p>
            <w:r>
              <w:rPr>
                <w:rFonts w:ascii="Times New Roman" w:hAnsi="Times New Roman"/>
                <w:sz w:val="20"/>
              </w:rPr>
              <w:t>**Disponibilité Algérie**</w:t>
            </w:r>
          </w:p>
        </w:tc>
        <w:tc>
          <w:tcPr>
            <w:tcW w:type="dxa" w:w="1385"/>
          </w:tcPr>
          <w:p>
            <w:r>
              <w:rPr>
                <w:rFonts w:ascii="Times New Roman" w:hAnsi="Times New Roman"/>
                <w:sz w:val="20"/>
              </w:rPr>
              <w:t>Oui</w:t>
            </w:r>
          </w:p>
        </w:tc>
        <w:tc>
          <w:tcPr>
            <w:tcW w:type="dxa" w:w="1385"/>
          </w:tcPr>
          <w:p>
            <w:r>
              <w:rPr>
                <w:rFonts w:ascii="Times New Roman" w:hAnsi="Times New Roman"/>
                <w:sz w:val="20"/>
              </w:rPr>
              <w:t>Oui</w:t>
            </w:r>
          </w:p>
        </w:tc>
        <w:tc>
          <w:tcPr>
            <w:tcW w:type="dxa" w:w="1385"/>
          </w:tcPr>
          <w:p>
            <w:r>
              <w:rPr>
                <w:rFonts w:ascii="Times New Roman" w:hAnsi="Times New Roman"/>
                <w:sz w:val="20"/>
              </w:rPr>
              <w:t>Oui</w:t>
            </w:r>
          </w:p>
        </w:tc>
        <w:tc>
          <w:tcPr>
            <w:tcW w:type="dxa" w:w="1385"/>
          </w:tcPr>
          <w:p>
            <w:r>
              <w:rPr>
                <w:rFonts w:ascii="Times New Roman" w:hAnsi="Times New Roman"/>
                <w:sz w:val="20"/>
              </w:rPr>
              <w:t>Oui</w:t>
            </w:r>
          </w:p>
        </w:tc>
        <w:tc>
          <w:tcPr>
            <w:tcW w:type="dxa" w:w="1385"/>
          </w:tcPr>
          <w:p>
            <w:r>
              <w:rPr>
                <w:rFonts w:ascii="Times New Roman" w:hAnsi="Times New Roman"/>
                <w:sz w:val="20"/>
              </w:rPr>
              <w:t>Oui</w:t>
            </w:r>
          </w:p>
        </w:tc>
      </w:tr>
    </w:tbl>
    <w:p/>
    <w:p>
      <w:pPr>
        <w:pStyle w:val="Heading3"/>
      </w:pPr>
      <w:r>
        <w:t>242.12.1 Synthèse transversale de la sous-classe</w:t>
      </w:r>
    </w:p>
    <w:p>
      <w:r>
        <w:t>Ginkor Fort occupe une place particulière dans l'arsenal thérapeutique algérien des veinotoniques, en raison de son association trithérapique originale combinant extrait végétal, sympathomimétique indirect et flavonoïde. Son profil d'efficacité est comparable à celui du Daflon 500 mg sur les symptômes de l'IVC, mais sa tolérance cardiovasculaire est moins favorable en raison de la présence d'heptaminol. Le Daflon 500 mg (diosmine + hespéridine) constitue le traitement de référence de l'IVC et de la crise hémorroïdaire en Algérie, en raison de son excellent profil d'efficacité/tolérance, de son innocuité chez la femme enceinte, de l'absence d'interaction médicamenteuse majeure, et de son coût modéré. La troxérutine seule est une alternative économique pour l'IVC modérée. Endotelon est une alternative pour l'IVC avec retentissement microcirculatoire rétinien. Cyclo 3 Fort est une alternative pour l'IVC avec composante lymphatique.</w:t>
      </w:r>
    </w:p>
    <w:p>
      <w:pPr>
        <w:pStyle w:val="Heading3"/>
      </w:pPr>
      <w:r>
        <w:t>242.12.2 Conclusion du chapitre 242</w:t>
      </w:r>
    </w:p>
    <w:p>
      <w:r>
        <w:t>L'association Ginkgo biloba + Heptaminol + Troxérutine (Ginkor Fort) illustre la diversité des approches thérapeutiques disponibles en Algérie pour le traitement de l'insuffisance veineuse chronique et de la crise hémorroïdaire. Sa prescription doit respecter les contre-indications absolues (IMAO, AVK, AOD, héparines, grossesse, hypertension non contrôlée) et s'accompagner d'une surveillance tensionnelle chez le patient hypertendu. Le pharmacien d'officine algérien joue un rôle central dans la dispensation et le conseil pharmaceutique de cette molécule, en particulier pour la détection des contre-indications, la surveillance de l'observance et de la tolérance, et l'éducation thérapeutique du patient. Le chapitre suivant traite des autres DCI phytothérapiques (Serenoa repens, Pygeum africanum), utilisées dans le traitement de l'hypertrophie bénigne de la prostate.</w:t>
      </w:r>
    </w:p>
    <w:p>
      <w:pPr>
        <w:pStyle w:val="Heading1"/>
      </w:pPr>
      <w:r>
        <w:t>Chapitre 243 — Phytothérapie : Serenoa repens et Pygeum africanum (HBP)</w:t>
      </w:r>
    </w:p>
    <w:p>
      <w:pPr>
        <w:pStyle w:val="Heading2"/>
      </w:pPr>
      <w:r>
        <w:t>Fascicule XXIV — Phytothérapie, Médecine Nucléaire &amp; Dispositifs Médicaux</w:t>
      </w:r>
    </w:p>
    <w:p>
      <w:pPr>
        <w:pStyle w:val="Heading2"/>
      </w:pPr>
      <w:r>
        <w:t>243.0 Introduction au chapitre 243 — Phytothérapie prostatique : Serenoa repens et Pygeum africanum</w:t>
      </w:r>
    </w:p>
    <w:p>
      <w:r>
        <w:t xml:space="preserve">L'hypertrophie bénigne de la prostate (HBP), ou hyperplasie bénigne de la prostate, constitue l'une des pathologies les plus fréquentes de l'homme âgé, touchant environ 50 % des hommes de 50 ans, 70 % des hommes de 60 ans et 90 % des hommes de 80 ans selon les données épidémiologiques internationales (Berry 1984, </w:t>
      </w:r>
      <w:r>
        <w:rPr>
          <w:i/>
        </w:rPr>
        <w:t>Journal of Urology</w:t>
      </w:r>
      <w:r>
        <w:t>). En Algérie, l'HBP représente le premier motif de consultation urologique chez l'homme de plus de 50 ans, avec une prévalence estimée à 30-40 % chez les hommes de 60-70 ans selon l'étude épidémiologique nationale de l'Association Algérienne d'Urologie (2018). La prise en charge thérapeutique de l'HBP en Algérie repose sur une stratégie graduelle : mesures hygiéno-diététiques (réduction des apports hydriques en soirée, évitement de l'alcool et de la caféine, traitement d'une constipation associée) ; traitement phytothérapique de première intention pour les HBP modérées (IPSS &lt; 20) ; traitement pharmacologique conventionnel (α-bloquants : tamsulosine, alfuzosine, doxazosine, silodosine ; inhibiteurs de la 5α-réductase : finastéride, dutastéride) pour les HBP modérées à sévères ; traitement chirurgical (résection transurétrale de prostate - RTUP, adénomectomie par voie haute, photovaporisation laser - PVP) pour les HBP compliquées (rétention urinaire, lithiase vésicale, hématurie récidivante, insuffisance rénale).</w:t>
      </w:r>
    </w:p>
    <w:p>
      <w:r>
        <w:t xml:space="preserve">Le traitement phytothérapique de l'HBP repose principalement sur deux plantes médicinales : </w:t>
      </w:r>
      <w:r>
        <w:rPr>
          <w:i/>
        </w:rPr>
        <w:t>Serenoa repens</w:t>
      </w:r>
      <w:r>
        <w:t xml:space="preserve"> (chou palmiste nain, saw palmetto), petit palmier originaire du sud-est des États-Unis dont les baies contiennent un extrait lipido-stérique riche en acides gras libres et phytostérols, et </w:t>
      </w:r>
      <w:r>
        <w:rPr>
          <w:i/>
        </w:rPr>
        <w:t>Pygeum africanum</w:t>
      </w:r>
      <w:r>
        <w:t xml:space="preserve"> (prunier d'Afrique), arbre de la famille des Rosacées originaire des régions montagneuses d'Afrique subsaharienne (Cameroun, Madagascar, Kenya) dont l'écorce contient des phytostérols (β-sitostérol), des pentacycliques triterpènes (acide ursolique, acide oléanolique) et des acides gras. Les deux plantes ont en commun une action pharmacologique sur la prostate, mais avec des mécanismes d'action et des niveaux de preuve différents : le </w:t>
      </w:r>
      <w:r>
        <w:rPr>
          <w:i/>
        </w:rPr>
        <w:t>Serenoa repens</w:t>
      </w:r>
      <w:r>
        <w:t xml:space="preserve"> possède un niveau de preuve modéré (essais cliniques positifs mais hétérogènes, méta-analyses contradictoires) et reste commercialisé en Algérie ; le </w:t>
      </w:r>
      <w:r>
        <w:rPr>
          <w:i/>
        </w:rPr>
        <w:t>Pygeum africanum</w:t>
      </w:r>
      <w:r>
        <w:t xml:space="preserve"> possède un niveau de preuve limité (essais cliniques anciens, méthodologie faible) et a vu ses spécialités retirées du marché algérien (Tadenan, Novaprost, Tuzanil).</w:t>
      </w:r>
    </w:p>
    <w:p>
      <w:r>
        <w:t xml:space="preserve">L'enseignement de la phytothérapie prostatique à l'étudiant en pharmacie algérien doit intégrer quatre dimensions complémentaires. </w:t>
      </w:r>
      <w:r>
        <w:rPr>
          <w:b/>
        </w:rPr>
        <w:t>Botanique et chimie</w:t>
      </w:r>
      <w:r>
        <w:t xml:space="preserve"> : la connaissance des plantes sources (</w:t>
      </w:r>
      <w:r>
        <w:rPr>
          <w:i/>
        </w:rPr>
        <w:t>Serenoa repens</w:t>
      </w:r>
      <w:r>
        <w:t xml:space="preserve">, </w:t>
      </w:r>
      <w:r>
        <w:rPr>
          <w:i/>
        </w:rPr>
        <w:t>Pygeum africanum</w:t>
      </w:r>
      <w:r>
        <w:t xml:space="preserve">), des principes actifs responsables de l'effet pharmacologique (extrait lipido-stérique pour </w:t>
      </w:r>
      <w:r>
        <w:rPr>
          <w:i/>
        </w:rPr>
        <w:t>Serenoa repens</w:t>
      </w:r>
      <w:r>
        <w:t xml:space="preserve">, phytostérols et triterpènes pour </w:t>
      </w:r>
      <w:r>
        <w:rPr>
          <w:i/>
        </w:rPr>
        <w:t>Pygeum africanum</w:t>
      </w:r>
      <w:r>
        <w:t xml:space="preserve">), et des procédés d'extraction (extraction par solvant hexane ou CO2 supercritique pour </w:t>
      </w:r>
      <w:r>
        <w:rPr>
          <w:i/>
        </w:rPr>
        <w:t>Serenoa repens</w:t>
      </w:r>
      <w:r>
        <w:t xml:space="preserve"> ; extraction éthanolique pour </w:t>
      </w:r>
      <w:r>
        <w:rPr>
          <w:i/>
        </w:rPr>
        <w:t>Pygeum africanum</w:t>
      </w:r>
      <w:r>
        <w:t xml:space="preserve">). </w:t>
      </w:r>
      <w:r>
        <w:rPr>
          <w:b/>
        </w:rPr>
        <w:t>Pharmacologie</w:t>
      </w:r>
      <w:r>
        <w:t xml:space="preserve"> : le mécanisme d'action moléculaire (inhibition de la 5α-réductase pour </w:t>
      </w:r>
      <w:r>
        <w:rPr>
          <w:i/>
        </w:rPr>
        <w:t>Serenoa repens</w:t>
      </w:r>
      <w:r>
        <w:t xml:space="preserve"> ; inhibition de la prolifération épithéliale et action anti-inflammatoire pour </w:t>
      </w:r>
      <w:r>
        <w:rPr>
          <w:i/>
        </w:rPr>
        <w:t>Pygeum africanum</w:t>
      </w:r>
      <w:r>
        <w:t xml:space="preserve">), les propriétés pharmacocinétiques et les interactions médicamenteuses (limitées pour les deux plantes). </w:t>
      </w:r>
      <w:r>
        <w:rPr>
          <w:b/>
        </w:rPr>
        <w:t>Clinique</w:t>
      </w:r>
      <w:r>
        <w:t xml:space="preserve"> : les indications validées par l'EMA HMPC et l'EAU (European Association of Urology) Guidelines 2024 (HBP stade modéré, IPSS 8-19), les critères d'évaluation de l'efficacité (IPSS - International Prostate Symptom Score, débitmétrie, PSA, volume prostatique), et la durée minimale de traitement (3 à 6 mois pour évaluer l'efficacité). </w:t>
      </w:r>
      <w:r>
        <w:rPr>
          <w:b/>
        </w:rPr>
        <w:t>Conseil pharmaceutique</w:t>
      </w:r>
      <w:r>
        <w:t xml:space="preserve"> : les précautions d'emploi au comptoir (vérification de l'absence de signes d'alerte : hématurie, infection urinaire, rétention, insuffisance rénale), la surveillance des effets indésirables (troubles digestifs, rarement gynécomastie pour </w:t>
      </w:r>
      <w:r>
        <w:rPr>
          <w:i/>
        </w:rPr>
        <w:t>Serenoa repens</w:t>
      </w:r>
      <w:r>
        <w:t>), la non-substitution entre extraits de qualité différente, et l'éducation thérapeutique du patient (régularité des prises, surveillance de l'IPSS, consultation médicale de suivi à 3 et 6 mois).</w:t>
      </w:r>
    </w:p>
    <w:p>
      <w:pPr>
        <w:pStyle w:val="Heading2"/>
      </w:pPr>
      <w:r>
        <w:t>243.1 SERENOA REPENS — Fiche DCI complète (12 sous-sections)</w:t>
      </w:r>
    </w:p>
    <w:p>
      <w:pPr>
        <w:pStyle w:val="Heading3"/>
      </w:pPr>
      <w:r>
        <w:t>243.1.1 Liste des catégories thérapeutiques (classification ATC OMS)</w:t>
      </w:r>
    </w:p>
    <w:p>
      <w:r>
        <w:t xml:space="preserve">Le </w:t>
      </w:r>
      <w:r>
        <w:rPr>
          <w:i/>
        </w:rPr>
        <w:t>Serenoa repens</w:t>
      </w:r>
      <w:r>
        <w:t xml:space="preserve"> extrait lipido-stérique est classé dans la classification ATC de l'OMS sous le code </w:t>
      </w:r>
      <w:r>
        <w:rPr>
          <w:b/>
        </w:rPr>
        <w:t>G04CX02</w:t>
      </w:r>
      <w:r>
        <w:t>, qui se décompose comme suit :</w:t>
      </w:r>
    </w:p>
    <w:p>
      <w:pPr>
        <w:pStyle w:val="ListBullet"/>
      </w:pPr>
      <w:r/>
      <w:r>
        <w:rPr>
          <w:b/>
        </w:rPr>
        <w:t>G</w:t>
      </w:r>
      <w:r>
        <w:t xml:space="preserve"> : Système génito-urinaire (niveau anatomique principal)</w:t>
      </w:r>
    </w:p>
    <w:p>
      <w:pPr>
        <w:pStyle w:val="ListBullet"/>
      </w:pPr>
      <w:r/>
      <w:r>
        <w:rPr>
          <w:b/>
        </w:rPr>
        <w:t>G04</w:t>
      </w:r>
      <w:r>
        <w:t xml:space="preserve"> : Urologiques (niveau thérapeutique principal)</w:t>
      </w:r>
    </w:p>
    <w:p>
      <w:pPr>
        <w:pStyle w:val="ListBullet"/>
      </w:pPr>
      <w:r/>
      <w:r>
        <w:rPr>
          <w:b/>
        </w:rPr>
        <w:t>G04C</w:t>
      </w:r>
      <w:r>
        <w:t xml:space="preserve"> : Médicaments urologiques divers (niveau pharmacologique)</w:t>
      </w:r>
    </w:p>
    <w:p>
      <w:pPr>
        <w:pStyle w:val="ListBullet"/>
      </w:pPr>
      <w:r/>
      <w:r>
        <w:rPr>
          <w:b/>
        </w:rPr>
        <w:t>G04CX</w:t>
      </w:r>
      <w:r>
        <w:t xml:space="preserve"> : Autres médicaments urologiques (niveau sous-classe)</w:t>
      </w:r>
    </w:p>
    <w:p>
      <w:pPr>
        <w:pStyle w:val="ListBullet"/>
      </w:pPr>
      <w:r/>
      <w:r>
        <w:rPr>
          <w:b/>
        </w:rPr>
        <w:t>G04CX02</w:t>
      </w:r>
      <w:r>
        <w:t xml:space="preserve"> : Extrait de *Serenoa repens* (niveau substance)</w:t>
      </w:r>
    </w:p>
    <w:p>
      <w:r>
        <w:t xml:space="preserve">Cette classification ATC reflète l'usage principal reconnu par l'OMS et l'EMA pour l'extrait de </w:t>
      </w:r>
      <w:r>
        <w:rPr>
          <w:i/>
        </w:rPr>
        <w:t>Serenoa repens</w:t>
      </w:r>
      <w:r>
        <w:t xml:space="preserve">, à savoir le traitement des troubles mictionnels de l'hypertrophie bénigne de la prostate. Les spécialités algériennes de </w:t>
      </w:r>
      <w:r>
        <w:rPr>
          <w:i/>
        </w:rPr>
        <w:t>Serenoa repens</w:t>
      </w:r>
      <w:r>
        <w:t xml:space="preserve"> (Permixon, Novoxon, Prostamixon, Serexon, Serpens) sont classées hors liste (prescription médicale non obligatoire mais recommandée par les sociétés savantes algériennes d'urologie), à l'exception de quelques spécialités qui peuvent être inscrites sur la Liste I ou II selon les variations de formulation. En pratique clinique courante, la prescription médicale est systématiquement requise pour les indications de l'HBP, en raison de la nécessité d'éliminer d'autres pathologies prostatiques (cancer de prostate, prostatite, sténose urétrale) par examen clinique (toucher rectal), dosage du PSA (prostate specific antigen) et échographie prostatique.</w:t>
      </w:r>
    </w:p>
    <w:p>
      <w:pPr>
        <w:pStyle w:val="Heading3"/>
      </w:pPr>
      <w:r>
        <w:t>243.1.2 Médicaments disponibles en Algérie</w:t>
      </w:r>
    </w:p>
    <w:p>
      <w:r>
        <w:t xml:space="preserve">Le tableau ci-dessous recense l'ensemble des spécialités pharmaceutiques de </w:t>
      </w:r>
      <w:r>
        <w:rPr>
          <w:i/>
        </w:rPr>
        <w:t>Serenoa repens</w:t>
      </w:r>
      <w:r>
        <w:t xml:space="preserve"> disponibles ou ayant été disponibles sur le marché algérien, à la date de la nomenclature Avril 2026.</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NOVOXON</w:t>
            </w:r>
          </w:p>
        </w:tc>
        <w:tc>
          <w:tcPr>
            <w:tcW w:type="dxa" w:w="1385"/>
          </w:tcPr>
          <w:p>
            <w:r>
              <w:rPr>
                <w:rFonts w:ascii="Times New Roman" w:hAnsi="Times New Roman"/>
                <w:sz w:val="20"/>
              </w:rPr>
              <w:t>LABORATOIRES MERINAL</w:t>
            </w:r>
          </w:p>
        </w:tc>
        <w:tc>
          <w:tcPr>
            <w:tcW w:type="dxa" w:w="1385"/>
          </w:tcPr>
          <w:p>
            <w:r>
              <w:rPr>
                <w:rFonts w:ascii="Times New Roman" w:hAnsi="Times New Roman"/>
                <w:sz w:val="20"/>
              </w:rPr>
              <w:t>Gélule, 160 mg</w:t>
            </w:r>
          </w:p>
        </w:tc>
        <w:tc>
          <w:tcPr>
            <w:tcW w:type="dxa" w:w="1385"/>
          </w:tcPr>
          <w:p>
            <w:r>
              <w:rPr>
                <w:rFonts w:ascii="Times New Roman" w:hAnsi="Times New Roman"/>
                <w:sz w:val="20"/>
              </w:rPr>
              <w:t>Boîte de 60</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PERMIXON</w:t>
            </w:r>
          </w:p>
        </w:tc>
        <w:tc>
          <w:tcPr>
            <w:tcW w:type="dxa" w:w="1385"/>
          </w:tcPr>
          <w:p>
            <w:r>
              <w:rPr>
                <w:rFonts w:ascii="Times New Roman" w:hAnsi="Times New Roman"/>
                <w:sz w:val="20"/>
              </w:rPr>
              <w:t>PIERRE FABRE MEDICAMENT</w:t>
            </w:r>
          </w:p>
        </w:tc>
        <w:tc>
          <w:tcPr>
            <w:tcW w:type="dxa" w:w="1385"/>
          </w:tcPr>
          <w:p>
            <w:r>
              <w:rPr>
                <w:rFonts w:ascii="Times New Roman" w:hAnsi="Times New Roman"/>
                <w:sz w:val="20"/>
              </w:rPr>
              <w:t>Gélule, 160 mg</w:t>
            </w:r>
          </w:p>
        </w:tc>
        <w:tc>
          <w:tcPr>
            <w:tcW w:type="dxa" w:w="1385"/>
          </w:tcPr>
          <w:p>
            <w:r>
              <w:rPr>
                <w:rFonts w:ascii="Times New Roman" w:hAnsi="Times New Roman"/>
                <w:sz w:val="20"/>
              </w:rPr>
              <w:t>Boîte de 60</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PROSTAMIXON</w:t>
            </w:r>
          </w:p>
        </w:tc>
        <w:tc>
          <w:tcPr>
            <w:tcW w:type="dxa" w:w="1385"/>
          </w:tcPr>
          <w:p>
            <w:r>
              <w:rPr>
                <w:rFonts w:ascii="Times New Roman" w:hAnsi="Times New Roman"/>
                <w:sz w:val="20"/>
              </w:rPr>
              <w:t>GENERIC LAB</w:t>
            </w:r>
          </w:p>
        </w:tc>
        <w:tc>
          <w:tcPr>
            <w:tcW w:type="dxa" w:w="1385"/>
          </w:tcPr>
          <w:p>
            <w:r>
              <w:rPr>
                <w:rFonts w:ascii="Times New Roman" w:hAnsi="Times New Roman"/>
                <w:sz w:val="20"/>
              </w:rPr>
              <w:t>Gélule, 160 mg</w:t>
            </w:r>
          </w:p>
        </w:tc>
        <w:tc>
          <w:tcPr>
            <w:tcW w:type="dxa" w:w="1385"/>
          </w:tcPr>
          <w:p>
            <w:r>
              <w:rPr>
                <w:rFonts w:ascii="Times New Roman" w:hAnsi="Times New Roman"/>
                <w:sz w:val="20"/>
              </w:rPr>
              <w:t>Boîte de 60</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SEREXON</w:t>
            </w:r>
          </w:p>
        </w:tc>
        <w:tc>
          <w:tcPr>
            <w:tcW w:type="dxa" w:w="1385"/>
          </w:tcPr>
          <w:p>
            <w:r>
              <w:rPr>
                <w:rFonts w:ascii="Times New Roman" w:hAnsi="Times New Roman"/>
                <w:sz w:val="20"/>
              </w:rPr>
              <w:t>LABORATOIRES SALEM</w:t>
            </w:r>
          </w:p>
        </w:tc>
        <w:tc>
          <w:tcPr>
            <w:tcW w:type="dxa" w:w="1385"/>
          </w:tcPr>
          <w:p>
            <w:r>
              <w:rPr>
                <w:rFonts w:ascii="Times New Roman" w:hAnsi="Times New Roman"/>
                <w:sz w:val="20"/>
              </w:rPr>
              <w:t>Gélule, 160 mg</w:t>
            </w:r>
          </w:p>
        </w:tc>
        <w:tc>
          <w:tcPr>
            <w:tcW w:type="dxa" w:w="1385"/>
          </w:tcPr>
          <w:p>
            <w:r>
              <w:rPr>
                <w:rFonts w:ascii="Times New Roman" w:hAnsi="Times New Roman"/>
                <w:sz w:val="20"/>
              </w:rPr>
              <w:t>Boîte de 60</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SERPENS</w:t>
            </w:r>
          </w:p>
        </w:tc>
        <w:tc>
          <w:tcPr>
            <w:tcW w:type="dxa" w:w="1385"/>
          </w:tcPr>
          <w:p>
            <w:r>
              <w:rPr>
                <w:rFonts w:ascii="Times New Roman" w:hAnsi="Times New Roman"/>
                <w:sz w:val="20"/>
              </w:rPr>
              <w:t>LISAPHARMA SPA</w:t>
            </w:r>
          </w:p>
        </w:tc>
        <w:tc>
          <w:tcPr>
            <w:tcW w:type="dxa" w:w="1385"/>
          </w:tcPr>
          <w:p>
            <w:r>
              <w:rPr>
                <w:rFonts w:ascii="Times New Roman" w:hAnsi="Times New Roman"/>
                <w:sz w:val="20"/>
              </w:rPr>
              <w:t>Gélule, 160 mg</w:t>
            </w:r>
          </w:p>
        </w:tc>
        <w:tc>
          <w:tcPr>
            <w:tcW w:type="dxa" w:w="1385"/>
          </w:tcPr>
          <w:p>
            <w:r>
              <w:rPr>
                <w:rFonts w:ascii="Times New Roman" w:hAnsi="Times New Roman"/>
                <w:sz w:val="20"/>
              </w:rPr>
              <w:t>Boîte de 30</w:t>
            </w:r>
          </w:p>
        </w:tc>
        <w:tc>
          <w:tcPr>
            <w:tcW w:type="dxa" w:w="1385"/>
          </w:tcPr>
          <w:p>
            <w:r>
              <w:rPr>
                <w:rFonts w:ascii="Times New Roman" w:hAnsi="Times New Roman"/>
                <w:sz w:val="20"/>
              </w:rPr>
              <w:t>Hors liste</w:t>
            </w:r>
          </w:p>
        </w:tc>
        <w:tc>
          <w:tcPr>
            <w:tcW w:type="dxa" w:w="1385"/>
          </w:tcPr>
          <w:p>
            <w:r>
              <w:rPr>
                <w:rFonts w:ascii="Times New Roman" w:hAnsi="Times New Roman"/>
                <w:sz w:val="20"/>
              </w:rPr>
              <w:t>NON_RENOUVELABLE</w:t>
            </w:r>
          </w:p>
        </w:tc>
      </w:tr>
    </w:tbl>
    <w:p/>
    <w:p>
      <w:r/>
      <w:r>
        <w:rPr>
          <w:b/>
        </w:rPr>
        <w:t>Remarques sur la disponibilité</w:t>
      </w:r>
      <w:r>
        <w:t xml:space="preserve"> : Le </w:t>
      </w:r>
      <w:r>
        <w:rPr>
          <w:i/>
        </w:rPr>
        <w:t>Serenoa repens</w:t>
      </w:r>
      <w:r>
        <w:t xml:space="preserve"> est disponible en Algérie sous quatre spécialités actives (Novoxon, Permixon, Prostamixon, Serexon) et une spécialité non renouvelable (Serpens). Permixon (Pierre Fabre Médicament) est la spécialité princeps de référence, dont l'extrait lipido-stérique a été développé par le laboratoire Pierre Fabre (France) à partir des années 1980 et dont les essais cliniques pivot ont été publiés dans les revues urologiques de référence (</w:t>
      </w:r>
      <w:r>
        <w:rPr>
          <w:i/>
        </w:rPr>
        <w:t>Journal of Urology</w:t>
      </w:r>
      <w:r>
        <w:t xml:space="preserve">, </w:t>
      </w:r>
      <w:r>
        <w:rPr>
          <w:i/>
        </w:rPr>
        <w:t>European Urology</w:t>
      </w:r>
      <w:r>
        <w:t xml:space="preserve">, </w:t>
      </w:r>
      <w:r>
        <w:rPr>
          <w:i/>
        </w:rPr>
        <w:t>BJU International</w:t>
      </w:r>
      <w:r>
        <w:t>). Novoxon (Laboratoires Merinal), Prostamixon (Generic Lab), Serexon (Laboratoires Salem) et Serpens (Lisapharma SPA) sont des spécialités génériques ou assimilées, dont la bioéquivalence avec Permixon doit être vérifiée sur les données du fabricant. En pratique, ces spécialités sont considérées comme équivalentes en termes d'efficacité et de sécurité, et le choix peut se faire sur la disponibilité en pharmacie d'officine et le coût.</w:t>
      </w:r>
    </w:p>
    <w:p>
      <w:r/>
      <w:r>
        <w:rPr>
          <w:b/>
        </w:rPr>
        <w:t>Statut commercial</w:t>
      </w:r>
      <w:r>
        <w:t xml:space="preserve"> : Les quatre spécialités actives (Novoxon, Permixon, Prostamixon, Serexon) sont régulièrement approvisionnées sur le marché algérien et ne présentent pas de problème de disponibilité signalé à la date de la nomenclature. La spécialité Serpens (Lisapharma SPA) est non renouvelable, ce qui signifie que sa commercialisation est suspendue transitoirement (probablement en raison de difficultés d'approvisionnement ou réglementaires propres au fabricant italien Lisapharma), mais qu'elle pourrait être ré-introduite sur le marché algérien à tout moment. Les patients sous Serpens doivent être orientés vers Permixon, Novoxon, Prostamixon ou Serexon comme alternative thérapeutique, en précisant que la posologie est strictement identique (160 mg × 2/jour).</w:t>
      </w:r>
    </w:p>
    <w:p>
      <w:pPr>
        <w:pStyle w:val="Heading3"/>
      </w:pPr>
      <w:r>
        <w:t>243.1.3 Sous-classe et mécanisme d'action moléculaire</w:t>
      </w:r>
    </w:p>
    <w:p>
      <w:pPr>
        <w:pStyle w:val="Heading4"/>
      </w:pPr>
      <w:r>
        <w:t>243.1.3.1 Composition chimique de l'extrait lipido-stérique</w:t>
      </w:r>
    </w:p>
    <w:p>
      <w:r>
        <w:t xml:space="preserve">L'extrait lipido-stérique de </w:t>
      </w:r>
      <w:r>
        <w:rPr>
          <w:i/>
        </w:rPr>
        <w:t>Serenoa repens</w:t>
      </w:r>
      <w:r>
        <w:t xml:space="preserve"> (extrait LSESr, hexane-extract) est obtenu à partir des baies séchées de </w:t>
      </w:r>
      <w:r>
        <w:rPr>
          <w:i/>
        </w:rPr>
        <w:t>Serenoa repens</w:t>
      </w:r>
      <w:r>
        <w:t xml:space="preserve"> (W. Bartram) Small, palmier nain de la famille des Arécacées originaire du sud-est des États-Unis (Floride, Géorgie, Alabama). L'extraction par solvant hexane (ou par CO2 supercritique pour les extraits de qualité supérieure) permet d'isoler une fraction lipidique complexe composée de :</w:t>
      </w:r>
    </w:p>
    <w:p>
      <w:pPr>
        <w:pStyle w:val="ListBullet"/>
      </w:pPr>
      <w:r/>
      <w:r>
        <w:rPr>
          <w:b/>
        </w:rPr>
        <w:t>Acides gras libres (80-90 % de la masse sèche)</w:t>
      </w:r>
      <w:r>
        <w:t xml:space="preserve"> : principalement acide laurique (C12:0), acide myristique (C14:0), acide palmitique (C16:0), acide oléique (C18:1), acide linoléique (C18:2), acide caproique (C6:0), acide caprylique (C8:0), acide caprique (C10:0). L'acide laurique et l'acide myristique sont les acides gras majoritaires et sont responsables de l'activité pharmacologique inhibitrice de la 5α-réductase.</w:t>
      </w:r>
    </w:p>
    <w:p>
      <w:pPr>
        <w:pStyle w:val="ListBullet"/>
      </w:pPr>
      <w:r/>
      <w:r>
        <w:rPr>
          <w:b/>
        </w:rPr>
        <w:t>Phytostérols (1-2 % de la masse sèche)</w:t>
      </w:r>
      <w:r>
        <w:t xml:space="preserve"> : β-sitostérol, campesterol, stigmasterol, β-sitostanol. Ces phytostérols exercent une activité anti-inflammatoire et une action sur la perméabilité capillaire prostatique.</w:t>
      </w:r>
    </w:p>
    <w:p>
      <w:pPr>
        <w:pStyle w:val="ListBullet"/>
      </w:pPr>
      <w:r/>
      <w:r>
        <w:rPr>
          <w:b/>
        </w:rPr>
        <w:t>Polyprenols (1-2 %)</w:t>
      </w:r>
      <w:r>
        <w:t xml:space="preserve"> : composés isopréniques à longue chaîne, à activité antioxydante.</w:t>
      </w:r>
    </w:p>
    <w:p>
      <w:pPr>
        <w:pStyle w:val="ListBullet"/>
      </w:pPr>
      <w:r/>
      <w:r>
        <w:rPr>
          <w:b/>
        </w:rPr>
        <w:t>Alcools gras à longue chaîne (1-2 %)</w:t>
      </w:r>
      <w:r>
        <w:t xml:space="preserve"> : hexacosanol, octacosanol, triacontanol, à activité inhibitrice de la 5α-réductase et anti-inflammatoire.</w:t>
      </w:r>
    </w:p>
    <w:p>
      <w:pPr>
        <w:pStyle w:val="Heading4"/>
      </w:pPr>
      <w:r>
        <w:t>243.1.3.2 Mécanisme d'action moléculaire principal</w:t>
      </w:r>
    </w:p>
    <w:p>
      <w:r>
        <w:t xml:space="preserve">L'extrait lipido-stérique de </w:t>
      </w:r>
      <w:r>
        <w:rPr>
          <w:i/>
        </w:rPr>
        <w:t>Serenoa repens</w:t>
      </w:r>
      <w:r>
        <w:t xml:space="preserve"> exerce ses effets pharmacologiques par un mécanisme plurimodal impliquant quatre voies principales.</w:t>
      </w:r>
    </w:p>
    <w:p>
      <w:r/>
      <w:r>
        <w:rPr>
          <w:b/>
        </w:rPr>
        <w:t>Inhibition non compétitive de la 5α-réductase</w:t>
      </w:r>
      <w:r>
        <w:t xml:space="preserve"> : les acides gras libres (en particulier l'acide laurique et l'acide myristique) inhibent de manière non compétitive les isoformes de la 5α-réductase de type I et de type II, enzymes responsables de la conversion de la testostérone en dihydrotestostérone (DHT), métabolite androgénique 5 à 10 fois plus puissant que la testostérone sur les récepteurs androgéniques prostatiques. La DHT est le principal facteur de croissance de l'épithélium prostatique, et son accumulation intra-prostatique est responsable de l'hyperplasie bénigne. L'inhibition de la 5α-réductase par le </w:t>
      </w:r>
      <w:r>
        <w:rPr>
          <w:i/>
        </w:rPr>
        <w:t>Serenoa repens</w:t>
      </w:r>
      <w:r>
        <w:t xml:space="preserve"> réduit la concentration intra-prostatique de DHT et ralentit la progression de l'hypertrophie prostatique. Cependant, à la différence du finastéride et du dutastéride (inhibiteurs compétitifs de la 5α-réductase), le </w:t>
      </w:r>
      <w:r>
        <w:rPr>
          <w:i/>
        </w:rPr>
        <w:t>Serenoa repens</w:t>
      </w:r>
      <w:r>
        <w:t xml:space="preserve"> ne réduit pas significativement le taux sérique de DHT ni le taux sérique de PSA, ce qui suggère un mécanisme d'action différent (inhibition locale plutôt que systémique).</w:t>
      </w:r>
    </w:p>
    <w:p>
      <w:r/>
      <w:r>
        <w:rPr>
          <w:b/>
        </w:rPr>
        <w:t>Inhibition de la voie apoptotique</w:t>
      </w:r>
      <w:r>
        <w:t xml:space="preserve"> : l'extrait de </w:t>
      </w:r>
      <w:r>
        <w:rPr>
          <w:i/>
        </w:rPr>
        <w:t>Serenoa repens</w:t>
      </w:r>
      <w:r>
        <w:t xml:space="preserve"> inhibe la prolifération des cellules épithéliales prostatiques en induisant l'apoptose via la voie mitochondriale (libération de cytochrome c, activation des caspases 9 et 3). Cet effet pro-apoptotique s'oppose à l'effet anti-apoptotique de la DHT sur les cellules épithéliales prostatiques, contribuant à la réduction du volume prostatique.</w:t>
      </w:r>
    </w:p>
    <w:p>
      <w:r/>
      <w:r>
        <w:rPr>
          <w:b/>
        </w:rPr>
        <w:t>Effet anti-inflammatoire</w:t>
      </w:r>
      <w:r>
        <w:t xml:space="preserve"> : l'extrait de </w:t>
      </w:r>
      <w:r>
        <w:rPr>
          <w:i/>
        </w:rPr>
        <w:t>Serenoa repens</w:t>
      </w:r>
      <w:r>
        <w:t xml:space="preserve"> inhibe la cyclo-oxygénase (COX-2) et la 5-lipoxygénase (5-LOX), réduisant la synthèse des prostaglandines pro-inflammatoires (PGE2) et des leucotriènes (LTB4) au niveau prostatique. Cet effet anti-inflammatoire contribue à la réduction des symptômes irritatifs (pollakiurie, urgenturie, brûlures mictionnelles) associés à l'HBP.</w:t>
      </w:r>
    </w:p>
    <w:p>
      <w:r/>
      <w:r>
        <w:rPr>
          <w:b/>
        </w:rPr>
        <w:t>Effet anti-œdémateux</w:t>
      </w:r>
      <w:r>
        <w:t xml:space="preserve"> : l'extrait de </w:t>
      </w:r>
      <w:r>
        <w:rPr>
          <w:i/>
        </w:rPr>
        <w:t>Serenoa repens</w:t>
      </w:r>
      <w:r>
        <w:t xml:space="preserve"> réduit la perméabilité capillaire prostatique et le stroma vasculaire, contribuant à la réduction de la composante congestive de l'HBP.</w:t>
      </w:r>
    </w:p>
    <w:p>
      <w:pPr>
        <w:pStyle w:val="Heading4"/>
      </w:pPr>
      <w:r>
        <w:t>243.1.3.3 Pharmacocinétique</w:t>
      </w:r>
    </w:p>
    <w:p>
      <w:r>
        <w:t xml:space="preserve">L'extrait lipido-stérique de </w:t>
      </w:r>
      <w:r>
        <w:rPr>
          <w:i/>
        </w:rPr>
        <w:t>Serenoa repens</w:t>
      </w:r>
      <w:r>
        <w:t xml:space="preserve"> est administré par voie orale. L'absorption intestinale des acides gras et phytostérols est modérée (30-50 %) et est augmentée par la prise au cours d'un repas riche en graisses. La biodisponibilité des acides gras est de l'ordre de 30-50 %, et celle des phytostérols de 5-10 % (en raison de leur faible solubilité intestinale). Les acides gras sont transportés dans la lymphe via les chylomicrons jusqu'à la circulation systémique, puis distribués aux tissus cibles (prostate, foie, tissu adipeux). Les phytostérols sont métabolisés par le cytochrome P450 hépatique (CYP3A4) et éliminés par voie biliaire. Les demi-vies d'élimination sont de l'ordre de 10 à 20 heures pour les acides gras et de 24 à 48 heures pour les phytostérols. L'état d'équilibre est atteint en 5 à 10 jours. L'administration en 2 prises quotidiennes (matin et soir) permet de maintenir une concentration plasmatique et intra-prostatique efficace.</w:t>
      </w:r>
    </w:p>
    <w:p>
      <w:pPr>
        <w:pStyle w:val="Heading3"/>
      </w:pPr>
      <w:r>
        <w:t>243.1.4 Profil pharmacologique — indications, contre-indications, effets indésirables</w:t>
      </w:r>
    </w:p>
    <w:p>
      <w:pPr>
        <w:pStyle w:val="Heading4"/>
      </w:pPr>
      <w:r>
        <w:t>243.1.4.1 Indications thérapeutiques validées</w:t>
      </w:r>
    </w:p>
    <w:p>
      <w:r>
        <w:t xml:space="preserve">Les indications validées par l'EMA HMPC (Committee on Herbal Medicinal Products, monographie HMPC/EMEA/415769/2009) et reconnues par l'ANSM (France) pour l'extrait lipido-stérique de </w:t>
      </w:r>
      <w:r>
        <w:rPr>
          <w:i/>
        </w:rPr>
        <w:t>Serenoa repens</w:t>
      </w:r>
      <w:r>
        <w:t xml:space="preserve"> sont :</w:t>
      </w:r>
    </w:p>
    <w:p>
      <w:pPr>
        <w:pStyle w:val="ListBullet"/>
      </w:pPr>
      <w:r/>
      <w:r>
        <w:rPr>
          <w:b/>
        </w:rPr>
        <w:t>Indication AMM « bien établie » (well-established use)</w:t>
      </w:r>
      <w:r>
        <w:t xml:space="preserve"> : traitement symptomatique de l'hypertrophie bénigne de la prostate (HBP) stade modéré, définie par un score IPSS (International Prostate Symptom Score) compris entre 8 et 19, en l'absence de complications nécessitant un traitement chirurgical (rétention urinaire, lithiase vésicale, hématurie récidivante, insuffisance rénale, infections urinaires récidivantes). L'efficacité est documentée par les essais cliniques (Carraro 1996, *Journal of Urology* ; Debruyne 2002, *BJU International* ; Bent 2006, *NEJM*) avec une amélioration moyenne de 3 à 5 points sur le score IPSS après 6 mois de traitement, comparable à celle obtenue avec le finastéride (inhibiteur de la 5α-réductase) mais inférieure à celle obtenue avec les α-bloquants (tamsulosine, alfuzosine) qui améliorent le score IPSS de 5 à 8 points.</w:t>
      </w:r>
    </w:p>
    <w:p>
      <w:pPr>
        <w:pStyle w:val="ListBullet"/>
      </w:pPr>
      <w:r/>
      <w:r>
        <w:rPr>
          <w:b/>
        </w:rPr>
        <w:t>Indications non validées mais d'usage clinique répandu</w:t>
      </w:r>
      <w:r>
        <w:t xml:space="preserve"> : prostatite chronique non bactérienne (PCNB), syndrome de douleur pelvienne chronique (SDPC), en complément du traitement conventionnel (α-bloquants, anti-inflammatoires). L'efficacité est modeste et controversée.</w:t>
      </w:r>
    </w:p>
    <w:p>
      <w:pPr>
        <w:pStyle w:val="Heading4"/>
      </w:pPr>
      <w:r>
        <w:t>243.1.4.2 Contre-indications</w:t>
      </w:r>
    </w:p>
    <w:p>
      <w:r>
        <w:t xml:space="preserve">Les contre-indications du </w:t>
      </w:r>
      <w:r>
        <w:rPr>
          <w:i/>
        </w:rPr>
        <w:t>Serenoa repens</w:t>
      </w:r>
      <w:r>
        <w:t xml:space="preserve"> sont limitées :</w:t>
      </w:r>
    </w:p>
    <w:p>
      <w:pPr>
        <w:pStyle w:val="ListBullet"/>
      </w:pPr>
      <w:r>
        <w:t>**Hypersensibilité à l'extrait de *Serenoa repens* ou à l'un des excipients** : rare mais documentée, se manifestant par réactions cutanées (rash, prurit, urticaire), réactions respiratoires (bronchospasme) ou réactions anaphylactoïdes.</w:t>
      </w:r>
    </w:p>
    <w:p>
      <w:pPr>
        <w:pStyle w:val="ListBullet"/>
      </w:pPr>
      <w:r/>
      <w:r>
        <w:rPr>
          <w:b/>
        </w:rPr>
        <w:t>Cancer de prostate suspecté ou avéré</w:t>
      </w:r>
      <w:r>
        <w:t xml:space="preserve"> : le *Serenoa repens* ne doit pas être utilisé en cas de cancer de prostate suspecté (PSA élevé, toucher rectal suspect) ou avéré, en raison du risque de masquer les symptômes et de retarder le diagnostic. Le dosage du PSA et le toucher rectal doivent être réalisés avant l'initiation du traitement pour éliminer un cancer de prostate.</w:t>
      </w:r>
    </w:p>
    <w:p>
      <w:pPr>
        <w:pStyle w:val="ListBullet"/>
      </w:pPr>
      <w:r/>
      <w:r>
        <w:rPr>
          <w:b/>
        </w:rPr>
        <w:t>Rétention urinaire aiguë</w:t>
      </w:r>
      <w:r>
        <w:t xml:space="preserve"> : le *Serenoa repens* n'est pas indiqué en cas de rétention urinaire aiguë, qui nécessite un traitement urgent (sondage vésical, traitement chirurgical).</w:t>
      </w:r>
    </w:p>
    <w:p>
      <w:pPr>
        <w:pStyle w:val="ListBullet"/>
      </w:pPr>
      <w:r/>
      <w:r>
        <w:rPr>
          <w:b/>
        </w:rPr>
        <w:t>Insuffisance rénale sévère</w:t>
      </w:r>
      <w:r>
        <w:t xml:space="preserve"> : par mesure de précaution, en raison du risque d'accumulation de métabolites (bien que non documentée).</w:t>
      </w:r>
    </w:p>
    <w:p>
      <w:pPr>
        <w:pStyle w:val="ListBullet"/>
      </w:pPr>
      <w:r/>
      <w:r>
        <w:rPr>
          <w:b/>
        </w:rPr>
        <w:t>Femme enceinte ou allaitante</w:t>
      </w:r>
      <w:r>
        <w:t xml:space="preserve"> : par mesure de précaution, en raison de l'effet anti-androgénique théorique (effet masculinisant possible sur le fœtus féminin, effet anti-androgénique sur le fœtus masculin). Le *Serenoa repens* ne doit pas être utilisé chez la femme enceinte ou allaitante, ni chez la femme en âge de procréer sans contraception efficace.</w:t>
      </w:r>
    </w:p>
    <w:p>
      <w:pPr>
        <w:pStyle w:val="Heading4"/>
      </w:pPr>
      <w:r>
        <w:t>243.1.4.3 Effets indésirables</w:t>
      </w:r>
    </w:p>
    <w:p>
      <w:r>
        <w:t xml:space="preserve">Le profil d'effets indésirables du </w:t>
      </w:r>
      <w:r>
        <w:rPr>
          <w:i/>
        </w:rPr>
        <w:t>Serenoa repens</w:t>
      </w:r>
      <w:r>
        <w:t xml:space="preserve"> est globalement favorable, avec une incidence des effets indésirables comparable à celle du placebo dans les essais cliniques pivot. Les effets indésirables rapportés sont :</w:t>
      </w:r>
    </w:p>
    <w:p>
      <w:pPr>
        <w:pStyle w:val="ListBullet"/>
      </w:pPr>
      <w:r/>
      <w:r>
        <w:rPr>
          <w:b/>
        </w:rPr>
        <w:t>Effets gastro-intestinaux (1 à 5 %)</w:t>
      </w:r>
      <w:r>
        <w:t xml:space="preserve"> : nausées, dyspepsie, diarrhée, douleurs abdominales. Ces effets sont généralement bénins et réversibles à l'arrêt du traitement ou à la réduction posologique.</w:t>
      </w:r>
    </w:p>
    <w:p>
      <w:pPr>
        <w:pStyle w:val="ListBullet"/>
      </w:pPr>
      <w:r/>
      <w:r>
        <w:rPr>
          <w:b/>
        </w:rPr>
        <w:t>Effets endocriniens rares (0,5 à 2 %)</w:t>
      </w:r>
      <w:r>
        <w:t xml:space="preserve"> : gynécomastie (hypertrophie mammaire bilatérale), mastodynie (douleur mammaire), diminution de la libido, troubles de l'érection. Ces effets sont liés à l'effet anti-androgénique du *Serenoa repens* et sont réversibles à l'arrêt du traitement.</w:t>
      </w:r>
    </w:p>
    <w:p>
      <w:pPr>
        <w:pStyle w:val="ListBullet"/>
      </w:pPr>
      <w:r/>
      <w:r>
        <w:rPr>
          <w:b/>
        </w:rPr>
        <w:t>Effets cutanés (0,5 à 1 %)</w:t>
      </w:r>
      <w:r>
        <w:t xml:space="preserve"> : rash, prurit, exceptionnellement urticaire et réaction anaphylactoïde.</w:t>
      </w:r>
    </w:p>
    <w:p>
      <w:pPr>
        <w:pStyle w:val="ListBullet"/>
      </w:pPr>
      <w:r/>
      <w:r>
        <w:rPr>
          <w:b/>
        </w:rPr>
        <w:t>Effets hépatiques rares</w:t>
      </w:r>
      <w:r>
        <w:t xml:space="preserve"> : augmentation modérée et transitoire des transaminases (ALAT, ASAT), sans traduction clinique.</w:t>
      </w:r>
    </w:p>
    <w:p>
      <w:pPr>
        <w:pStyle w:val="ListBullet"/>
      </w:pPr>
      <w:r/>
      <w:r>
        <w:rPr>
          <w:b/>
        </w:rPr>
        <w:t>Effets urinaires rares</w:t>
      </w:r>
      <w:r>
        <w:t xml:space="preserve"> : discrète coloration jaune-brun des urines (liée à l'excrétion des phytostérols), sans gravité.</w:t>
      </w:r>
    </w:p>
    <w:p>
      <w:pPr>
        <w:pStyle w:val="Heading3"/>
      </w:pPr>
      <w:r>
        <w:t>243.1.5 Prévention et gestion des effets indésirables</w:t>
      </w:r>
    </w:p>
    <w:p>
      <w:r>
        <w:t xml:space="preserve">La prévention et la gestion des effets indésirables du </w:t>
      </w:r>
      <w:r>
        <w:rPr>
          <w:i/>
        </w:rPr>
        <w:t>Serenoa repens</w:t>
      </w:r>
      <w:r>
        <w:t xml:space="preserve"> reposent sur quatre piliers fondamentaux.</w:t>
      </w:r>
    </w:p>
    <w:p>
      <w:r>
        <w:t>Premièrement, la sélection du patient doit éliminer les contre-indications absolues (cancer de prostate suspecté ou avéré, rétention urinaire aiguë, insuffisance rénale sévère, grossesse, allaitement) et évaluer les situations à risque relatif (sujet âgé, polymédication, antécédents cardiovasculaires). Un interrogatoire minutieux sur les symptômes (pollakiurie, urgenturie, dysurie, jet faible, gouttes terminales, nycturie, hématurie, infection urinaire) et sur les antécédents (toucher rectal, PSA, échographie prostatique) est indispensable avant l'initiation du traitement. Le patient doit avoir bénéficié d'un bilan urologique complet (toucher rectal, PSA, échographie prostatique, débitmétrie, calcul du score IPSS) avant l'initiation du traitement phytothérapique.</w:t>
      </w:r>
    </w:p>
    <w:p>
      <w:r>
        <w:t xml:space="preserve">Deuxièmement, l'éducation thérapeutique du patient doit porter sur la durée prolongée du traitement (3 à 6 mois minimum pour évaluer l'efficacité, et souvent 6 à 12 mois en pratique clinique courante), sur l'observance posologique (2 prises quotidiennes de 160 mg à heure fixe pour maintenir une concentration plasmatique efficace), sur les signes d'alerte à surveiller (hématurie, infection urinaire, fièvre, rétention urinaire, douleur lombaire, altération de l'état général) et sur la consultation médicale urgente en cas de survenue. Le patient doit être informé que le </w:t>
      </w:r>
      <w:r>
        <w:rPr>
          <w:i/>
        </w:rPr>
        <w:t>Serenoa repens</w:t>
      </w:r>
      <w:r>
        <w:t xml:space="preserve"> n'est pas un traitement curatif de l'HBP et qu'il ne dispense pas de la surveillance médicale régulière (toucher rectal annuel, PSA annuel, échographie prostatique tous les 2-3 ans selon l'évolution).</w:t>
      </w:r>
    </w:p>
    <w:p>
      <w:r>
        <w:t>Troisièmement, la surveillance clinique comprend une évaluation initiale (IPSS, PSA, toucher rectal, débitmétrie, échographie prostatique), une évaluation intermédiaire à 3 mois (efficacité sur l'IPSS, tolérance, observance) et une évaluation à 6 mois (décision de poursuite ou d'arrêt du traitement, ou de relais par un traitement conventionnel si l'efficacité est insuffisante). En cas d'efficacité insuffisante à 6 mois (diminution de l'IPSS &lt; 3 points), un relais par un α-bloquant (tamsulosine, alfuzosine) ou par une association α-bloquant + inhibiteur de la 5α-réductase (finastéride, dutastéride) doit être discuté avec le médecin urologue. En cas de survenue d'effets indésirables marqués (gynécomastie, mastodynie, troubles de l'érection, troubles digestifs persistants), la réduction posologique à 160 mg/jour ou l'arrêt temporaire du traitement doit être discutée avec le médecin prescripteur.</w:t>
      </w:r>
    </w:p>
    <w:p>
      <w:r>
        <w:t xml:space="preserve">Quatrièmement, la gestion des situations à risque comprend : la réduction posologique en cas d'effets gastro-intestinaux persistants (passage de 160 mg × 2/jour à 160 mg/jour en une prise le soir) ; l'arrêt temporaire en cas d'effets endocriniens (gynécomastie, mastodynie, diminution de la libido) avec réévaluation à 1 mois ; l'arrêt définitif en cas d'effet indésirable grave (réaction anaphylactoïde, hépatotoxicité, événement thromboembolique) ou d'évolution défavorable de l'HBP (rétention urinaire, insuffisance rénale, hématurie récidivante) nécessitant un traitement chirurgical. Le patient sous anticoagulant ou antiagrégant plaquettaire peut recevoir du </w:t>
      </w:r>
      <w:r>
        <w:rPr>
          <w:i/>
        </w:rPr>
        <w:t>Serenoa repens</w:t>
      </w:r>
      <w:r>
        <w:t xml:space="preserve"> (pas d'interaction documentée), mais la surveillance clinique est recommandée en raison du risque théorique de potentialisation (à la différence du </w:t>
      </w:r>
      <w:r>
        <w:rPr>
          <w:i/>
        </w:rPr>
        <w:t>Ginkgo biloba</w:t>
      </w:r>
      <w:r>
        <w:t>).</w:t>
      </w:r>
    </w:p>
    <w:p>
      <w:pPr>
        <w:pStyle w:val="Heading3"/>
      </w:pPr>
      <w:r>
        <w:t>243.1.6 Interactions médicamenteuses</w:t>
      </w:r>
    </w:p>
    <w:p>
      <w:r>
        <w:t xml:space="preserve">Les interactions médicamenteuses du </w:t>
      </w:r>
      <w:r>
        <w:rPr>
          <w:i/>
        </w:rPr>
        <w:t>Serenoa repens</w:t>
      </w:r>
      <w:r>
        <w:t xml:space="preserve"> sont limitées et moins bien documentées que celles du </w:t>
      </w:r>
      <w:r>
        <w:rPr>
          <w:i/>
        </w:rPr>
        <w:t>Ginkgo biloba</w:t>
      </w:r>
      <w:r>
        <w:t>. Les principales interactions théoriques et documentées sont :</w:t>
      </w:r>
    </w:p>
    <w:p>
      <w:pPr>
        <w:pStyle w:val="Heading4"/>
      </w:pPr>
      <w:r>
        <w:t>243.1.6.1 Précautions d'emploi</w:t>
      </w:r>
    </w:p>
    <w:p>
      <w:pPr>
        <w:pStyle w:val="ListBullet"/>
      </w:pPr>
      <w:r/>
      <w:r>
        <w:rPr>
          <w:b/>
        </w:rPr>
        <w:t>Anticoagulants oraux (AVK, AOD) et antiagrégants plaquettaires</w:t>
      </w:r>
      <w:r>
        <w:t xml:space="preserve"> : aucune interaction cliniquement significative n'a été documentée dans la littérature médicale, mais une surveillance accrue est recommandée par mesure de précaution (en raison de la présence de phytostérols pouvant interagir avec la coagulation). L'ANSM ne classe pas cette association en contre-indication.</w:t>
      </w:r>
    </w:p>
    <w:p>
      <w:pPr>
        <w:pStyle w:val="ListBullet"/>
      </w:pPr>
      <w:r/>
      <w:r>
        <w:rPr>
          <w:b/>
        </w:rPr>
        <w:t>Traitements hormonaux androgéniques</w:t>
      </w:r>
      <w:r>
        <w:t xml:space="preserve"> : théoriquement, le *Serenoa repens* peut antagoniser les effets de la testostérone administrée à visée substitutive (hypogonadisme masculin), en inhibant la conversion de la testostérone en DHT. Surveillance clinique recommandée.</w:t>
      </w:r>
    </w:p>
    <w:p>
      <w:pPr>
        <w:pStyle w:val="ListBullet"/>
      </w:pPr>
      <w:r/>
      <w:r>
        <w:rPr>
          <w:b/>
        </w:rPr>
        <w:t>Inhibiteurs de la 5α-réductase (finastéride, dutastéride)</w:t>
      </w:r>
      <w:r>
        <w:t xml:space="preserve"> : théoriquement, l'association est redondante et n'est pas recommandée (les deux traitements ciblent la même enzyme). Cependant, l'association est parfois utilisée en pratique clinique pour potentialiser l'effet anti-androgénique, sans documentation formelle de l'efficacité et de la sécurité.</w:t>
      </w:r>
    </w:p>
    <w:p>
      <w:pPr>
        <w:pStyle w:val="ListBullet"/>
      </w:pPr>
      <w:r/>
      <w:r>
        <w:rPr>
          <w:b/>
        </w:rPr>
        <w:t>α-bloquants (tamsulosine, alfuzosine, doxazosine, silodosine)</w:t>
      </w:r>
      <w:r>
        <w:t xml:space="preserve"> : association fréquente en pratique clinique (association séquentielle ou combinée), sans interaction médicamenteuse documentée. L'association *Serenoa repens* + tamsulosine est documentée dans plusieurs essais cliniques avec une efficacité supérieure à la monothérapie sur l'IPSS.</w:t>
      </w:r>
    </w:p>
    <w:p>
      <w:pPr>
        <w:pStyle w:val="ListBullet"/>
      </w:pPr>
      <w:r/>
      <w:r>
        <w:rPr>
          <w:b/>
        </w:rPr>
        <w:t>Statines (simvastatine, atorvastatine)</w:t>
      </w:r>
      <w:r>
        <w:t xml:space="preserve"> : théoriquement, le *Serenoa repens* peut inhiber le CYP3A4 et augmenter les concentrations plasmatiques des statines. Surveillance clinique (douleurs musculaires, CPK) recommandée.</w:t>
      </w:r>
    </w:p>
    <w:p>
      <w:pPr>
        <w:pStyle w:val="ListBullet"/>
      </w:pPr>
      <w:r/>
      <w:r>
        <w:rPr>
          <w:b/>
        </w:rPr>
        <w:t>Antidiabétiques oraux</w:t>
      </w:r>
      <w:r>
        <w:t xml:space="preserve"> : pas d'interaction documentée, mais surveillance glycémique recommandée.</w:t>
      </w:r>
    </w:p>
    <w:p>
      <w:pPr>
        <w:pStyle w:val="Heading4"/>
      </w:pPr>
      <w:r>
        <w:t>243.1.6.2 Interactions avec les examens paracliniques</w:t>
      </w:r>
    </w:p>
    <w:p>
      <w:pPr>
        <w:pStyle w:val="ListBullet"/>
      </w:pPr>
      <w:r/>
      <w:r>
        <w:rPr>
          <w:b/>
        </w:rPr>
        <w:t>PSA (prostate specific antigen)</w:t>
      </w:r>
      <w:r>
        <w:t xml:space="preserve"> : le *Serenoa repens* ne modifie pas significativement le taux sérique de PSA (à la différence du finastéride et du dutastéride qui réduisent le PSA d'environ 50 %), ce qui constitue un avantage pour la surveillance du cancer de prostate. Le dosage du PSA doit être interprété sans correction de dose.</w:t>
      </w:r>
    </w:p>
    <w:p>
      <w:pPr>
        <w:pStyle w:val="ListBullet"/>
      </w:pPr>
      <w:r/>
      <w:r>
        <w:rPr>
          <w:b/>
        </w:rPr>
        <w:t>Transaminases (ALAT, ASAT)</w:t>
      </w:r>
      <w:r>
        <w:t xml:space="preserve"> : augmentation modérée et transitoire possible.</w:t>
      </w:r>
    </w:p>
    <w:p>
      <w:pPr>
        <w:pStyle w:val="ListBullet"/>
      </w:pPr>
      <w:r/>
      <w:r>
        <w:rPr>
          <w:b/>
        </w:rPr>
        <w:t>Glycémie</w:t>
      </w:r>
      <w:r>
        <w:t xml:space="preserve"> : pas de modification documentée.</w:t>
      </w:r>
    </w:p>
    <w:p>
      <w:pPr>
        <w:pStyle w:val="Heading3"/>
      </w:pPr>
      <w:r>
        <w:t>243.1.7 Grossesse et allaitement (CRAT)</w:t>
      </w:r>
    </w:p>
    <w:p>
      <w:r>
        <w:t xml:space="preserve">Les données concernant l'usage du </w:t>
      </w:r>
      <w:r>
        <w:rPr>
          <w:i/>
        </w:rPr>
        <w:t>Serenoa repens</w:t>
      </w:r>
      <w:r>
        <w:t xml:space="preserve"> pendant la grossesse et l'allaitement sont limitées et le CRAT (Centre de Renseignements sur les Agents Tératogènes) recommande par mesure de précaution d'éviter l'usage du </w:t>
      </w:r>
      <w:r>
        <w:rPr>
          <w:i/>
        </w:rPr>
        <w:t>Serenoa repens</w:t>
      </w:r>
      <w:r>
        <w:t xml:space="preserve"> pendant la grossesse et l'allaitement. Plusieurs arguments justifient cette position de prudence.</w:t>
      </w:r>
    </w:p>
    <w:p>
      <w:r>
        <w:t xml:space="preserve">Premièrement, l'effet anti-androgénique du </w:t>
      </w:r>
      <w:r>
        <w:rPr>
          <w:i/>
        </w:rPr>
        <w:t>Serenoa repens</w:t>
      </w:r>
      <w:r>
        <w:t xml:space="preserve"> (inhibition de la 5α-réductase) pourrait théoriquement interférer avec le développement sexuel du fœtus masculin, en particulier pendant le premier trimestre de grossesse où la différenciation sexuelle mâle dépend de la conversion de la testostérone en DHT par la 5α-réductase de type II. Un déficit en 5α-réductase de type II (mutation génétique) provoque chez le fœtus masculin un pseudo-hermaphrodisme masculin (syndrome de l'imperforation anale et de la pseudo-vaginoplastie). L'inhibition pharmacologique de la 5α-réductase par le </w:t>
      </w:r>
      <w:r>
        <w:rPr>
          <w:i/>
        </w:rPr>
        <w:t>Serenoa repens</w:t>
      </w:r>
      <w:r>
        <w:t xml:space="preserve"> pourrait théoriquement exposer à un risque similaire, bien qu'aucun cas n'ait été rapporté à ce jour.</w:t>
      </w:r>
    </w:p>
    <w:p>
      <w:r>
        <w:t>Deuxièmement, l'effet anti-androgénique pourrait théoriquement masculiniser le fœtus féminin (virilisation), par modification de l'équilibre androgènes/œstrogènes. Cet effet n'a pas été documenté mais reste théorique.</w:t>
      </w:r>
    </w:p>
    <w:p>
      <w:r>
        <w:t xml:space="preserve">Troisièmement, les données animales sont limitées et ne permettent pas d'exclure un effet tératogène ou fœtotoxique. Les études de toxicité de la reproduction effectuées avec l'extrait lipido-stérique de </w:t>
      </w:r>
      <w:r>
        <w:rPr>
          <w:i/>
        </w:rPr>
        <w:t>Serenoa repens</w:t>
      </w:r>
      <w:r>
        <w:t xml:space="preserve"> chez le rat et la souris n'ont pas montré d'effet tératogène, mais la transposition à l'humain reste délicate en l'absence d'études cliniques contrôlées.</w:t>
      </w:r>
    </w:p>
    <w:p>
      <w:r>
        <w:t xml:space="preserve">Quatrièmement, le passage du </w:t>
      </w:r>
      <w:r>
        <w:rPr>
          <w:i/>
        </w:rPr>
        <w:t>Serenoa repens</w:t>
      </w:r>
      <w:r>
        <w:t xml:space="preserve"> dans le lait maternel n'est pas documenté. Le risque pour le nourrisson allaité est probablement faible, mais le principe de précaution conduit à recommander l'évitement pendant l'allaitement, en particulier chez le nouveau-né et le prématuré dont la barrière hémato-encéphalique et la fonction hépatique sont immatures.</w:t>
      </w:r>
    </w:p>
    <w:p>
      <w:r>
        <w:t xml:space="preserve">L'indication de l'HBP concerne exclusivement l'homme âgé, ce qui rend l'usage pendant la grossesse et l'allaitement exceptionnel (femme utilisant le </w:t>
      </w:r>
      <w:r>
        <w:rPr>
          <w:i/>
        </w:rPr>
        <w:t>Serenoa repens</w:t>
      </w:r>
      <w:r>
        <w:t xml:space="preserve"> pour une indication non validée comme le syndrome des ovaires polykystiques ou l'alopécie androgénétique féminine). En cas de découverte fortuite d'une grossesse chez une patiente sous </w:t>
      </w:r>
      <w:r>
        <w:rPr>
          <w:i/>
        </w:rPr>
        <w:t>Serenoa repens</w:t>
      </w:r>
      <w:r>
        <w:t xml:space="preserve">, l'arrêt du traitement est recommandé sans nécessité d'examens complémentaires systématiques (échographie morphologique de contrôle à 22 SA comme pour toute grossesse, surveillance de la croissance fœtale). En cas d'allaitement en cours sous </w:t>
      </w:r>
      <w:r>
        <w:rPr>
          <w:i/>
        </w:rPr>
        <w:t>Serenoa repens</w:t>
      </w:r>
      <w:r>
        <w:t>, l'arrêt est également recommandé.</w:t>
      </w:r>
    </w:p>
    <w:p>
      <w:pPr>
        <w:pStyle w:val="Heading3"/>
      </w:pPr>
      <w:r>
        <w:t>243.1.8 Posologie et mode d'administration</w:t>
      </w:r>
    </w:p>
    <w:p>
      <w:pPr>
        <w:pStyle w:val="Heading4"/>
      </w:pPr>
      <w:r>
        <w:t>243.1.8.1 Posologie adulte standard</w:t>
      </w:r>
    </w:p>
    <w:p>
      <w:r>
        <w:t xml:space="preserve">La posologie standard de l'extrait lipido-stérique de </w:t>
      </w:r>
      <w:r>
        <w:rPr>
          <w:i/>
        </w:rPr>
        <w:t>Serenoa repens</w:t>
      </w:r>
      <w:r>
        <w:t xml:space="preserve"> chez l'homme adulte est de </w:t>
      </w:r>
      <w:r>
        <w:rPr>
          <w:b/>
        </w:rPr>
        <w:t>320 mg par jour</w:t>
      </w:r>
      <w:r>
        <w:t>, répartis en 2 prises quotidiennes de 160 mg chacune, ou en une prise unique de 320 mg (selon les spécialités). La posologie de 320 mg/jour est recommandée par l'EMA HMPC et l'EAU Guidelines 2024 pour le traitement de l'HBP modérée.</w:t>
      </w:r>
    </w:p>
    <w:p>
      <w:r/>
      <w:r>
        <w:rPr>
          <w:b/>
        </w:rPr>
        <w:t>Posologie pratique avec les spécialités algériennes</w:t>
      </w:r>
      <w:r>
        <w:t xml:space="preserve"> :</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Spécialité</w:t>
            </w:r>
          </w:p>
        </w:tc>
        <w:tc>
          <w:tcPr>
            <w:tcW w:type="dxa" w:w="1662"/>
            <w:shd w:val="clear" w:color="auto" w:fill="F2F2F2"/>
          </w:tcPr>
          <w:p>
            <w:r>
              <w:rPr>
                <w:rFonts w:ascii="Times New Roman" w:hAnsi="Times New Roman"/>
                <w:b/>
                <w:sz w:val="20"/>
              </w:rPr>
              <w:t>Forme</w:t>
            </w:r>
          </w:p>
        </w:tc>
        <w:tc>
          <w:tcPr>
            <w:tcW w:type="dxa" w:w="1662"/>
            <w:shd w:val="clear" w:color="auto" w:fill="F2F2F2"/>
          </w:tcPr>
          <w:p>
            <w:r>
              <w:rPr>
                <w:rFonts w:ascii="Times New Roman" w:hAnsi="Times New Roman"/>
                <w:b/>
                <w:sz w:val="20"/>
              </w:rPr>
              <w:t>Dosage unitaire</w:t>
            </w:r>
          </w:p>
        </w:tc>
        <w:tc>
          <w:tcPr>
            <w:tcW w:type="dxa" w:w="1662"/>
            <w:shd w:val="clear" w:color="auto" w:fill="F2F2F2"/>
          </w:tcPr>
          <w:p>
            <w:r>
              <w:rPr>
                <w:rFonts w:ascii="Times New Roman" w:hAnsi="Times New Roman"/>
                <w:b/>
                <w:sz w:val="20"/>
              </w:rPr>
              <w:t>Posologie usuelle</w:t>
            </w:r>
          </w:p>
        </w:tc>
        <w:tc>
          <w:tcPr>
            <w:tcW w:type="dxa" w:w="1662"/>
            <w:shd w:val="clear" w:color="auto" w:fill="F2F2F2"/>
          </w:tcPr>
          <w:p>
            <w:r>
              <w:rPr>
                <w:rFonts w:ascii="Times New Roman" w:hAnsi="Times New Roman"/>
                <w:b/>
                <w:sz w:val="20"/>
              </w:rPr>
              <w:t>Prises par jour</w:t>
            </w:r>
          </w:p>
        </w:tc>
      </w:tr>
      <w:tr>
        <w:tc>
          <w:tcPr>
            <w:tcW w:type="dxa" w:w="1662"/>
          </w:tcPr>
          <w:p>
            <w:r>
              <w:rPr>
                <w:rFonts w:ascii="Times New Roman" w:hAnsi="Times New Roman"/>
                <w:sz w:val="20"/>
              </w:rPr>
              <w:t>Permixon (Pierre Fabre)</w:t>
            </w:r>
          </w:p>
        </w:tc>
        <w:tc>
          <w:tcPr>
            <w:tcW w:type="dxa" w:w="1662"/>
          </w:tcPr>
          <w:p>
            <w:r>
              <w:rPr>
                <w:rFonts w:ascii="Times New Roman" w:hAnsi="Times New Roman"/>
                <w:sz w:val="20"/>
              </w:rPr>
              <w:t>Gélule</w:t>
            </w:r>
          </w:p>
        </w:tc>
        <w:tc>
          <w:tcPr>
            <w:tcW w:type="dxa" w:w="1662"/>
          </w:tcPr>
          <w:p>
            <w:r>
              <w:rPr>
                <w:rFonts w:ascii="Times New Roman" w:hAnsi="Times New Roman"/>
                <w:sz w:val="20"/>
              </w:rPr>
              <w:t>160 mg</w:t>
            </w:r>
          </w:p>
        </w:tc>
        <w:tc>
          <w:tcPr>
            <w:tcW w:type="dxa" w:w="1662"/>
          </w:tcPr>
          <w:p>
            <w:r>
              <w:rPr>
                <w:rFonts w:ascii="Times New Roman" w:hAnsi="Times New Roman"/>
                <w:sz w:val="20"/>
              </w:rPr>
              <w:t>1 gélule par prise</w:t>
            </w:r>
          </w:p>
        </w:tc>
        <w:tc>
          <w:tcPr>
            <w:tcW w:type="dxa" w:w="1662"/>
          </w:tcPr>
          <w:p>
            <w:r>
              <w:rPr>
                <w:rFonts w:ascii="Times New Roman" w:hAnsi="Times New Roman"/>
                <w:sz w:val="20"/>
              </w:rPr>
              <w:t>2 fois par jour (soit 320 mg/jour)</w:t>
            </w:r>
          </w:p>
        </w:tc>
      </w:tr>
      <w:tr>
        <w:tc>
          <w:tcPr>
            <w:tcW w:type="dxa" w:w="1662"/>
          </w:tcPr>
          <w:p>
            <w:r>
              <w:rPr>
                <w:rFonts w:ascii="Times New Roman" w:hAnsi="Times New Roman"/>
                <w:sz w:val="20"/>
              </w:rPr>
              <w:t>Novoxon (Merinal)</w:t>
            </w:r>
          </w:p>
        </w:tc>
        <w:tc>
          <w:tcPr>
            <w:tcW w:type="dxa" w:w="1662"/>
          </w:tcPr>
          <w:p>
            <w:r>
              <w:rPr>
                <w:rFonts w:ascii="Times New Roman" w:hAnsi="Times New Roman"/>
                <w:sz w:val="20"/>
              </w:rPr>
              <w:t>Gélule</w:t>
            </w:r>
          </w:p>
        </w:tc>
        <w:tc>
          <w:tcPr>
            <w:tcW w:type="dxa" w:w="1662"/>
          </w:tcPr>
          <w:p>
            <w:r>
              <w:rPr>
                <w:rFonts w:ascii="Times New Roman" w:hAnsi="Times New Roman"/>
                <w:sz w:val="20"/>
              </w:rPr>
              <w:t>160 mg</w:t>
            </w:r>
          </w:p>
        </w:tc>
        <w:tc>
          <w:tcPr>
            <w:tcW w:type="dxa" w:w="1662"/>
          </w:tcPr>
          <w:p>
            <w:r>
              <w:rPr>
                <w:rFonts w:ascii="Times New Roman" w:hAnsi="Times New Roman"/>
                <w:sz w:val="20"/>
              </w:rPr>
              <w:t>1 gélule par prise</w:t>
            </w:r>
          </w:p>
        </w:tc>
        <w:tc>
          <w:tcPr>
            <w:tcW w:type="dxa" w:w="1662"/>
          </w:tcPr>
          <w:p>
            <w:r>
              <w:rPr>
                <w:rFonts w:ascii="Times New Roman" w:hAnsi="Times New Roman"/>
                <w:sz w:val="20"/>
              </w:rPr>
              <w:t>2 fois par jour</w:t>
            </w:r>
          </w:p>
        </w:tc>
      </w:tr>
      <w:tr>
        <w:tc>
          <w:tcPr>
            <w:tcW w:type="dxa" w:w="1662"/>
          </w:tcPr>
          <w:p>
            <w:r>
              <w:rPr>
                <w:rFonts w:ascii="Times New Roman" w:hAnsi="Times New Roman"/>
                <w:sz w:val="20"/>
              </w:rPr>
              <w:t>Prostamixon (Generic Lab)</w:t>
            </w:r>
          </w:p>
        </w:tc>
        <w:tc>
          <w:tcPr>
            <w:tcW w:type="dxa" w:w="1662"/>
          </w:tcPr>
          <w:p>
            <w:r>
              <w:rPr>
                <w:rFonts w:ascii="Times New Roman" w:hAnsi="Times New Roman"/>
                <w:sz w:val="20"/>
              </w:rPr>
              <w:t>Gélule</w:t>
            </w:r>
          </w:p>
        </w:tc>
        <w:tc>
          <w:tcPr>
            <w:tcW w:type="dxa" w:w="1662"/>
          </w:tcPr>
          <w:p>
            <w:r>
              <w:rPr>
                <w:rFonts w:ascii="Times New Roman" w:hAnsi="Times New Roman"/>
                <w:sz w:val="20"/>
              </w:rPr>
              <w:t>160 mg</w:t>
            </w:r>
          </w:p>
        </w:tc>
        <w:tc>
          <w:tcPr>
            <w:tcW w:type="dxa" w:w="1662"/>
          </w:tcPr>
          <w:p>
            <w:r>
              <w:rPr>
                <w:rFonts w:ascii="Times New Roman" w:hAnsi="Times New Roman"/>
                <w:sz w:val="20"/>
              </w:rPr>
              <w:t>1 gélule par prise</w:t>
            </w:r>
          </w:p>
        </w:tc>
        <w:tc>
          <w:tcPr>
            <w:tcW w:type="dxa" w:w="1662"/>
          </w:tcPr>
          <w:p>
            <w:r>
              <w:rPr>
                <w:rFonts w:ascii="Times New Roman" w:hAnsi="Times New Roman"/>
                <w:sz w:val="20"/>
              </w:rPr>
              <w:t>2 fois par jour</w:t>
            </w:r>
          </w:p>
        </w:tc>
      </w:tr>
      <w:tr>
        <w:tc>
          <w:tcPr>
            <w:tcW w:type="dxa" w:w="1662"/>
          </w:tcPr>
          <w:p>
            <w:r>
              <w:rPr>
                <w:rFonts w:ascii="Times New Roman" w:hAnsi="Times New Roman"/>
                <w:sz w:val="20"/>
              </w:rPr>
              <w:t>Serexon (Salem)</w:t>
            </w:r>
          </w:p>
        </w:tc>
        <w:tc>
          <w:tcPr>
            <w:tcW w:type="dxa" w:w="1662"/>
          </w:tcPr>
          <w:p>
            <w:r>
              <w:rPr>
                <w:rFonts w:ascii="Times New Roman" w:hAnsi="Times New Roman"/>
                <w:sz w:val="20"/>
              </w:rPr>
              <w:t>Gélule</w:t>
            </w:r>
          </w:p>
        </w:tc>
        <w:tc>
          <w:tcPr>
            <w:tcW w:type="dxa" w:w="1662"/>
          </w:tcPr>
          <w:p>
            <w:r>
              <w:rPr>
                <w:rFonts w:ascii="Times New Roman" w:hAnsi="Times New Roman"/>
                <w:sz w:val="20"/>
              </w:rPr>
              <w:t>160 mg</w:t>
            </w:r>
          </w:p>
        </w:tc>
        <w:tc>
          <w:tcPr>
            <w:tcW w:type="dxa" w:w="1662"/>
          </w:tcPr>
          <w:p>
            <w:r>
              <w:rPr>
                <w:rFonts w:ascii="Times New Roman" w:hAnsi="Times New Roman"/>
                <w:sz w:val="20"/>
              </w:rPr>
              <w:t>1 gélule par prise</w:t>
            </w:r>
          </w:p>
        </w:tc>
        <w:tc>
          <w:tcPr>
            <w:tcW w:type="dxa" w:w="1662"/>
          </w:tcPr>
          <w:p>
            <w:r>
              <w:rPr>
                <w:rFonts w:ascii="Times New Roman" w:hAnsi="Times New Roman"/>
                <w:sz w:val="20"/>
              </w:rPr>
              <w:t>2 fois par jour</w:t>
            </w:r>
          </w:p>
        </w:tc>
      </w:tr>
      <w:tr>
        <w:tc>
          <w:tcPr>
            <w:tcW w:type="dxa" w:w="1662"/>
          </w:tcPr>
          <w:p>
            <w:r>
              <w:rPr>
                <w:rFonts w:ascii="Times New Roman" w:hAnsi="Times New Roman"/>
                <w:sz w:val="20"/>
              </w:rPr>
              <w:t>Serpens (Lisapharma)</w:t>
            </w:r>
          </w:p>
        </w:tc>
        <w:tc>
          <w:tcPr>
            <w:tcW w:type="dxa" w:w="1662"/>
          </w:tcPr>
          <w:p>
            <w:r>
              <w:rPr>
                <w:rFonts w:ascii="Times New Roman" w:hAnsi="Times New Roman"/>
                <w:sz w:val="20"/>
              </w:rPr>
              <w:t>Gélule</w:t>
            </w:r>
          </w:p>
        </w:tc>
        <w:tc>
          <w:tcPr>
            <w:tcW w:type="dxa" w:w="1662"/>
          </w:tcPr>
          <w:p>
            <w:r>
              <w:rPr>
                <w:rFonts w:ascii="Times New Roman" w:hAnsi="Times New Roman"/>
                <w:sz w:val="20"/>
              </w:rPr>
              <w:t>160 mg</w:t>
            </w:r>
          </w:p>
        </w:tc>
        <w:tc>
          <w:tcPr>
            <w:tcW w:type="dxa" w:w="1662"/>
          </w:tcPr>
          <w:p>
            <w:r>
              <w:rPr>
                <w:rFonts w:ascii="Times New Roman" w:hAnsi="Times New Roman"/>
                <w:sz w:val="20"/>
              </w:rPr>
              <w:t>1 gélule par prise</w:t>
            </w:r>
          </w:p>
        </w:tc>
        <w:tc>
          <w:tcPr>
            <w:tcW w:type="dxa" w:w="1662"/>
          </w:tcPr>
          <w:p>
            <w:r>
              <w:rPr>
                <w:rFonts w:ascii="Times New Roman" w:hAnsi="Times New Roman"/>
                <w:sz w:val="20"/>
              </w:rPr>
              <w:t>2 fois par jour (NON_RENOUVELABLE)</w:t>
            </w:r>
          </w:p>
        </w:tc>
      </w:tr>
    </w:tbl>
    <w:p/>
    <w:p>
      <w:pPr>
        <w:pStyle w:val="Heading4"/>
      </w:pPr>
      <w:r>
        <w:t>243.1.8.2 Posologie chez le sujet âgé</w:t>
      </w:r>
    </w:p>
    <w:p>
      <w:r>
        <w:t>Chez le sujet âgé (≥ 75 ans), la posologie standard de 320 mg/jour en 2 prises est généralement bien tolérée. Aucune adaptation posologique n'est nécessaire en raison du profil de tolérance favorable et de l'absence d'accumulation significative.</w:t>
      </w:r>
    </w:p>
    <w:p>
      <w:pPr>
        <w:pStyle w:val="Heading4"/>
      </w:pPr>
      <w:r>
        <w:t>243.1.8.3 Posologie chez l'insuffisant rénal et hépatique</w:t>
      </w:r>
    </w:p>
    <w:p>
      <w:r>
        <w:t>Aucune adaptation posologique n'est nécessaire chez l'insuffisant rénal modéré (clairance créatinine 30-60 mL/min). Chez l'insuffisant rénal sévère (clairance &lt; 30 mL/min), la surveillance clinique est recommandée par mesure de précaution. Chez l'insuffisant hépatique modéré, une surveillance des transaminases est recommandée en raison du métabolisme hépatique des phytostérols.</w:t>
      </w:r>
    </w:p>
    <w:p>
      <w:pPr>
        <w:pStyle w:val="Heading4"/>
      </w:pPr>
      <w:r>
        <w:t>243.1.8.4 Mode d'administration</w:t>
      </w:r>
    </w:p>
    <w:p>
      <w:r>
        <w:t>La gélule doit être avalée entière avec un grand verre d'eau, au cours des repas (pour optimiser l'absorption des acides gras et phytostérols, qui sont liposolubles). Les prises doivent être espacées d'environ 12 heures (par exemple 8h et 20h) pour maintenir une concentration plasmatique efficace tout au long du nycthémère. Les gélules ne doivent pas être ouvertes, écrasées ou croquées (le contenu est amer et peut irriter la muqueuse buccale).</w:t>
      </w:r>
    </w:p>
    <w:p>
      <w:pPr>
        <w:pStyle w:val="Heading4"/>
      </w:pPr>
      <w:r>
        <w:t>243.1.8.5 Durée de traitement</w:t>
      </w:r>
    </w:p>
    <w:p>
      <w:r>
        <w:t xml:space="preserve">La durée minimale de traitement est de </w:t>
      </w:r>
      <w:r>
        <w:rPr>
          <w:b/>
        </w:rPr>
        <w:t>3 à 6 mois</w:t>
      </w:r>
      <w:r>
        <w:t xml:space="preserve"> pour évaluer l'efficacité. L'évaluation doit se faire par des critères objectifs : score IPSS (diminution d'au moins 3 points pour considérer une efficacité), débitmétrie (augmentation du Qmax), volume prostatique (échographie), PSA. En cas d'efficacité, le traitement peut être poursuivi sur 6 à 12 mois, avec réévaluation annuelle. En cas d'inefficacité à 6 mois, un relais par un α-bloquant (tamsulosine) ou une association α-bloquant + inhibiteur de la 5α-réductase doit être discuté avec l'urologue. L'arrêt brutal du traitement n'est pas déconseillé en raison de l'absence de syndrome de sevrage documenté.</w:t>
      </w:r>
    </w:p>
    <w:p>
      <w:pPr>
        <w:pStyle w:val="Heading3"/>
      </w:pPr>
      <w:r>
        <w:t>243.1.9 Arbitrage et bénéfices des formes galéniques</w:t>
      </w:r>
    </w:p>
    <w:p>
      <w:r>
        <w:t xml:space="preserve">L'arbitrage des formes galéniques pour le </w:t>
      </w:r>
      <w:r>
        <w:rPr>
          <w:i/>
        </w:rPr>
        <w:t>Serenoa repens</w:t>
      </w:r>
      <w:r>
        <w:t xml:space="preserve"> se limite à la gélule dosée à 160 mg, disponible pour l'ensemble des spécialités algériennes (Permixon, Novoxon, Prostamixon, Serexon, Serpens). Il n'existe pas d'autre forme galénique (comprimé, solution buvable, suppositoire) pour cette classe médicamenteuse en Algérie.</w:t>
      </w:r>
    </w:p>
    <w:p>
      <w:r>
        <w:t xml:space="preserve">La gélule présente plusieurs avantages galéniques : le contenu (poudre d'extrait lipido-stérique de </w:t>
      </w:r>
      <w:r>
        <w:rPr>
          <w:i/>
        </w:rPr>
        <w:t>Serenoa repens</w:t>
      </w:r>
      <w:r>
        <w:t>) est protégé de l'humidité et de l'oxydation par l'enveloppe de gélatine, la gélule est facile à avaler (taille 0 ou 1), et le masquage du goût amer de l'extrait lipido-stérique est assuré par l'enveloppe. Cependant, la gélule présente l'inconvénient de ne pas convenir au sujet âgé présentant des troubles de déglutition sévère (dysphagie). Dans ce cas, l'ouverture de la gélule avec dispersion du contenu dans une cuillère de yaourt ou de compote peut être envisagée (en avertissant le patient du goût amer).</w:t>
      </w:r>
    </w:p>
    <w:p>
      <w:r>
        <w:t>L'arbitrage entre les spécialités algériennes (Permixon, Novoxon, Prostamixon, Serexon) repose principalement sur des critères de disponibilité, de coût et de préférence du patient. Permixon (Pierre Fabre Médicament) est la spécialité princeps de référence, dont l'extrait lipido-stérique a été développé par le laboratoire Pierre Fabre et dont les essais cliniques pivot ont été publiés. Son choix est privilégié par les urologues algériens pour les indications de l'HBP modérée en raison du niveau de preuve spécifique à l'extrait de Permixon. Novoxon, Prostamixon et Serexon sont des spécialités génériques ou assimilées, dont la bioéquivalence avec Permixon doit être vérifiée sur les données du fabricant. En pratique, ces spécialités sont considérées comme équivalentes en termes d'efficacité et de sécurité, et le choix peut se faire sur la disponibilité en pharmacie d'officine et le coût. Pour le patient sous Permixon, le passage à Novoxon, Prostamixon ou Serexon ne nécessite pas de réadaptation posologique (posologie identique de 160 mg × 2/jour).</w:t>
      </w:r>
    </w:p>
    <w:p>
      <w:pPr>
        <w:pStyle w:val="Heading3"/>
      </w:pPr>
      <w:r>
        <w:t>243.1.10 Instructions et conseils au patient</w:t>
      </w:r>
    </w:p>
    <w:p>
      <w:pPr>
        <w:pStyle w:val="Heading4"/>
      </w:pPr>
      <w:r>
        <w:t>243.1.10.1 Information sur le traitement</w:t>
      </w:r>
    </w:p>
    <w:p>
      <w:r>
        <w:t xml:space="preserve">Le patient doit être informé que le </w:t>
      </w:r>
      <w:r>
        <w:rPr>
          <w:i/>
        </w:rPr>
        <w:t>Serenoa repens</w:t>
      </w:r>
      <w:r>
        <w:t xml:space="preserve"> est un médicament à base de plante médicinale standardisée (extrait lipido-stérique de baies de chou palmiste nain), qui agit en réduisant la conversion de la testostérone en dihydrotestostérone (DHT) au niveau prostatique, en inhibant la prolifération des cellules prostatiques et en réduisant l'inflammation prostatique. L'effet thérapeutique n'est pas immédiat et nécessite une prise régulière pendant au moins 3 à 6 mois pour évaluer l'efficacité. Le patient doit être informé que l'efficacité est modeste (diminution de 3 à 5 points sur le score IPSS après 6 mois de traitement, comparable au finastéride mais inférieure aux α-bloquants) et que le traitement ne doit pas être considéré comme une alternative aux mesures hygiéno-diététiques (réduction des apports hydriques en soirée, évitement de l'alcool et de la caféine, traitement d'une constipation associée) ni au traitement de fond pharmacologique conventionnel (α-bloquants, inhibiteurs de la 5α-réductase) en cas d'efficacité insuffisante.</w:t>
      </w:r>
    </w:p>
    <w:p>
      <w:pPr>
        <w:pStyle w:val="Heading4"/>
      </w:pPr>
      <w:r>
        <w:t>243.1.10.2 Conseil sur le mode de prise</w:t>
      </w:r>
    </w:p>
    <w:p>
      <w:r>
        <w:t xml:space="preserve">Le patient doit être conseillé sur le mode de prise : </w:t>
      </w:r>
      <w:r>
        <w:rPr>
          <w:b/>
        </w:rPr>
        <w:t>2 gélules par jour, à 8h et 20h, au cours des repas</w:t>
      </w:r>
      <w:r>
        <w:t>. Les gélules doivent être avalées entières avec un grand verre d'eau (ne pas ouvrir, ne pas écraser, ne pas croquer). Le patient doit être informé de l'importance de la régularité des prises (prise à heure fixe) pour maintenir une concentration plasmatique efficace, et de l'interdiction de doubler la dose en cas d'oubli (en cas d'oubli d'une prise, ne pas la doubler à la prise suivante).</w:t>
      </w:r>
    </w:p>
    <w:p>
      <w:pPr>
        <w:pStyle w:val="Heading4"/>
      </w:pPr>
      <w:r>
        <w:t>243.1.10.3 Précautions à prendre</w:t>
      </w:r>
    </w:p>
    <w:p>
      <w:r>
        <w:t xml:space="preserve">Le patient doit être informé des précautions suivantes : </w:t>
      </w:r>
      <w:r>
        <w:rPr>
          <w:b/>
        </w:rPr>
        <w:t>consultation médicale urgente en cas de survenue de signes d'alerte</w:t>
      </w:r>
      <w:r>
        <w:t xml:space="preserve"> (hématurie, fièvre, douleur lombaire, rétention urinaire aiguë, altération de l'état général) ; </w:t>
      </w:r>
      <w:r>
        <w:rPr>
          <w:b/>
        </w:rPr>
        <w:t>consultation médicale de suivi à 3 mois et à 6 mois</w:t>
      </w:r>
      <w:r>
        <w:t xml:space="preserve"> pour évaluer l'efficacité (IPSS, débitmétrie, échographie prostatique) et la tolérance ; </w:t>
      </w:r>
      <w:r>
        <w:rPr>
          <w:b/>
        </w:rPr>
        <w:t>surveillance annuelle du PSA et du toucher rectal</w:t>
      </w:r>
      <w:r>
        <w:t xml:space="preserve"> pour le dépistage du cancer de prostate, en particulier chez l'homme de plus de 50 ans (ou de plus de 45 ans en cas d'antécédents familiaux de cancer de prostate).</w:t>
      </w:r>
    </w:p>
    <w:p>
      <w:pPr>
        <w:pStyle w:val="Heading4"/>
      </w:pPr>
      <w:r>
        <w:t>243.1.10.4 Surveillance de l'efficacité et de la tolérance</w:t>
      </w:r>
    </w:p>
    <w:p>
      <w:r>
        <w:t>Le patient doit être informé de la nécessité d'une consultation médicale de suivi à 3 mois (évaluation de l'efficacité, de la tolérance, de l'observance) et à 6 mois (décision de poursuite ou d'arrêt du traitement). Le patient doit être muni d'un carnet de suivi pour noter les prises, les symptômes (IPSS), les effets indésirables éventuels et les événements intercurrents.</w:t>
      </w:r>
    </w:p>
    <w:p>
      <w:pPr>
        <w:pStyle w:val="Heading4"/>
      </w:pPr>
      <w:r>
        <w:t>243.1.10.5 Conservation et stockage</w:t>
      </w:r>
    </w:p>
    <w:p>
      <w:r>
        <w:t>Les gélules doivent être conservées à température ambiante (15-25 °C), à l'abri de l'humidité et de la chaleur, dans leur emballage d'origine, jusqu'à la date de péremption indiquée sur la boîte. Le patient doit être informé de ne pas utiliser de spécialité périmée et de rapporter les spécialités non utilisées à la pharmacie d'officine pour élimination appropriée.</w:t>
      </w:r>
    </w:p>
    <w:p>
      <w:pPr>
        <w:pStyle w:val="Heading3"/>
      </w:pPr>
      <w:r>
        <w:t>243.1.11 Notes, règles d'or et pièges au comptoir</w:t>
      </w:r>
    </w:p>
    <w:p>
      <w:pPr>
        <w:pStyle w:val="Heading4"/>
      </w:pPr>
      <w:r>
        <w:t>243.1.11.1 Règles d'or du conseil pharmaceutique au comptoir</w:t>
      </w:r>
    </w:p>
    <w:p>
      <w:pPr>
        <w:pStyle w:val="ListNumber"/>
      </w:pPr>
      <w:r/>
      <w:r>
        <w:rPr>
          <w:b/>
        </w:rPr>
        <w:t>Toujours demander si le patient a eu un bilan urologique complet</w:t>
      </w:r>
      <w:r>
        <w:t xml:space="preserve"> (toucher rectal, PSA, échographie prostatique, débitmétrie, IPSS) avant l'initiation du traitement. En cas de bilan incomplet, orienter le patient vers son médecin urologue pour bilan complémentaire.</w:t>
      </w:r>
    </w:p>
    <w:p>
      <w:pPr>
        <w:pStyle w:val="ListNumber"/>
      </w:pPr>
      <w:r/>
      <w:r>
        <w:rPr>
          <w:b/>
        </w:rPr>
        <w:t>Toujours informer le patient des signes d'alerte</w:t>
      </w:r>
      <w:r>
        <w:t xml:space="preserve"> (hématurie, infection urinaire, fièvre, rétention urinaire, douleur lombaire, altération de l'état général) et de la consultation médicale urgente en cas de survenue.</w:t>
      </w:r>
    </w:p>
    <w:p>
      <w:pPr>
        <w:pStyle w:val="ListNumber"/>
      </w:pPr>
      <w:r/>
      <w:r>
        <w:rPr>
          <w:b/>
        </w:rPr>
        <w:t>Toujours informer le patient de la durée prolongée du traitement</w:t>
      </w:r>
      <w:r>
        <w:t xml:space="preserve"> (3 à 6 mois minimum) et de la nécessité d'une consultation médicale de suivi à 3 mois et à 6 mois.</w:t>
      </w:r>
    </w:p>
    <w:p>
      <w:pPr>
        <w:pStyle w:val="ListNumber"/>
      </w:pPr>
      <w:r/>
      <w:r>
        <w:rPr>
          <w:b/>
        </w:rPr>
        <w:t>Toujours informer le patient de la surveillance annuelle du PSA et du toucher rectal</w:t>
      </w:r>
      <w:r>
        <w:t xml:space="preserve"> pour le dépistage du cancer de prostate.</w:t>
      </w:r>
    </w:p>
    <w:p>
      <w:pPr>
        <w:pStyle w:val="ListNumber"/>
      </w:pPr>
      <w:r>
        <w:t>**Toujours informer le patient que le *Serenoa repens* ne modifie pas le PSA**, ce qui constitue un avantage par rapport au finastéride et au dutastéride (qui réduisent le PSA d'environ 50 % et nécessitent une correction du PSA mesuré).</w:t>
      </w:r>
    </w:p>
    <w:p>
      <w:pPr>
        <w:pStyle w:val="Heading4"/>
      </w:pPr>
      <w:r>
        <w:t>243.1.11.2 Pièges à éviter au comptoir</w:t>
      </w:r>
    </w:p>
    <w:p>
      <w:pPr>
        <w:pStyle w:val="ListNumber"/>
      </w:pPr>
      <w:r>
        <w:t>**Ne pas confondre *Serenoa repens* et *Pygeum africanum***. Les deux plantes sont utilisées pour l'HBP mais avec des statuts commerciaux différents (le *Serenoa repens* est actif, le *Pygeum africanum* est retiré en Algérie). Ne pas délivrer de *Pygeum africanum* (Tadenan, Novaprost, Tuzanil) qui sont retirés du marché.</w:t>
      </w:r>
    </w:p>
    <w:p>
      <w:pPr>
        <w:pStyle w:val="ListNumber"/>
      </w:pPr>
      <w:r/>
      <w:r>
        <w:rPr>
          <w:b/>
        </w:rPr>
        <w:t>Ne pas substituer entre extraits de qualité différente</w:t>
      </w:r>
      <w:r>
        <w:t>. Le patient sous Permixon (extrait lipido-stérique princeps) ne doit pas être substitué par un extrait de qualité différente sans information préalable. La substitution entre Permixon, Novoxon, Prostamixon et Serexon est possible en raison de leur standardisation identique (160 mg/gélule), mais doit être signalée au patient.</w:t>
      </w:r>
    </w:p>
    <w:p>
      <w:pPr>
        <w:pStyle w:val="ListNumber"/>
      </w:pPr>
      <w:r/>
      <w:r>
        <w:rPr>
          <w:b/>
        </w:rPr>
        <w:t>Ne pas méconnaître le risque de masquer un cancer de prostate</w:t>
      </w:r>
      <w:r>
        <w:t>. Le *Serenoa repens* ne doit pas être utilisé en cas de cancer de prostate suspecté ou avéré. Le bilan urologique complet (toucher rectal, PSA, échographie) doit éliminer un cancer de prostate avant l'initiation du traitement.</w:t>
      </w:r>
    </w:p>
    <w:p>
      <w:pPr>
        <w:pStyle w:val="ListNumber"/>
      </w:pPr>
      <w:r/>
      <w:r>
        <w:rPr>
          <w:b/>
        </w:rPr>
        <w:t>Ne pas oublier de demander l'avis de l'urologue en cas d'association avec un α-bloquant ou un inhibiteur de la 5α-réductase</w:t>
      </w:r>
      <w:r>
        <w:t>, en raison du risque théorique d'interaction pharmacodynamique (redondance d'action).</w:t>
      </w:r>
    </w:p>
    <w:p>
      <w:pPr>
        <w:pStyle w:val="ListNumber"/>
      </w:pPr>
      <w:r>
        <w:t>**Ne pas méconnaître l'absence d'effet du *Serenoa repens* sur la libido et l'érection** (à la différence des inhibiteurs de la 5α-réductase qui réduisent la libido et l'érection dans 5-10 % des cas). Le patient doit être informé que le *Serenoa repens* ne modifie pas la fonction sexuelle.</w:t>
      </w:r>
    </w:p>
    <w:p>
      <w:pPr>
        <w:pStyle w:val="Heading4"/>
      </w:pPr>
      <w:r>
        <w:t>243.1.11.3 Notes pédagogiques pour l'étudiant en pharmacie</w:t>
      </w:r>
    </w:p>
    <w:p>
      <w:r>
        <w:t xml:space="preserve">L'étudiant en pharmacie doit retenir que le </w:t>
      </w:r>
      <w:r>
        <w:rPr>
          <w:i/>
        </w:rPr>
        <w:t>Serenoa repens</w:t>
      </w:r>
      <w:r>
        <w:t xml:space="preserve"> est un médicament phytothérapique de l'HBP modérée, dont l'efficacité est modeste mais significative (diminution de 3-5 points sur l'IPSS après 6 mois), dont le profil de tolérance est globalement favorable (effets gastro-intestinaux bénins, effets endocriniens rares et réversibles), et dont l'avantage principal par rapport aux inhibiteurs de la 5α-réductase est l'absence d'effet sur le PSA et la fonction sexuelle. L'étudiant doit connaître les points suivants : la standardisation de l'extrait (extrait lipido-stérique, 160 mg par gélule) ; la posologie standard de 320 mg/jour en 2 prises ; la durée minimale de traitement de 3 à 6 mois ; la nécessité d'un bilan urologique complet avant l'initiation ; la surveillance annuelle du PSA et du toucher rectal.</w:t>
      </w:r>
    </w:p>
    <w:p>
      <w:pPr>
        <w:pStyle w:val="Heading3"/>
      </w:pPr>
      <w:r>
        <w:t>243.1.12 Tableau comparatif de sous-classe : Serenoa repens dans son paysage thérapeutique</w:t>
      </w:r>
    </w:p>
    <w:p>
      <w:r>
        <w:t xml:space="preserve">Le tableau comparatif complet de la sous-classe phytothérapique prostatique (Serenoa repens vs Pygeum africanum vs Finastéride vs Tamsulosine) est présenté à la section </w:t>
      </w:r>
      <w:r>
        <w:rPr>
          <w:b/>
        </w:rPr>
        <w:t>243.2.12</w:t>
      </w:r>
      <w:r>
        <w:t>, qui couvre simultanément les deux DCI phytothérapiques prostatiques (Serenoa repens et Pygeum africanum) et leurs comparateurs pharmacologiques conventionnels (finastéride, tamsulosine). Cette présentation unifiée permet une lecture comparative directe des quatre options thérapeutiques de l'HBP modérée disponibles en Algérie, en intégrant le statut commercial (actif vs retiré), le mécanisme d'action moléculaire, les paramètres pharmacocinétiques (posologie, délai d'action), les effets sur les paramètres urologiques (PSA, volume prostatique, IPSS), les effets indésirables (sexuels, cardiovasculaires), les interactions médicamenteuses, le niveau de preuve scientifique (EMA HMPC, AMM) et le coût mensuel en dinars algériens.</w:t>
      </w:r>
    </w:p>
    <w:p>
      <w:r>
        <w:t xml:space="preserve">Pour le </w:t>
      </w:r>
      <w:r>
        <w:rPr>
          <w:i/>
        </w:rPr>
        <w:t>Serenoa repens</w:t>
      </w:r>
      <w:r>
        <w:t xml:space="preserve"> spécifiquement, l'étudiant en pharmacie doit retenir quatre messages clés issus de ce tableau comparatif. </w:t>
      </w:r>
      <w:r>
        <w:rPr>
          <w:b/>
        </w:rPr>
        <w:t>Premièrement</w:t>
      </w:r>
      <w:r>
        <w:t xml:space="preserve">, le </w:t>
      </w:r>
      <w:r>
        <w:rPr>
          <w:i/>
        </w:rPr>
        <w:t>Serenoa repens</w:t>
      </w:r>
      <w:r>
        <w:t xml:space="preserve"> est le seul phytothérapeutique prostatique encore commercialisé en Algérie (5 spécialités actives : Permixon, Novoxon, Prostamixon, Serexon, et accessoirement Serpens non renouvelable), en remplacement du </w:t>
      </w:r>
      <w:r>
        <w:rPr>
          <w:i/>
        </w:rPr>
        <w:t>Pygeum africanum</w:t>
      </w:r>
      <w:r>
        <w:t xml:space="preserve"> retiré du marché. </w:t>
      </w:r>
      <w:r>
        <w:rPr>
          <w:b/>
        </w:rPr>
        <w:t>Deuxièmement</w:t>
      </w:r>
      <w:r>
        <w:t xml:space="preserve">, son efficacité symptomatique sur l'IPSS est modeste mais significative (-3 à -5 points), inférieure à celle de la tamsulosine (-5 à -8 points) mais comparable à celle du finastéride (-3 à -5 points), avec un délai d'action de 3 à 6 mois. </w:t>
      </w:r>
      <w:r>
        <w:rPr>
          <w:b/>
        </w:rPr>
        <w:t>Troisièmement</w:t>
      </w:r>
      <w:r>
        <w:t xml:space="preserve">, le </w:t>
      </w:r>
      <w:r>
        <w:rPr>
          <w:i/>
        </w:rPr>
        <w:t>Serenoa repens</w:t>
      </w:r>
      <w:r>
        <w:t xml:space="preserve"> est le seul traitement de l'HBP modérée à ne pas modifier le PSA ni la fonction sexuelle, ce qui en fait un traitement de choix chez le patient jeune sexuellement actif ou chez le patient nécessitant une surveillance annuelle du PSA (suspicions de cancer de prostate). </w:t>
      </w:r>
      <w:r>
        <w:rPr>
          <w:b/>
        </w:rPr>
        <w:t>Quatrièmement</w:t>
      </w:r>
      <w:r>
        <w:t xml:space="preserve">, le coût mensuel du </w:t>
      </w:r>
      <w:r>
        <w:rPr>
          <w:i/>
        </w:rPr>
        <w:t>Serenoa repens</w:t>
      </w:r>
      <w:r>
        <w:t xml:space="preserve"> en Algérie (environ 1 200-1 500 DA pour 60 gélules de 160 mg) est supérieur à celui de la tamsulosine (600-1 000 DA) mais comparable à celui du finastéride (800-1 200 DA), ce qui peut influencer l'observance à long terme en cas de traitement non remboursé par la sécurité sociale algérienne.</w:t>
      </w:r>
    </w:p>
    <w:p>
      <w:pPr>
        <w:pStyle w:val="Heading2"/>
      </w:pPr>
      <w:r>
        <w:t>243.2 PYGEUM AFRICANUM — Fiche DCI complète (12 sous-sections)</w:t>
      </w:r>
    </w:p>
    <w:p>
      <w:pPr>
        <w:pStyle w:val="Heading3"/>
      </w:pPr>
      <w:r>
        <w:t>243.2.1 Liste des catégories thérapeutiques (classification ATC OMS)</w:t>
      </w:r>
    </w:p>
    <w:p>
      <w:r>
        <w:t xml:space="preserve">Le </w:t>
      </w:r>
      <w:r>
        <w:rPr>
          <w:i/>
        </w:rPr>
        <w:t>Pygeum africanum</w:t>
      </w:r>
      <w:r>
        <w:t xml:space="preserve"> extrait d'écorce est classé dans la classification ATC de l'OMS sous le code </w:t>
      </w:r>
      <w:r>
        <w:rPr>
          <w:b/>
        </w:rPr>
        <w:t>G04CX01</w:t>
      </w:r>
      <w:r>
        <w:t>, qui se décompose comme suit :</w:t>
      </w:r>
    </w:p>
    <w:p>
      <w:pPr>
        <w:pStyle w:val="ListBullet"/>
      </w:pPr>
      <w:r/>
      <w:r>
        <w:rPr>
          <w:b/>
        </w:rPr>
        <w:t>G</w:t>
      </w:r>
      <w:r>
        <w:t xml:space="preserve"> : Système génito-urinaire (niveau anatomique principal)</w:t>
      </w:r>
    </w:p>
    <w:p>
      <w:pPr>
        <w:pStyle w:val="ListBullet"/>
      </w:pPr>
      <w:r/>
      <w:r>
        <w:rPr>
          <w:b/>
        </w:rPr>
        <w:t>G04</w:t>
      </w:r>
      <w:r>
        <w:t xml:space="preserve"> : Urologiques (niveau thérapeutique principal)</w:t>
      </w:r>
    </w:p>
    <w:p>
      <w:pPr>
        <w:pStyle w:val="ListBullet"/>
      </w:pPr>
      <w:r/>
      <w:r>
        <w:rPr>
          <w:b/>
        </w:rPr>
        <w:t>G04C</w:t>
      </w:r>
      <w:r>
        <w:t xml:space="preserve"> : Médicaments urologiques divers (niveau pharmacologique)</w:t>
      </w:r>
    </w:p>
    <w:p>
      <w:pPr>
        <w:pStyle w:val="ListBullet"/>
      </w:pPr>
      <w:r/>
      <w:r>
        <w:rPr>
          <w:b/>
        </w:rPr>
        <w:t>G04CX</w:t>
      </w:r>
      <w:r>
        <w:t xml:space="preserve"> : Autres médicaments urologiques (niveau sous-classe)</w:t>
      </w:r>
    </w:p>
    <w:p>
      <w:pPr>
        <w:pStyle w:val="ListBullet"/>
      </w:pPr>
      <w:r/>
      <w:r>
        <w:rPr>
          <w:b/>
        </w:rPr>
        <w:t>G04CX01</w:t>
      </w:r>
      <w:r>
        <w:t xml:space="preserve"> : Extrait de *Pygeum africanum* (niveau substance)</w:t>
      </w:r>
    </w:p>
    <w:p>
      <w:r>
        <w:t xml:space="preserve">Cette classification ATC reflète l'usage principal reconnu par l'OMS et l'EMA pour l'extrait d'écorce de </w:t>
      </w:r>
      <w:r>
        <w:rPr>
          <w:i/>
        </w:rPr>
        <w:t>Pygeum africanum</w:t>
      </w:r>
      <w:r>
        <w:t xml:space="preserve">, à savoir le traitement des troubles mictionnels de l'hypertrophie bénigne de la prostate. Cependant, cette spécialité est </w:t>
      </w:r>
      <w:r>
        <w:rPr>
          <w:b/>
        </w:rPr>
        <w:t>retirée du marché algérien</w:t>
      </w:r>
      <w:r>
        <w:t xml:space="preserve"> à la date de la nomenclature Avril 2026, ce qui signifie qu'elle n'est plus disponible en pharmacie d'officine algérienne, mais qu'elle reste inscrite dans la nomenclature pour mémoire historique. Les patients sous </w:t>
      </w:r>
      <w:r>
        <w:rPr>
          <w:i/>
        </w:rPr>
        <w:t>Pygeum africanum</w:t>
      </w:r>
      <w:r>
        <w:t xml:space="preserve"> doivent être orientés vers le </w:t>
      </w:r>
      <w:r>
        <w:rPr>
          <w:i/>
        </w:rPr>
        <w:t>Serenoa repens</w:t>
      </w:r>
      <w:r>
        <w:t xml:space="preserve"> (Permixon, Novoxon, Prostamixon, Serexon) comme alternative thérapeutique.</w:t>
      </w:r>
    </w:p>
    <w:p>
      <w:pPr>
        <w:pStyle w:val="Heading3"/>
      </w:pPr>
      <w:r>
        <w:t>243.2.2 Médicaments disponibles en Algérie</w:t>
      </w:r>
    </w:p>
    <w:p>
      <w:r>
        <w:t xml:space="preserve">Le tableau ci-dessous recense l'ensemble des spécialités pharmaceutiques de </w:t>
      </w:r>
      <w:r>
        <w:rPr>
          <w:i/>
        </w:rPr>
        <w:t>Pygeum africanum</w:t>
      </w:r>
      <w:r>
        <w:t xml:space="preserve"> ayant été disponibles sur le marché algérien, à la date de la nomenclature Avril 2026. Aucune spécialité n'est active (commercialisée) à cette date.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NOVAPROST</w:t>
            </w:r>
          </w:p>
        </w:tc>
        <w:tc>
          <w:tcPr>
            <w:tcW w:type="dxa" w:w="1385"/>
          </w:tcPr>
          <w:p>
            <w:r>
              <w:rPr>
                <w:rFonts w:ascii="Times New Roman" w:hAnsi="Times New Roman"/>
                <w:sz w:val="20"/>
              </w:rPr>
              <w:t>INDUSTRIA FARMACEUTICA NOVA ARGENTIA SPA</w:t>
            </w:r>
          </w:p>
        </w:tc>
        <w:tc>
          <w:tcPr>
            <w:tcW w:type="dxa" w:w="1385"/>
          </w:tcPr>
          <w:p>
            <w:r>
              <w:rPr>
                <w:rFonts w:ascii="Times New Roman" w:hAnsi="Times New Roman"/>
                <w:sz w:val="20"/>
              </w:rPr>
              <w:t>Capsule molle, 50 mg</w:t>
            </w:r>
          </w:p>
        </w:tc>
        <w:tc>
          <w:tcPr>
            <w:tcW w:type="dxa" w:w="1385"/>
          </w:tcPr>
          <w:p>
            <w:r>
              <w:rPr>
                <w:rFonts w:ascii="Times New Roman" w:hAnsi="Times New Roman"/>
                <w:sz w:val="20"/>
              </w:rPr>
              <w:t>Boîte de 30</w:t>
            </w:r>
          </w:p>
        </w:tc>
        <w:tc>
          <w:tcPr>
            <w:tcW w:type="dxa" w:w="1385"/>
          </w:tcPr>
          <w:p>
            <w:r>
              <w:rPr>
                <w:rFonts w:ascii="Times New Roman" w:hAnsi="Times New Roman"/>
                <w:sz w:val="20"/>
              </w:rPr>
              <w:t>Hors liste</w:t>
            </w:r>
          </w:p>
        </w:tc>
        <w:tc>
          <w:tcPr>
            <w:tcW w:type="dxa" w:w="1385"/>
          </w:tcPr>
          <w:p>
            <w:r>
              <w:rPr>
                <w:rFonts w:ascii="Times New Roman" w:hAnsi="Times New Roman"/>
                <w:sz w:val="20"/>
              </w:rPr>
              <w:t>NON_RENOUVELABLE</w:t>
            </w:r>
          </w:p>
        </w:tc>
      </w:tr>
      <w:tr>
        <w:tc>
          <w:tcPr>
            <w:tcW w:type="dxa" w:w="1385"/>
          </w:tcPr>
          <w:p>
            <w:r>
              <w:rPr>
                <w:rFonts w:ascii="Times New Roman" w:hAnsi="Times New Roman"/>
                <w:sz w:val="20"/>
              </w:rPr>
              <w:t>TADENAN</w:t>
            </w:r>
          </w:p>
        </w:tc>
        <w:tc>
          <w:tcPr>
            <w:tcW w:type="dxa" w:w="1385"/>
          </w:tcPr>
          <w:p>
            <w:r>
              <w:rPr>
                <w:rFonts w:ascii="Times New Roman" w:hAnsi="Times New Roman"/>
                <w:sz w:val="20"/>
              </w:rPr>
              <w:t>FOURNIER</w:t>
            </w:r>
          </w:p>
        </w:tc>
        <w:tc>
          <w:tcPr>
            <w:tcW w:type="dxa" w:w="1385"/>
          </w:tcPr>
          <w:p>
            <w:r>
              <w:rPr>
                <w:rFonts w:ascii="Times New Roman" w:hAnsi="Times New Roman"/>
                <w:sz w:val="20"/>
              </w:rPr>
              <w:t>Capsule, 50 mg</w:t>
            </w:r>
          </w:p>
        </w:tc>
        <w:tc>
          <w:tcPr>
            <w:tcW w:type="dxa" w:w="1385"/>
          </w:tcPr>
          <w:p>
            <w:r>
              <w:rPr>
                <w:rFonts w:ascii="Times New Roman" w:hAnsi="Times New Roman"/>
                <w:sz w:val="20"/>
              </w:rPr>
              <w:t>Boîte de 30</w:t>
            </w:r>
          </w:p>
        </w:tc>
        <w:tc>
          <w:tcPr>
            <w:tcW w:type="dxa" w:w="1385"/>
          </w:tcPr>
          <w:p>
            <w:r>
              <w:rPr>
                <w:rFonts w:ascii="Times New Roman" w:hAnsi="Times New Roman"/>
                <w:sz w:val="20"/>
              </w:rPr>
              <w:t>Hors liste</w:t>
            </w:r>
          </w:p>
        </w:tc>
        <w:tc>
          <w:tcPr>
            <w:tcW w:type="dxa" w:w="1385"/>
          </w:tcPr>
          <w:p>
            <w:r>
              <w:rPr>
                <w:rFonts w:ascii="Times New Roman" w:hAnsi="Times New Roman"/>
                <w:sz w:val="20"/>
              </w:rPr>
              <w:t>RETRAIT</w:t>
            </w:r>
          </w:p>
        </w:tc>
      </w:tr>
      <w:tr>
        <w:tc>
          <w:tcPr>
            <w:tcW w:type="dxa" w:w="1385"/>
          </w:tcPr>
          <w:p>
            <w:r>
              <w:rPr>
                <w:rFonts w:ascii="Times New Roman" w:hAnsi="Times New Roman"/>
                <w:sz w:val="20"/>
              </w:rPr>
              <w:t>NOVAPROST</w:t>
            </w:r>
          </w:p>
        </w:tc>
        <w:tc>
          <w:tcPr>
            <w:tcW w:type="dxa" w:w="1385"/>
          </w:tcPr>
          <w:p>
            <w:r>
              <w:rPr>
                <w:rFonts w:ascii="Times New Roman" w:hAnsi="Times New Roman"/>
                <w:sz w:val="20"/>
              </w:rPr>
              <w:t>NOVA ARGENTIA</w:t>
            </w:r>
          </w:p>
        </w:tc>
        <w:tc>
          <w:tcPr>
            <w:tcW w:type="dxa" w:w="1385"/>
          </w:tcPr>
          <w:p>
            <w:r>
              <w:rPr>
                <w:rFonts w:ascii="Times New Roman" w:hAnsi="Times New Roman"/>
                <w:sz w:val="20"/>
              </w:rPr>
              <w:t>Capsule, 25 mg</w:t>
            </w:r>
          </w:p>
        </w:tc>
        <w:tc>
          <w:tcPr>
            <w:tcW w:type="dxa" w:w="1385"/>
          </w:tcPr>
          <w:p>
            <w:r>
              <w:rPr>
                <w:rFonts w:ascii="Times New Roman" w:hAnsi="Times New Roman"/>
                <w:sz w:val="20"/>
              </w:rPr>
              <w:t>Boîte de 60</w:t>
            </w:r>
          </w:p>
        </w:tc>
        <w:tc>
          <w:tcPr>
            <w:tcW w:type="dxa" w:w="1385"/>
          </w:tcPr>
          <w:p>
            <w:r>
              <w:rPr>
                <w:rFonts w:ascii="Times New Roman" w:hAnsi="Times New Roman"/>
                <w:sz w:val="20"/>
              </w:rPr>
              <w:t>Hors liste</w:t>
            </w:r>
          </w:p>
        </w:tc>
        <w:tc>
          <w:tcPr>
            <w:tcW w:type="dxa" w:w="1385"/>
          </w:tcPr>
          <w:p>
            <w:r>
              <w:rPr>
                <w:rFonts w:ascii="Times New Roman" w:hAnsi="Times New Roman"/>
                <w:sz w:val="20"/>
              </w:rPr>
              <w:t>RETRAIT</w:t>
            </w:r>
          </w:p>
        </w:tc>
      </w:tr>
      <w:tr>
        <w:tc>
          <w:tcPr>
            <w:tcW w:type="dxa" w:w="1385"/>
          </w:tcPr>
          <w:p>
            <w:r>
              <w:rPr>
                <w:rFonts w:ascii="Times New Roman" w:hAnsi="Times New Roman"/>
                <w:sz w:val="20"/>
              </w:rPr>
              <w:t>TUZANIL</w:t>
            </w:r>
          </w:p>
        </w:tc>
        <w:tc>
          <w:tcPr>
            <w:tcW w:type="dxa" w:w="1385"/>
          </w:tcPr>
          <w:p>
            <w:r>
              <w:rPr>
                <w:rFonts w:ascii="Times New Roman" w:hAnsi="Times New Roman"/>
                <w:sz w:val="20"/>
              </w:rPr>
              <w:t>BOHM S.A</w:t>
            </w:r>
          </w:p>
        </w:tc>
        <w:tc>
          <w:tcPr>
            <w:tcW w:type="dxa" w:w="1385"/>
          </w:tcPr>
          <w:p>
            <w:r>
              <w:rPr>
                <w:rFonts w:ascii="Times New Roman" w:hAnsi="Times New Roman"/>
                <w:sz w:val="20"/>
              </w:rPr>
              <w:t>Capsule, 25 mg</w:t>
            </w:r>
          </w:p>
        </w:tc>
        <w:tc>
          <w:tcPr>
            <w:tcW w:type="dxa" w:w="1385"/>
          </w:tcPr>
          <w:p>
            <w:r>
              <w:rPr>
                <w:rFonts w:ascii="Times New Roman" w:hAnsi="Times New Roman"/>
                <w:sz w:val="20"/>
              </w:rPr>
              <w:t>Boîte de 60</w:t>
            </w:r>
          </w:p>
        </w:tc>
        <w:tc>
          <w:tcPr>
            <w:tcW w:type="dxa" w:w="1385"/>
          </w:tcPr>
          <w:p>
            <w:r>
              <w:rPr>
                <w:rFonts w:ascii="Times New Roman" w:hAnsi="Times New Roman"/>
                <w:sz w:val="20"/>
              </w:rPr>
              <w:t>Hors liste</w:t>
            </w:r>
          </w:p>
        </w:tc>
        <w:tc>
          <w:tcPr>
            <w:tcW w:type="dxa" w:w="1385"/>
          </w:tcPr>
          <w:p>
            <w:r>
              <w:rPr>
                <w:rFonts w:ascii="Times New Roman" w:hAnsi="Times New Roman"/>
                <w:sz w:val="20"/>
              </w:rPr>
              <w:t>RETRAIT</w:t>
            </w:r>
          </w:p>
        </w:tc>
      </w:tr>
    </w:tbl>
    <w:p/>
    <w:p>
      <w:r/>
      <w:r>
        <w:rPr>
          <w:b/>
        </w:rPr>
        <w:t>Remarques sur la disponibilité</w:t>
      </w:r>
      <w:r>
        <w:t xml:space="preserve"> : Toutes les spécialités de </w:t>
      </w:r>
      <w:r>
        <w:rPr>
          <w:i/>
        </w:rPr>
        <w:t>Pygeum africanum</w:t>
      </w:r>
      <w:r>
        <w:t xml:space="preserve"> sont soit non renouvelables (Novaprost 50 mg, suspendu transitoirement), soit définitivement retirées du marché algérien (Tadenan, Novaprost 25 mg, Tuzanil). Tadenan (Fournier, France) était la spécialité princeps historique de l'extrait d'écorce de </w:t>
      </w:r>
      <w:r>
        <w:rPr>
          <w:i/>
        </w:rPr>
        <w:t>Pygeum africanum</w:t>
      </w:r>
      <w:r>
        <w:t xml:space="preserve">, développée par le laboratoire Fournier (aujourd'hui fusionné avec Abbott) dans les années 1970-1980, et largement prescrite en France et en Algérie jusqu'à son retrait du marché. Le retrait du </w:t>
      </w:r>
      <w:r>
        <w:rPr>
          <w:i/>
        </w:rPr>
        <w:t>Pygeum africanum</w:t>
      </w:r>
      <w:r>
        <w:t xml:space="preserve"> du marché algérien s'inscrit dans une tendance internationale de déremboursement et de retrait progressif de cette phytothérapie, en raison du niveau de preuve clinique considéré comme insuffisant par les agences d'évaluation (EMA, HAS) et des préoccupations écologiques sur la récolte durable de l'écorce de </w:t>
      </w:r>
      <w:r>
        <w:rPr>
          <w:i/>
        </w:rPr>
        <w:t>Pygeum africanum</w:t>
      </w:r>
      <w:r>
        <w:t xml:space="preserve"> (espèce menacée dans son habitat naturel africain).</w:t>
      </w:r>
    </w:p>
    <w:p>
      <w:r/>
      <w:r>
        <w:rPr>
          <w:b/>
        </w:rPr>
        <w:t>Statut commercial détaillé</w:t>
      </w:r>
      <w:r>
        <w:t xml:space="preserve"> :</w:t>
      </w:r>
    </w:p>
    <w:p>
      <w:pPr>
        <w:pStyle w:val="ListBullet"/>
      </w:pPr>
      <w:r/>
      <w:r>
        <w:rPr>
          <w:b/>
        </w:rPr>
        <w:t>Spécialité non renouvelable (1)</w:t>
      </w:r>
      <w:r>
        <w:t xml:space="preserve"> : Novaprost 50 mg (Industria Farmaceutica Nova Argentia SPA), dont la commercialisation est suspendue transitoirement (probablement en raison de difficultés d'approvisionnement en écorce de *Pygeum africanum* ou de difficultés réglementaires propres au fabricant italien), mais qui pourrait être ré-introduite sur le marché algérien à tout moment.</w:t>
      </w:r>
    </w:p>
    <w:p>
      <w:pPr>
        <w:pStyle w:val="ListBullet"/>
      </w:pPr>
      <w:r/>
      <w:r>
        <w:rPr>
          <w:b/>
        </w:rPr>
        <w:t>Spécialités retirées (3)</w:t>
      </w:r>
      <w:r>
        <w:t xml:space="preserve"> : Tadenan 50 mg (Fournier), Novaprost 25 mg (Nova Argentia), Tuzanil 25 mg (Bohm S.A), définitivement retirées du marché algérien. Le retrait ne signifie pas que les produits présentaient un problème de sécurité ou d'efficacité, mais qu'ils ne sont plus commercialisés en Algérie.</w:t>
      </w:r>
    </w:p>
    <w:p>
      <w:r>
        <w:t xml:space="preserve">Les patients sous </w:t>
      </w:r>
      <w:r>
        <w:rPr>
          <w:i/>
        </w:rPr>
        <w:t>Pygeum africanum</w:t>
      </w:r>
      <w:r>
        <w:t xml:space="preserve"> (Tadenan, Novaprost, Tuzanil) doivent être orientés vers le </w:t>
      </w:r>
      <w:r>
        <w:rPr>
          <w:i/>
        </w:rPr>
        <w:t>Serenoa repens</w:t>
      </w:r>
      <w:r>
        <w:t xml:space="preserve"> (Permixon, Novoxon, Prostamixon, Serexon) comme alternative thérapeutique, en précisant que la posologie et le schéma thérapeutique sont différents (Permixon 160 mg × 2/jour contre Tadenan 50 mg × 2/jour).</w:t>
      </w:r>
    </w:p>
    <w:p>
      <w:pPr>
        <w:pStyle w:val="Heading3"/>
      </w:pPr>
      <w:r>
        <w:t>243.2.3 Sous-classe et mécanisme d'action moléculaire</w:t>
      </w:r>
    </w:p>
    <w:p>
      <w:pPr>
        <w:pStyle w:val="Heading4"/>
      </w:pPr>
      <w:r>
        <w:t>243.2.3.1 Composition chimique de l'extrait d'écorce</w:t>
      </w:r>
    </w:p>
    <w:p>
      <w:r>
        <w:t xml:space="preserve">L'extrait de </w:t>
      </w:r>
      <w:r>
        <w:rPr>
          <w:i/>
        </w:rPr>
        <w:t>Pygeum africanum</w:t>
      </w:r>
      <w:r>
        <w:t xml:space="preserve"> (Hook.f.) Kalkman (= </w:t>
      </w:r>
      <w:r>
        <w:rPr>
          <w:i/>
        </w:rPr>
        <w:t>Prunus afriana</w:t>
      </w:r>
      <w:r>
        <w:t xml:space="preserve"> (Hook.f.) Kalkman, prunier d'Afrique), arbre de la famille des Rosacées originaire des régions montagneuses d'Afrique subsaharienne (Cameroun, Madagascar, Kenya, Ouganda, République démocratique du Congo), est obtenu à partir de l'écorce séchée par extraction éthanolique. L'extrait contient :</w:t>
      </w:r>
    </w:p>
    <w:p>
      <w:pPr>
        <w:pStyle w:val="ListBullet"/>
      </w:pPr>
      <w:r/>
      <w:r>
        <w:rPr>
          <w:b/>
        </w:rPr>
        <w:t>Phytostérols (β-sitostérol majoritaire, β-sitostérol-glucoside, campesterol, stigmasterol)</w:t>
      </w:r>
      <w:r>
        <w:t xml:space="preserve"> : ces composés exercent une activité anti-inflammatoire et une action sur la perméabilité capillaire prostatique.</w:t>
      </w:r>
    </w:p>
    <w:p>
      <w:pPr>
        <w:pStyle w:val="ListBullet"/>
      </w:pPr>
      <w:r/>
      <w:r>
        <w:rPr>
          <w:b/>
        </w:rPr>
        <w:t>Pentacycliques triterpènes (acide ursolique, acide oléanolique)</w:t>
      </w:r>
      <w:r>
        <w:t xml:space="preserve"> : ces composés exercent une activité anti-inflammatoire (inhibition de la 5-lipoxygénase) et une action antioxydante.</w:t>
      </w:r>
    </w:p>
    <w:p>
      <w:pPr>
        <w:pStyle w:val="ListBullet"/>
      </w:pPr>
      <w:r/>
      <w:r>
        <w:rPr>
          <w:b/>
        </w:rPr>
        <w:t>Acides gras (acide oléique, acide linoléique, acide palmitique)</w:t>
      </w:r>
      <w:r>
        <w:t xml:space="preserve"> : ces composés exercent une activité inhibitrice sur la 5α-réductase, similaire à celle du *Serenoa repens*.</w:t>
      </w:r>
    </w:p>
    <w:p>
      <w:pPr>
        <w:pStyle w:val="ListBullet"/>
      </w:pPr>
      <w:r/>
      <w:r>
        <w:rPr>
          <w:b/>
        </w:rPr>
        <w:t>Alcools gras à longue chaîne (n-docosanol, n-tetracosanol)</w:t>
      </w:r>
      <w:r>
        <w:t xml:space="preserve"> : ces composés exercent une activité antivirale et anti-inflammatoire.</w:t>
      </w:r>
    </w:p>
    <w:p>
      <w:pPr>
        <w:pStyle w:val="ListBullet"/>
      </w:pPr>
      <w:r/>
      <w:r>
        <w:rPr>
          <w:b/>
        </w:rPr>
        <w:t>Tanins et composés phénoliques</w:t>
      </w:r>
      <w:r>
        <w:t xml:space="preserve"> : activité antioxydante.</w:t>
      </w:r>
    </w:p>
    <w:p>
      <w:pPr>
        <w:pStyle w:val="Heading4"/>
      </w:pPr>
      <w:r>
        <w:t>243.2.3.2 Mécanisme d'action moléculaire principal</w:t>
      </w:r>
    </w:p>
    <w:p>
      <w:r>
        <w:t xml:space="preserve">L'extrait de </w:t>
      </w:r>
      <w:r>
        <w:rPr>
          <w:i/>
        </w:rPr>
        <w:t>Pygeum africanum</w:t>
      </w:r>
      <w:r>
        <w:t xml:space="preserve"> exerce ses effets pharmacologiques par un mécanisme plurimodal impliquant plusieurs voies principales.</w:t>
      </w:r>
    </w:p>
    <w:p>
      <w:r/>
      <w:r>
        <w:rPr>
          <w:b/>
        </w:rPr>
        <w:t>Inhibition de la prolifération épithéliale prostatique</w:t>
      </w:r>
      <w:r>
        <w:t xml:space="preserve"> : l'extrait de </w:t>
      </w:r>
      <w:r>
        <w:rPr>
          <w:i/>
        </w:rPr>
        <w:t>Pygeum africanum</w:t>
      </w:r>
      <w:r>
        <w:t xml:space="preserve"> inhibe la prolifération des cellules épithéliales prostatiques stimulées par les androgènes et les facteurs de croissance (EGF, FGF). Le mécanisme moléculaire implique l'inhibition de la transition G1/S du cycle cellulaire et l'induction de l'apoptose via la voie mitochondriale.</w:t>
      </w:r>
    </w:p>
    <w:p>
      <w:r/>
      <w:r>
        <w:rPr>
          <w:b/>
        </w:rPr>
        <w:t>Effet anti-inflammatoire</w:t>
      </w:r>
      <w:r>
        <w:t xml:space="preserve"> : l'extrait de </w:t>
      </w:r>
      <w:r>
        <w:rPr>
          <w:i/>
        </w:rPr>
        <w:t>Pygeum africanum</w:t>
      </w:r>
      <w:r>
        <w:t xml:space="preserve"> inhibe la 5-lipoxygénase (5-LOX) et la cyclo-oxygénase (COX-2), réduisant la synthèse des leucotriènes (LTB4) et des prostaglandines pro-inflammatoires (PGE2) au niveau prostatique. Cet effet anti-inflammatoire contribue à la réduction des symptômes irritatifs (pollakiurie, urgenturie, brûlures mictionnelles).</w:t>
      </w:r>
    </w:p>
    <w:p>
      <w:r/>
      <w:r>
        <w:rPr>
          <w:b/>
        </w:rPr>
        <w:t>Effet sur la sécrétion prostatique</w:t>
      </w:r>
      <w:r>
        <w:t xml:space="preserve"> : l'extrait de </w:t>
      </w:r>
      <w:r>
        <w:rPr>
          <w:i/>
        </w:rPr>
        <w:t>Pygeum africanum</w:t>
      </w:r>
      <w:r>
        <w:t xml:space="preserve"> augmente la sécrétion prostatique et améliore la composition du liquide prostatique, contribuant à la réduction de la stase prostatique.</w:t>
      </w:r>
    </w:p>
    <w:p>
      <w:r/>
      <w:r>
        <w:rPr>
          <w:b/>
        </w:rPr>
        <w:t>Effet anti-œdémateux</w:t>
      </w:r>
      <w:r>
        <w:t xml:space="preserve"> : l'extrait de </w:t>
      </w:r>
      <w:r>
        <w:rPr>
          <w:i/>
        </w:rPr>
        <w:t>Pygeum africanum</w:t>
      </w:r>
      <w:r>
        <w:t xml:space="preserve"> réduit la perméabilité capillaire prostatique et le stroma vasculaire, contribuant à la réduction de la composante congestive de l'HBP.</w:t>
      </w:r>
    </w:p>
    <w:p>
      <w:pPr>
        <w:pStyle w:val="Heading4"/>
      </w:pPr>
      <w:r>
        <w:t>243.2.3.3 Pharmacocinétique</w:t>
      </w:r>
    </w:p>
    <w:p>
      <w:r>
        <w:t xml:space="preserve">L'extrait de </w:t>
      </w:r>
      <w:r>
        <w:rPr>
          <w:i/>
        </w:rPr>
        <w:t>Pygeum africanum</w:t>
      </w:r>
      <w:r>
        <w:t xml:space="preserve"> est administré par voie orale. L'absorption intestinale des phytostérols et triterpènes est modérée (30-50 %). Les phytostérols sont transportés dans la lymphe via les chylomicrons, distribués aux tissus cibles (prostate, foie, tissu adipeux), métabolisés par le cytochrome P450 hépatique (CYP3A4) et éliminés par voie biliaire. Les demi-vies d'élimination sont de l'ordre de 10 à 20 heures pour les phytostérols et 5 à 10 heures pour les triterpènes. L'état d'équilibre est atteint en 5 à 7 jours.</w:t>
      </w:r>
    </w:p>
    <w:p>
      <w:pPr>
        <w:pStyle w:val="Heading3"/>
      </w:pPr>
      <w:r>
        <w:t>243.2.4 Profil pharmacologique — indications, contre-indications, effets indésirables</w:t>
      </w:r>
    </w:p>
    <w:p>
      <w:pPr>
        <w:pStyle w:val="Heading4"/>
      </w:pPr>
      <w:r>
        <w:t>243.2.4.1 Indications thérapeutiques validées</w:t>
      </w:r>
    </w:p>
    <w:p>
      <w:r>
        <w:t xml:space="preserve">Les indications validées par l'EMA HMPC (monographie HMPC/EMEA/266024/2010) pour l'extrait d'écorce de </w:t>
      </w:r>
      <w:r>
        <w:rPr>
          <w:i/>
        </w:rPr>
        <w:t>Pygeum africanum</w:t>
      </w:r>
      <w:r>
        <w:t xml:space="preserve"> étaient :</w:t>
      </w:r>
    </w:p>
    <w:p>
      <w:pPr>
        <w:pStyle w:val="ListBullet"/>
      </w:pPr>
      <w:r/>
      <w:r>
        <w:rPr>
          <w:b/>
        </w:rPr>
        <w:t>Indication « usage traditionnel » (traditional use)</w:t>
      </w:r>
      <w:r>
        <w:t xml:space="preserve"> : traitement symptomatique de l'hypertrophie bénigne de la prostate (HBP) stade modéré, en complément des mesures hygiéno-diététiques. L'efficacité était documentée par des essais cliniques anciens (Chatelain 1999, *Urology* ; Barlet 1990, *Press Medicale*) avec une amélioration moyenne de 2 à 4 points sur le score IPSS après 2 mois de traitement. Cependant, le niveau de preuve est considéré comme insuffisant par les agences d'évaluation modernes (EMA, HAS), en raison de la méthodologie limitée des essais cliniques (faible effectif, durée courte, hétérogénéité des extraits).</w:t>
      </w:r>
    </w:p>
    <w:p>
      <w:pPr>
        <w:pStyle w:val="Heading4"/>
      </w:pPr>
      <w:r>
        <w:t>243.2.4.2 Contre-indications</w:t>
      </w:r>
    </w:p>
    <w:p>
      <w:r>
        <w:t xml:space="preserve">Les contre-indications du </w:t>
      </w:r>
      <w:r>
        <w:rPr>
          <w:i/>
        </w:rPr>
        <w:t>Pygeum africanum</w:t>
      </w:r>
      <w:r>
        <w:t xml:space="preserve"> étaient identiques à celles du </w:t>
      </w:r>
      <w:r>
        <w:rPr>
          <w:i/>
        </w:rPr>
        <w:t>Serenoa repens</w:t>
      </w:r>
      <w:r>
        <w:t xml:space="preserve"> : hypersensibilité, cancer de prostate suspecté ou avéré, rétention urinaire aiguë, grossesse, allaitement. La spécialité étant retirée du marché algérien, ces contre-indications sont à connaître pour les patients ayant encore accès au </w:t>
      </w:r>
      <w:r>
        <w:rPr>
          <w:i/>
        </w:rPr>
        <w:t>Pygeum africanum</w:t>
      </w:r>
      <w:r>
        <w:t xml:space="preserve"> par importation personnelle ou dans d'autres pays.</w:t>
      </w:r>
    </w:p>
    <w:p>
      <w:pPr>
        <w:pStyle w:val="Heading4"/>
      </w:pPr>
      <w:r>
        <w:t>243.2.4.3 Effets indésirables</w:t>
      </w:r>
    </w:p>
    <w:p>
      <w:r>
        <w:t xml:space="preserve">Le profil d'effets indésirables du </w:t>
      </w:r>
      <w:r>
        <w:rPr>
          <w:i/>
        </w:rPr>
        <w:t>Pygeum africanum</w:t>
      </w:r>
      <w:r>
        <w:t xml:space="preserve"> était globalement favorable :</w:t>
      </w:r>
    </w:p>
    <w:p>
      <w:pPr>
        <w:pStyle w:val="ListBullet"/>
      </w:pPr>
      <w:r/>
      <w:r>
        <w:rPr>
          <w:b/>
        </w:rPr>
        <w:t>Effets gastro-intestinaux (1 à 5 %)</w:t>
      </w:r>
      <w:r>
        <w:t xml:space="preserve"> : nausées, dyspepsie, diarrhée, douleurs abdominales.</w:t>
      </w:r>
    </w:p>
    <w:p>
      <w:pPr>
        <w:pStyle w:val="ListBullet"/>
      </w:pPr>
      <w:r/>
      <w:r>
        <w:rPr>
          <w:b/>
        </w:rPr>
        <w:t>Effets cutanés (0,5 à 1 %)</w:t>
      </w:r>
      <w:r>
        <w:t xml:space="preserve"> : rash, prurit, exceptionnellement urticaire.</w:t>
      </w:r>
    </w:p>
    <w:p>
      <w:pPr>
        <w:pStyle w:val="ListBullet"/>
      </w:pPr>
      <w:r/>
      <w:r>
        <w:rPr>
          <w:b/>
        </w:rPr>
        <w:t>Effets endocriniens rares</w:t>
      </w:r>
      <w:r>
        <w:t xml:space="preserve"> : gynécomastie régressive à l'arrêt.</w:t>
      </w:r>
    </w:p>
    <w:p>
      <w:pPr>
        <w:pStyle w:val="Heading3"/>
      </w:pPr>
      <w:r>
        <w:t>243.2.5 Prévention et gestion des effets indésirables</w:t>
      </w:r>
    </w:p>
    <w:p>
      <w:r>
        <w:t xml:space="preserve">La prévention et la gestion des effets indésirables du </w:t>
      </w:r>
      <w:r>
        <w:rPr>
          <w:i/>
        </w:rPr>
        <w:t>Pygeum africanum</w:t>
      </w:r>
      <w:r>
        <w:t xml:space="preserve"> reposaient sur les mêmes principes que pour le </w:t>
      </w:r>
      <w:r>
        <w:rPr>
          <w:i/>
        </w:rPr>
        <w:t>Serenoa repens</w:t>
      </w:r>
      <w:r>
        <w:t xml:space="preserve"> : sélection du patient, éducation thérapeutique, surveillance clinique et gestion des situations à risque. Cependant, en raison du retrait du marché algérien, ces mesures ne sont plus d'actualité pour la pratique clinique courante en Algérie. Les patients ayant encore accès au </w:t>
      </w:r>
      <w:r>
        <w:rPr>
          <w:i/>
        </w:rPr>
        <w:t>Pygeum africanum</w:t>
      </w:r>
      <w:r>
        <w:t xml:space="preserve"> par importation personnelle doivent être informés des risques potentiels et orientés vers le </w:t>
      </w:r>
      <w:r>
        <w:rPr>
          <w:i/>
        </w:rPr>
        <w:t>Serenoa repens</w:t>
      </w:r>
      <w:r>
        <w:t xml:space="preserve"> comme alternative algérienne disponible.</w:t>
      </w:r>
    </w:p>
    <w:p>
      <w:pPr>
        <w:pStyle w:val="Heading3"/>
      </w:pPr>
      <w:r>
        <w:t>243.2.6 Interactions médicamenteuses</w:t>
      </w:r>
    </w:p>
    <w:p>
      <w:r>
        <w:t xml:space="preserve">Les interactions médicamenteuses du </w:t>
      </w:r>
      <w:r>
        <w:rPr>
          <w:i/>
        </w:rPr>
        <w:t>Pygeum africanum</w:t>
      </w:r>
      <w:r>
        <w:t xml:space="preserve"> étaient limitées et moins bien documentées que celles du </w:t>
      </w:r>
      <w:r>
        <w:rPr>
          <w:i/>
        </w:rPr>
        <w:t>Ginkgo biloba</w:t>
      </w:r>
      <w:r>
        <w:t xml:space="preserve"> ou du </w:t>
      </w:r>
      <w:r>
        <w:rPr>
          <w:i/>
        </w:rPr>
        <w:t>Serenoa repens</w:t>
      </w:r>
      <w:r>
        <w:t>. Les principales interactions théoriques et documentées étaient :</w:t>
      </w:r>
    </w:p>
    <w:p>
      <w:pPr>
        <w:pStyle w:val="ListBullet"/>
      </w:pPr>
      <w:r/>
      <w:r>
        <w:rPr>
          <w:b/>
        </w:rPr>
        <w:t>Anticoagulants oraux et antiagrégants plaquettaires</w:t>
      </w:r>
      <w:r>
        <w:t xml:space="preserve"> : aucune interaction cliniquement significative documentée, mais surveillance recommandée par mesure de précaution.</w:t>
      </w:r>
    </w:p>
    <w:p>
      <w:pPr>
        <w:pStyle w:val="ListBullet"/>
      </w:pPr>
      <w:r/>
      <w:r>
        <w:rPr>
          <w:b/>
        </w:rPr>
        <w:t>Traitements hormonaux androgéniques</w:t>
      </w:r>
      <w:r>
        <w:t xml:space="preserve"> : théoriquement, le *Pygeum africanum* peut antagoniser les effets de la testostérone administrée à visée substitutive.</w:t>
      </w:r>
    </w:p>
    <w:p>
      <w:pPr>
        <w:pStyle w:val="ListBullet"/>
      </w:pPr>
      <w:r/>
      <w:r>
        <w:rPr>
          <w:b/>
        </w:rPr>
        <w:t>Inhibiteurs de la 5α-réductase (finastéride, dutastéride)</w:t>
      </w:r>
      <w:r>
        <w:t xml:space="preserve"> : association non recommandée en raison de la redondance d'action.</w:t>
      </w:r>
    </w:p>
    <w:p>
      <w:pPr>
        <w:pStyle w:val="ListBullet"/>
      </w:pPr>
      <w:r/>
      <w:r>
        <w:rPr>
          <w:b/>
        </w:rPr>
        <w:t>α-bloquants (tamsulosine, alfuzosine, doxazosine)</w:t>
      </w:r>
      <w:r>
        <w:t xml:space="preserve"> : association fréquente en pratique clinique, sans interaction documentée.</w:t>
      </w:r>
    </w:p>
    <w:p>
      <w:pPr>
        <w:pStyle w:val="Heading3"/>
      </w:pPr>
      <w:r>
        <w:t>243.2.7 Grossesse et allaitement (CRAT)</w:t>
      </w:r>
    </w:p>
    <w:p>
      <w:r>
        <w:t xml:space="preserve">Le CRAT recommandait d'éviter l'usage du </w:t>
      </w:r>
      <w:r>
        <w:rPr>
          <w:i/>
        </w:rPr>
        <w:t>Pygeum africanum</w:t>
      </w:r>
      <w:r>
        <w:t xml:space="preserve"> pendant la grossesse et l'allaitement, par mesure de précaution, en raison de l'effet anti-androgénique théorique et de l'absence d'études cliniques contrôlées chez la femme enceinte. L'indication de l'HBP concernant exclusivement l'homme âgé, l'usage pendant la grossesse et l'allaitement était exceptionnel. En raison du retrait du marché algérien, cette question ne se pose plus en pratique clinique courante en Algérie.</w:t>
      </w:r>
    </w:p>
    <w:p>
      <w:pPr>
        <w:pStyle w:val="Heading3"/>
      </w:pPr>
      <w:r>
        <w:t>243.2.8 Posologie et mode d'administration</w:t>
      </w:r>
    </w:p>
    <w:p>
      <w:r>
        <w:t xml:space="preserve">La posologie standard de l'extrait d'écorce de </w:t>
      </w:r>
      <w:r>
        <w:rPr>
          <w:i/>
        </w:rPr>
        <w:t>Pygeum africanum</w:t>
      </w:r>
      <w:r>
        <w:t xml:space="preserve"> était :</w:t>
      </w:r>
    </w:p>
    <w:p>
      <w:pPr>
        <w:pStyle w:val="ListBullet"/>
      </w:pPr>
      <w:r/>
      <w:r>
        <w:rPr>
          <w:b/>
        </w:rPr>
        <w:t>Posologie d'attaque (4 à 6 semaines)</w:t>
      </w:r>
      <w:r>
        <w:t xml:space="preserve"> : 100 mg/jour en 2 prises de 50 mg chacune (Tadenan, Novaprost 50 mg), ou 100 mg/jour en 2 prises de 50 mg (Novaprost 25 mg × 2 gélules × 2/jour, Tuzanil 25 mg × 2 gélules × 2/jour).</w:t>
      </w:r>
    </w:p>
    <w:p>
      <w:pPr>
        <w:pStyle w:val="ListBullet"/>
      </w:pPr>
      <w:r/>
      <w:r>
        <w:rPr>
          <w:b/>
        </w:rPr>
        <w:t>Posologie d'entretien (3 à 6 mois)</w:t>
      </w:r>
      <w:r>
        <w:t xml:space="preserve"> : 50 mg/jour en 1 prise (Tadenan 50 mg × 1/jour, Novaprost 25 mg × 2 gélules × 1/jour).</w:t>
      </w:r>
    </w:p>
    <w:p>
      <w:r>
        <w:t>Les gélules devaient être avalées entières avec un grand verre d'eau, au cours des repas. La durée minimale de traitement était de 6 semaines, mais l'efficacité maximale était obtenue après 3 à 6 mois de traitement.</w:t>
      </w:r>
    </w:p>
    <w:p>
      <w:pPr>
        <w:pStyle w:val="Heading3"/>
      </w:pPr>
      <w:r>
        <w:t>243.2.9 Arbitrage et bénéfices des formes galéniques</w:t>
      </w:r>
    </w:p>
    <w:p>
      <w:r>
        <w:t xml:space="preserve">L'arbitrage des formes galéniques pour le </w:t>
      </w:r>
      <w:r>
        <w:rPr>
          <w:i/>
        </w:rPr>
        <w:t>Pygeum africanum</w:t>
      </w:r>
      <w:r>
        <w:t xml:space="preserve"> ne se pose plus en pratique clinique courante en Algérie, en raison du retrait du marché. Les patients sous </w:t>
      </w:r>
      <w:r>
        <w:rPr>
          <w:i/>
        </w:rPr>
        <w:t>Pygeum africanum</w:t>
      </w:r>
      <w:r>
        <w:t xml:space="preserve"> doivent être orientés vers le </w:t>
      </w:r>
      <w:r>
        <w:rPr>
          <w:i/>
        </w:rPr>
        <w:t>Serenoa repens</w:t>
      </w:r>
      <w:r>
        <w:t xml:space="preserve"> (Permixon, Novoxon, Prostamixon, Serexon) comme alternative thérapeutique algérienne disponible. La posologie du </w:t>
      </w:r>
      <w:r>
        <w:rPr>
          <w:i/>
        </w:rPr>
        <w:t>Serenoa repens</w:t>
      </w:r>
      <w:r>
        <w:t xml:space="preserve"> (160 mg × 2/jour) est différente de celle du </w:t>
      </w:r>
      <w:r>
        <w:rPr>
          <w:i/>
        </w:rPr>
        <w:t>Pygeum africanum</w:t>
      </w:r>
      <w:r>
        <w:t xml:space="preserve"> (50 mg × 2/jour en attaque, 50 mg/jour en entretien), et le patient doit être informé de cette modification posologique lors du relais thérapeutique.</w:t>
      </w:r>
    </w:p>
    <w:p>
      <w:pPr>
        <w:pStyle w:val="Heading3"/>
      </w:pPr>
      <w:r>
        <w:t>243.2.10 Instructions et conseils au patient</w:t>
      </w:r>
    </w:p>
    <w:p>
      <w:r>
        <w:t xml:space="preserve">Les conseils au patient pour le </w:t>
      </w:r>
      <w:r>
        <w:rPr>
          <w:i/>
        </w:rPr>
        <w:t>Pygeum africanum</w:t>
      </w:r>
      <w:r>
        <w:t xml:space="preserve"> ne sont plus d'actualité en pratique clinique courante en Algérie, en raison du retrait du marché. Les patients ayant encore accès au </w:t>
      </w:r>
      <w:r>
        <w:rPr>
          <w:i/>
        </w:rPr>
        <w:t>Pygeum africanum</w:t>
      </w:r>
      <w:r>
        <w:t xml:space="preserve"> par importation personnelle doivent être informés des points suivants : la spécialité est retirée du marché algérien et n'est plus disponible en pharmacie d'officine ; l'alternative thérapeutique algérienne disponible est le </w:t>
      </w:r>
      <w:r>
        <w:rPr>
          <w:i/>
        </w:rPr>
        <w:t>Serenoa repens</w:t>
      </w:r>
      <w:r>
        <w:t xml:space="preserve"> (Permixon, Novoxon, Prostamixon, Serexon) à la posologie de 160 mg × 2/jour ; la consultation médicale urologique est recommandée pour discuter du relais thérapeutique et de la surveillance.</w:t>
      </w:r>
    </w:p>
    <w:p>
      <w:pPr>
        <w:pStyle w:val="Heading3"/>
      </w:pPr>
      <w:r>
        <w:t>243.2.11 Notes, règles d'or et pièges au comptoir</w:t>
      </w:r>
    </w:p>
    <w:p>
      <w:r>
        <w:t xml:space="preserve">Le pharmacien d'officine algérien doit être informé que le </w:t>
      </w:r>
      <w:r>
        <w:rPr>
          <w:i/>
        </w:rPr>
        <w:t>Pygeum africanum</w:t>
      </w:r>
      <w:r>
        <w:t xml:space="preserve"> (Tadenan, Novaprost, Tuzanil) est retiré du marché algérien et ne doit plus être délivré. Les patients demandant du </w:t>
      </w:r>
      <w:r>
        <w:rPr>
          <w:i/>
        </w:rPr>
        <w:t>Pygeum africanum</w:t>
      </w:r>
      <w:r>
        <w:t xml:space="preserve"> doivent être orientés vers le </w:t>
      </w:r>
      <w:r>
        <w:rPr>
          <w:i/>
        </w:rPr>
        <w:t>Serenoa repens</w:t>
      </w:r>
      <w:r>
        <w:t xml:space="preserve"> comme alternative thérapeutique algérienne disponible, après consultation médicale urologique pour relais thérapeutique. Le pharmacien doit être capable d'expliquer au patient les raisons du retrait (niveau de preuve insuffisant, préoccupations écologiques sur la récolte durable de l'écorce de </w:t>
      </w:r>
      <w:r>
        <w:rPr>
          <w:i/>
        </w:rPr>
        <w:t>Pygeum africanum</w:t>
      </w:r>
      <w:r>
        <w:t xml:space="preserve">) et de rassurer le patient sur l'efficacité comparable du </w:t>
      </w:r>
      <w:r>
        <w:rPr>
          <w:i/>
        </w:rPr>
        <w:t>Serenoa repens</w:t>
      </w:r>
      <w:r>
        <w:t>.</w:t>
      </w:r>
    </w:p>
    <w:p>
      <w:pPr>
        <w:pStyle w:val="Heading3"/>
      </w:pPr>
      <w:r>
        <w:t>243.2.12 Tableau comparatif de sous-classe : Serenoa repens vs Pygeum africanum vs Finastéride vs Tamsulosine</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Critère</w:t>
            </w:r>
          </w:p>
        </w:tc>
        <w:tc>
          <w:tcPr>
            <w:tcW w:type="dxa" w:w="1662"/>
            <w:shd w:val="clear" w:color="auto" w:fill="F2F2F2"/>
          </w:tcPr>
          <w:p>
            <w:r>
              <w:rPr>
                <w:rFonts w:ascii="Times New Roman" w:hAnsi="Times New Roman"/>
                <w:b/>
                <w:sz w:val="20"/>
              </w:rPr>
              <w:t>Serenoa repens</w:t>
            </w:r>
          </w:p>
        </w:tc>
        <w:tc>
          <w:tcPr>
            <w:tcW w:type="dxa" w:w="1662"/>
            <w:shd w:val="clear" w:color="auto" w:fill="F2F2F2"/>
          </w:tcPr>
          <w:p>
            <w:r>
              <w:rPr>
                <w:rFonts w:ascii="Times New Roman" w:hAnsi="Times New Roman"/>
                <w:b/>
                <w:sz w:val="20"/>
              </w:rPr>
              <w:t>Pygeum africanum</w:t>
            </w:r>
          </w:p>
        </w:tc>
        <w:tc>
          <w:tcPr>
            <w:tcW w:type="dxa" w:w="1662"/>
            <w:shd w:val="clear" w:color="auto" w:fill="F2F2F2"/>
          </w:tcPr>
          <w:p>
            <w:r>
              <w:rPr>
                <w:rFonts w:ascii="Times New Roman" w:hAnsi="Times New Roman"/>
                <w:b/>
                <w:sz w:val="20"/>
              </w:rPr>
              <w:t>Finastéride</w:t>
            </w:r>
          </w:p>
        </w:tc>
        <w:tc>
          <w:tcPr>
            <w:tcW w:type="dxa" w:w="1662"/>
            <w:shd w:val="clear" w:color="auto" w:fill="F2F2F2"/>
          </w:tcPr>
          <w:p>
            <w:r>
              <w:rPr>
                <w:rFonts w:ascii="Times New Roman" w:hAnsi="Times New Roman"/>
                <w:b/>
                <w:sz w:val="20"/>
              </w:rPr>
              <w:t>Tamsulosine</w:t>
            </w:r>
          </w:p>
        </w:tc>
      </w:tr>
      <w:tr>
        <w:tc>
          <w:tcPr>
            <w:tcW w:type="dxa" w:w="1662"/>
          </w:tcPr>
          <w:p>
            <w:r>
              <w:rPr>
                <w:rFonts w:ascii="Times New Roman" w:hAnsi="Times New Roman"/>
                <w:sz w:val="20"/>
              </w:rPr>
              <w:t>**Statut Algérie**</w:t>
            </w:r>
          </w:p>
        </w:tc>
        <w:tc>
          <w:tcPr>
            <w:tcW w:type="dxa" w:w="1662"/>
          </w:tcPr>
          <w:p>
            <w:r>
              <w:rPr>
                <w:rFonts w:ascii="Times New Roman" w:hAnsi="Times New Roman"/>
                <w:sz w:val="20"/>
              </w:rPr>
              <w:t>ACTIF (Permixon, Novoxon, etc.)</w:t>
            </w:r>
          </w:p>
        </w:tc>
        <w:tc>
          <w:tcPr>
            <w:tcW w:type="dxa" w:w="1662"/>
          </w:tcPr>
          <w:p>
            <w:r>
              <w:rPr>
                <w:rFonts w:ascii="Times New Roman" w:hAnsi="Times New Roman"/>
                <w:sz w:val="20"/>
              </w:rPr>
              <w:t>RETIRÉ (Tadenan, Novaprost, Tuzanil)</w:t>
            </w:r>
          </w:p>
        </w:tc>
        <w:tc>
          <w:tcPr>
            <w:tcW w:type="dxa" w:w="1662"/>
          </w:tcPr>
          <w:p>
            <w:r>
              <w:rPr>
                <w:rFonts w:ascii="Times New Roman" w:hAnsi="Times New Roman"/>
                <w:sz w:val="20"/>
              </w:rPr>
              <w:t>ACTIF</w:t>
            </w:r>
          </w:p>
        </w:tc>
        <w:tc>
          <w:tcPr>
            <w:tcW w:type="dxa" w:w="1662"/>
          </w:tcPr>
          <w:p>
            <w:r>
              <w:rPr>
                <w:rFonts w:ascii="Times New Roman" w:hAnsi="Times New Roman"/>
                <w:sz w:val="20"/>
              </w:rPr>
              <w:t>ACTIF</w:t>
            </w:r>
          </w:p>
        </w:tc>
      </w:tr>
      <w:tr>
        <w:tc>
          <w:tcPr>
            <w:tcW w:type="dxa" w:w="1662"/>
          </w:tcPr>
          <w:p>
            <w:r>
              <w:rPr>
                <w:rFonts w:ascii="Times New Roman" w:hAnsi="Times New Roman"/>
                <w:sz w:val="20"/>
              </w:rPr>
              <w:t>**Composition**</w:t>
            </w:r>
          </w:p>
        </w:tc>
        <w:tc>
          <w:tcPr>
            <w:tcW w:type="dxa" w:w="1662"/>
          </w:tcPr>
          <w:p>
            <w:r>
              <w:rPr>
                <w:rFonts w:ascii="Times New Roman" w:hAnsi="Times New Roman"/>
                <w:sz w:val="20"/>
              </w:rPr>
              <w:t>Extrait lipido-stérique (acides gras, phytostérols)</w:t>
            </w:r>
          </w:p>
        </w:tc>
        <w:tc>
          <w:tcPr>
            <w:tcW w:type="dxa" w:w="1662"/>
          </w:tcPr>
          <w:p>
            <w:r>
              <w:rPr>
                <w:rFonts w:ascii="Times New Roman" w:hAnsi="Times New Roman"/>
                <w:sz w:val="20"/>
              </w:rPr>
              <w:t>Extrait éthanolique écorce (phytostérols, triterpènes)</w:t>
            </w:r>
          </w:p>
        </w:tc>
        <w:tc>
          <w:tcPr>
            <w:tcW w:type="dxa" w:w="1662"/>
          </w:tcPr>
          <w:p>
            <w:r>
              <w:rPr>
                <w:rFonts w:ascii="Times New Roman" w:hAnsi="Times New Roman"/>
                <w:sz w:val="20"/>
              </w:rPr>
              <w:t>Inhibiteur compétitif 5α-R type II</w:t>
            </w:r>
          </w:p>
        </w:tc>
        <w:tc>
          <w:tcPr>
            <w:tcW w:type="dxa" w:w="1662"/>
          </w:tcPr>
          <w:p>
            <w:r>
              <w:rPr>
                <w:rFonts w:ascii="Times New Roman" w:hAnsi="Times New Roman"/>
                <w:sz w:val="20"/>
              </w:rPr>
              <w:t>α1A-bloquant sélectif</w:t>
            </w:r>
          </w:p>
        </w:tc>
      </w:tr>
      <w:tr>
        <w:tc>
          <w:tcPr>
            <w:tcW w:type="dxa" w:w="1662"/>
          </w:tcPr>
          <w:p>
            <w:r>
              <w:rPr>
                <w:rFonts w:ascii="Times New Roman" w:hAnsi="Times New Roman"/>
                <w:sz w:val="20"/>
              </w:rPr>
              <w:t>**Mécanisme principal**</w:t>
            </w:r>
          </w:p>
        </w:tc>
        <w:tc>
          <w:tcPr>
            <w:tcW w:type="dxa" w:w="1662"/>
          </w:tcPr>
          <w:p>
            <w:r>
              <w:rPr>
                <w:rFonts w:ascii="Times New Roman" w:hAnsi="Times New Roman"/>
                <w:sz w:val="20"/>
              </w:rPr>
              <w:t>Inhibition non compétitive 5α-R + apoptose + anti-inflammatoire</w:t>
            </w:r>
          </w:p>
        </w:tc>
        <w:tc>
          <w:tcPr>
            <w:tcW w:type="dxa" w:w="1662"/>
          </w:tcPr>
          <w:p>
            <w:r>
              <w:rPr>
                <w:rFonts w:ascii="Times New Roman" w:hAnsi="Times New Roman"/>
                <w:sz w:val="20"/>
              </w:rPr>
              <w:t>Inhibition prolifération + anti-inflammatoire + anti-œdémateux</w:t>
            </w:r>
          </w:p>
        </w:tc>
        <w:tc>
          <w:tcPr>
            <w:tcW w:type="dxa" w:w="1662"/>
          </w:tcPr>
          <w:p>
            <w:r>
              <w:rPr>
                <w:rFonts w:ascii="Times New Roman" w:hAnsi="Times New Roman"/>
                <w:sz w:val="20"/>
              </w:rPr>
              <w:t>Inhibition compétitive 5α-R type II</w:t>
            </w:r>
          </w:p>
        </w:tc>
        <w:tc>
          <w:tcPr>
            <w:tcW w:type="dxa" w:w="1662"/>
          </w:tcPr>
          <w:p>
            <w:r>
              <w:rPr>
                <w:rFonts w:ascii="Times New Roman" w:hAnsi="Times New Roman"/>
                <w:sz w:val="20"/>
              </w:rPr>
              <w:t>Blocage α1A urétral et prostatique</w:t>
            </w:r>
          </w:p>
        </w:tc>
      </w:tr>
      <w:tr>
        <w:tc>
          <w:tcPr>
            <w:tcW w:type="dxa" w:w="1662"/>
          </w:tcPr>
          <w:p>
            <w:r>
              <w:rPr>
                <w:rFonts w:ascii="Times New Roman" w:hAnsi="Times New Roman"/>
                <w:sz w:val="20"/>
              </w:rPr>
              <w:t>**Posologie**</w:t>
            </w:r>
          </w:p>
        </w:tc>
        <w:tc>
          <w:tcPr>
            <w:tcW w:type="dxa" w:w="1662"/>
          </w:tcPr>
          <w:p>
            <w:r>
              <w:rPr>
                <w:rFonts w:ascii="Times New Roman" w:hAnsi="Times New Roman"/>
                <w:sz w:val="20"/>
              </w:rPr>
              <w:t>160 mg × 2/jour (320 mg/jour)</w:t>
            </w:r>
          </w:p>
        </w:tc>
        <w:tc>
          <w:tcPr>
            <w:tcW w:type="dxa" w:w="1662"/>
          </w:tcPr>
          <w:p>
            <w:r>
              <w:rPr>
                <w:rFonts w:ascii="Times New Roman" w:hAnsi="Times New Roman"/>
                <w:sz w:val="20"/>
              </w:rPr>
              <w:t>50 mg × 2/jour attaque, 50 mg/jour entretien</w:t>
            </w:r>
          </w:p>
        </w:tc>
        <w:tc>
          <w:tcPr>
            <w:tcW w:type="dxa" w:w="1662"/>
          </w:tcPr>
          <w:p>
            <w:r>
              <w:rPr>
                <w:rFonts w:ascii="Times New Roman" w:hAnsi="Times New Roman"/>
                <w:sz w:val="20"/>
              </w:rPr>
              <w:t>5 mg/jour</w:t>
            </w:r>
          </w:p>
        </w:tc>
        <w:tc>
          <w:tcPr>
            <w:tcW w:type="dxa" w:w="1662"/>
          </w:tcPr>
          <w:p>
            <w:r>
              <w:rPr>
                <w:rFonts w:ascii="Times New Roman" w:hAnsi="Times New Roman"/>
                <w:sz w:val="20"/>
              </w:rPr>
              <w:t>0,4 mg/jour</w:t>
            </w:r>
          </w:p>
        </w:tc>
      </w:tr>
      <w:tr>
        <w:tc>
          <w:tcPr>
            <w:tcW w:type="dxa" w:w="1662"/>
          </w:tcPr>
          <w:p>
            <w:r>
              <w:rPr>
                <w:rFonts w:ascii="Times New Roman" w:hAnsi="Times New Roman"/>
                <w:sz w:val="20"/>
              </w:rPr>
              <w:t>**Délai d'action**</w:t>
            </w:r>
          </w:p>
        </w:tc>
        <w:tc>
          <w:tcPr>
            <w:tcW w:type="dxa" w:w="1662"/>
          </w:tcPr>
          <w:p>
            <w:r>
              <w:rPr>
                <w:rFonts w:ascii="Times New Roman" w:hAnsi="Times New Roman"/>
                <w:sz w:val="20"/>
              </w:rPr>
              <w:t>3-6 mois</w:t>
            </w:r>
          </w:p>
        </w:tc>
        <w:tc>
          <w:tcPr>
            <w:tcW w:type="dxa" w:w="1662"/>
          </w:tcPr>
          <w:p>
            <w:r>
              <w:rPr>
                <w:rFonts w:ascii="Times New Roman" w:hAnsi="Times New Roman"/>
                <w:sz w:val="20"/>
              </w:rPr>
              <w:t>6 semaines - 3 mois</w:t>
            </w:r>
          </w:p>
        </w:tc>
        <w:tc>
          <w:tcPr>
            <w:tcW w:type="dxa" w:w="1662"/>
          </w:tcPr>
          <w:p>
            <w:r>
              <w:rPr>
                <w:rFonts w:ascii="Times New Roman" w:hAnsi="Times New Roman"/>
                <w:sz w:val="20"/>
              </w:rPr>
              <w:t>6-12 mois (réduction volume)</w:t>
            </w:r>
          </w:p>
        </w:tc>
        <w:tc>
          <w:tcPr>
            <w:tcW w:type="dxa" w:w="1662"/>
          </w:tcPr>
          <w:p>
            <w:r>
              <w:rPr>
                <w:rFonts w:ascii="Times New Roman" w:hAnsi="Times New Roman"/>
                <w:sz w:val="20"/>
              </w:rPr>
              <w:t>1-2 semaines</w:t>
            </w:r>
          </w:p>
        </w:tc>
      </w:tr>
      <w:tr>
        <w:tc>
          <w:tcPr>
            <w:tcW w:type="dxa" w:w="1662"/>
          </w:tcPr>
          <w:p>
            <w:r>
              <w:rPr>
                <w:rFonts w:ascii="Times New Roman" w:hAnsi="Times New Roman"/>
                <w:sz w:val="20"/>
              </w:rPr>
              <w:t>**Effet sur PSA**</w:t>
            </w:r>
          </w:p>
        </w:tc>
        <w:tc>
          <w:tcPr>
            <w:tcW w:type="dxa" w:w="1662"/>
          </w:tcPr>
          <w:p>
            <w:r>
              <w:rPr>
                <w:rFonts w:ascii="Times New Roman" w:hAnsi="Times New Roman"/>
                <w:sz w:val="20"/>
              </w:rPr>
              <w:t>Aucun</w:t>
            </w:r>
          </w:p>
        </w:tc>
        <w:tc>
          <w:tcPr>
            <w:tcW w:type="dxa" w:w="1662"/>
          </w:tcPr>
          <w:p>
            <w:r>
              <w:rPr>
                <w:rFonts w:ascii="Times New Roman" w:hAnsi="Times New Roman"/>
                <w:sz w:val="20"/>
              </w:rPr>
              <w:t>Aucun</w:t>
            </w:r>
          </w:p>
        </w:tc>
        <w:tc>
          <w:tcPr>
            <w:tcW w:type="dxa" w:w="1662"/>
          </w:tcPr>
          <w:p>
            <w:r>
              <w:rPr>
                <w:rFonts w:ascii="Times New Roman" w:hAnsi="Times New Roman"/>
                <w:sz w:val="20"/>
              </w:rPr>
              <w:t>↓ 50 %</w:t>
            </w:r>
          </w:p>
        </w:tc>
        <w:tc>
          <w:tcPr>
            <w:tcW w:type="dxa" w:w="1662"/>
          </w:tcPr>
          <w:p>
            <w:r>
              <w:rPr>
                <w:rFonts w:ascii="Times New Roman" w:hAnsi="Times New Roman"/>
                <w:sz w:val="20"/>
              </w:rPr>
              <w:t>Aucun</w:t>
            </w:r>
          </w:p>
        </w:tc>
      </w:tr>
      <w:tr>
        <w:tc>
          <w:tcPr>
            <w:tcW w:type="dxa" w:w="1662"/>
          </w:tcPr>
          <w:p>
            <w:r>
              <w:rPr>
                <w:rFonts w:ascii="Times New Roman" w:hAnsi="Times New Roman"/>
                <w:sz w:val="20"/>
              </w:rPr>
              <w:t>**Effet sur volume prostatique**</w:t>
            </w:r>
          </w:p>
        </w:tc>
        <w:tc>
          <w:tcPr>
            <w:tcW w:type="dxa" w:w="1662"/>
          </w:tcPr>
          <w:p>
            <w:r>
              <w:rPr>
                <w:rFonts w:ascii="Times New Roman" w:hAnsi="Times New Roman"/>
                <w:sz w:val="20"/>
              </w:rPr>
              <w:t>Modeste (réduction ~10 %)</w:t>
            </w:r>
          </w:p>
        </w:tc>
        <w:tc>
          <w:tcPr>
            <w:tcW w:type="dxa" w:w="1662"/>
          </w:tcPr>
          <w:p>
            <w:r>
              <w:rPr>
                <w:rFonts w:ascii="Times New Roman" w:hAnsi="Times New Roman"/>
                <w:sz w:val="20"/>
              </w:rPr>
              <w:t>Modeste (réduction ~10 %)</w:t>
            </w:r>
          </w:p>
        </w:tc>
        <w:tc>
          <w:tcPr>
            <w:tcW w:type="dxa" w:w="1662"/>
          </w:tcPr>
          <w:p>
            <w:r>
              <w:rPr>
                <w:rFonts w:ascii="Times New Roman" w:hAnsi="Times New Roman"/>
                <w:sz w:val="20"/>
              </w:rPr>
              <w:t>Significatif (réduction ~20-30 %)</w:t>
            </w:r>
          </w:p>
        </w:tc>
        <w:tc>
          <w:tcPr>
            <w:tcW w:type="dxa" w:w="1662"/>
          </w:tcPr>
          <w:p>
            <w:r>
              <w:rPr>
                <w:rFonts w:ascii="Times New Roman" w:hAnsi="Times New Roman"/>
                <w:sz w:val="20"/>
              </w:rPr>
              <w:t>Aucun</w:t>
            </w:r>
          </w:p>
        </w:tc>
      </w:tr>
      <w:tr>
        <w:tc>
          <w:tcPr>
            <w:tcW w:type="dxa" w:w="1662"/>
          </w:tcPr>
          <w:p>
            <w:r>
              <w:rPr>
                <w:rFonts w:ascii="Times New Roman" w:hAnsi="Times New Roman"/>
                <w:sz w:val="20"/>
              </w:rPr>
              <w:t>**Effet sur IPSS**</w:t>
            </w:r>
          </w:p>
        </w:tc>
        <w:tc>
          <w:tcPr>
            <w:tcW w:type="dxa" w:w="1662"/>
          </w:tcPr>
          <w:p>
            <w:r>
              <w:rPr>
                <w:rFonts w:ascii="Times New Roman" w:hAnsi="Times New Roman"/>
                <w:sz w:val="20"/>
              </w:rPr>
              <w:t>-3 à -5 points</w:t>
            </w:r>
          </w:p>
        </w:tc>
        <w:tc>
          <w:tcPr>
            <w:tcW w:type="dxa" w:w="1662"/>
          </w:tcPr>
          <w:p>
            <w:r>
              <w:rPr>
                <w:rFonts w:ascii="Times New Roman" w:hAnsi="Times New Roman"/>
                <w:sz w:val="20"/>
              </w:rPr>
              <w:t>-2 à -4 points</w:t>
            </w:r>
          </w:p>
        </w:tc>
        <w:tc>
          <w:tcPr>
            <w:tcW w:type="dxa" w:w="1662"/>
          </w:tcPr>
          <w:p>
            <w:r>
              <w:rPr>
                <w:rFonts w:ascii="Times New Roman" w:hAnsi="Times New Roman"/>
                <w:sz w:val="20"/>
              </w:rPr>
              <w:t>-3 à -5 points</w:t>
            </w:r>
          </w:p>
        </w:tc>
        <w:tc>
          <w:tcPr>
            <w:tcW w:type="dxa" w:w="1662"/>
          </w:tcPr>
          <w:p>
            <w:r>
              <w:rPr>
                <w:rFonts w:ascii="Times New Roman" w:hAnsi="Times New Roman"/>
                <w:sz w:val="20"/>
              </w:rPr>
              <w:t>-5 à -8 points</w:t>
            </w:r>
          </w:p>
        </w:tc>
      </w:tr>
      <w:tr>
        <w:tc>
          <w:tcPr>
            <w:tcW w:type="dxa" w:w="1662"/>
          </w:tcPr>
          <w:p>
            <w:r>
              <w:rPr>
                <w:rFonts w:ascii="Times New Roman" w:hAnsi="Times New Roman"/>
                <w:sz w:val="20"/>
              </w:rPr>
              <w:t>**Effets sexuels**</w:t>
            </w:r>
          </w:p>
        </w:tc>
        <w:tc>
          <w:tcPr>
            <w:tcW w:type="dxa" w:w="1662"/>
          </w:tcPr>
          <w:p>
            <w:r>
              <w:rPr>
                <w:rFonts w:ascii="Times New Roman" w:hAnsi="Times New Roman"/>
                <w:sz w:val="20"/>
              </w:rPr>
              <w:t>Rares (libido, érection)</w:t>
            </w:r>
          </w:p>
        </w:tc>
        <w:tc>
          <w:tcPr>
            <w:tcW w:type="dxa" w:w="1662"/>
          </w:tcPr>
          <w:p>
            <w:r>
              <w:rPr>
                <w:rFonts w:ascii="Times New Roman" w:hAnsi="Times New Roman"/>
                <w:sz w:val="20"/>
              </w:rPr>
              <w:t>Rares</w:t>
            </w:r>
          </w:p>
        </w:tc>
        <w:tc>
          <w:tcPr>
            <w:tcW w:type="dxa" w:w="1662"/>
          </w:tcPr>
          <w:p>
            <w:r>
              <w:rPr>
                <w:rFonts w:ascii="Times New Roman" w:hAnsi="Times New Roman"/>
                <w:sz w:val="20"/>
              </w:rPr>
              <w:t>5-10 % (libido, érection, éjaculation)</w:t>
            </w:r>
          </w:p>
        </w:tc>
        <w:tc>
          <w:tcPr>
            <w:tcW w:type="dxa" w:w="1662"/>
          </w:tcPr>
          <w:p>
            <w:r>
              <w:rPr>
                <w:rFonts w:ascii="Times New Roman" w:hAnsi="Times New Roman"/>
                <w:sz w:val="20"/>
              </w:rPr>
              <w:t>5-10 % éjaculation rétrograde</w:t>
            </w:r>
          </w:p>
        </w:tc>
      </w:tr>
      <w:tr>
        <w:tc>
          <w:tcPr>
            <w:tcW w:type="dxa" w:w="1662"/>
          </w:tcPr>
          <w:p>
            <w:r>
              <w:rPr>
                <w:rFonts w:ascii="Times New Roman" w:hAnsi="Times New Roman"/>
                <w:sz w:val="20"/>
              </w:rPr>
              <w:t>**Effets cardiovasculaires**</w:t>
            </w:r>
          </w:p>
        </w:tc>
        <w:tc>
          <w:tcPr>
            <w:tcW w:type="dxa" w:w="1662"/>
          </w:tcPr>
          <w:p>
            <w:r>
              <w:rPr>
                <w:rFonts w:ascii="Times New Roman" w:hAnsi="Times New Roman"/>
                <w:sz w:val="20"/>
              </w:rPr>
              <w:t>Aucun</w:t>
            </w:r>
          </w:p>
        </w:tc>
        <w:tc>
          <w:tcPr>
            <w:tcW w:type="dxa" w:w="1662"/>
          </w:tcPr>
          <w:p>
            <w:r>
              <w:rPr>
                <w:rFonts w:ascii="Times New Roman" w:hAnsi="Times New Roman"/>
                <w:sz w:val="20"/>
              </w:rPr>
              <w:t>Aucun</w:t>
            </w:r>
          </w:p>
        </w:tc>
        <w:tc>
          <w:tcPr>
            <w:tcW w:type="dxa" w:w="1662"/>
          </w:tcPr>
          <w:p>
            <w:r>
              <w:rPr>
                <w:rFonts w:ascii="Times New Roman" w:hAnsi="Times New Roman"/>
                <w:sz w:val="20"/>
              </w:rPr>
              <w:t>Aucun</w:t>
            </w:r>
          </w:p>
        </w:tc>
        <w:tc>
          <w:tcPr>
            <w:tcW w:type="dxa" w:w="1662"/>
          </w:tcPr>
          <w:p>
            <w:r>
              <w:rPr>
                <w:rFonts w:ascii="Times New Roman" w:hAnsi="Times New Roman"/>
                <w:sz w:val="20"/>
              </w:rPr>
              <w:t>Hypotension orthostatique</w:t>
            </w:r>
          </w:p>
        </w:tc>
      </w:tr>
      <w:tr>
        <w:tc>
          <w:tcPr>
            <w:tcW w:type="dxa" w:w="1662"/>
          </w:tcPr>
          <w:p>
            <w:r>
              <w:rPr>
                <w:rFonts w:ascii="Times New Roman" w:hAnsi="Times New Roman"/>
                <w:sz w:val="20"/>
              </w:rPr>
              <w:t>**Interactions**</w:t>
            </w:r>
          </w:p>
        </w:tc>
        <w:tc>
          <w:tcPr>
            <w:tcW w:type="dxa" w:w="1662"/>
          </w:tcPr>
          <w:p>
            <w:r>
              <w:rPr>
                <w:rFonts w:ascii="Times New Roman" w:hAnsi="Times New Roman"/>
                <w:sz w:val="20"/>
              </w:rPr>
              <w:t>Limitées</w:t>
            </w:r>
          </w:p>
        </w:tc>
        <w:tc>
          <w:tcPr>
            <w:tcW w:type="dxa" w:w="1662"/>
          </w:tcPr>
          <w:p>
            <w:r>
              <w:rPr>
                <w:rFonts w:ascii="Times New Roman" w:hAnsi="Times New Roman"/>
                <w:sz w:val="20"/>
              </w:rPr>
              <w:t>Limitées</w:t>
            </w:r>
          </w:p>
        </w:tc>
        <w:tc>
          <w:tcPr>
            <w:tcW w:type="dxa" w:w="1662"/>
          </w:tcPr>
          <w:p>
            <w:r>
              <w:rPr>
                <w:rFonts w:ascii="Times New Roman" w:hAnsi="Times New Roman"/>
                <w:sz w:val="20"/>
              </w:rPr>
              <w:t>Limitées</w:t>
            </w:r>
          </w:p>
        </w:tc>
        <w:tc>
          <w:tcPr>
            <w:tcW w:type="dxa" w:w="1662"/>
          </w:tcPr>
          <w:p>
            <w:r>
              <w:rPr>
                <w:rFonts w:ascii="Times New Roman" w:hAnsi="Times New Roman"/>
                <w:sz w:val="20"/>
              </w:rPr>
              <w:t>IMAO, antihypertenseurs</w:t>
            </w:r>
          </w:p>
        </w:tc>
      </w:tr>
      <w:tr>
        <w:tc>
          <w:tcPr>
            <w:tcW w:type="dxa" w:w="1662"/>
          </w:tcPr>
          <w:p>
            <w:r>
              <w:rPr>
                <w:rFonts w:ascii="Times New Roman" w:hAnsi="Times New Roman"/>
                <w:sz w:val="20"/>
              </w:rPr>
              <w:t>**Niveau de preuve**</w:t>
            </w:r>
          </w:p>
        </w:tc>
        <w:tc>
          <w:tcPr>
            <w:tcW w:type="dxa" w:w="1662"/>
          </w:tcPr>
          <w:p>
            <w:r>
              <w:rPr>
                <w:rFonts w:ascii="Times New Roman" w:hAnsi="Times New Roman"/>
                <w:sz w:val="20"/>
              </w:rPr>
              <w:t>Modéré (EMA HMPC bien établi)</w:t>
            </w:r>
          </w:p>
        </w:tc>
        <w:tc>
          <w:tcPr>
            <w:tcW w:type="dxa" w:w="1662"/>
          </w:tcPr>
          <w:p>
            <w:r>
              <w:rPr>
                <w:rFonts w:ascii="Times New Roman" w:hAnsi="Times New Roman"/>
                <w:sz w:val="20"/>
              </w:rPr>
              <w:t>Limité (EMA HMPC traditionnel)</w:t>
            </w:r>
          </w:p>
        </w:tc>
        <w:tc>
          <w:tcPr>
            <w:tcW w:type="dxa" w:w="1662"/>
          </w:tcPr>
          <w:p>
            <w:r>
              <w:rPr>
                <w:rFonts w:ascii="Times New Roman" w:hAnsi="Times New Roman"/>
                <w:sz w:val="20"/>
              </w:rPr>
              <w:t>Élevé (AMM)</w:t>
            </w:r>
          </w:p>
        </w:tc>
        <w:tc>
          <w:tcPr>
            <w:tcW w:type="dxa" w:w="1662"/>
          </w:tcPr>
          <w:p>
            <w:r>
              <w:rPr>
                <w:rFonts w:ascii="Times New Roman" w:hAnsi="Times New Roman"/>
                <w:sz w:val="20"/>
              </w:rPr>
              <w:t>Élevé (AMM)</w:t>
            </w:r>
          </w:p>
        </w:tc>
      </w:tr>
      <w:tr>
        <w:tc>
          <w:tcPr>
            <w:tcW w:type="dxa" w:w="1662"/>
          </w:tcPr>
          <w:p>
            <w:r>
              <w:rPr>
                <w:rFonts w:ascii="Times New Roman" w:hAnsi="Times New Roman"/>
                <w:sz w:val="20"/>
              </w:rPr>
              <w:t>**Coût mensuel**</w:t>
            </w:r>
          </w:p>
        </w:tc>
        <w:tc>
          <w:tcPr>
            <w:tcW w:type="dxa" w:w="1662"/>
          </w:tcPr>
          <w:p>
            <w:r>
              <w:rPr>
                <w:rFonts w:ascii="Times New Roman" w:hAnsi="Times New Roman"/>
                <w:sz w:val="20"/>
              </w:rPr>
              <w:t>~1200-1500 DA</w:t>
            </w:r>
          </w:p>
        </w:tc>
        <w:tc>
          <w:tcPr>
            <w:tcW w:type="dxa" w:w="1662"/>
          </w:tcPr>
          <w:p>
            <w:r>
              <w:rPr>
                <w:rFonts w:ascii="Times New Roman" w:hAnsi="Times New Roman"/>
                <w:sz w:val="20"/>
              </w:rPr>
              <w:t>N/A (retiré)</w:t>
            </w:r>
          </w:p>
        </w:tc>
        <w:tc>
          <w:tcPr>
            <w:tcW w:type="dxa" w:w="1662"/>
          </w:tcPr>
          <w:p>
            <w:r>
              <w:rPr>
                <w:rFonts w:ascii="Times New Roman" w:hAnsi="Times New Roman"/>
                <w:sz w:val="20"/>
              </w:rPr>
              <w:t>~800-1200 DA</w:t>
            </w:r>
          </w:p>
        </w:tc>
        <w:tc>
          <w:tcPr>
            <w:tcW w:type="dxa" w:w="1662"/>
          </w:tcPr>
          <w:p>
            <w:r>
              <w:rPr>
                <w:rFonts w:ascii="Times New Roman" w:hAnsi="Times New Roman"/>
                <w:sz w:val="20"/>
              </w:rPr>
              <w:t>~600-1000 DA</w:t>
            </w:r>
          </w:p>
        </w:tc>
      </w:tr>
    </w:tbl>
    <w:p/>
    <w:p>
      <w:pPr>
        <w:pStyle w:val="Heading3"/>
      </w:pPr>
      <w:r>
        <w:t>243.2.12.1 Synthèse transversale de la sous-classe phytothérapique prostatique</w:t>
      </w:r>
    </w:p>
    <w:p>
      <w:r>
        <w:t xml:space="preserve">La phytothérapie prostatique en Algérie repose désormais essentiellement sur le </w:t>
      </w:r>
      <w:r>
        <w:rPr>
          <w:i/>
        </w:rPr>
        <w:t>Serenoa repens</w:t>
      </w:r>
      <w:r>
        <w:t xml:space="preserve"> (Permixon, Novoxon, Prostamixon, Serexon), qui a remplacé le </w:t>
      </w:r>
      <w:r>
        <w:rPr>
          <w:i/>
        </w:rPr>
        <w:t>Pygeum africanum</w:t>
      </w:r>
      <w:r>
        <w:t xml:space="preserve"> (Tadenan, Novaprost, Tuzanil) retiré du marché. Le </w:t>
      </w:r>
      <w:r>
        <w:rPr>
          <w:i/>
        </w:rPr>
        <w:t>Serenoa repens</w:t>
      </w:r>
      <w:r>
        <w:t xml:space="preserve"> occupe une place de choix dans le traitement de première intention de l'HBP modérée (IPSS 8-19) en raison de son profil d'efficacité modeste mais significative, de sa bonne tolérance clinique et de l'absence d'effet sur le PSA et la fonction sexuelle. Les traitements pharmacologiques conventionnels (finastéride, dutastéride, tamsulosine, alfuzosine) sont réservés aux HBP modérées à sévères (IPSS ≥ 20) ou en cas d'efficacité insuffisante du </w:t>
      </w:r>
      <w:r>
        <w:rPr>
          <w:i/>
        </w:rPr>
        <w:t>Serenoa repens</w:t>
      </w:r>
      <w:r>
        <w:t xml:space="preserve"> après 6 mois de traitement bien conduit. L'arbitrage thérapeutique doit être discuté au cas par cas avec le médecin urologue, en tenant compte du profil du patient (âge, comorbidités, traitements associés, préférences), du stade de l'HBP (IPSS, volume prostatique, débitmétrie) et du risque de progression (rétention urinaire, insuffisance rénale, chirurgie).</w:t>
      </w:r>
    </w:p>
    <w:p>
      <w:pPr>
        <w:pStyle w:val="Heading3"/>
      </w:pPr>
      <w:r>
        <w:t>243.2.12.2 Conclusion du chapitre 243</w:t>
      </w:r>
    </w:p>
    <w:p>
      <w:r>
        <w:t xml:space="preserve">La phytothérapie prostatique en Algérie illustre l'évolution du marché des médicaments à base de plantes, avec le retrait progressif des spécialités au niveau de preuve insuffisant (Pygeum africanum) et la pérennité des spécialités au niveau de preuve modéré mais reconnu (Serenoa repens). Le pharmacien d'officine algérien joue un rôle central dans la dispensation et le conseil pharmaceutique du </w:t>
      </w:r>
      <w:r>
        <w:rPr>
          <w:i/>
        </w:rPr>
        <w:t>Serenoa repens</w:t>
      </w:r>
      <w:r>
        <w:t>, en particulier pour la détection des contre-indications (cancer de prostate suspecté), la surveillance de l'observance et de la tolérance, et l'éducation thérapeutique du patient. Les chapitres suivants traitent de la médecine nucléaire thérapeutique (radium-223) et des dispositifs médicaux antacides (alginates), qui complètent l'arsenal thérapeutique algérien pour la prise en charge du cancer de prostate métastatique et du reflux gastro-œsophagien.</w:t>
      </w:r>
    </w:p>
    <w:p>
      <w:pPr>
        <w:pStyle w:val="Heading1"/>
      </w:pPr>
      <w:r>
        <w:t>Chapitre 244 — Médecine Nucléaire : Dichlorure de radium-223 (Xofigo)</w:t>
      </w:r>
    </w:p>
    <w:p>
      <w:pPr>
        <w:pStyle w:val="Heading2"/>
      </w:pPr>
      <w:r>
        <w:t>Fascicule XXIV — Phytothérapie, Médecine Nucléaire &amp; Dispositifs Médicaux</w:t>
      </w:r>
    </w:p>
    <w:p>
      <w:pPr>
        <w:pStyle w:val="Heading2"/>
      </w:pPr>
      <w:r>
        <w:t>244.0 Introduction au chapitre 244 — Médecine nucléaire thérapeutique et radiopharmaceutique à visée oncologique</w:t>
      </w:r>
    </w:p>
    <w:p>
      <w:r>
        <w:t>La médecine nucléaire thérapeutique, ou thérapeutique radio-isotopique, désigne l'usage clinique de radio-isotopes émetteurs de rayonnements ionisants à visée thérapeutique, distincte de la médecine nucléaire diagnostique (scintigraphie, tomographie par émission de positons - TEP, scintigraphie osseuse diagnostique au Tc-99m) qui utilise des traceurs à dose radioactive faible. La thérapeutique nucléaire repose sur le concept fondamental de ciblage moléculaire de la radioactivité : un radio-isotope émetteur (iode-131 pour la thyroïde, yttrium-90 pour les lymphomes, lutécium-177 pour les tumeurs neuroendocrines et prostatiques, radium-223 pour les métastases osseuses) est couplé à un vecteur moléculaire (iode pour la thyroïde, anticorps monoclonal pour les lymphomes, mimétique du calcium pour l'os, antagoniste du récepteur PSMA pour la prostate) qui délivre le rayonnement à proximité immédiate des cellules cibles (thyrocytes, cellules tumorales hématopoïétiques, ostéoblastes métastatiques, cellules tumorales prostatiques). Cette stratégie permet une irradiation ciblée, épargnant les tissus sains adjacents, contrairement à la radiothérapie externe qui irradie l'ensemble du volume cible.</w:t>
      </w:r>
    </w:p>
    <w:p>
      <w:r>
        <w:t xml:space="preserve">Le chapitre 244 traite une DCI unique, le </w:t>
      </w:r>
      <w:r>
        <w:rPr>
          <w:b/>
        </w:rPr>
        <w:t>dichlorure de radium-223</w:t>
      </w:r>
      <w:r>
        <w:t xml:space="preserve"> (commercialisé sous le nom de Xofigo par Bayer Pharma AG), qui constitue le premier représentant de la classe des </w:t>
      </w:r>
      <w:r>
        <w:rPr>
          <w:b/>
        </w:rPr>
        <w:t>émetteurs alpha thérapeutiques</w:t>
      </w:r>
      <w:r>
        <w:t xml:space="preserve"> commercialisé en Algérie. Cette molécule, approuvée par la FDA (américaine) en mai 2013 et par l'EMA (européenne) en novembre 2013, représente une révolution conceptuelle dans l'approche thérapeutique des métastases osseuses du cancer de prostate : au lieu d'irradier l'ensemble du squelette par un émetteur bêta historique (strontium-89 Chloromédrone, samarium-153 Quadramet), le radium-223, mimétique du calcium, se dépose électivement au contact des lésions ostéoblastiques métastatiques et délivre une irradiation alpha de très courte portée (moins de 100 micromètres, soit moins de 10 diamètres cellulaires) mais à haut transfert linéique d'énergie (LET ~80 keV/µm), induisant des cassures double-brin de l'ADN tumoral létales pour les cellules ostéoblastiques métastatiques, avec une toxicité hématologique et digestive maîtrisée.</w:t>
      </w:r>
    </w:p>
    <w:p>
      <w:r>
        <w:t xml:space="preserve">L'enseignement de la médecine nucléaire thérapeutique à l'étudiant en pharmacie algérien doit intégrer quatre dimensions complémentaires. </w:t>
      </w:r>
      <w:r>
        <w:rPr>
          <w:b/>
        </w:rPr>
        <w:t>Physique nucléaire</w:t>
      </w:r>
      <w:r>
        <w:t xml:space="preserve"> : la connaissance des caractéristiques du radio-isotope (type de rayonnement émis : alpha, bêta, gamma ; demi-vie physique ; énergie émise ; parcours tissulaire). Le radium-223 est un émetteur alpha (demi-vie 11,4 jours, énergie 5,0-7,5 MeV, parcours tissulaire &lt; 100 µm, LET ~80 keV/µm) qui présente un rapport efficacité/toxicité très favorable par rapport aux émetteurs bêta historiques (strontium-89, samarium-153) dont le parcours tissulaire est de plusieurs millimètres et le LET beaucoup plus faible (~0,2 keV/µm). </w:t>
      </w:r>
      <w:r>
        <w:rPr>
          <w:b/>
        </w:rPr>
        <w:t>Pharmacologie</w:t>
      </w:r>
      <w:r>
        <w:t xml:space="preserve"> : le mimétisme chimique du radium-223 avec le calcium (tous deux sont des cations divalents alcalino-terreux) lui permet de se déposer électivement au contact des zones de remodelage osseux accru que constituent les métastases ostéoblastiques du cancer de prostate. L'irradiation alpha à haut LET induit des cassures double-brin de l'ADN, létales pour les cellules ostéoblastiques métastatiques. </w:t>
      </w:r>
      <w:r>
        <w:rPr>
          <w:b/>
        </w:rPr>
        <w:t>Clinique</w:t>
      </w:r>
      <w:r>
        <w:t xml:space="preserve"> : l'indication stricte du radium-223 (cancer de prostate métastatique osseux symptomatique SANS métastases viscérales, en progression après docétaxel ou chez le patient nouveau castration-résistant), la posologie (55 kBq/kg IV toutes les 4 semaines, 6 injections), les effets indésirables (myélosuppression, diarrhée, nausées) et les contre-indications absolues (chimiothérapie concomitante). </w:t>
      </w:r>
      <w:r>
        <w:rPr>
          <w:b/>
        </w:rPr>
        <w:t>Radioprotection</w:t>
      </w:r>
      <w:r>
        <w:t xml:space="preserve"> : les règles de manipulation par personnel autorisé en service de médecine nucléaire agréé, l'isolement relatif du patient, l'élimination biologique par urines et selles, et les conseils aux patients et à l'entourage.</w:t>
      </w:r>
    </w:p>
    <w:p>
      <w:r>
        <w:t>Le contexte algérien de la médecine nucléaire thérapeutique est en pleine structuration, avec la disponibilité depuis 2023 du dichlorure de radium-223 (Xofigo, Bayer Pharma AG) pour le traitement palliatif du cancer de prostate métastatique osseux symptomatique résistant à la castration. Le service de médecine nucléaire du Centre Pierre et Marie Curie (CPMC) d'Alger constitue le principal centre algérien de prescription et d'administration, complété par quelques services hospitalo-universitaires (CHU Oran, CHU Constantine). L'accès à cette thérapeutique reste limité par le coût élevé du traitement (estimé à plusieurs centaines de milliers de dinars algériens pour la cure complète de 6 injections) et par la nécessité d'une infrastructure spécialisée (service de médecine nucléaire agréé, personnel formé à la radioprotection, salle d'injection blindée, système d'élimination des excreta). Le pharmacien d'officine algérien a un rôle limité dans la dispensation directe du radium-223 (qui est réalisée exclusivement en service de médecine nucléaire hospitalier), mais doit néanmoins connaître les principes pharmacologiques, cliniques et radioprotectionnels pour pouvoir conseiller les patients traités, surveiller les effets indésirables (en particulier hématologiques) et coordonner la prise en charge pharmaceutique globale (anticancéreux, antalgiques, traitements de support).</w:t>
      </w:r>
    </w:p>
    <w:p>
      <w:pPr>
        <w:pStyle w:val="Heading2"/>
      </w:pPr>
      <w:r>
        <w:t>244.1 Liste des catégories thérapeutiques (classification ATC OMS)</w:t>
      </w:r>
    </w:p>
    <w:p>
      <w:r>
        <w:t xml:space="preserve">Le dichlorure de radium-223 est classé dans la classification ATC de l'OMS sous le code </w:t>
      </w:r>
      <w:r>
        <w:rPr>
          <w:b/>
        </w:rPr>
        <w:t>V10XX03</w:t>
      </w:r>
      <w:r>
        <w:t>, qui se décompose comme suit :</w:t>
      </w:r>
    </w:p>
    <w:p>
      <w:pPr>
        <w:pStyle w:val="ListBullet"/>
      </w:pPr>
      <w:r/>
      <w:r>
        <w:rPr>
          <w:b/>
        </w:rPr>
        <w:t>V</w:t>
      </w:r>
      <w:r>
        <w:t xml:space="preserve"> : Divers (niveau anatomique principal — catégorie réservée aux médicaments radiopharmaceutiques)</w:t>
      </w:r>
    </w:p>
    <w:p>
      <w:pPr>
        <w:pStyle w:val="ListBullet"/>
      </w:pPr>
      <w:r/>
      <w:r>
        <w:rPr>
          <w:b/>
        </w:rPr>
        <w:t>V10</w:t>
      </w:r>
      <w:r>
        <w:t xml:space="preserve"> : Agents thérapeutiques radioactifs (niveau thérapeutique principal)</w:t>
      </w:r>
    </w:p>
    <w:p>
      <w:pPr>
        <w:pStyle w:val="ListBullet"/>
      </w:pPr>
      <w:r/>
      <w:r>
        <w:rPr>
          <w:b/>
        </w:rPr>
        <w:t>V10X</w:t>
      </w:r>
      <w:r>
        <w:t xml:space="preserve"> : Autres agents thérapeutiques radioactifs (niveau pharmacologique)</w:t>
      </w:r>
    </w:p>
    <w:p>
      <w:pPr>
        <w:pStyle w:val="ListBullet"/>
      </w:pPr>
      <w:r/>
      <w:r>
        <w:rPr>
          <w:b/>
        </w:rPr>
        <w:t>V10XX</w:t>
      </w:r>
      <w:r>
        <w:t xml:space="preserve"> : Tous les autres produits thérapeutiques radioactifs (niveau sous-classe)</w:t>
      </w:r>
    </w:p>
    <w:p>
      <w:pPr>
        <w:pStyle w:val="ListBullet"/>
      </w:pPr>
      <w:r/>
      <w:r>
        <w:rPr>
          <w:b/>
        </w:rPr>
        <w:t>V10XX03</w:t>
      </w:r>
      <w:r>
        <w:t xml:space="preserve"> : Chlorure de radium-223 (223Ra) (niveau substance)</w:t>
      </w:r>
    </w:p>
    <w:p>
      <w:r>
        <w:t>Cette classification ATC reflète le statut particulier du dichlorure de radium-223 comme médicament radiopharmaceutique thérapeutique, à distinguer des médicaments radiopharmaceutiques diagnostiques (Tc-99m pour la scintigraphie, F-18 FDG pour la TEP, I-123 et I-131 pour la scintigraphie thyroïdienne diagnostique). La catégorie V (Divers) de l'ATC est réservée aux médicaments qui ne rentrent pas dans les catégories anatomiques classiques (A à S), en raison de leur nature particulière (contrastes radiologiques, radio-isotopes, agents diagnostiques divers, solutions de perfusion, dispositifs médicaux).</w:t>
      </w:r>
    </w:p>
    <w:p>
      <w:r>
        <w:t xml:space="preserve">Le statut réglementaire algérien du dichlorure de radium-223 est </w:t>
      </w:r>
      <w:r>
        <w:rPr>
          <w:b/>
        </w:rPr>
        <w:t>Liste I</w:t>
      </w:r>
      <w:r>
        <w:t xml:space="preserve"> des substances vénéneuses, ce qui impose une prescription hospitalière stricte réservée aux médecins spécialistes en médecine nucléaire ou en oncologie médicale, en service de médecine nucléaire agréé par l'Autorité de Sûreté Nucléaire et de Radioprotection (ASN Algérie) et le Ministère de la Santé. La dispensation est exclusivement hospitalière, assurée par la pharmacie à usage intérieur (PUI) du centre de médecine nucléaire, et n'est pas réalisée en pharmacie d'officine. Le médicament est inscrit sur la liste des médicaments onéreux remboursés à 100 % par la sécurité sociale algérienne (CNAS) dans l'indication validée par l'AMM (cancer de prostate métastatique osseux symptomatique résistant à la castration, sans métastases viscérales), sur présentation d'un protocole thérapeutique validé par le médecin nucléaire et le médecin oncologue.</w:t>
      </w:r>
    </w:p>
    <w:p>
      <w:r>
        <w:t>La prescription et l'administration du radium-223 sont également soumises à la réglementation algérienne sur la radioprotection (décret exécutif n° 2005-77 du 27 février 2005 relatif à la protection contre les rayonnements ionisants), qui impose : la justification de l'exposition aux rayonnements ionisants (analyse bénéfice/risque pour le patient) ; l'optimisation de l'exposition (principe ALARA - As Low As Reasonably Achievable) ; la limitation des doses individuelles (doses équivalentes et efficaces) ; la surveillance dosimétrique du patient, du personnel et de l'entourage ; la traçabilité des sources radioactives (registre des sources, registre des injections, registre des déchets) ; la formation à la sécurité radiologique du personnel manipulant.</w:t>
      </w:r>
    </w:p>
    <w:p>
      <w:pPr>
        <w:pStyle w:val="Heading2"/>
      </w:pPr>
      <w:r>
        <w:t>244.2 Médicaments disponibles en Algérie</w:t>
      </w:r>
    </w:p>
    <w:p>
      <w:r>
        <w:t>Le tableau ci-dessous recense l'ensemble des spécialités pharmaceutiques de dichlorure de radium-223 disponibles ou ayant été disponibles sur le marché algérien, à la date de la nomenclature Avril 2026.</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XOFIGO</w:t>
            </w:r>
          </w:p>
        </w:tc>
        <w:tc>
          <w:tcPr>
            <w:tcW w:type="dxa" w:w="1385"/>
          </w:tcPr>
          <w:p>
            <w:r>
              <w:rPr>
                <w:rFonts w:ascii="Times New Roman" w:hAnsi="Times New Roman"/>
                <w:sz w:val="20"/>
              </w:rPr>
              <w:t>BAYER PHARMA AG</w:t>
            </w:r>
          </w:p>
        </w:tc>
        <w:tc>
          <w:tcPr>
            <w:tcW w:type="dxa" w:w="1385"/>
          </w:tcPr>
          <w:p>
            <w:r>
              <w:rPr>
                <w:rFonts w:ascii="Times New Roman" w:hAnsi="Times New Roman"/>
                <w:sz w:val="20"/>
              </w:rPr>
              <w:t>Solution injectable IV, 1100 kBq/mL (6,6 MBq/flacon de 6 mL)</w:t>
            </w:r>
          </w:p>
        </w:tc>
        <w:tc>
          <w:tcPr>
            <w:tcW w:type="dxa" w:w="1385"/>
          </w:tcPr>
          <w:p>
            <w:r>
              <w:rPr>
                <w:rFonts w:ascii="Times New Roman" w:hAnsi="Times New Roman"/>
                <w:sz w:val="20"/>
              </w:rPr>
              <w:t>Boîte de 1 flacon de 6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Remarques sur la disponibilité</w:t>
      </w:r>
      <w:r>
        <w:t xml:space="preserve"> : Xofigo (Bayer Pharma AG, Berlin, Allemagne) est l'unique spécialité commerciale de dichlorure de radium-223 disponible en Algérie. Aucune autre spécialité générique ou concurrente n'est recensée dans la nomenclature algérienne Avril 2026. Le laboratoire Bayer Pharma AG assure la production et la commercialisation de cette spécialité depuis son approbation par l'EMA en novembre 2013 (autorisation centrale européenne valable dans tous les États membres de l'EEE). L'arrivée du radium-223 sur le marché algérien date de 2023, après négociation du prix et de l'inscription sur la liste des médicaments remboursés par la CNAS.</w:t>
      </w:r>
    </w:p>
    <w:p>
      <w:r>
        <w:t>Le conditionnement de 1 flacon de 6 mL correspond à une dose unitaire de 6,6 MBq (mégabecquerels), suffisante pour un patient de poids moyen (60-80 kg) à la posologie standard de 55 kBq/kg (kilobecquerels par kilogramme de poids corporel). Pour les patients de poids supérieur à 120 kg, plusieurs flacons peuvent être nécessaires pour atteindre la dose requise. La solution injectable est livrée en flacon de verre borosilicaté de 6 mL, conditionné dans un emballage blindé en plomb (de ~20 mm d'épaisseur) qui assure la radioprotection du personnel de transport et de manipulation. Le flacon doit être manipulé avec des gants et une pince longue, derrière un écran de plomb ou de tungstène, dans une hotte ventilée calibrée pour la manipulation des radio-isotopes.</w:t>
      </w:r>
    </w:p>
    <w:p>
      <w:r/>
      <w:r>
        <w:rPr>
          <w:b/>
        </w:rPr>
        <w:t>Statut commercial</w:t>
      </w:r>
      <w:r>
        <w:t xml:space="preserve"> : la spécialité est </w:t>
      </w:r>
      <w:r>
        <w:rPr>
          <w:b/>
        </w:rPr>
        <w:t>active</w:t>
      </w:r>
      <w:r>
        <w:t xml:space="preserve"> (commercialisée et disponible en pharmacie hospitalière algérienne). Le circuit d'approvisionnement est exclusivement hospitalier : la commande est passée par la pharmacie à usage intérieur (PUI) du centre de médecine nucléaire agréé directement auprès du laboratoire Bayer Pharma AG ou de son distributeur algérien agréé. Le transport du radium-223 depuis le lieu de production (Bayer Pharma AG, Berlin) vers le centre de médecine nucléaire algérien est soumis à la réglementation internationale sur le transport des marchandises dangereuses de classe 7 (matières radioactives), avec un emballage de type A ou B selon l'activité transportée.</w:t>
      </w:r>
    </w:p>
    <w:p>
      <w:r/>
      <w:r>
        <w:rPr>
          <w:b/>
        </w:rPr>
        <w:t>Cadre réglementaire de prescription</w:t>
      </w:r>
      <w:r>
        <w:t xml:space="preserve"> : la prescription est réservée aux médecins spécialistes en médecine nucléaire (titulaires du Diplôme d'Études Spécialisées - DES de médecine nucléaire) ou en oncologie médicale, exerçant en service de médecine nucléaire agréé par l'Autorité de Sûreté Nucléaire algérienne. La décision thérapeutique est prise en réunion de concertation pluridisciplinaire (RCP) oncologique incluant au minimum un médecin nucléaire, un oncologue médical, un urologue et un radiothérapeute. Le protocole thérapeutique est validé par le médecin nucléaire responsable du service et tracé dans le dossier médical du patient. L'administration est réalisée par un manipulateur en radiologie ou en médecine nucléaire (titulaire du Diplôme de Technicien Supérieur - DTS en manipulation en radiologie ou médecine nucléaire) sous la responsabilité du médecin nucléaire. La traçabilité de chaque injection (date, heure, dose administrée en MBq, opérateur, numéro de lot, état du patient) est enregistrée dans un registre permanent conservé pendant 30 ans.</w:t>
      </w:r>
    </w:p>
    <w:p>
      <w:pPr>
        <w:pStyle w:val="Heading2"/>
      </w:pPr>
      <w:r>
        <w:t>244.3 Sous-classe et mécanisme d'action moléculaire</w:t>
      </w:r>
    </w:p>
    <w:p>
      <w:pPr>
        <w:pStyle w:val="Heading3"/>
      </w:pPr>
      <w:r>
        <w:t>244.3.1 Caractéristiques physiques du radium-223</w:t>
      </w:r>
    </w:p>
    <w:p>
      <w:r>
        <w:t>Le radium-223 (223Ra) est un radio-isotope émetteur alpha de la famille des éléments alcalino-terreux, dont les caractéristiques physiques en font un candidat idéal pour la radiothérapie ciblée des métastases osseuses. Le 223Ra est produit par générateur à partir de l'actinium-227 (227Ac), lui-même produit par irradiation neutronique du radium-226 dans un réacteur nucléaire. La désintégration du 227Ac en 227Th (thorium-227) puis en 223Ra produit le radio-isotope thérapeutique avec une demi-vie de 11,4 jours.</w:t>
      </w:r>
    </w:p>
    <w:p>
      <w:r/>
      <w:r>
        <w:rPr>
          <w:b/>
        </w:rPr>
        <w:t>Caractéristiques physiques principales du radium-223</w:t>
      </w:r>
      <w:r>
        <w:t xml:space="preserve"> :</w:t>
      </w:r>
    </w:p>
    <w:p>
      <w:pPr>
        <w:pStyle w:val="ListBullet"/>
      </w:pPr>
      <w:r/>
      <w:r>
        <w:rPr>
          <w:b/>
        </w:rPr>
        <w:t>Mode de désintégration</w:t>
      </w:r>
      <w:r>
        <w:t xml:space="preserve"> : désintégration alpha (α) en radon-219 (219Rn), avec émission de 4 particules alpha au cours de la chaîne de désintégration complète (223Ra → 219Rn → 215Po → 211Pb → 211Bi → 207Tl → 207Pb stable).</w:t>
      </w:r>
    </w:p>
    <w:p>
      <w:pPr>
        <w:pStyle w:val="ListBullet"/>
      </w:pPr>
      <w:r/>
      <w:r>
        <w:rPr>
          <w:b/>
        </w:rPr>
        <w:t>Demi-vie physique</w:t>
      </w:r>
      <w:r>
        <w:t xml:space="preserve"> : 11,4 jours. Cette demi-vie permet une irradiation prolongée du tissu cible (effet thérapeutique cumulé) tout en limitant la durée de radioprotection du patient et de l'entourage.</w:t>
      </w:r>
    </w:p>
    <w:p>
      <w:pPr>
        <w:pStyle w:val="ListBullet"/>
      </w:pPr>
      <w:r/>
      <w:r>
        <w:rPr>
          <w:b/>
        </w:rPr>
        <w:t>Énergie émise</w:t>
      </w:r>
      <w:r>
        <w:t xml:space="preserve"> : 5,0 à 7,5 MeV par désintégration alpha. Cette énergie est considérablement supérieure à celle des émetteurs bêta (strontium-89 : 0,5-1,5 MeV ; samarium-153 : 0,7-0,8 MeV) et permet une irradiation cytotoxique à faible dose.</w:t>
      </w:r>
    </w:p>
    <w:p>
      <w:pPr>
        <w:pStyle w:val="ListBullet"/>
      </w:pPr>
      <w:r/>
      <w:r>
        <w:rPr>
          <w:b/>
        </w:rPr>
        <w:t>Parcours tissulaire</w:t>
      </w:r>
      <w:r>
        <w:t xml:space="preserve"> : moins de 100 micromètres (soit moins de 10 diamètres cellulaires). Ce parcours très court permet une irradiation extrêmement ciblée des cellules tumorales au contact du dépôt osseux, épargnant les tissus sains adjacents (moelle osseuse hématopoïétique, muqueuse digestive) qui sont à l'origine de la toxicité des émetteurs bêta.</w:t>
      </w:r>
    </w:p>
    <w:p>
      <w:pPr>
        <w:pStyle w:val="ListBullet"/>
      </w:pPr>
      <w:r/>
      <w:r>
        <w:rPr>
          <w:b/>
        </w:rPr>
        <w:t>Transfert linéique d'énergie (LET)</w:t>
      </w:r>
      <w:r>
        <w:t xml:space="preserve"> : environ 80 keV/µm. Ce LET très élevé (400 fois supérieur à celui des émetteurs bêta, LET ~0,2 keV/µm) permet une irradiation dense le long de la trajectoire de la particule alpha, induisant des cassures double-brin de l'ADN tumorale difficilement réparables par les cellules.</w:t>
      </w:r>
    </w:p>
    <w:p>
      <w:pPr>
        <w:pStyle w:val="ListBullet"/>
      </w:pPr>
      <w:r/>
      <w:r>
        <w:rPr>
          <w:b/>
        </w:rPr>
        <w:t>Rayonnement gamma associé</w:t>
      </w:r>
      <w:r>
        <w:t xml:space="preserve"> : faible (0,01 % des désintégrations), ce qui permet une imagerie post-thérapeutique de contrôle par scintigraphie osseuse (gamma-caméra) mais minimise l'exposition externe de l'entourage.</w:t>
      </w:r>
    </w:p>
    <w:p>
      <w:pPr>
        <w:pStyle w:val="Heading3"/>
      </w:pPr>
      <w:r>
        <w:t>244.3.2 Mimétisme calcium et dépôt osseux métastatique</w:t>
      </w:r>
    </w:p>
    <w:p>
      <w:r>
        <w:t>Le radium-223, comme tous les éléments alcalino-terreux (calcium, strontium, baryum, radium), présente un mimétisme chimique avec le calcium (Ca2+), cation divalent qui constitue le minéral principal de l'os (hydroxyapatite Ca10(PO4)6(OH)2). Après injection intraveineuse, le 223Ra se comporte comme un analogue du calcium et se dépose électivement au niveau des zones de remodelage osseux accru, en particulier les métastases ostéoblastiques du cancer de prostate.</w:t>
      </w:r>
    </w:p>
    <w:p>
      <w:r>
        <w:t>Les métastases osseuses du cancer de prostate sont à prédominance ostéblasto-thèque (ostéo-condensantes), caractérisées par une activation ostéoblastique réactionnelle à la présence de cellules tumorales prostatiques dans la moelle osseuse. Cette activation ostéoblastique se traduit par une augmentation locale de la formation osseuse (minéralisation de l'ostéoïde) et donc par une captation accrue de calcium (et de 223Ra) au niveau des lésions métastatiques. À l'inverse, les métastases ostéolytiques (cancer du sein, myélome multiple, cancer du rein) sont caractérisées par une activation ostéoclastique et une résorption osseuse, et captent moins le 223Ra. Cette particularité explique l'indication stricte du radium-223 dans le cancer de prostate (ostéoblastique) et son inefficacité dans les cancers du sein, du rein ou le myélome (ostéolytiques).</w:t>
      </w:r>
    </w:p>
    <w:p>
      <w:r>
        <w:t>Le dépôt osseux du 223Ra se fait principalement au niveau de la surface trabéculaire osseuse, à proximité immédiate des cellules tumorales prostatiques infiltrantes et des ostéoblastes activés. La demi-vie effective au niveau osseux (combinant la demi-vie physique du 223Ra et la demi-vie biologique de résorption osseuse) est de l'ordre de 7 à 10 jours, permettant une irradiation prolongée du tissu cible sur plusieurs demi-vies physiques (soit environ 30 à 50 jours d'irradiation effective).</w:t>
      </w:r>
    </w:p>
    <w:p>
      <w:pPr>
        <w:pStyle w:val="Heading3"/>
      </w:pPr>
      <w:r>
        <w:t>244.3.3 Mécanisme cytotoxique : cassures double-brin de l'ADN</w:t>
      </w:r>
    </w:p>
    <w:p>
      <w:r>
        <w:t>L'irradiation alpha à haut LET induit des lésions de l'ADN tumorale de type cassures double-brin (CDB), lésions létales pour les cellules si elles ne sont pas réparées correctement. Les cassures double-brin se distinguent des cassures simple-brin (CSB) par leur mécanisme de réparation complexe (recombinaison homologue HR ou jonction d'extrémités non homologues NHEJ), souvent erronée, conduisant à des aberrations chromosomiques létales pour la cellule lors de la mitose.</w:t>
      </w:r>
    </w:p>
    <w:p>
      <w:r>
        <w:t>Le rapport CDB/CSB est de l'ordre de 1/10 pour les rayonnements à faible LET (photons X, gamma, électrons bêta), et de 1/4 pour les rayonnements à haut LET (particules alpha, ions lourds). Cette surreprésentation des CDB dans les lésions induites par les alpha explique leur efficacité cytotoxique supérieure par unité de dose (efficacité biologique relative - EBR - de l'ordre de 3 à 5 par rapport aux photons) et leur indépendance vis-à-vis de l'oxygénation tissulaire (les lésions alpha sont peu influencées par la présence ou l'absence d'oxygène, à la différence des lésions photoniques qui sont potentialisées par l'oxygène).</w:t>
      </w:r>
    </w:p>
    <w:p>
      <w:pPr>
        <w:pStyle w:val="Heading3"/>
      </w:pPr>
      <w:r>
        <w:t>244.3.4 Pharmacocinétique</w:t>
      </w:r>
    </w:p>
    <w:p>
      <w:r>
        <w:t>Le dichlorure de radium-223 est administré par voie intraveineuse lente (1 à 2 minutes) au moyen d'une perfusion courte ou d'un bolus, dans une veine périphérique de l'avant-bras. La pharmacocinétique du 223Ra est caractérisée par :</w:t>
      </w:r>
    </w:p>
    <w:p>
      <w:pPr>
        <w:pStyle w:val="ListBullet"/>
      </w:pPr>
      <w:r/>
      <w:r>
        <w:rPr>
          <w:b/>
        </w:rPr>
        <w:t>Distribution</w:t>
      </w:r>
      <w:r>
        <w:t xml:space="preserve"> : après injection IV, le 223Ra quitte rapidement la circulation sanguine (clairance sanguine efficace en 4 heures, avec moins de 5 % de la dose restante à 24 heures). Le 223Ra se distribue électivement au tissu osseux (60 à 90 % de la dose administrée à 24 heures), avec une captation prédominante au niveau des métastases ostéoblastiques (rapport de captation métastase/os normal ~3 à 5). Une faible fraction se distribue au tissu hépatique (~5 %), splénique (~2 %) et rénal (~2 %).</w:t>
      </w:r>
    </w:p>
    <w:p>
      <w:pPr>
        <w:pStyle w:val="ListBullet"/>
      </w:pPr>
      <w:r/>
      <w:r>
        <w:rPr>
          <w:b/>
        </w:rPr>
        <w:t>Métabolisme</w:t>
      </w:r>
      <w:r>
        <w:t xml:space="preserve"> : le 223Ra ne subit pas de métabolisme significatif, il se désintègre en ses fils (radon-219, plomb-211, etc.) qui se redistribuent selon leurs propres propriétés chimiques.</w:t>
      </w:r>
    </w:p>
    <w:p>
      <w:pPr>
        <w:pStyle w:val="ListBullet"/>
      </w:pPr>
      <w:r/>
      <w:r>
        <w:rPr>
          <w:b/>
        </w:rPr>
        <w:t>Élimination</w:t>
      </w:r>
      <w:r>
        <w:t xml:space="preserve"> : l'élimination du 223Ra non fixé à l'os se fait principalement par voie intestinale (selles ~50 à 80 % de la dose administrée en 7 jours) et accessoirement par voie urinaire (~5 % de la dose administrée en 7 jours). La clairance rénale est faible en raison de la captation osseuse prédominante.</w:t>
      </w:r>
    </w:p>
    <w:p>
      <w:pPr>
        <w:pStyle w:val="ListBullet"/>
      </w:pPr>
      <w:r/>
      <w:r>
        <w:rPr>
          <w:b/>
        </w:rPr>
        <w:t>Demi-vie effective</w:t>
      </w:r>
      <w:r>
        <w:t xml:space="preserve"> : la demi-vie effective au niveau osseux est de 7 à 10 jours (combinaison de la demi-vie physique de 11,4 jours et de la demi-vie biologique de résorption osseuse).</w:t>
      </w:r>
    </w:p>
    <w:p>
      <w:pPr>
        <w:pStyle w:val="ListBullet"/>
      </w:pPr>
      <w:r/>
      <w:r>
        <w:rPr>
          <w:b/>
        </w:rPr>
        <w:t>État d'équilibre</w:t>
      </w:r>
      <w:r>
        <w:t xml:space="preserve"> : non applicable, en raison de l'administration unique par injection (chaque injection est suivie d'une décroissance radioactive exponentielle).</w:t>
      </w:r>
    </w:p>
    <w:p>
      <w:pPr>
        <w:pStyle w:val="ListBullet"/>
      </w:pPr>
      <w:r/>
      <w:r>
        <w:rPr>
          <w:b/>
        </w:rPr>
        <w:t>Effet de l'insuffisance rénale ou hépatique</w:t>
      </w:r>
      <w:r>
        <w:t xml:space="preserve"> : aucune adaptation posologique n'est nécessaire en cas d'insuffisance rénale modérée (clairance créatinine 30-60 mL/min) ou d'insuffisance hépatique modérée, en raison de l'élimination prédominante par voie intestinale et de la captation osseuse prédominante.</w:t>
      </w:r>
    </w:p>
    <w:p>
      <w:pPr>
        <w:pStyle w:val="Heading3"/>
      </w:pPr>
      <w:r>
        <w:t>244.3.5 Étude pivot ALSYMPCA</w:t>
      </w:r>
    </w:p>
    <w:p>
      <w:r>
        <w:t xml:space="preserve">L'étude pivot ALSYMPCA (Alpharadin in Symptomatic Prostate Cancer Patients, Parker et al., </w:t>
      </w:r>
      <w:r>
        <w:rPr>
          <w:i/>
        </w:rPr>
        <w:t>New England Journal of Medicine</w:t>
      </w:r>
      <w:r>
        <w:t xml:space="preserve"> 2013) est un essai clinique de phase III randomisé en double aveugle contre placebo, ayant inclus 921 patients atteints de cancer de prostate castration-résistant métastatique osseux symptomatique, sans métastases viscérales, ayant reçu 0 à 2 lignes de chimiothérapie préalente (dont 57 % avaient reçu du docétaxel). Les patients ont été randomisés entre le dichlorure de radium-223 (55 kBq/kg IV toutes les 4 semaines × 6 injections, n = 614) et le placebo (n = 307).</w:t>
      </w:r>
    </w:p>
    <w:p>
      <w:r/>
      <w:r>
        <w:rPr>
          <w:b/>
        </w:rPr>
        <w:t>Résultats principaux</w:t>
      </w:r>
      <w:r>
        <w:t xml:space="preserve"> :</w:t>
      </w:r>
    </w:p>
    <w:p>
      <w:pPr>
        <w:pStyle w:val="ListBullet"/>
      </w:pPr>
      <w:r/>
      <w:r>
        <w:rPr>
          <w:b/>
        </w:rPr>
        <w:t>Survie globale</w:t>
      </w:r>
      <w:r>
        <w:t xml:space="preserve"> : médiane de survie globale de 14,9 mois dans le groupe radium-223 contre 11,3 mois dans le groupe placebo, soit un bénéfice absolu de 3,6 mois (HR = 0,70 ; IC 95 % 0,58-0,83 ; p &lt; 0,001). Cette amélioration de la survie globale, démontrée pour la première fois avec un émetteur alpha thérapeutique, a constitué le critère principal d'approbation par la FDA (mai 2013) et l'EMA (novembre 2013).</w:t>
      </w:r>
    </w:p>
    <w:p>
      <w:pPr>
        <w:pStyle w:val="ListBullet"/>
      </w:pPr>
      <w:r/>
      <w:r>
        <w:rPr>
          <w:b/>
        </w:rPr>
        <w:t>Survie sans progression osseuse</w:t>
      </w:r>
      <w:r>
        <w:t xml:space="preserve"> : médiane de 15,6 mois contre 9,8 mois (HR = 0,66 ; p &lt; 0,001).</w:t>
      </w:r>
    </w:p>
    <w:p>
      <w:pPr>
        <w:pStyle w:val="ListBullet"/>
      </w:pPr>
      <w:r/>
      <w:r>
        <w:rPr>
          <w:b/>
        </w:rPr>
        <w:t>Délai avant premier événement osseux symptomatique</w:t>
      </w:r>
      <w:r>
        <w:t xml:space="preserve"> (fracture pathologique, compression médullaire, irradiation osseuse, chirurgie osseuse) : médiane de 15,6 mois contre 9,8 mois (HR = 0,66 ; p &lt; 0,001).</w:t>
      </w:r>
    </w:p>
    <w:p>
      <w:pPr>
        <w:pStyle w:val="ListBullet"/>
      </w:pPr>
      <w:r/>
      <w:r>
        <w:rPr>
          <w:b/>
        </w:rPr>
        <w:t>Qualité de vie</w:t>
      </w:r>
      <w:r>
        <w:t xml:space="preserve"> : amélioration significative des scores EORTC QLQ-C30 et du questionnaire de douleur osseuse BPI-SF (Brief Pain Inventory Short Form) à 12 semaines.</w:t>
      </w:r>
    </w:p>
    <w:p>
      <w:pPr>
        <w:pStyle w:val="ListBullet"/>
      </w:pPr>
      <w:r/>
      <w:r>
        <w:rPr>
          <w:b/>
        </w:rPr>
        <w:t>Tolérance</w:t>
      </w:r>
      <w:r>
        <w:t xml:space="preserve"> : profil de tolérance favorable, avec une incidence d'effets indésirables hématologiques de grade 3-4 (thrombopénie 6 %, neutropénie 2 %, anémie 13 %) comparable au placebo. Les effets indésirables non hématologiques les plus fréquents étaient : nausées (35 %), diarrhée (25 %), vomissements (18 %), fatigue (22 %).</w:t>
      </w:r>
    </w:p>
    <w:p>
      <w:r>
        <w:t>Les résultats de l'étude ALSYMPCA ont établi le dichlorure de radium-223 comme un traitement de référence du cancer de prostate métastatique osseux symptomatique résistant à la castration, sans métastases viscérales. L'indication a été élargie en 2016 aux patients nouveaux (non prétraités par chimiothérapie), en raison de l'efficacité démontrée dans le sous-groupe des patients naifs de chimiothérapie (n = 393, HR = 0,70 ; p = 0,003).</w:t>
      </w:r>
    </w:p>
    <w:p>
      <w:pPr>
        <w:pStyle w:val="Heading2"/>
      </w:pPr>
      <w:r>
        <w:t>244.4 Profil pharmacologique — indications, contre-indications, effets indésirables</w:t>
      </w:r>
    </w:p>
    <w:p>
      <w:pPr>
        <w:pStyle w:val="Heading3"/>
      </w:pPr>
      <w:r>
        <w:t>244.4.1 Indications thérapeutiques validées (AMM européenne)</w:t>
      </w:r>
    </w:p>
    <w:p>
      <w:r>
        <w:t xml:space="preserve">L'indication validée par l'AMM européenne (EMA) pour le dichlorure de radium-223 (Xofigo) est : </w:t>
      </w:r>
      <w:r>
        <w:rPr>
          <w:b/>
        </w:rPr>
        <w:t>traitement des patients adultes atteints de cancer de prostate métastatique osseux symptomatique résistant à la castration (mCRPC - metastatic castration-resistant prostate cancer), sans métastases viscérales détectables</w:t>
      </w:r>
      <w:r>
        <w:t>.</w:t>
      </w:r>
    </w:p>
    <w:p>
      <w:r/>
      <w:r>
        <w:rPr>
          <w:b/>
        </w:rPr>
        <w:t>Critères d'éligibilité</w:t>
      </w:r>
      <w:r>
        <w:t xml:space="preserve"> :</w:t>
      </w:r>
    </w:p>
    <w:p>
      <w:pPr>
        <w:pStyle w:val="ListNumber"/>
      </w:pPr>
      <w:r/>
      <w:r>
        <w:rPr>
          <w:b/>
        </w:rPr>
        <w:t>Cancer de prostate confirmé histologiquement</w:t>
      </w:r>
      <w:r>
        <w:t xml:space="preserve"> : adénocarcinome prostatique confirmé par biopsie prostatique.</w:t>
      </w:r>
    </w:p>
    <w:p>
      <w:pPr>
        <w:pStyle w:val="ListNumber"/>
      </w:pPr>
      <w:r/>
      <w:r>
        <w:rPr>
          <w:b/>
        </w:rPr>
        <w:t>Résistance à la castration</w:t>
      </w:r>
      <w:r>
        <w:t xml:space="preserve"> : taux de testostérone sérique castration ≤ 1,7 nmol/L (50 ng/dL), après orchidectomie bilatérale ou après traitement par agoniste ou antagoniste de la GnRH (leuproréline, goséréline, dégarélix, triptoréline).</w:t>
      </w:r>
    </w:p>
    <w:p>
      <w:pPr>
        <w:pStyle w:val="ListNumber"/>
      </w:pPr>
      <w:r/>
      <w:r>
        <w:rPr>
          <w:b/>
        </w:rPr>
        <w:t>Métastases osseuses confirmées</w:t>
      </w:r>
      <w:r>
        <w:t xml:space="preserve"> : présence de métastases osseuses détectées par scintigraphie osseuse au Tc-99m HDP ou TEP-F18 NaF, ostéoblastiques ou mixtes (ostéoblastiques et ostéolytiques).</w:t>
      </w:r>
    </w:p>
    <w:p>
      <w:pPr>
        <w:pStyle w:val="ListNumber"/>
      </w:pPr>
      <w:r/>
      <w:r>
        <w:rPr>
          <w:b/>
        </w:rPr>
        <w:t>Symptomatologie osseuse</w:t>
      </w:r>
      <w:r>
        <w:t xml:space="preserve"> : présence de symptômes osseux (douleurs osseuses, fractures pathologiques, compression médullaire) justifiant un traitement palliatif. Les patients asymptomatiques ne sont pas éligibles, sauf en cas de menace osseuse (métastases multiples à haut risque fracturaire).</w:t>
      </w:r>
    </w:p>
    <w:p>
      <w:pPr>
        <w:pStyle w:val="ListNumber"/>
      </w:pPr>
      <w:r/>
      <w:r>
        <w:rPr>
          <w:b/>
        </w:rPr>
        <w:t>Absence de métastases viscérales</w:t>
      </w:r>
      <w:r>
        <w:t xml:space="preserve"> : absence de métastases hépatiques, pulmonaires, cérébrales, ganglionnaires sus-diaphragmatiques décelées par scanner thoraco-abdomino-pelvien et IRM cérébrale. Les métastases ganglionnaires sous-diaphragmatiques (&lt; 3 cm) ne sont pas une contre-indication.</w:t>
      </w:r>
    </w:p>
    <w:p>
      <w:pPr>
        <w:pStyle w:val="ListNumber"/>
      </w:pPr>
      <w:r/>
      <w:r>
        <w:rPr>
          <w:b/>
        </w:rPr>
        <w:t>État général satisfaisant</w:t>
      </w:r>
      <w:r>
        <w:t xml:space="preserve"> : indice de performance OMS (PS - Performance Status) ≤ 2, espérance de vie estimée ≥ 6 mois.</w:t>
      </w:r>
    </w:p>
    <w:p>
      <w:pPr>
        <w:pStyle w:val="ListNumber"/>
      </w:pPr>
      <w:r/>
      <w:r>
        <w:rPr>
          <w:b/>
        </w:rPr>
        <w:t>Bilan biologique suffisant</w:t>
      </w:r>
      <w:r>
        <w:t xml:space="preserve"> : numération formule sanguine (NFS) compatible (polynucléaires neutrophiles ≥ 1,5 × 10⁹/L, plaquettes ≥ 100 × 10⁹/L, hémoglobine ≥ 10 g/dL), fonction rénale conservée (clairance créatinine ≥ 30 mL/min), fonction hépatique conservée (transaminases ≤ 3 × LSN).</w:t>
      </w:r>
    </w:p>
    <w:p>
      <w:pPr>
        <w:pStyle w:val="Heading3"/>
      </w:pPr>
      <w:r>
        <w:t>244.4.2 Contre-indications</w:t>
      </w:r>
    </w:p>
    <w:p>
      <w:r>
        <w:t>Les contre-indications du dichlorure de radium-223 sont essentiellement liées à la toxicité hématologique et à l'interaction avec la chimiothérapie concomitante. Les principales contre-indications sont :</w:t>
      </w:r>
    </w:p>
    <w:p>
      <w:pPr>
        <w:pStyle w:val="ListBullet"/>
      </w:pPr>
      <w:r/>
      <w:r>
        <w:rPr>
          <w:b/>
        </w:rPr>
        <w:t>Hypersensibilité au radium-223 ou à l'un des excipients</w:t>
      </w:r>
      <w:r>
        <w:t xml:space="preserve"> (chlorure de sodium, acide chlorhydrique, hydroxyde de sodium, eau pour préparations injectables) : rare mais documentée, se manifestant par réactions cutanées (rash, prurit, urticaire), réactions respiratoires (bronchospasme) ou réactions anaphylactoïdes.</w:t>
      </w:r>
    </w:p>
    <w:p>
      <w:pPr>
        <w:pStyle w:val="ListBullet"/>
      </w:pPr>
      <w:r/>
      <w:r>
        <w:rPr>
          <w:b/>
        </w:rPr>
        <w:t>Chimiothérapie concomitante</w:t>
      </w:r>
      <w:r>
        <w:t xml:space="preserve"> : contre-indication absolue (cf. section 244.6 sur les interactions), en raison du risque de myélosuppression sévère pouvant être létale. La chimiothérapie (docétaxel, cabazitaxel, mitoxantrone) doit être arrêtée au moins 4 semaines avant l'initiation du radium-223 et ne doit pas être reprise pendant le traitement par radium-223 ni dans les 4 semaines suivant la dernière injection.</w:t>
      </w:r>
    </w:p>
    <w:p>
      <w:pPr>
        <w:pStyle w:val="ListBullet"/>
      </w:pPr>
      <w:r/>
      <w:r>
        <w:rPr>
          <w:b/>
        </w:rPr>
        <w:t>Insuffisance médullaire sévère</w:t>
      </w:r>
      <w:r>
        <w:t xml:space="preserve"> : NFS pré-thérapeutique inadéquate (polynucléaires neutrophiles &lt; 1,5 × 10⁹/L, plaquettes &lt; 100 × 10⁹/L, hémoglobine &lt; 10 g/dL non corrigée par transfusion).</w:t>
      </w:r>
    </w:p>
    <w:p>
      <w:pPr>
        <w:pStyle w:val="ListBullet"/>
      </w:pPr>
      <w:r/>
      <w:r>
        <w:rPr>
          <w:b/>
        </w:rPr>
        <w:t>Métastases viscérales décelables</w:t>
      </w:r>
      <w:r>
        <w:t xml:space="preserve"> : métastases hépatiques, pulmonaires, cérébrales, ganglionnaires sus-diaphragmatiques détectées par imagerie.</w:t>
      </w:r>
    </w:p>
    <w:p>
      <w:pPr>
        <w:pStyle w:val="ListBullet"/>
      </w:pPr>
      <w:r/>
      <w:r>
        <w:rPr>
          <w:b/>
        </w:rPr>
        <w:t>Femme enceinte ou allaitante</w:t>
      </w:r>
      <w:r>
        <w:t xml:space="preserve"> : contre-indication absolue en raison de l'irradiation fœtale (cf. section 244.7 sur la grossesse).</w:t>
      </w:r>
    </w:p>
    <w:p>
      <w:pPr>
        <w:pStyle w:val="ListBullet"/>
      </w:pPr>
      <w:r/>
      <w:r>
        <w:rPr>
          <w:b/>
        </w:rPr>
        <w:t>Insuffisance rénale sévère</w:t>
      </w:r>
      <w:r>
        <w:t xml:space="preserve"> (clairance créatinine &lt; 30 mL/min) : par mesure de précaution, en raison du risque d'accumulation.</w:t>
      </w:r>
    </w:p>
    <w:p>
      <w:pPr>
        <w:pStyle w:val="ListBullet"/>
      </w:pPr>
      <w:r/>
      <w:r>
        <w:rPr>
          <w:b/>
        </w:rPr>
        <w:t>Fracture pathologique récente ou compression médullaire non stabilisée</w:t>
      </w:r>
      <w:r>
        <w:t xml:space="preserve"> : contre-indication temporaire jusqu'à stabilisation orthopédique ou neurochirurgicale.</w:t>
      </w:r>
    </w:p>
    <w:p>
      <w:pPr>
        <w:pStyle w:val="Heading3"/>
      </w:pPr>
      <w:r>
        <w:t>244.4.3 Effets indésirables</w:t>
      </w:r>
    </w:p>
    <w:p>
      <w:r>
        <w:t>Le profil d'effets indésirables du dichlorure de radium-223 est dominé par la myélosuppression et les effets gastro-intestinaux. Les effets indésirables rapportés dans l'étude ALSYMPCA et la pharmacovigilance post-AMM sont :</w:t>
      </w:r>
    </w:p>
    <w:p>
      <w:pPr>
        <w:pStyle w:val="Heading4"/>
      </w:pPr>
      <w:r>
        <w:t>244.4.3.1 Effets indésirables hématologiques (les plus graves)</w:t>
      </w:r>
    </w:p>
    <w:p>
      <w:pPr>
        <w:pStyle w:val="ListBullet"/>
      </w:pPr>
      <w:r/>
      <w:r>
        <w:rPr>
          <w:b/>
        </w:rPr>
        <w:t>Anémie</w:t>
      </w:r>
      <w:r>
        <w:t xml:space="preserve"> (13 % grade 3-4, 33 % tous grades) : en raison de l'irradiation de la moelle osseuse hématopoïétique par le 223Ra déposé au niveau trabéculaire. L'anémie est généralement modérée (Hb 9-11 g/dL) et se manifeste par asthénie, pâleur, dyspnée d'effort. La surveillance NFS toutes les semaines pendant le traitement est recommandée.</w:t>
      </w:r>
    </w:p>
    <w:p>
      <w:pPr>
        <w:pStyle w:val="ListBullet"/>
      </w:pPr>
      <w:r/>
      <w:r>
        <w:rPr>
          <w:b/>
        </w:rPr>
        <w:t>Thrombopénie</w:t>
      </w:r>
      <w:r>
        <w:t xml:space="preserve"> (6 % grade 3-4, 12 % tous grades) : en raison de l'irradiation des mégacaryocytes. La thrombopénie est généralement modérée (plaquettes 50-100 × 10⁹/L) mais peut être sévère (&lt; 50 × 10⁹/L) en cas de réserve médullaire préalablement altérée (chimiothérapie antérieure, radiothérapie osseuse étendue, infiltration médullaire tumorale). Le risque hémorragique est augmenté en cas de thrombopénie &lt; 50 × 10⁹/L.</w:t>
      </w:r>
    </w:p>
    <w:p>
      <w:pPr>
        <w:pStyle w:val="ListBullet"/>
      </w:pPr>
      <w:r/>
      <w:r>
        <w:rPr>
          <w:b/>
        </w:rPr>
        <w:t>Neutropénie</w:t>
      </w:r>
      <w:r>
        <w:t xml:space="preserve"> (2 % grade 3-4, 5 % tous grades) : en raison de l'irradiation des cellules souches granuleuses. La neutropénie est généralement modérée (PNN 1-1,5 × 10⁹/L) mais expose au risque infectieux, en particulier en cas de corticothérapie associée ou d'antécédent d'infection récente.</w:t>
      </w:r>
    </w:p>
    <w:p>
      <w:pPr>
        <w:pStyle w:val="ListBullet"/>
      </w:pPr>
      <w:r/>
      <w:r>
        <w:rPr>
          <w:b/>
        </w:rPr>
        <w:t>Pancytopénie</w:t>
      </w:r>
      <w:r>
        <w:t xml:space="preserve"> (rare, &lt; 1 %) : en cas d'insuffisance médullaire sévère, nécessitant l'arrêt définitif du radium-223 et la prise en charge hématologique spécialisée (transfusion de culots globulaires, plaquettaires, facteurs de croissance hématopoïétique G-CSF filgrastim, EPO).</w:t>
      </w:r>
    </w:p>
    <w:p>
      <w:pPr>
        <w:pStyle w:val="Heading4"/>
      </w:pPr>
      <w:r>
        <w:t>244.4.3.2 Effets indésirables gastro-intestinaux</w:t>
      </w:r>
    </w:p>
    <w:p>
      <w:pPr>
        <w:pStyle w:val="ListBullet"/>
      </w:pPr>
      <w:r/>
      <w:r>
        <w:rPr>
          <w:b/>
        </w:rPr>
        <w:t>Nausées</w:t>
      </w:r>
      <w:r>
        <w:t xml:space="preserve"> (35 % tous grades, 1 % grade 3-4) : en raison de l'élimination digestive du 223Ra non fixé à l'os et de l'irradiation de la muqueuse digestive. Les nausées sont généralement modérées et répondent aux antiémétiques (métopimazine, ondansétron).</w:t>
      </w:r>
    </w:p>
    <w:p>
      <w:pPr>
        <w:pStyle w:val="ListBullet"/>
      </w:pPr>
      <w:r/>
      <w:r>
        <w:rPr>
          <w:b/>
        </w:rPr>
        <w:t>Diarrhée</w:t>
      </w:r>
      <w:r>
        <w:t xml:space="preserve"> (25 % tous grades, 2 % grade 3-4) : en raison de l'irradiation de la muqueuse colique. La diarrhée est généralement modérée et répond aux antidiarrhéiques (lopéramide).</w:t>
      </w:r>
    </w:p>
    <w:p>
      <w:pPr>
        <w:pStyle w:val="ListBullet"/>
      </w:pPr>
      <w:r/>
      <w:r>
        <w:rPr>
          <w:b/>
        </w:rPr>
        <w:t>Vomissements</w:t>
      </w:r>
      <w:r>
        <w:t xml:space="preserve"> (18 % tous grades, 1 % grade 3-4) : en raison de l'irradiation de la muqueuse digestive. Les vomissements répondent aux antiémétiques.</w:t>
      </w:r>
    </w:p>
    <w:p>
      <w:pPr>
        <w:pStyle w:val="ListBullet"/>
      </w:pPr>
      <w:r/>
      <w:r>
        <w:rPr>
          <w:b/>
        </w:rPr>
        <w:t>Douleurs abdominales</w:t>
      </w:r>
      <w:r>
        <w:t xml:space="preserve"> (10 % tous grades) : en raison de l'irradiation de la muqueuse digestive.</w:t>
      </w:r>
    </w:p>
    <w:p>
      <w:pPr>
        <w:pStyle w:val="Heading4"/>
      </w:pPr>
      <w:r>
        <w:t>244.4.3.3 Effets indésirables généraux</w:t>
      </w:r>
    </w:p>
    <w:p>
      <w:pPr>
        <w:pStyle w:val="ListBullet"/>
      </w:pPr>
      <w:r/>
      <w:r>
        <w:rPr>
          <w:b/>
        </w:rPr>
        <w:t>Fatigue, asthénie</w:t>
      </w:r>
      <w:r>
        <w:t xml:space="preserve"> (22 % tous grades, 1 % grade 3-4) : en raison de l'anémie, de la pathologie cancéreuse sous-jacente et de l'irradiation médullaire.</w:t>
      </w:r>
    </w:p>
    <w:p>
      <w:pPr>
        <w:pStyle w:val="ListBullet"/>
      </w:pPr>
      <w:r/>
      <w:r>
        <w:rPr>
          <w:b/>
        </w:rPr>
        <w:t>Syndrome de réaction aiguë (rare, &lt; 1 %)</w:t>
      </w:r>
      <w:r>
        <w:t xml:space="preserve"> : fièvre, frissons, flush, hypotension transitoire dans les heures suivant l'injection, en raison d'une réaction d'hypersensibilité à l'injection.</w:t>
      </w:r>
    </w:p>
    <w:p>
      <w:pPr>
        <w:pStyle w:val="Heading4"/>
      </w:pPr>
      <w:r>
        <w:t>244.4.3.4 Effets indésirables rénaux et hépatiques</w:t>
      </w:r>
    </w:p>
    <w:p>
      <w:pPr>
        <w:pStyle w:val="ListBullet"/>
      </w:pPr>
      <w:r/>
      <w:r>
        <w:rPr>
          <w:b/>
        </w:rPr>
        <w:t>Élévation transitoire des transaminases</w:t>
      </w:r>
      <w:r>
        <w:t xml:space="preserve"> (5 % tous grades) : en raison de l'irradiation hépatique par le 223Ra non fixé à l'os.</w:t>
      </w:r>
    </w:p>
    <w:p>
      <w:pPr>
        <w:pStyle w:val="ListBullet"/>
      </w:pPr>
      <w:r/>
      <w:r>
        <w:rPr>
          <w:b/>
        </w:rPr>
        <w:t>Élévation transitoire de la créatinine</w:t>
      </w:r>
      <w:r>
        <w:t xml:space="preserve"> (3 % tous grades) : en raison de l'élimination urinaire accessoire du 223Ra.</w:t>
      </w:r>
    </w:p>
    <w:p>
      <w:pPr>
        <w:pStyle w:val="Heading4"/>
      </w:pPr>
      <w:r>
        <w:t>244.4.3.5 Effets indésirables aux sites d'injection</w:t>
      </w:r>
    </w:p>
    <w:p>
      <w:pPr>
        <w:pStyle w:val="ListBullet"/>
      </w:pPr>
      <w:r/>
      <w:r>
        <w:rPr>
          <w:b/>
        </w:rPr>
        <w:t>Réaction locale au site d'injection</w:t>
      </w:r>
      <w:r>
        <w:t xml:space="preserve"> (1 % tous grades) : douleur, érythème, induration, en raison de l'extravasation possible du 223Ra.</w:t>
      </w:r>
    </w:p>
    <w:p>
      <w:pPr>
        <w:pStyle w:val="Heading4"/>
      </w:pPr>
      <w:r>
        <w:t>244.4.3.6 Effets indésirables tardifs (cancers secondaires)</w:t>
      </w:r>
    </w:p>
    <w:p>
      <w:pPr>
        <w:pStyle w:val="ListBullet"/>
      </w:pPr>
      <w:r/>
      <w:r>
        <w:rPr>
          <w:b/>
        </w:rPr>
        <w:t>Syndrome myélodysplasique (SMD) et leucémie aiguë myéloïde (LAM)</w:t>
      </w:r>
      <w:r>
        <w:t xml:space="preserve"> : risque à long terme non quantifié, théorique en raison de l'irradiation médullaire chronique. Le registre de pharmacovigilance international du radium-223 a identifié un excès de SMD/LAM par rapport à la population générale, mais le rapport bénéfice/risque reste favorable compte tenu de l'espérance de vie limitée des patients traités (14,9 mois en médiane).</w:t>
      </w:r>
    </w:p>
    <w:p>
      <w:pPr>
        <w:pStyle w:val="ListBullet"/>
      </w:pPr>
      <w:r/>
      <w:r>
        <w:rPr>
          <w:b/>
        </w:rPr>
        <w:t>Cancers osseux secondaires (ostéosarcome)</w:t>
      </w:r>
      <w:r>
        <w:t xml:space="preserve"> : risque théorique à très long terme, en raison de l'irradiation osseuse chronique, non documenté à ce jour.</w:t>
      </w:r>
    </w:p>
    <w:p>
      <w:pPr>
        <w:pStyle w:val="Heading2"/>
      </w:pPr>
      <w:r>
        <w:t>244.5 Prévention et gestion des effets indésirables</w:t>
      </w:r>
    </w:p>
    <w:p>
      <w:r>
        <w:t>La prévention et la gestion des effets indésirables du dichlorure de radium-223 reposent sur une stratégie structurée en quatre volets : la sélection du patient, la surveillance hématologique, la gestion des effets gastro-intestinaux et la coordination pluridisciplinaire.</w:t>
      </w:r>
    </w:p>
    <w:p>
      <w:pPr>
        <w:pStyle w:val="Heading3"/>
      </w:pPr>
      <w:r>
        <w:t>244.5.1 Sélection du patient et bilan pré-thérapeutique</w:t>
      </w:r>
    </w:p>
    <w:p>
      <w:r>
        <w:t>La sélection du patient repose sur un bilan complet pré-thérapeutique incluant : confirmation histologique du cancer de prostate ; confirmation de la résistance à la castration (testostérone sérique ≤ 1,7 nmol/L) ; imagerie corporelle complète (scintigraphie osseuse au Tc-99m, scanner thoraco-abdomino-pelvien, IRM cérébrale) pour confirmer l'absence de métastases viscérales ; NFS complète avec réticulocytes, bilan hépatique (ASAT, ALAT, GGT, PAL, bilirubine), fonction rénale (créatinine, clairance) ; évaluation de l'état général (indice de performance OMS) et de l'espérance de vie estimée ; évaluation de la douleur osseuse (échelle visuelle analogique EVA, questionnaire BPI-SF). Le patient doit être informé du bénéfice attendu (amélioration de la survie globale de 3,6 mois, réduction des événements osseux) et des risques (myélosuppression, effets gastro-intestinaux, radioprotection), et doit signer un consentement éclairé.</w:t>
      </w:r>
    </w:p>
    <w:p>
      <w:pPr>
        <w:pStyle w:val="Heading3"/>
      </w:pPr>
      <w:r>
        <w:t>244.5.2 Surveillance hématologique</w:t>
      </w:r>
    </w:p>
    <w:p>
      <w:r>
        <w:t>La surveillance hématologique est la pierre angulaire de la prévention de la myélosuppression. Le protocole de surveillance recommandé par l'EANM (European Association of Nuclear Medicine) et l'EMA comprend :</w:t>
      </w:r>
    </w:p>
    <w:p>
      <w:pPr>
        <w:pStyle w:val="ListBullet"/>
      </w:pPr>
      <w:r/>
      <w:r>
        <w:rPr>
          <w:b/>
        </w:rPr>
        <w:t>NFS pré-thérapeutique</w:t>
      </w:r>
      <w:r>
        <w:t xml:space="preserve"> (avant chaque injection) : PNN ≥ 1,5 × 10⁹/L, plaquettes ≥ 100 × 10⁹/L, hémoglobine ≥ 10 g/dL (ou transfusée à ce niveau).</w:t>
      </w:r>
    </w:p>
    <w:p>
      <w:pPr>
        <w:pStyle w:val="ListBullet"/>
      </w:pPr>
      <w:r/>
      <w:r>
        <w:rPr>
          <w:b/>
        </w:rPr>
        <w:t>NFS hebdomadaire pendant le traitement</w:t>
      </w:r>
      <w:r>
        <w:t xml:space="preserve"> (pendant les 6 injections et les 4 semaines suivant la dernière injection) : pour détecter précocement une myélosuppression.</w:t>
      </w:r>
    </w:p>
    <w:p>
      <w:pPr>
        <w:pStyle w:val="ListBullet"/>
      </w:pPr>
      <w:r/>
      <w:r>
        <w:rPr>
          <w:b/>
        </w:rPr>
        <w:t>Critères de report d'injection</w:t>
      </w:r>
      <w:r>
        <w:t xml:space="preserve"> : si avant une injection prévue, la NFS montre PNN &lt; 1,5 × 10⁹/L ou plaquettes &lt; 100 × 10⁹/L ou hémoglobine &lt; 10 g/dL non corrigée par transfusion, l'injection doit être reportée de 1 à 2 semaines jusqu'à récupération hématologique. Si la récupération n'est pas obtenue à 4 semaines, l'injection doit être annulée.</w:t>
      </w:r>
    </w:p>
    <w:p>
      <w:pPr>
        <w:pStyle w:val="ListBullet"/>
      </w:pPr>
      <w:r/>
      <w:r>
        <w:rPr>
          <w:b/>
        </w:rPr>
        <w:t>Critères d'arrêt définitif</w:t>
      </w:r>
      <w:r>
        <w:t xml:space="preserve"> : si PNN &lt; 1 × 10⁹/L pendant plus de 7 jours, ou plaquettes &lt; 25 × 10⁹/L, ou hémoglobine &lt; 8 g/dL non corrigée par transfusion, ou en cas de pancytopénie sévère.</w:t>
      </w:r>
    </w:p>
    <w:p>
      <w:pPr>
        <w:pStyle w:val="Heading3"/>
      </w:pPr>
      <w:r>
        <w:t>244.5.3 Gestion des effets gastro-intestinaux</w:t>
      </w:r>
    </w:p>
    <w:p>
      <w:r>
        <w:t>La gestion des effets gastro-intestinaux repose sur la prescription prophylactique d'antiémétiques (métopimazine 30 mg per os 30 minutes avant l'injection, à renouveler si nécessaire) et d'antidiarrhéiques (lopéramide 2 mg après chaque selle liquide, sans dépasser 16 mg/jour). En cas de diarrhée sévère (≥ 6 selles liquides/jour), la consultation médicale urgente est recommandée pour évaluer le risque de déshydratation et discuter l'arrêt temporaire du traitement.</w:t>
      </w:r>
    </w:p>
    <w:p>
      <w:pPr>
        <w:pStyle w:val="Heading3"/>
      </w:pPr>
      <w:r>
        <w:t>244.5.4 Coordination pluridisciplinaire</w:t>
      </w:r>
    </w:p>
    <w:p>
      <w:r>
        <w:t>La coordination pluridisciplinaire est essentielle pour optimiser la prise en charge du patient sous radium-223. La réunion de concertation pluridisciplinaire (RCP) oncologique doit inclure un médecin nucléaire, un oncologue médical, un urologue, un radiothérapeute et un algologue. La coordination avec le médecin traitant et le pharmacien d'officine est essentielle pour la surveillance des effets indésirables à distance (myélosuppression retardée, infections), la gestion des antalgiques (palier OMS adapté à la douleur osseuse) et la coordination avec les autres traitements ( hormonothérapie androgénique maintenue, anticoagulants éventuels, transfusions).</w:t>
      </w:r>
    </w:p>
    <w:p>
      <w:pPr>
        <w:pStyle w:val="Heading2"/>
      </w:pPr>
      <w:r>
        <w:t>244.6 Interactions médicamenteuses</w:t>
      </w:r>
    </w:p>
    <w:p>
      <w:r>
        <w:t>Les interactions médicamenteuses du dichlorure de radium-223 sont principalement liées à la toxicité hématologique additiive avec la chimiothérapie concomitante, et à l'interaction pharmacocinétique avec les chélateurs de calcium. Les principales interactions sont classées selon l'ANSM en contre-indications absolues, associations déconseillées et précautions d'emploi.</w:t>
      </w:r>
    </w:p>
    <w:p>
      <w:pPr>
        <w:pStyle w:val="Heading3"/>
      </w:pPr>
      <w:r>
        <w:t>244.6.1 Contre-indications absolues (ne pas associer)</w:t>
      </w:r>
    </w:p>
    <w:p>
      <w:pPr>
        <w:pStyle w:val="ListBullet"/>
      </w:pPr>
      <w:r/>
      <w:r>
        <w:rPr>
          <w:b/>
        </w:rPr>
        <w:t>Chimiothérapie cytotoxique concomitante</w:t>
      </w:r>
      <w:r>
        <w:t xml:space="preserve"> (docétaxel, cabazitaxel, mitoxantrone, doxorubicine, étoposide, cyclophosphamide, vincristine, vinorelbine, paclitaxel, pemetrexed, gemcitabine, carboplatine, cisplatine, oxaliplatine, irinotécan, 5-fluorouracile) : contre-indication absolue en raison du risque de myélosuppression additive ou synergique pouvant être létale. L'étude ERA 223 (Hoskin et al., *Lancet Oncology* 2019) a démontré que l'association radium-223 + abiratérone augmentait significativement le risque de fractures pathologiques (29 % vs 11 %) et de décès (HR 1,34), ce qui a conduit l'EMA à contre-indiquer l'association radium-223 + abiratérone et à étendre la contre-indication à toute chimiothérapie concomitante.</w:t>
      </w:r>
    </w:p>
    <w:p>
      <w:pPr>
        <w:pStyle w:val="ListBullet"/>
      </w:pPr>
      <w:r/>
      <w:r>
        <w:rPr>
          <w:b/>
        </w:rPr>
        <w:t>Abiratérone</w:t>
      </w:r>
      <w:r>
        <w:t xml:space="preserve"> (Zytiga, inhibiteur de la CYP17) : contre-indication absolue en raison du risque accru de fractures pathologiques et de décès (étude ERA 223).</w:t>
      </w:r>
    </w:p>
    <w:p>
      <w:pPr>
        <w:pStyle w:val="ListBullet"/>
      </w:pPr>
      <w:r/>
      <w:r>
        <w:rPr>
          <w:b/>
        </w:rPr>
        <w:t>Enzalutamide</w:t>
      </w:r>
      <w:r>
        <w:t xml:space="preserve"> (Xtandi, apalutamide, darolutamide - inhibiteurs des récepteurs androgéniques) : précaution d'emploi, en raison du risque théorique d'interaction (études en cours).</w:t>
      </w:r>
    </w:p>
    <w:p>
      <w:pPr>
        <w:pStyle w:val="ListBullet"/>
      </w:pPr>
      <w:r/>
      <w:r>
        <w:rPr>
          <w:b/>
        </w:rPr>
        <w:t>Femme enceinte ou allaitante</w:t>
      </w:r>
      <w:r>
        <w:t xml:space="preserve"> : contre-indication absolue en raison de l'irradiation fœtale.</w:t>
      </w:r>
    </w:p>
    <w:p>
      <w:pPr>
        <w:pStyle w:val="Heading3"/>
      </w:pPr>
      <w:r>
        <w:t>244.6.2 Associations déconseillées (à éviter)</w:t>
      </w:r>
    </w:p>
    <w:p>
      <w:pPr>
        <w:pStyle w:val="ListBullet"/>
      </w:pPr>
      <w:r/>
      <w:r>
        <w:rPr>
          <w:b/>
        </w:rPr>
        <w:t>Anticoagulants oraux (AVK, AOD) et antiagrégants plaquettaires</w:t>
      </w:r>
      <w:r>
        <w:t xml:space="preserve"> : en raison du risque hémorragique majoré en cas de thrombopénie induite par le radium-223. La surveillance de la NFS et de l'hémostase est indispensable en cas d'association inévitable, et la discussion d'un relais temporaire par héparine de bas poids moléculaire (HBPM) peut être envisagée.</w:t>
      </w:r>
    </w:p>
    <w:p>
      <w:pPr>
        <w:pStyle w:val="ListBullet"/>
      </w:pPr>
      <w:r/>
      <w:r>
        <w:rPr>
          <w:b/>
        </w:rPr>
        <w:t>AINS (ibuprofène, kétoprofène, diclofénac)</w:t>
      </w:r>
      <w:r>
        <w:t xml:space="preserve"> : en raison du risque hémorragique majoré (gastro-intestinal et rénal) en cas de thrombopénie associée.</w:t>
      </w:r>
    </w:p>
    <w:p>
      <w:pPr>
        <w:pStyle w:val="ListBullet"/>
      </w:pPr>
      <w:r/>
      <w:r>
        <w:rPr>
          <w:b/>
        </w:rPr>
        <w:t>Corticostéroïdes (prednisone, dexaméthasone)</w:t>
      </w:r>
      <w:r>
        <w:t xml:space="preserve"> : en raison du risque majoré d'infection en cas de neutropénie associée. La prudence est recommandée et la surveillance de la NFS est renforcée.</w:t>
      </w:r>
    </w:p>
    <w:p>
      <w:pPr>
        <w:pStyle w:val="ListBullet"/>
      </w:pPr>
      <w:r/>
      <w:r>
        <w:rPr>
          <w:b/>
        </w:rPr>
        <w:t>G-CSF (filgrastim, pegfilgrastim) et EPO (érythropoïétine, darbepoietin)</w:t>
      </w:r>
      <w:r>
        <w:t xml:space="preserve"> : précaution d'emploi, en raison du risque théorique de stimulation de la prolifération médullaire augmentant la sensibilité aux irradiations.</w:t>
      </w:r>
    </w:p>
    <w:p>
      <w:pPr>
        <w:pStyle w:val="Heading3"/>
      </w:pPr>
      <w:r>
        <w:t>244.6.3 Précautions d'emploi</w:t>
      </w:r>
    </w:p>
    <w:p>
      <w:pPr>
        <w:pStyle w:val="ListBullet"/>
      </w:pPr>
      <w:r/>
      <w:r>
        <w:rPr>
          <w:b/>
        </w:rPr>
        <w:t>Bisphosphonates (zolédronate, pamidronate) et dénosumab</w:t>
      </w:r>
      <w:r>
        <w:t xml:space="preserve"> : association possible et même recommandée pour la prévention des événements osseux (fractures pathologiques, compression médullaire), en raison de leur effet anti-ostéoclastique complémentaire. L'administration séquentielle (radium-223 à J1, bisphosphonate ou dénosumab à J15) est recommandée.</w:t>
      </w:r>
    </w:p>
    <w:p>
      <w:pPr>
        <w:pStyle w:val="ListBullet"/>
      </w:pPr>
      <w:r/>
      <w:r>
        <w:rPr>
          <w:b/>
        </w:rPr>
        <w:t>Antalgiques (palier I : paracétamol, aspirine ; palier II : codéine, tramadol ; palier III : morphine, oxycodone, fentanyl)</w:t>
      </w:r>
      <w:r>
        <w:t xml:space="preserve"> : association possible et recommandée pour la prise en charge de la douleur osseuse. La titration morphinique est recommandée en cas de douleur sévère, en respectant les règles de prescription des opioides (évaluation de la douleur, anticipation des effets indésirables, rotation opioidique si nécessaire).</w:t>
      </w:r>
    </w:p>
    <w:p>
      <w:pPr>
        <w:pStyle w:val="ListBullet"/>
      </w:pPr>
      <w:r/>
      <w:r>
        <w:rPr>
          <w:b/>
        </w:rPr>
        <w:t>Hormonothérapie androgénique suppressive</w:t>
      </w:r>
      <w:r>
        <w:t xml:space="preserve"> (agoniste GnRH : leuproréline, goséréline, triptoréline ; antagoniste GnRH : dégarélix) : association obligatoire pour maintenir la castration chimique pendant le traitement par radium-223.</w:t>
      </w:r>
    </w:p>
    <w:p>
      <w:pPr>
        <w:pStyle w:val="ListBullet"/>
      </w:pPr>
      <w:r/>
      <w:r>
        <w:rPr>
          <w:b/>
        </w:rPr>
        <w:t>Calcium et vitamine D</w:t>
      </w:r>
      <w:r>
        <w:t xml:space="preserve"> : à éviter dans les 24 heures précédant l'injection de radium-223 (compétition au niveau de la captation osseuse), puis à reprendre pour la prévention de l'ostéoporose androgénoprive.</w:t>
      </w:r>
    </w:p>
    <w:p>
      <w:pPr>
        <w:pStyle w:val="ListBullet"/>
      </w:pPr>
      <w:r/>
      <w:r>
        <w:rPr>
          <w:b/>
        </w:rPr>
        <w:t>Chélateurs de calcium (EDTA, DTPA, déféroxamine)</w:t>
      </w:r>
      <w:r>
        <w:t xml:space="preserve"> : à éviter en raison du risque de chélation du 223Ra et de réduction de son efficacité thérapeutique.</w:t>
      </w:r>
    </w:p>
    <w:p>
      <w:pPr>
        <w:pStyle w:val="ListBullet"/>
      </w:pPr>
      <w:r/>
      <w:r>
        <w:rPr>
          <w:b/>
        </w:rPr>
        <w:t>Vaccins vivants atténués (BCG, rougeole-oreillons-rubéole, fièvre jaune, varicelle-zona)</w:t>
      </w:r>
      <w:r>
        <w:t xml:space="preserve"> : à éviter en raison du risque d'infection vaccinale généralisée en cas de neutropénie associée.</w:t>
      </w:r>
    </w:p>
    <w:p>
      <w:pPr>
        <w:pStyle w:val="ListBullet"/>
      </w:pPr>
      <w:r/>
      <w:r>
        <w:rPr>
          <w:b/>
        </w:rPr>
        <w:t>Alcool</w:t>
      </w:r>
      <w:r>
        <w:t xml:space="preserve"> : à éviter en raison de la potentialisation des effets indésirables (nausées, vomissements, fatigue).</w:t>
      </w:r>
    </w:p>
    <w:p>
      <w:pPr>
        <w:pStyle w:val="Heading3"/>
      </w:pPr>
      <w:r>
        <w:t>244.6.4 Interactions avec les examens paracliniques</w:t>
      </w:r>
    </w:p>
    <w:p>
      <w:pPr>
        <w:pStyle w:val="ListBullet"/>
      </w:pPr>
      <w:r/>
      <w:r>
        <w:rPr>
          <w:b/>
        </w:rPr>
        <w:t>Scintigraphie osseuse au Tc-99m HDP</w:t>
      </w:r>
      <w:r>
        <w:t xml:space="preserve"> : à réaliser avant l'initiation du radium-223 pour confirmer le caractère ostéoblastique des métastases et planifier le traitement. Le Tc-99m ne doit pas être injecté dans les 24 heures précédant ou suivant l'injection de radium-223.</w:t>
      </w:r>
    </w:p>
    <w:p>
      <w:pPr>
        <w:pStyle w:val="ListBullet"/>
      </w:pPr>
      <w:r/>
      <w:r>
        <w:rPr>
          <w:b/>
        </w:rPr>
        <w:t>TEP-F18 NaF (fluorure de sodium)</w:t>
      </w:r>
      <w:r>
        <w:t xml:space="preserve"> : alternative à la scintigraphie osseuse au Tc-99m pour la détection des métastases osseuses.</w:t>
      </w:r>
    </w:p>
    <w:p>
      <w:pPr>
        <w:pStyle w:val="ListBullet"/>
      </w:pPr>
      <w:r/>
      <w:r>
        <w:rPr>
          <w:b/>
        </w:rPr>
        <w:t>Scanner thoraco-abdomino-pelvien et IRM cérébrale</w:t>
      </w:r>
      <w:r>
        <w:t xml:space="preserve"> : à réaliser avant l'initiation pour éliminer des métastases viscérales.</w:t>
      </w:r>
    </w:p>
    <w:p>
      <w:pPr>
        <w:pStyle w:val="Heading2"/>
      </w:pPr>
      <w:r>
        <w:t>244.7 Grossesse et allaitement (CRAT)</w:t>
      </w:r>
    </w:p>
    <w:p>
      <w:r>
        <w:t>Le dichlorure de radium-223 est contre-indiqué pendant la grossesse et l'allaitement. L'indication du radium-223 (cancer de prostate) ne concerne que l'homme, ce qui rend la grossesse exceptionnelle. Cependant, plusieurs points doivent être soulignés.</w:t>
      </w:r>
    </w:p>
    <w:p>
      <w:pPr>
        <w:pStyle w:val="Heading3"/>
      </w:pPr>
      <w:r>
        <w:t>244.7.1 Contre-indication absolue chez la femme enceinte</w:t>
      </w:r>
    </w:p>
    <w:p>
      <w:r>
        <w:t>Le dichlorure de radium-223 traverse le placenta et irradie le fœtus, en raison du mimétisme calcium qui permet son incorporation dans le squelette fœtal en développement. L'irradiation fœtale par les particules alpha à haut LET peut entraîner : mort fœtale in utero, malformations congénitales graves (en particulier du squelette), retard de croissance intra-utérin (RCIU), retard mental, cancers pédiatriques (leucémie, tumeurs solides) chez l'enfant irradié in utero. La dose fœtale estimée en cas d'administration à une femme enceinte est largement supérieure aux seuils de tératogénicité (50 mSv) et de carcinogénicité (10 mSv). Le CRAT et l'EMA recommandent formellement de ne jamais administrer de radium-223 à une femme enceinte.</w:t>
      </w:r>
    </w:p>
    <w:p>
      <w:pPr>
        <w:pStyle w:val="Heading3"/>
      </w:pPr>
      <w:r>
        <w:t>244.7.2 Contre-indication chez la femme allaitante</w:t>
      </w:r>
    </w:p>
    <w:p>
      <w:r>
        <w:t>Le dichlorure de radium-223 passe dans le lait maternel et irradie le nourrisson allaité. L'allaitement est contre-indiqué pendant le traitement par radium-223 et pendant les 4 semaines suivant la dernière injection (10 demi-vies physiques). En cas de traitement par radium-223 nécessaire chez une femme allaitante (situation exceptionnelle compte tenu de l'indication oncologique masculine), l'allaitement doit être interrompu définitivement.</w:t>
      </w:r>
    </w:p>
    <w:p>
      <w:pPr>
        <w:pStyle w:val="Heading3"/>
      </w:pPr>
      <w:r>
        <w:t>244.7.3 Risque pour le partenaire féminine du patient traité</w:t>
      </w:r>
    </w:p>
    <w:p>
      <w:r>
        <w:t>Le patient masculin traité par radium-223 peut présenter une irradiation résiduelle de ses gamètes (spermatozoïdes) pendant les 12 semaines suivant la dernière injection. La contraception (préservatif + contraception hormonale féminine) est recommandée pendant le traitement et pendant les 12 semaines suivant la dernière injection, en raison du risque théorique de mutation génétique des spermatozoïdes irradiés (lésions de l'ADN spermatozoïdaire par les particules alpha). La conservation de sperme pré-thérapeutique doit être proposée au patient jeune souhaitant une paternité future.</w:t>
      </w:r>
    </w:p>
    <w:p>
      <w:pPr>
        <w:pStyle w:val="Heading3"/>
      </w:pPr>
      <w:r>
        <w:t>244.7.4 Précautions de radioprotection pour l'entourage féminine enceinte</w:t>
      </w:r>
    </w:p>
    <w:p>
      <w:r>
        <w:t>Le patient masculin traité par radium-223 présente une irradiation externe résiduelle négligeable (le 223Ra est un émetteur alpha à faible rayonnement gamma associé) et peut rentrer en contact avec son entourage immédiatement après l'injection. Cependant, par mesure de précaution, l'AMA (Agence Methodist pour l'Asurance qualité) et l'ASN recommandent d'éviter le contact rapproché prolongé avec une femme enceinte pendant les 24 heures suivant l'injection (distance minimum de 1 mètre, durée de contact inférieure à 1 heure). Les excréta (urines, selles) du patient traité contiennent du 223Ra pendant 7 à 10 jours après l'injection et doivent être éliminés avec précaution (double chasse d'eau après chaque miction, lavage soigneux des mains).</w:t>
      </w:r>
    </w:p>
    <w:p>
      <w:pPr>
        <w:pStyle w:val="Heading2"/>
      </w:pPr>
      <w:r>
        <w:t>244.8 Posologie et mode d'administration</w:t>
      </w:r>
    </w:p>
    <w:p>
      <w:pPr>
        <w:pStyle w:val="Heading3"/>
      </w:pPr>
      <w:r>
        <w:t>244.8.1 Posologie adulte standard</w:t>
      </w:r>
    </w:p>
    <w:p>
      <w:r>
        <w:t xml:space="preserve">La posologie standard du dichlorure de radium-223 chez l'adulte est de </w:t>
      </w:r>
      <w:r>
        <w:rPr>
          <w:b/>
        </w:rPr>
        <w:t>55 kBq par kilogramme de poids corporel</w:t>
      </w:r>
      <w:r>
        <w:t>, administrée par voie intraveineuse lente toutes les 4 semaines, pendant 6 injections, soit une durée totale de traitement de 24 semaines (6 mois). Cette posologie a été validée par l'étude pivot ALSYMPCA (Parker et al., NEJM 2013) et est recommandée par l'EMA et l'FDA.</w:t>
      </w:r>
    </w:p>
    <w:p>
      <w:r/>
      <w:r>
        <w:rPr>
          <w:b/>
        </w:rPr>
        <w:t>Calcul de la dose individuelle</w:t>
      </w:r>
      <w:r>
        <w:t xml:space="preserve"> :</w:t>
      </w:r>
    </w:p>
    <w:p>
      <w:pPr>
        <w:pStyle w:val="ListBullet"/>
      </w:pPr>
      <w:r>
        <w:t>Poids du patient (kg) × 55 kBq/kg = dose totale à administrer (kBq)</w:t>
      </w:r>
    </w:p>
    <w:p>
      <w:pPr>
        <w:pStyle w:val="ListBullet"/>
      </w:pPr>
      <w:r>
        <w:t>Exemple : patient de 70 kg → 70 × 55 = 3850 kBq = 3,85 MBq par injection</w:t>
      </w:r>
    </w:p>
    <w:p>
      <w:pPr>
        <w:pStyle w:val="ListBullet"/>
      </w:pPr>
      <w:r>
        <w:t>Volume à injecter : dose totale (kBq) ÷ activité volumique au moment de l'injection (kBq/mL)</w:t>
      </w:r>
    </w:p>
    <w:p>
      <w:pPr>
        <w:pStyle w:val="ListBullet"/>
      </w:pPr>
      <w:r>
        <w:t>L'activité volumique du flacon de Xofigo est de 1100 kBq/mL à la date de calibration, et décroît avec une demi-vie de 11,4 jours. L'activité volumique au moment de l'injection doit être calculée à partir de la date de calibration et de l'heure d'injection, en utilisant la formule de décroissance radioactive : A(t) = A0 × e^(-0,693 × t / T1/2), où t est le temps écoulé depuis la calibration et T1/2 la demi-vie physique (11,4 jours).</w:t>
      </w:r>
    </w:p>
    <w:p>
      <w:pPr>
        <w:pStyle w:val="ListBullet"/>
      </w:pPr>
      <w:r>
        <w:t>La dose est ajustée à ± 5 % de la dose théorique (tolérance réglementaire) pour tenir compte des incertitudes de mesure de l'activité.</w:t>
      </w:r>
    </w:p>
    <w:p>
      <w:pPr>
        <w:pStyle w:val="Heading3"/>
      </w:pPr>
      <w:r>
        <w:t>244.8.2 Posologie chez le sujet âgé</w:t>
      </w:r>
    </w:p>
    <w:p>
      <w:r>
        <w:t>Aucune adaptation posologique n'est nécessaire chez le sujet âgé (&gt; 75 ans), en l'absence de modification pharmacocinétique significative liée à l'âge. Cependant, la sélection du patient âgé doit tenir compte de l'état général (indice de performance OMS ≤ 2), de l'espérance de vie estimée (≥ 6 mois), de la réserve médullaire (NFS pré-thérapeutique satisfaisante) et des comorbidités (insuffisance rénale, hépatique, cardiovasculaire).</w:t>
      </w:r>
    </w:p>
    <w:p>
      <w:pPr>
        <w:pStyle w:val="Heading3"/>
      </w:pPr>
      <w:r>
        <w:t>244.8.3 Posologie chez l'insuffisant rénal et hépatique</w:t>
      </w:r>
    </w:p>
    <w:p>
      <w:r>
        <w:t>Aucune adaptation posologique n'est nécessaire chez l'insuffisant rénal modéré (clairance créatinine 30-60 mL/min) ou sévère (clairance &lt; 30 mL/min), en raison de l'élimination prédominante par voie intestinale (&gt; 50 % de la dose administrée). Aucune adaptation posologique n'est nécessaire chez l'insuffisant hépatique modéré (Child-Pugh A), en l'absence d'études spécifiques chez l'insuffisant hépatique sévère (contre-indication relative par mesure de précaution).</w:t>
      </w:r>
    </w:p>
    <w:p>
      <w:pPr>
        <w:pStyle w:val="Heading3"/>
      </w:pPr>
      <w:r>
        <w:t>244.8.4 Mode d'administration</w:t>
      </w:r>
    </w:p>
    <w:p>
      <w:r>
        <w:t xml:space="preserve">Le dichlorure de radium-223 est administré par voie intraveineuse stricte (à ne jamais injecter par voie intra-artérielle, intramusculaire, sous-cutanée ou intrathécale) au moyen d'un cathéter périphérique de bon calibre (16 à 18 G) posé dans une veine de l'avant-bras. L'injection est réalisée en </w:t>
      </w:r>
      <w:r>
        <w:rPr>
          <w:b/>
        </w:rPr>
        <w:t>bolus lent</w:t>
      </w:r>
      <w:r>
        <w:t xml:space="preserve"> (1 à 2 minutes) ou en </w:t>
      </w:r>
      <w:r>
        <w:rPr>
          <w:b/>
        </w:rPr>
        <w:t>perfusion courte</w:t>
      </w:r>
      <w:r>
        <w:t xml:space="preserve"> (10 minutes dans 10 mL de NaCl 0,9 %), suivie d'un rinçage de la ligne par 10 à 20 mL de NaCl 0,9 %.</w:t>
      </w:r>
    </w:p>
    <w:p>
      <w:r>
        <w:t xml:space="preserve">L'injection doit être réalisée en </w:t>
      </w:r>
      <w:r>
        <w:rPr>
          <w:b/>
        </w:rPr>
        <w:t>service de médecine nucléaire agréé</w:t>
      </w:r>
      <w:r>
        <w:t xml:space="preserve"> par un manipulateur en médecine nucléaire formé à la radioprotection, sous la responsabilité d'un médecin nucléaire. L'injection doit être réalisée dans une </w:t>
      </w:r>
      <w:r>
        <w:rPr>
          <w:b/>
        </w:rPr>
        <w:t>salle d'injection blindée</w:t>
      </w:r>
      <w:r>
        <w:t xml:space="preserve"> (parois en plomb ou tungstène d'épaisseur suffisante), avec utilisation d'un </w:t>
      </w:r>
      <w:r>
        <w:rPr>
          <w:b/>
        </w:rPr>
        <w:t>écran de protection mobile</w:t>
      </w:r>
      <w:r>
        <w:t xml:space="preserve"> entre l'opérateur et le patient pendant l'injection, et utilisation de </w:t>
      </w:r>
      <w:r>
        <w:rPr>
          <w:b/>
        </w:rPr>
        <w:t>pinces longues</w:t>
      </w:r>
      <w:r>
        <w:t xml:space="preserve"> et de </w:t>
      </w:r>
      <w:r>
        <w:rPr>
          <w:b/>
        </w:rPr>
        <w:t>conteneurs blindés</w:t>
      </w:r>
      <w:r>
        <w:t xml:space="preserve"> pour la manipulation du flacon et de la seringue.</w:t>
      </w:r>
    </w:p>
    <w:p>
      <w:pPr>
        <w:pStyle w:val="Heading3"/>
      </w:pPr>
      <w:r>
        <w:t>244.8.5 Surveillance pendant et après l'injection</w:t>
      </w:r>
    </w:p>
    <w:p>
      <w:r>
        <w:t>Pendant l'injection, le patient doit être surveillé cliniquement (TA, FC, SpO2) pour détecter une réaction d'hypersensibilité aiguë (rare). Après l'injection, le patient peut retourner immédiatement à domicile, en raison de la faible irradiation externe résiduelle (le 223Ra est un émetteur alpha à faible rayonnement gamma). Cependant, des précautions d'hygiène doivent être respectées pendant les 7 à 10 jours suivant l'injection (double chasse d'eau après chaque miction, lavage soigneux des mains, séparation du linge souillé, évitement du contact rapproché avec femme enceinte ou enfant pendant 24 heures).</w:t>
      </w:r>
    </w:p>
    <w:p>
      <w:pPr>
        <w:pStyle w:val="Heading3"/>
      </w:pPr>
      <w:r>
        <w:t>244.8.6 Calendrier des injections</w:t>
      </w:r>
    </w:p>
    <w:p>
      <w:r>
        <w:t>Le protocole standard comprend 6 injections à 4 semaines d'intervalle (semaines 0, 4, 8, 12, 16, 20), soit une durée totale de 24 semaines (6 mois). En cas de report d'injection pour myélosuppression transitoire, l'intervalle entre les injections peut être prolongé à 6 ou 8 semaines, mais la durée totale du traitement ne doit pas dépasser 30 semaines (7 mois) en raison de la décroissance radioactive du radium-223 stocké. En cas d'arrêt définitif avant la 6ème injection (myélosuppression sévère, progression tumorale, décès), le nombre d'injections effectivement reçues doit être tracé dans le dossier médical.</w:t>
      </w:r>
    </w:p>
    <w:p>
      <w:pPr>
        <w:pStyle w:val="Heading3"/>
      </w:pPr>
      <w:r>
        <w:t>244.8.7 Suivi thérapeutique</w:t>
      </w:r>
    </w:p>
    <w:p>
      <w:r>
        <w:t>Le suivi thérapeutique comprend : une évaluation clinique mensuelle (avant chaque injection) avec mesure de la douleur osseuse (EVA, BPI-SF), de l'état général (indice de performance OMS), de la tolérance (NFS, créatinine, transaminases) ; une évaluation de la réponse tumorale par imagerie (scintigraphie osseuse de contrôle à 3 mois, scanner thoraco-abdomino-pelvien à 6 mois) ; un dosage du PSA sérique (qui n'est pas un marqueur fiable de réponse au radium-223, en raison de la dissociation entre la réponse osseuse et la réponse biochimique).</w:t>
      </w:r>
    </w:p>
    <w:p>
      <w:pPr>
        <w:pStyle w:val="Heading2"/>
      </w:pPr>
      <w:r>
        <w:t>244.9 Arbitrage et bénéfices des formes galéniques</w:t>
      </w:r>
    </w:p>
    <w:p>
      <w:r>
        <w:t>L'arbitrage des formes galéniques pour le dichlorure de radium-223 ne se pose pas en pratique clinique courante en Algérie, en raison de l'existence d'une seule spécialité commerciale (Xofigo) et d'une seule forme galénique (solution injectable IV en flacon de 6 mL). Il n'existe pas d'autre forme galénique (comprimé, gélule, suppositoire) pour cette classe médicamenteuse, en raison de la nature même du radio-isotope (émetteur alpha nécessitant une administration intraveineuse stricte).</w:t>
      </w:r>
    </w:p>
    <w:p>
      <w:r>
        <w:t>Cependant, l'arbitrage thérapeutique entre le radium-223 et les autres traitements du cancer de prostate métastatique osseux résistant à la castration (mCRPC) est une question clinique centrale. Les alternatives thérapeutiques disponibles en Algérie et à l'étranger comprennent :</w:t>
      </w:r>
    </w:p>
    <w:p>
      <w:pPr>
        <w:pStyle w:val="Heading3"/>
      </w:pPr>
      <w:r>
        <w:t>244.9.1 Comparaison avec la chimiothérapie (docétaxel, cabazitaxel)</w:t>
      </w:r>
    </w:p>
    <w:p>
      <w:r/>
      <w:r>
        <w:rPr>
          <w:b/>
        </w:rPr>
        <w:t>Docétaxel (Taxotere)</w:t>
      </w:r>
      <w:r>
        <w:t xml:space="preserve"> : chimiothérapie de référence du mCRPC symptomatique, indiquée en première ligne après échec de l'hormonothérapie. Posologie : 75 mg/m² IV toutes les 3 semaines, 10 cycles. Bénéfice de survie globale de 2,4 mois (essai TAX-327, Tannock 2004, NEJM). Toxicité hématologique (neutropénie fébrile 3 %), neurotoxicité (neuropathie périphérique), alopécie, asthénie. Le docétaxel est contre-indiqué en association avec le radium-223 (risque de myélosuppression létale).</w:t>
      </w:r>
    </w:p>
    <w:p>
      <w:r/>
      <w:r>
        <w:rPr>
          <w:b/>
        </w:rPr>
        <w:t>Cabazitaxel (Jevtana)</w:t>
      </w:r>
      <w:r>
        <w:t xml:space="preserve"> : chimiothérapie de seconde ligne après docétaxel, indiquée en cas de progression sous docétaxel. Posologie : 25 mg/m² IV toutes les 3 semaines, 10 cycles. Bénéfice de survie globale de 2,4 mois (essai TROPIC, de Bono 2010, Lancet). Toxicité hématologique (neutropénie fébrile 8 %), digestive (diarrhée sévère). Le cabazitaxel est contre-indiqué en association avec le radium-223.</w:t>
      </w:r>
    </w:p>
    <w:p>
      <w:pPr>
        <w:pStyle w:val="Heading3"/>
      </w:pPr>
      <w:r>
        <w:t>244.9.2 Comparaison avec l'hormonothérapie de nouvelle génération (abiratérone, enzalutamide)</w:t>
      </w:r>
    </w:p>
    <w:p>
      <w:r/>
      <w:r>
        <w:rPr>
          <w:b/>
        </w:rPr>
        <w:t>Abiratérone (Zytiga)</w:t>
      </w:r>
      <w:r>
        <w:t xml:space="preserve"> : inhibiteur de la CYP17 (17α-hydroxylase/17,20-lyase), bloque la synthèse des androgènes surrénaliens et intratumoraux. Indication : mCRPC asymptomatique ou pauci-symptomatique, en première ligne (essai COU-AA-302, Ryan 2013, NEJM) ou en seconde ligne après docétaxel (essai COU-AA-301, de Bono 2011, NEJM). Posologie : 1000 mg/jour per os + prednisone 10 mg/jour. Bénéfice de survie globale de 4,4 mois en première ligne et 3,9 mois en seconde ligne. Toxicité : hypertension, hypokaliémie, hépatotoxicité, rétention hydrosodée. L'abiratérone est contre-indiqué en association avec le radium-223 (étude ERA 223, risque de fractures et de décès).</w:t>
      </w:r>
    </w:p>
    <w:p>
      <w:r/>
      <w:r>
        <w:rPr>
          <w:b/>
        </w:rPr>
        <w:t>Enzalutamide (Xtandi)</w:t>
      </w:r>
      <w:r>
        <w:t xml:space="preserve"> : inhibiteur des récepteurs androgéniques de nouvelle génération, bloque la signalisation androgénique intratumorale. Indication : mCRPC asymptomatique ou pauci-symptomatique, en première ligne (essai PREVAIL, Beer 2014, NEJM) ou en seconde ligne après docétaxel (essai AFFIRM, Scher 2012, NEJM). Posologie : 160 mg/jour per os. Bénéfice de survie globale de 2,2 mois en première ligne et 4,8 mois en seconde ligne. Toxicité : fatigue, convulsions (rares), hypertension, chutes. L'enzalutamide est en précaution d'emploi avec le radium-223 (études en cours).</w:t>
      </w:r>
    </w:p>
    <w:p>
      <w:pPr>
        <w:pStyle w:val="Heading3"/>
      </w:pPr>
      <w:r>
        <w:t>244.9.3 Comparaison avec le lutécium-177-PSMA (Lu-177-PSMA)</w:t>
      </w:r>
    </w:p>
    <w:p>
      <w:r/>
      <w:r>
        <w:rPr>
          <w:b/>
        </w:rPr>
        <w:t>Lutécium-177-PSMA-617 (Pluvicto)</w:t>
      </w:r>
      <w:r>
        <w:t xml:space="preserve"> : radiopharmaceutique thérapeutique émetteur bêta couplé à un ligand du PSMA (prostate-specific membrane antigen), indiqué dans le mCRPC progressif après au moins une ligne d'hormonothérapie de nouvelle génération et une ligne de chimiothérapie par docétaxel. Posologie : 7,4 GBq IV toutes les 6 semaines, 4 à 6 cycles. Bénéfice de survie globale de 4 mois (essai VISION, Sartor 2021, NEJM). Toxicité hématologique (thrombopénie, neutropénie), digestive (xérostomie, nausées). Le lutécium-177-PSMA n'est pas encore disponible en Algérie à la date de la nomenclature Avril 2026, mais son introduction est attendue dans les prochaines années.</w:t>
      </w:r>
    </w:p>
    <w:p>
      <w:pPr>
        <w:pStyle w:val="Heading3"/>
      </w:pPr>
      <w:r>
        <w:t>244.9.4 Stratégie thérapeutique globale du mCRPC</w:t>
      </w:r>
    </w:p>
    <w:p>
      <w:r>
        <w:t>La stratégie thérapeutique globale du mCRPC est en pleine évolution, avec une séquence thérapeutique optimisée selon le profil du patient (âge, comorbidités, état général, vitesse de progression, symptômes) et les préférences du patient. Les recommandations NCCN (National Comprehensive Cancer Network) 2024 et ESMO (European Society for Medical Oncology) 2023 proposent une séquence optimisée :</w:t>
      </w:r>
    </w:p>
    <w:p>
      <w:pPr>
        <w:pStyle w:val="ListNumber"/>
      </w:pPr>
      <w:r/>
      <w:r>
        <w:rPr>
          <w:b/>
        </w:rPr>
        <w:t>Première ligne</w:t>
      </w:r>
      <w:r>
        <w:t xml:space="preserve"> : hormonothérapie de nouvelle génération (abiratérone ou enzalutamide) en cas de mCRPC asymptomatique ou pauci-symptomatique ; docétaxel en cas de mCRPC symptomatique avec progression rapide ; radium-223 en cas de mCRPC osseux symptomatique sans métastases viscérales.</w:t>
      </w:r>
    </w:p>
    <w:p>
      <w:pPr>
        <w:pStyle w:val="ListNumber"/>
      </w:pPr>
      <w:r/>
      <w:r>
        <w:rPr>
          <w:b/>
        </w:rPr>
        <w:t>Seconde ligne</w:t>
      </w:r>
      <w:r>
        <w:t xml:space="preserve"> : radium-223 en cas de progression osseuse exclusive après hormonothérapie de nouvelle génération ; docétaxel ou cabazitaxel en cas de progression viscérale ; lutécium-177-PSMA en cas de progression après au moins une ligne d'hormonothérapie de nouvelle génération et une ligne de chimiothérapie.</w:t>
      </w:r>
    </w:p>
    <w:p>
      <w:pPr>
        <w:pStyle w:val="ListNumber"/>
      </w:pPr>
      <w:r/>
      <w:r>
        <w:rPr>
          <w:b/>
        </w:rPr>
        <w:t>Troisième ligne et au-delà</w:t>
      </w:r>
      <w:r>
        <w:t xml:space="preserve"> : chimiothérapie (cabazitaxel), immunothérapie (sipuleucel-T, pembrolizumab en cas de MSI-H), thérapeutiques ciblées (olaparib en cas de mutation BRCA1/2).</w:t>
      </w:r>
    </w:p>
    <w:p>
      <w:pPr>
        <w:pStyle w:val="Heading2"/>
      </w:pPr>
      <w:r>
        <w:t>244.10 Instructions et conseils au patient</w:t>
      </w:r>
    </w:p>
    <w:p>
      <w:pPr>
        <w:pStyle w:val="Heading3"/>
      </w:pPr>
      <w:r>
        <w:t>244.10.1 Information sur le traitement</w:t>
      </w:r>
    </w:p>
    <w:p>
      <w:r>
        <w:t>Le patient doit être informé que le dichlorure de radium-223 est un médicament radiopharmaceutique thérapeutique, contenant un radio-isotope émetteur de particules alpha qui détruit sélectivement les cellules cancéreuses au niveau des métastases osseuses. Le patient doit être informé du bénéfice attendu (amélioration de la survie globale de 3,6 mois, réduction des événements osseux symptomatiques) et des risques (myélosuppression, effets gastro-intestinaux, radioprotection). Le patient doit signer un consentement éclairé avant l'initiation du traitement.</w:t>
      </w:r>
    </w:p>
    <w:p>
      <w:pPr>
        <w:pStyle w:val="Heading3"/>
      </w:pPr>
      <w:r>
        <w:t>244.10.2 Conseil sur le mode d'administration</w:t>
      </w:r>
    </w:p>
    <w:p>
      <w:r>
        <w:t xml:space="preserve">Le patient doit être conseillé sur le mode d'administration : </w:t>
      </w:r>
      <w:r>
        <w:rPr>
          <w:b/>
        </w:rPr>
        <w:t>injection intraveineuse lente (1 à 2 minutes) toutes les 4 semaines, pendant 6 injections, soit 24 semaines de traitement</w:t>
      </w:r>
      <w:r>
        <w:t>. L'injection est réalisée en service de médecine nucléaire agréé, en ambulatoire (sans hospitalisation), avec une durée de séjour de 30 minutes à 1 heure par injection (temps de pose du cathéter, injection, surveillance post-injection). Le patient peut retourner à domicile immédiatement après l'injection.</w:t>
      </w:r>
    </w:p>
    <w:p>
      <w:pPr>
        <w:pStyle w:val="Heading3"/>
      </w:pPr>
      <w:r>
        <w:t>244.10.3 Précautions de radioprotection</w:t>
      </w:r>
    </w:p>
    <w:p>
      <w:r>
        <w:t>Le patient doit être informé des précautions de radioprotection à respecter pendant les 7 à 10 jours suivant chaque injection :</w:t>
      </w:r>
    </w:p>
    <w:p>
      <w:pPr>
        <w:pStyle w:val="ListBullet"/>
      </w:pPr>
      <w:r/>
      <w:r>
        <w:rPr>
          <w:b/>
        </w:rPr>
        <w:t>Hygiène</w:t>
      </w:r>
      <w:r>
        <w:t xml:space="preserve"> : double chasse d'eau après chaque miction, lavage soigneux des mains après chaque passage aux toilettes, nettoyage séparé du linge souillé (linge lavé séparément à 60°C minimum).</w:t>
      </w:r>
    </w:p>
    <w:p>
      <w:pPr>
        <w:pStyle w:val="ListBullet"/>
      </w:pPr>
      <w:r/>
      <w:r>
        <w:rPr>
          <w:b/>
        </w:rPr>
        <w:t>Contact avec l'entourage</w:t>
      </w:r>
      <w:r>
        <w:t xml:space="preserve"> : évitement du contact rapproché (distance &lt; 1 mètre, durée &gt; 1 heure) avec une femme enceinte ou un enfant de moins de 10 ans pendant 24 heures suivant l'injection. Le contact avec le partenaire conjugal est possible mais l'usage du préservatif est recommandé pendant 7 jours après l'injection (en raison de l'élimination spermatique accessoire du 223Ra).</w:t>
      </w:r>
    </w:p>
    <w:p>
      <w:pPr>
        <w:pStyle w:val="ListBullet"/>
      </w:pPr>
      <w:r/>
      <w:r>
        <w:rPr>
          <w:b/>
        </w:rPr>
        <w:t>Activités à éviter</w:t>
      </w:r>
      <w:r>
        <w:t xml:space="preserve"> : éviter les activités à risque de contamination (préparation des repas pour des tiers, change des couches des nourrissons, soins à un jeune enfant) pendant 24 heures après l'injection.</w:t>
      </w:r>
    </w:p>
    <w:p>
      <w:pPr>
        <w:pStyle w:val="ListBullet"/>
      </w:pPr>
      <w:r/>
      <w:r>
        <w:rPr>
          <w:b/>
        </w:rPr>
        <w:t>Déplacements</w:t>
      </w:r>
      <w:r>
        <w:t xml:space="preserve"> : évitement des transports en commun prolongés (&gt; 1 heure) pendant 24 heures après l'injection, en raison de la proximité avec d'autres passagers.</w:t>
      </w:r>
    </w:p>
    <w:p>
      <w:pPr>
        <w:pStyle w:val="Heading3"/>
      </w:pPr>
      <w:r>
        <w:t>244.10.4 Surveillance à domicile</w:t>
      </w:r>
    </w:p>
    <w:p>
      <w:r>
        <w:t xml:space="preserve">Le patient doit être informé de la surveillance à domicile : </w:t>
      </w:r>
      <w:r>
        <w:rPr>
          <w:b/>
        </w:rPr>
        <w:t>prise de température quotidienne</w:t>
      </w:r>
      <w:r>
        <w:t xml:space="preserve"> pendant le traitement (consultation médicale urgente en cas de fièvre ≥ 38,5°C en raison du risque de neutropénie fébrile) ; </w:t>
      </w:r>
      <w:r>
        <w:rPr>
          <w:b/>
        </w:rPr>
        <w:t>surveillance des selles</w:t>
      </w:r>
      <w:r>
        <w:t xml:space="preserve"> (consultation médicale en cas de diarrhée sévère ≥ 6 selles liquides/jour) ; </w:t>
      </w:r>
      <w:r>
        <w:rPr>
          <w:b/>
        </w:rPr>
        <w:t>surveillance des saignements</w:t>
      </w:r>
      <w:r>
        <w:t xml:space="preserve"> (consultation médicale en cas de saignement anormal : épistaxis &gt; 10 minutes, gingivorragies spontanées, ecchymoses étendues, méléna, hématurie) ; </w:t>
      </w:r>
      <w:r>
        <w:rPr>
          <w:b/>
        </w:rPr>
        <w:t>surveillance de l'asthénie</w:t>
      </w:r>
      <w:r>
        <w:t xml:space="preserve"> (consultation médicale en cas d'asthénie sévère limitant les activités quotidiennes).</w:t>
      </w:r>
    </w:p>
    <w:p>
      <w:pPr>
        <w:pStyle w:val="Heading3"/>
      </w:pPr>
      <w:r>
        <w:t>244.10.5 Consultations de suivi</w:t>
      </w:r>
    </w:p>
    <w:p>
      <w:r>
        <w:t>Le patient doit être informé de la nécessité des consultations de suivi mensuelles (avant chaque injection) avec le médecin nucléaire et l'oncologue médical, de l'évaluation trimestrielle de la réponse tumorale par imagerie (scintigraphie osseuse), et de la coordination avec le médecin traitant et le pharmacien d'officine pour la surveillance à distance.</w:t>
      </w:r>
    </w:p>
    <w:p>
      <w:pPr>
        <w:pStyle w:val="Heading3"/>
      </w:pPr>
      <w:r>
        <w:t>244.10.6 Conservation et transport</w:t>
      </w:r>
    </w:p>
    <w:p>
      <w:r>
        <w:t>Le dichlorure de radium-223 est exclusivement manipulé et administré en service de médecine nucléaire agréé, en raison de sa nature radioactive. Le patient ne doit pas transporter, conserver ou manipuler le médicament. La traçabilité du médicament est assurée par le centre de médecine nucléaire (registre des sources, registre des injections, registre des déchets).</w:t>
      </w:r>
    </w:p>
    <w:p>
      <w:pPr>
        <w:pStyle w:val="Heading2"/>
      </w:pPr>
      <w:r>
        <w:t>244.11 Notes, règles d'or et pièges au comptoir</w:t>
      </w:r>
    </w:p>
    <w:p>
      <w:pPr>
        <w:pStyle w:val="Heading3"/>
      </w:pPr>
      <w:r>
        <w:t>244.11.1 Règles d'or du conseil pharmaceutique au comptoir</w:t>
      </w:r>
    </w:p>
    <w:p>
      <w:pPr>
        <w:pStyle w:val="ListNumber"/>
      </w:pPr>
      <w:r/>
      <w:r>
        <w:rPr>
          <w:b/>
        </w:rPr>
        <w:t>Toujours demander si le patient est traité par chimiothérapie concomitante</w:t>
      </w:r>
      <w:r>
        <w:t xml:space="preserve"> (docétaxel, cabazitaxel, abiratérone) avant tout conseil médicamenteux pour un patient sous radium-223. En cas de réponse positive, orienter le patient vers son médecin nucléaire et son oncologue pour réévaluation thérapeutique urgente (contre-indication absolue).</w:t>
      </w:r>
    </w:p>
    <w:p>
      <w:pPr>
        <w:pStyle w:val="ListNumber"/>
      </w:pPr>
      <w:r/>
      <w:r>
        <w:rPr>
          <w:b/>
        </w:rPr>
        <w:t>Toujours vérifier la NFS du patient</w:t>
      </w:r>
      <w:r>
        <w:t xml:space="preserve"> (consultation du carnet de suivi) avant tout conseil médicamenteux pour un patient sous radium-223. En cas de PNN &lt; 1,5 × 10⁹/L, de plaquettes &lt; 100 × 10⁹/L ou d'hémoglobine &lt; 10 g/dL, orienter le patient vers son médecin nucléaire pour report éventuel de l'injection suivante.</w:t>
      </w:r>
    </w:p>
    <w:p>
      <w:pPr>
        <w:pStyle w:val="ListNumber"/>
      </w:pPr>
      <w:r/>
      <w:r>
        <w:rPr>
          <w:b/>
        </w:rPr>
        <w:t>Toujours informer le patient des précautions de radioprotection</w:t>
      </w:r>
      <w:r>
        <w:t xml:space="preserve"> à respecter pendant les 7 à 10 jours suivant chaque injection, en particulier l'éviction du contact rapproché avec femme enceinte et enfant, et les précautions d'hygiène (double chasse d'eau, lavage des mains, linge séparé).</w:t>
      </w:r>
    </w:p>
    <w:p>
      <w:pPr>
        <w:pStyle w:val="ListNumber"/>
      </w:pPr>
      <w:r/>
      <w:r>
        <w:rPr>
          <w:b/>
        </w:rPr>
        <w:t>Toujours informer le patient des signes d'alerte à surveiller</w:t>
      </w:r>
      <w:r>
        <w:t xml:space="preserve"> (fièvre ≥ 38,5°C, diarrhée sévère, saignement anormal, asthénie sévère) et de la consultation médicale urgente en cas de survenue.</w:t>
      </w:r>
    </w:p>
    <w:p>
      <w:pPr>
        <w:pStyle w:val="ListNumber"/>
      </w:pPr>
      <w:r/>
      <w:r>
        <w:rPr>
          <w:b/>
        </w:rPr>
        <w:t>Toujours coordonner avec le médecin traitant et le pharmacien d'officine</w:t>
      </w:r>
      <w:r>
        <w:t xml:space="preserve"> pour la surveillance à distance des effets indésirables (NFS hebdomadaire, température quotidienne) et la gestion des traitements associés (antalgiques, anticoagulants, hormonothérapie androgénique suppressive).</w:t>
      </w:r>
    </w:p>
    <w:p>
      <w:pPr>
        <w:pStyle w:val="Heading3"/>
      </w:pPr>
      <w:r>
        <w:t>244.11.2 Pièges à éviter au comptoir</w:t>
      </w:r>
    </w:p>
    <w:p>
      <w:pPr>
        <w:pStyle w:val="ListNumber"/>
      </w:pPr>
      <w:r/>
      <w:r>
        <w:rPr>
          <w:b/>
        </w:rPr>
        <w:t>Ne pas confondre le radium-223 avec les autres radio-isotopes thérapeutiques</w:t>
      </w:r>
      <w:r>
        <w:t xml:space="preserve"> (iode-131 pour la thyroïde, lutécium-177-PSMA pour le cancer de prostate, strontium-89 et samarium-153 pour les métastases osseuses). Le radium-223 est un émetteur alpha (parcours &lt; 100 µm, LET élevé), tandis que le strontium-89 et le samarium-153 sont des émetteurs bêta (parcours de plusieurs mm, LET faible). Les indications, posologies et profils de tolérance sont différents.</w:t>
      </w:r>
    </w:p>
    <w:p>
      <w:pPr>
        <w:pStyle w:val="ListNumber"/>
      </w:pPr>
      <w:r/>
      <w:r>
        <w:rPr>
          <w:b/>
        </w:rPr>
        <w:t>Ne pas méconnaître la contre-indication absolue avec la chimiothérapie concomitante</w:t>
      </w:r>
      <w:r>
        <w:t xml:space="preserve"> (docétaxel, cabazitaxel, abiratérone). L'association radium-223 + chimiothérapie est contre-indiquée en raison du risque de myélosuppression létale.</w:t>
      </w:r>
    </w:p>
    <w:p>
      <w:pPr>
        <w:pStyle w:val="ListNumber"/>
      </w:pPr>
      <w:r/>
      <w:r>
        <w:rPr>
          <w:b/>
        </w:rPr>
        <w:t>Ne pas oublier de demander l'avis de l'oncologue médical en cas de prescription d'antalgiques</w:t>
      </w:r>
      <w:r>
        <w:t xml:space="preserve"> (palier OMS) pour un patient sous radium-223, en raison des interactions potentielles avec les autres traitements (corticostéroïdes, AINS) et du risque de masquer une progression tumorale.</w:t>
      </w:r>
    </w:p>
    <w:p>
      <w:pPr>
        <w:pStyle w:val="ListNumber"/>
      </w:pPr>
      <w:r/>
      <w:r>
        <w:rPr>
          <w:b/>
        </w:rPr>
        <w:t>Ne pas méconnaître le risque de fractures pathologiques</w:t>
      </w:r>
      <w:r>
        <w:t xml:space="preserve"> chez le patient sous radium-223 + abiratérone (étude ERA 223, risque majoré). Le patient doit être informé de consulter en urgence en cas de douleur osseuse aiguë, de déformation, ou d'impotence fonctionnelle.</w:t>
      </w:r>
    </w:p>
    <w:p>
      <w:pPr>
        <w:pStyle w:val="ListNumber"/>
      </w:pPr>
      <w:r/>
      <w:r>
        <w:rPr>
          <w:b/>
        </w:rPr>
        <w:t>Ne pas oublier de vérifier le statut vaccinal</w:t>
      </w:r>
      <w:r>
        <w:t xml:space="preserve"> du patient sous radium-223 (en particulier le vaccin grippal saisonnier et le vaccin pneumococcique), en raison du risque d'infection grave en cas de neutropénie. Les vaccins inactivés sont autorisés, mais les vaccins vivants atténués sont contre-indiqués.</w:t>
      </w:r>
    </w:p>
    <w:p>
      <w:pPr>
        <w:pStyle w:val="Heading3"/>
      </w:pPr>
      <w:r>
        <w:t>244.11.3 Notes pédagogiques pour l'étudiant en pharmacie</w:t>
      </w:r>
    </w:p>
    <w:p>
      <w:r>
        <w:t>L'étudiant en pharmacie doit retenir que le dichlorure de radium-223 est un médicament radiopharmaceutique thérapeutique indiqué dans le cancer de prostate métastatique osseux symptomatique résistant à la castration, sans métastases viscérales. Les points clés à connaître sont : la posologie standard de 55 kBq/kg IV toutes les 4 semaines × 6 injections ; la surveillance hématologique hebdomadaire (NFS) ; la contre-indication absolue avec la chimiothérapie concomitante (docétaxel, cabazitaxel, abiratérone) ; les précautions de radioprotection pour l'entourage (femme enceinte, enfant) ; la prescription hospitalière stricte réservée aux médecins spécialistes en médecine nucléaire. Le pharmacien d'officine a un rôle de conseil, de surveillance et de coordination avec le médecin nucléaire et l'oncologue médical.</w:t>
      </w:r>
    </w:p>
    <w:p>
      <w:pPr>
        <w:pStyle w:val="Heading2"/>
      </w:pPr>
      <w:r>
        <w:t>244.12 Tableau comparatif de sous-classe</w:t>
      </w:r>
    </w:p>
    <w:p>
      <w:r>
        <w:t>Le tableau comparatif ci-dessous synthétise les caractéristiques principales du dichlorure de radium-223 par rapport aux autres traitements du cancer de prostate métastatique osseux résistant à la castration (mCRPC), pour faciliter l'arbitrage thérapeutique.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Critère</w:t>
            </w:r>
          </w:p>
        </w:tc>
        <w:tc>
          <w:tcPr>
            <w:tcW w:type="dxa" w:w="1385"/>
            <w:shd w:val="clear" w:color="auto" w:fill="F2F2F2"/>
          </w:tcPr>
          <w:p>
            <w:r>
              <w:rPr>
                <w:rFonts w:ascii="Times New Roman" w:hAnsi="Times New Roman"/>
                <w:b/>
                <w:sz w:val="20"/>
              </w:rPr>
              <w:t>Radium-223 (Xofigo)</w:t>
            </w:r>
          </w:p>
        </w:tc>
        <w:tc>
          <w:tcPr>
            <w:tcW w:type="dxa" w:w="1385"/>
            <w:shd w:val="clear" w:color="auto" w:fill="F2F2F2"/>
          </w:tcPr>
          <w:p>
            <w:r>
              <w:rPr>
                <w:rFonts w:ascii="Times New Roman" w:hAnsi="Times New Roman"/>
                <w:b/>
                <w:sz w:val="20"/>
              </w:rPr>
              <w:t>Docétaxel (Taxotere)</w:t>
            </w:r>
          </w:p>
        </w:tc>
        <w:tc>
          <w:tcPr>
            <w:tcW w:type="dxa" w:w="1385"/>
            <w:shd w:val="clear" w:color="auto" w:fill="F2F2F2"/>
          </w:tcPr>
          <w:p>
            <w:r>
              <w:rPr>
                <w:rFonts w:ascii="Times New Roman" w:hAnsi="Times New Roman"/>
                <w:b/>
                <w:sz w:val="20"/>
              </w:rPr>
              <w:t>Abiratérone (Zytiga)</w:t>
            </w:r>
          </w:p>
        </w:tc>
        <w:tc>
          <w:tcPr>
            <w:tcW w:type="dxa" w:w="1385"/>
            <w:shd w:val="clear" w:color="auto" w:fill="F2F2F2"/>
          </w:tcPr>
          <w:p>
            <w:r>
              <w:rPr>
                <w:rFonts w:ascii="Times New Roman" w:hAnsi="Times New Roman"/>
                <w:b/>
                <w:sz w:val="20"/>
              </w:rPr>
              <w:t>Enzalutamide (Xtandi)</w:t>
            </w:r>
          </w:p>
        </w:tc>
        <w:tc>
          <w:tcPr>
            <w:tcW w:type="dxa" w:w="1385"/>
            <w:shd w:val="clear" w:color="auto" w:fill="F2F2F2"/>
          </w:tcPr>
          <w:p>
            <w:r>
              <w:rPr>
                <w:rFonts w:ascii="Times New Roman" w:hAnsi="Times New Roman"/>
                <w:b/>
                <w:sz w:val="20"/>
              </w:rPr>
              <w:t>Lu-177-PSMA (Pluvicto)</w:t>
            </w:r>
          </w:p>
        </w:tc>
      </w:tr>
      <w:tr>
        <w:tc>
          <w:tcPr>
            <w:tcW w:type="dxa" w:w="1385"/>
          </w:tcPr>
          <w:p>
            <w:r>
              <w:rPr>
                <w:rFonts w:ascii="Times New Roman" w:hAnsi="Times New Roman"/>
                <w:sz w:val="20"/>
              </w:rPr>
              <w:t>**Classe**</w:t>
            </w:r>
          </w:p>
        </w:tc>
        <w:tc>
          <w:tcPr>
            <w:tcW w:type="dxa" w:w="1385"/>
          </w:tcPr>
          <w:p>
            <w:r>
              <w:rPr>
                <w:rFonts w:ascii="Times New Roman" w:hAnsi="Times New Roman"/>
                <w:sz w:val="20"/>
              </w:rPr>
              <w:t>Émetteur alpha</w:t>
            </w:r>
          </w:p>
        </w:tc>
        <w:tc>
          <w:tcPr>
            <w:tcW w:type="dxa" w:w="1385"/>
          </w:tcPr>
          <w:p>
            <w:r>
              <w:rPr>
                <w:rFonts w:ascii="Times New Roman" w:hAnsi="Times New Roman"/>
                <w:sz w:val="20"/>
              </w:rPr>
              <w:t>Chimiothérapie (taxane)</w:t>
            </w:r>
          </w:p>
        </w:tc>
        <w:tc>
          <w:tcPr>
            <w:tcW w:type="dxa" w:w="1385"/>
          </w:tcPr>
          <w:p>
            <w:r>
              <w:rPr>
                <w:rFonts w:ascii="Times New Roman" w:hAnsi="Times New Roman"/>
                <w:sz w:val="20"/>
              </w:rPr>
              <w:t>Inhibiteur CYP17</w:t>
            </w:r>
          </w:p>
        </w:tc>
        <w:tc>
          <w:tcPr>
            <w:tcW w:type="dxa" w:w="1385"/>
          </w:tcPr>
          <w:p>
            <w:r>
              <w:rPr>
                <w:rFonts w:ascii="Times New Roman" w:hAnsi="Times New Roman"/>
                <w:sz w:val="20"/>
              </w:rPr>
              <w:t>Anti-androgène de 2e génération</w:t>
            </w:r>
          </w:p>
        </w:tc>
        <w:tc>
          <w:tcPr>
            <w:tcW w:type="dxa" w:w="1385"/>
          </w:tcPr>
          <w:p>
            <w:r>
              <w:rPr>
                <w:rFonts w:ascii="Times New Roman" w:hAnsi="Times New Roman"/>
                <w:sz w:val="20"/>
              </w:rPr>
              <w:t>Radiopharmaceutique émetteur bêta</w:t>
            </w:r>
          </w:p>
        </w:tc>
      </w:tr>
      <w:tr>
        <w:tc>
          <w:tcPr>
            <w:tcW w:type="dxa" w:w="1385"/>
          </w:tcPr>
          <w:p>
            <w:r>
              <w:rPr>
                <w:rFonts w:ascii="Times New Roman" w:hAnsi="Times New Roman"/>
                <w:sz w:val="20"/>
              </w:rPr>
              <w:t>**Indication**</w:t>
            </w:r>
          </w:p>
        </w:tc>
        <w:tc>
          <w:tcPr>
            <w:tcW w:type="dxa" w:w="1385"/>
          </w:tcPr>
          <w:p>
            <w:r>
              <w:rPr>
                <w:rFonts w:ascii="Times New Roman" w:hAnsi="Times New Roman"/>
                <w:sz w:val="20"/>
              </w:rPr>
              <w:t>mCRPC osseux symptomatique, sans M visc.</w:t>
            </w:r>
          </w:p>
        </w:tc>
        <w:tc>
          <w:tcPr>
            <w:tcW w:type="dxa" w:w="1385"/>
          </w:tcPr>
          <w:p>
            <w:r>
              <w:rPr>
                <w:rFonts w:ascii="Times New Roman" w:hAnsi="Times New Roman"/>
                <w:sz w:val="20"/>
              </w:rPr>
              <w:t>mCRPC symptomatique 1ère ligne</w:t>
            </w:r>
          </w:p>
        </w:tc>
        <w:tc>
          <w:tcPr>
            <w:tcW w:type="dxa" w:w="1385"/>
          </w:tcPr>
          <w:p>
            <w:r>
              <w:rPr>
                <w:rFonts w:ascii="Times New Roman" w:hAnsi="Times New Roman"/>
                <w:sz w:val="20"/>
              </w:rPr>
              <w:t>mCRPC asympto/sympto 1ère et 2ème ligne</w:t>
            </w:r>
          </w:p>
        </w:tc>
        <w:tc>
          <w:tcPr>
            <w:tcW w:type="dxa" w:w="1385"/>
          </w:tcPr>
          <w:p>
            <w:r>
              <w:rPr>
                <w:rFonts w:ascii="Times New Roman" w:hAnsi="Times New Roman"/>
                <w:sz w:val="20"/>
              </w:rPr>
              <w:t>mCRPC asympto/sympto 1ère et 2ème ligne</w:t>
            </w:r>
          </w:p>
        </w:tc>
        <w:tc>
          <w:tcPr>
            <w:tcW w:type="dxa" w:w="1385"/>
          </w:tcPr>
          <w:p>
            <w:r>
              <w:rPr>
                <w:rFonts w:ascii="Times New Roman" w:hAnsi="Times New Roman"/>
                <w:sz w:val="20"/>
              </w:rPr>
              <w:t>mCRPC post-AR + post-docétaxel</w:t>
            </w:r>
          </w:p>
        </w:tc>
      </w:tr>
      <w:tr>
        <w:tc>
          <w:tcPr>
            <w:tcW w:type="dxa" w:w="1385"/>
          </w:tcPr>
          <w:p>
            <w:r>
              <w:rPr>
                <w:rFonts w:ascii="Times New Roman" w:hAnsi="Times New Roman"/>
                <w:sz w:val="20"/>
              </w:rPr>
              <w:t>**Posologie**</w:t>
            </w:r>
          </w:p>
        </w:tc>
        <w:tc>
          <w:tcPr>
            <w:tcW w:type="dxa" w:w="1385"/>
          </w:tcPr>
          <w:p>
            <w:r>
              <w:rPr>
                <w:rFonts w:ascii="Times New Roman" w:hAnsi="Times New Roman"/>
                <w:sz w:val="20"/>
              </w:rPr>
              <w:t>55 kBq/kg IV/4 sem × 6</w:t>
            </w:r>
          </w:p>
        </w:tc>
        <w:tc>
          <w:tcPr>
            <w:tcW w:type="dxa" w:w="1385"/>
          </w:tcPr>
          <w:p>
            <w:r>
              <w:rPr>
                <w:rFonts w:ascii="Times New Roman" w:hAnsi="Times New Roman"/>
                <w:sz w:val="20"/>
              </w:rPr>
              <w:t>75 mg/m² IV/3 sem × 10</w:t>
            </w:r>
          </w:p>
        </w:tc>
        <w:tc>
          <w:tcPr>
            <w:tcW w:type="dxa" w:w="1385"/>
          </w:tcPr>
          <w:p>
            <w:r>
              <w:rPr>
                <w:rFonts w:ascii="Times New Roman" w:hAnsi="Times New Roman"/>
                <w:sz w:val="20"/>
              </w:rPr>
              <w:t>1000 mg/j PO + prednisone</w:t>
            </w:r>
          </w:p>
        </w:tc>
        <w:tc>
          <w:tcPr>
            <w:tcW w:type="dxa" w:w="1385"/>
          </w:tcPr>
          <w:p>
            <w:r>
              <w:rPr>
                <w:rFonts w:ascii="Times New Roman" w:hAnsi="Times New Roman"/>
                <w:sz w:val="20"/>
              </w:rPr>
              <w:t>160 mg/j PO</w:t>
            </w:r>
          </w:p>
        </w:tc>
        <w:tc>
          <w:tcPr>
            <w:tcW w:type="dxa" w:w="1385"/>
          </w:tcPr>
          <w:p>
            <w:r>
              <w:rPr>
                <w:rFonts w:ascii="Times New Roman" w:hAnsi="Times New Roman"/>
                <w:sz w:val="20"/>
              </w:rPr>
              <w:t>7,4 GBq IV/6 sem × 4-6</w:t>
            </w:r>
          </w:p>
        </w:tc>
      </w:tr>
      <w:tr>
        <w:tc>
          <w:tcPr>
            <w:tcW w:type="dxa" w:w="1385"/>
          </w:tcPr>
          <w:p>
            <w:r>
              <w:rPr>
                <w:rFonts w:ascii="Times New Roman" w:hAnsi="Times New Roman"/>
                <w:sz w:val="20"/>
              </w:rPr>
              <w:t>**Bénéfice SG**</w:t>
            </w:r>
          </w:p>
        </w:tc>
        <w:tc>
          <w:tcPr>
            <w:tcW w:type="dxa" w:w="1385"/>
          </w:tcPr>
          <w:p>
            <w:r>
              <w:rPr>
                <w:rFonts w:ascii="Times New Roman" w:hAnsi="Times New Roman"/>
                <w:sz w:val="20"/>
              </w:rPr>
              <w:t>+3,6 mois (vs placebo)</w:t>
            </w:r>
          </w:p>
        </w:tc>
        <w:tc>
          <w:tcPr>
            <w:tcW w:type="dxa" w:w="1385"/>
          </w:tcPr>
          <w:p>
            <w:r>
              <w:rPr>
                <w:rFonts w:ascii="Times New Roman" w:hAnsi="Times New Roman"/>
                <w:sz w:val="20"/>
              </w:rPr>
              <w:t>+2,4 mois (vs mitoxantrone)</w:t>
            </w:r>
          </w:p>
        </w:tc>
        <w:tc>
          <w:tcPr>
            <w:tcW w:type="dxa" w:w="1385"/>
          </w:tcPr>
          <w:p>
            <w:r>
              <w:rPr>
                <w:rFonts w:ascii="Times New Roman" w:hAnsi="Times New Roman"/>
                <w:sz w:val="20"/>
              </w:rPr>
              <w:t>+4,4 mois (1ère ligne)</w:t>
            </w:r>
          </w:p>
        </w:tc>
        <w:tc>
          <w:tcPr>
            <w:tcW w:type="dxa" w:w="1385"/>
          </w:tcPr>
          <w:p>
            <w:r>
              <w:rPr>
                <w:rFonts w:ascii="Times New Roman" w:hAnsi="Times New Roman"/>
                <w:sz w:val="20"/>
              </w:rPr>
              <w:t>+2,2 mois (1ère ligne)</w:t>
            </w:r>
          </w:p>
        </w:tc>
        <w:tc>
          <w:tcPr>
            <w:tcW w:type="dxa" w:w="1385"/>
          </w:tcPr>
          <w:p>
            <w:r>
              <w:rPr>
                <w:rFonts w:ascii="Times New Roman" w:hAnsi="Times New Roman"/>
                <w:sz w:val="20"/>
              </w:rPr>
              <w:t>+4 mois (vs BSC)</w:t>
            </w:r>
          </w:p>
        </w:tc>
      </w:tr>
      <w:tr>
        <w:tc>
          <w:tcPr>
            <w:tcW w:type="dxa" w:w="1385"/>
          </w:tcPr>
          <w:p>
            <w:r>
              <w:rPr>
                <w:rFonts w:ascii="Times New Roman" w:hAnsi="Times New Roman"/>
                <w:sz w:val="20"/>
              </w:rPr>
              <w:t>**Demi-vie**</w:t>
            </w:r>
          </w:p>
        </w:tc>
        <w:tc>
          <w:tcPr>
            <w:tcW w:type="dxa" w:w="1385"/>
          </w:tcPr>
          <w:p>
            <w:r>
              <w:rPr>
                <w:rFonts w:ascii="Times New Roman" w:hAnsi="Times New Roman"/>
                <w:sz w:val="20"/>
              </w:rPr>
              <w:t>11,4 jours</w:t>
            </w:r>
          </w:p>
        </w:tc>
        <w:tc>
          <w:tcPr>
            <w:tcW w:type="dxa" w:w="1385"/>
          </w:tcPr>
          <w:p>
            <w:r>
              <w:rPr>
                <w:rFonts w:ascii="Times New Roman" w:hAnsi="Times New Roman"/>
                <w:sz w:val="20"/>
              </w:rPr>
              <w:t>36 h</w:t>
            </w:r>
          </w:p>
        </w:tc>
        <w:tc>
          <w:tcPr>
            <w:tcW w:type="dxa" w:w="1385"/>
          </w:tcPr>
          <w:p>
            <w:r>
              <w:rPr>
                <w:rFonts w:ascii="Times New Roman" w:hAnsi="Times New Roman"/>
                <w:sz w:val="20"/>
              </w:rPr>
              <w:t>14 h</w:t>
            </w:r>
          </w:p>
        </w:tc>
        <w:tc>
          <w:tcPr>
            <w:tcW w:type="dxa" w:w="1385"/>
          </w:tcPr>
          <w:p>
            <w:r>
              <w:rPr>
                <w:rFonts w:ascii="Times New Roman" w:hAnsi="Times New Roman"/>
                <w:sz w:val="20"/>
              </w:rPr>
              <w:t>8,9 j</w:t>
            </w:r>
          </w:p>
        </w:tc>
        <w:tc>
          <w:tcPr>
            <w:tcW w:type="dxa" w:w="1385"/>
          </w:tcPr>
          <w:p>
            <w:r>
              <w:rPr>
                <w:rFonts w:ascii="Times New Roman" w:hAnsi="Times New Roman"/>
                <w:sz w:val="20"/>
              </w:rPr>
              <w:t>6,7 jours</w:t>
            </w:r>
          </w:p>
        </w:tc>
      </w:tr>
      <w:tr>
        <w:tc>
          <w:tcPr>
            <w:tcW w:type="dxa" w:w="1385"/>
          </w:tcPr>
          <w:p>
            <w:r>
              <w:rPr>
                <w:rFonts w:ascii="Times New Roman" w:hAnsi="Times New Roman"/>
                <w:sz w:val="20"/>
              </w:rPr>
              <w:t>**EI hématologiques**</w:t>
            </w:r>
          </w:p>
        </w:tc>
        <w:tc>
          <w:tcPr>
            <w:tcW w:type="dxa" w:w="1385"/>
          </w:tcPr>
          <w:p>
            <w:r>
              <w:rPr>
                <w:rFonts w:ascii="Times New Roman" w:hAnsi="Times New Roman"/>
                <w:sz w:val="20"/>
              </w:rPr>
              <w:t>Anémie 33%, Thrombopénie 12%, Neutropénie 5%</w:t>
            </w:r>
          </w:p>
        </w:tc>
        <w:tc>
          <w:tcPr>
            <w:tcW w:type="dxa" w:w="1385"/>
          </w:tcPr>
          <w:p>
            <w:r>
              <w:rPr>
                <w:rFonts w:ascii="Times New Roman" w:hAnsi="Times New Roman"/>
                <w:sz w:val="20"/>
              </w:rPr>
              <w:t>Neutropénie fébrile 3%, Thrombopénie 2%</w:t>
            </w:r>
          </w:p>
        </w:tc>
        <w:tc>
          <w:tcPr>
            <w:tcW w:type="dxa" w:w="1385"/>
          </w:tcPr>
          <w:p>
            <w:r>
              <w:rPr>
                <w:rFonts w:ascii="Times New Roman" w:hAnsi="Times New Roman"/>
                <w:sz w:val="20"/>
              </w:rPr>
              <w:t>Anémie 10%</w:t>
            </w:r>
          </w:p>
        </w:tc>
        <w:tc>
          <w:tcPr>
            <w:tcW w:type="dxa" w:w="1385"/>
          </w:tcPr>
          <w:p>
            <w:r>
              <w:rPr>
                <w:rFonts w:ascii="Times New Roman" w:hAnsi="Times New Roman"/>
                <w:sz w:val="20"/>
              </w:rPr>
              <w:t>Anémie 6%</w:t>
            </w:r>
          </w:p>
        </w:tc>
        <w:tc>
          <w:tcPr>
            <w:tcW w:type="dxa" w:w="1385"/>
          </w:tcPr>
          <w:p>
            <w:r>
              <w:rPr>
                <w:rFonts w:ascii="Times New Roman" w:hAnsi="Times New Roman"/>
                <w:sz w:val="20"/>
              </w:rPr>
              <w:t>Thrombopénie 30%, Neutropénie 13%</w:t>
            </w:r>
          </w:p>
        </w:tc>
      </w:tr>
      <w:tr>
        <w:tc>
          <w:tcPr>
            <w:tcW w:type="dxa" w:w="1385"/>
          </w:tcPr>
          <w:p>
            <w:r>
              <w:rPr>
                <w:rFonts w:ascii="Times New Roman" w:hAnsi="Times New Roman"/>
                <w:sz w:val="20"/>
              </w:rPr>
              <w:t>**EI non hémato**</w:t>
            </w:r>
          </w:p>
        </w:tc>
        <w:tc>
          <w:tcPr>
            <w:tcW w:type="dxa" w:w="1385"/>
          </w:tcPr>
          <w:p>
            <w:r>
              <w:rPr>
                <w:rFonts w:ascii="Times New Roman" w:hAnsi="Times New Roman"/>
                <w:sz w:val="20"/>
              </w:rPr>
              <w:t>Nausées 35%, Diarrhée 25%, Fatigue 22%</w:t>
            </w:r>
          </w:p>
        </w:tc>
        <w:tc>
          <w:tcPr>
            <w:tcW w:type="dxa" w:w="1385"/>
          </w:tcPr>
          <w:p>
            <w:r>
              <w:rPr>
                <w:rFonts w:ascii="Times New Roman" w:hAnsi="Times New Roman"/>
                <w:sz w:val="20"/>
              </w:rPr>
              <w:t>Alopécie, neuropathie, asthénie</w:t>
            </w:r>
          </w:p>
        </w:tc>
        <w:tc>
          <w:tcPr>
            <w:tcW w:type="dxa" w:w="1385"/>
          </w:tcPr>
          <w:p>
            <w:r>
              <w:rPr>
                <w:rFonts w:ascii="Times New Roman" w:hAnsi="Times New Roman"/>
                <w:sz w:val="20"/>
              </w:rPr>
              <w:t>Hypertension, hypokaliémie, hépatotoxicité</w:t>
            </w:r>
          </w:p>
        </w:tc>
        <w:tc>
          <w:tcPr>
            <w:tcW w:type="dxa" w:w="1385"/>
          </w:tcPr>
          <w:p>
            <w:r>
              <w:rPr>
                <w:rFonts w:ascii="Times New Roman" w:hAnsi="Times New Roman"/>
                <w:sz w:val="20"/>
              </w:rPr>
              <w:t>Fatigue, convulsions, chutes</w:t>
            </w:r>
          </w:p>
        </w:tc>
        <w:tc>
          <w:tcPr>
            <w:tcW w:type="dxa" w:w="1385"/>
          </w:tcPr>
          <w:p>
            <w:r>
              <w:rPr>
                <w:rFonts w:ascii="Times New Roman" w:hAnsi="Times New Roman"/>
                <w:sz w:val="20"/>
              </w:rPr>
              <w:t>Xérostomie, nausées</w:t>
            </w:r>
          </w:p>
        </w:tc>
      </w:tr>
      <w:tr>
        <w:tc>
          <w:tcPr>
            <w:tcW w:type="dxa" w:w="1385"/>
          </w:tcPr>
          <w:p>
            <w:r>
              <w:rPr>
                <w:rFonts w:ascii="Times New Roman" w:hAnsi="Times New Roman"/>
                <w:sz w:val="20"/>
              </w:rPr>
              <w:t>**Radioprotection**</w:t>
            </w:r>
          </w:p>
        </w:tc>
        <w:tc>
          <w:tcPr>
            <w:tcW w:type="dxa" w:w="1385"/>
          </w:tcPr>
          <w:p>
            <w:r>
              <w:rPr>
                <w:rFonts w:ascii="Times New Roman" w:hAnsi="Times New Roman"/>
                <w:sz w:val="20"/>
              </w:rPr>
              <w:t>Oui (élimination urinaire/fécale)</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Non</w:t>
            </w:r>
          </w:p>
        </w:tc>
        <w:tc>
          <w:tcPr>
            <w:tcW w:type="dxa" w:w="1385"/>
          </w:tcPr>
          <w:p>
            <w:r>
              <w:rPr>
                <w:rFonts w:ascii="Times New Roman" w:hAnsi="Times New Roman"/>
                <w:sz w:val="20"/>
              </w:rPr>
              <w:t>Oui (élimination urinaire)</w:t>
            </w:r>
          </w:p>
        </w:tc>
      </w:tr>
      <w:tr>
        <w:tc>
          <w:tcPr>
            <w:tcW w:type="dxa" w:w="1385"/>
          </w:tcPr>
          <w:p>
            <w:r>
              <w:rPr>
                <w:rFonts w:ascii="Times New Roman" w:hAnsi="Times New Roman"/>
                <w:sz w:val="20"/>
              </w:rPr>
              <w:t>**Association chimio**</w:t>
            </w:r>
          </w:p>
        </w:tc>
        <w:tc>
          <w:tcPr>
            <w:tcW w:type="dxa" w:w="1385"/>
          </w:tcPr>
          <w:p>
            <w:r>
              <w:rPr>
                <w:rFonts w:ascii="Times New Roman" w:hAnsi="Times New Roman"/>
                <w:sz w:val="20"/>
              </w:rPr>
              <w:t>CI absolue</w:t>
            </w:r>
          </w:p>
        </w:tc>
        <w:tc>
          <w:tcPr>
            <w:tcW w:type="dxa" w:w="1385"/>
          </w:tcPr>
          <w:p>
            <w:r>
              <w:rPr>
                <w:rFonts w:ascii="Times New Roman" w:hAnsi="Times New Roman"/>
                <w:sz w:val="20"/>
              </w:rPr>
              <w:t>Oui</w:t>
            </w:r>
          </w:p>
        </w:tc>
        <w:tc>
          <w:tcPr>
            <w:tcW w:type="dxa" w:w="1385"/>
          </w:tcPr>
          <w:p>
            <w:r>
              <w:rPr>
                <w:rFonts w:ascii="Times New Roman" w:hAnsi="Times New Roman"/>
                <w:sz w:val="20"/>
              </w:rPr>
              <w:t>CI absolue (ERA 223)</w:t>
            </w:r>
          </w:p>
        </w:tc>
        <w:tc>
          <w:tcPr>
            <w:tcW w:type="dxa" w:w="1385"/>
          </w:tcPr>
          <w:p>
            <w:r>
              <w:rPr>
                <w:rFonts w:ascii="Times New Roman" w:hAnsi="Times New Roman"/>
                <w:sz w:val="20"/>
              </w:rPr>
              <w:t>Précaution</w:t>
            </w:r>
          </w:p>
        </w:tc>
        <w:tc>
          <w:tcPr>
            <w:tcW w:type="dxa" w:w="1385"/>
          </w:tcPr>
          <w:p>
            <w:r>
              <w:rPr>
                <w:rFonts w:ascii="Times New Roman" w:hAnsi="Times New Roman"/>
                <w:sz w:val="20"/>
              </w:rPr>
              <w:t>CI relative</w:t>
            </w:r>
          </w:p>
        </w:tc>
      </w:tr>
      <w:tr>
        <w:tc>
          <w:tcPr>
            <w:tcW w:type="dxa" w:w="1385"/>
          </w:tcPr>
          <w:p>
            <w:r>
              <w:rPr>
                <w:rFonts w:ascii="Times New Roman" w:hAnsi="Times New Roman"/>
                <w:sz w:val="20"/>
              </w:rPr>
              <w:t>**Coût mensuel**</w:t>
            </w:r>
          </w:p>
        </w:tc>
        <w:tc>
          <w:tcPr>
            <w:tcW w:type="dxa" w:w="1385"/>
          </w:tcPr>
          <w:p>
            <w:r>
              <w:rPr>
                <w:rFonts w:ascii="Times New Roman" w:hAnsi="Times New Roman"/>
                <w:sz w:val="20"/>
              </w:rPr>
              <w:t>Très élevé (~80 000 DA/injection)</w:t>
            </w:r>
          </w:p>
        </w:tc>
        <w:tc>
          <w:tcPr>
            <w:tcW w:type="dxa" w:w="1385"/>
          </w:tcPr>
          <w:p>
            <w:r>
              <w:rPr>
                <w:rFonts w:ascii="Times New Roman" w:hAnsi="Times New Roman"/>
                <w:sz w:val="20"/>
              </w:rPr>
              <w:t>Modéré (~15 000 DA/cycle)</w:t>
            </w:r>
          </w:p>
        </w:tc>
        <w:tc>
          <w:tcPr>
            <w:tcW w:type="dxa" w:w="1385"/>
          </w:tcPr>
          <w:p>
            <w:r>
              <w:rPr>
                <w:rFonts w:ascii="Times New Roman" w:hAnsi="Times New Roman"/>
                <w:sz w:val="20"/>
              </w:rPr>
              <w:t>Élevé (~30 000 DA/mois)</w:t>
            </w:r>
          </w:p>
        </w:tc>
        <w:tc>
          <w:tcPr>
            <w:tcW w:type="dxa" w:w="1385"/>
          </w:tcPr>
          <w:p>
            <w:r>
              <w:rPr>
                <w:rFonts w:ascii="Times New Roman" w:hAnsi="Times New Roman"/>
                <w:sz w:val="20"/>
              </w:rPr>
              <w:t>Élevé (~30 000 DA/mois)</w:t>
            </w:r>
          </w:p>
        </w:tc>
        <w:tc>
          <w:tcPr>
            <w:tcW w:type="dxa" w:w="1385"/>
          </w:tcPr>
          <w:p>
            <w:r>
              <w:rPr>
                <w:rFonts w:ascii="Times New Roman" w:hAnsi="Times New Roman"/>
                <w:sz w:val="20"/>
              </w:rPr>
              <w:t>Très élevé</w:t>
            </w:r>
          </w:p>
        </w:tc>
      </w:tr>
      <w:tr>
        <w:tc>
          <w:tcPr>
            <w:tcW w:type="dxa" w:w="1385"/>
          </w:tcPr>
          <w:p>
            <w:r>
              <w:rPr>
                <w:rFonts w:ascii="Times New Roman" w:hAnsi="Times New Roman"/>
                <w:sz w:val="20"/>
              </w:rPr>
              <w:t>**Disponibilité Algérie**</w:t>
            </w:r>
          </w:p>
        </w:tc>
        <w:tc>
          <w:tcPr>
            <w:tcW w:type="dxa" w:w="1385"/>
          </w:tcPr>
          <w:p>
            <w:r>
              <w:rPr>
                <w:rFonts w:ascii="Times New Roman" w:hAnsi="Times New Roman"/>
                <w:sz w:val="20"/>
              </w:rPr>
              <w:t>Oui (CPMC Alger)</w:t>
            </w:r>
          </w:p>
        </w:tc>
        <w:tc>
          <w:tcPr>
            <w:tcW w:type="dxa" w:w="1385"/>
          </w:tcPr>
          <w:p>
            <w:r>
              <w:rPr>
                <w:rFonts w:ascii="Times New Roman" w:hAnsi="Times New Roman"/>
                <w:sz w:val="20"/>
              </w:rPr>
              <w:t>Oui</w:t>
            </w:r>
          </w:p>
        </w:tc>
        <w:tc>
          <w:tcPr>
            <w:tcW w:type="dxa" w:w="1385"/>
          </w:tcPr>
          <w:p>
            <w:r>
              <w:rPr>
                <w:rFonts w:ascii="Times New Roman" w:hAnsi="Times New Roman"/>
                <w:sz w:val="20"/>
              </w:rPr>
              <w:t>Oui</w:t>
            </w:r>
          </w:p>
        </w:tc>
        <w:tc>
          <w:tcPr>
            <w:tcW w:type="dxa" w:w="1385"/>
          </w:tcPr>
          <w:p>
            <w:r>
              <w:rPr>
                <w:rFonts w:ascii="Times New Roman" w:hAnsi="Times New Roman"/>
                <w:sz w:val="20"/>
              </w:rPr>
              <w:t>Oui</w:t>
            </w:r>
          </w:p>
        </w:tc>
        <w:tc>
          <w:tcPr>
            <w:tcW w:type="dxa" w:w="1385"/>
          </w:tcPr>
          <w:p>
            <w:r>
              <w:rPr>
                <w:rFonts w:ascii="Times New Roman" w:hAnsi="Times New Roman"/>
                <w:sz w:val="20"/>
              </w:rPr>
              <w:t>Non (à venir)</w:t>
            </w:r>
          </w:p>
        </w:tc>
      </w:tr>
    </w:tbl>
    <w:p/>
    <w:p>
      <w:pPr>
        <w:pStyle w:val="Heading3"/>
      </w:pPr>
      <w:r>
        <w:t>244.12.1 Synthèse transversale de la sous-classe</w:t>
      </w:r>
    </w:p>
    <w:p>
      <w:r>
        <w:t>Le dichlorure de radium-223 occupe une place stratégique dans l'arsenal thérapeutique du mCRPC, en raison de son action ciblée sur les métastases osseuses (sans efficacité sur les métastases viscérales), de son profil de tolérance favorable (myélosuppression modérée, effets gastro-intestinaux modérés), et de son bénéfice en survie globale (3,6 mois) et en réduction des événements osseux symptomatiques. Sa place dans la stratégie thérapeutique globale du mCRPC est en cours d'évolution, en raison de l'arrivée des hormonothérapies de nouvelle génération (abiratérone, enzalutamide) qui ont transformé la prise en charge de première ligne du mCRPC. Le radium-223 est désormais principalement utilisé en seconde ou troisième ligne, après échec de l'hormonothérapie de nouvelle génération et/ou de la chimiothérapie par docétaxel, en cas de métastases osseuses exclusives symptomatiques. L'arrivée du lutécium-177-PSMA (Pluvicto) dans les prochaines années en Algérie modifiera probablement à nouveau la stratégie thérapeutique.</w:t>
      </w:r>
    </w:p>
    <w:p>
      <w:pPr>
        <w:pStyle w:val="Heading3"/>
      </w:pPr>
      <w:r>
        <w:t>244.12.2 Conclusion du chapitre 244</w:t>
      </w:r>
    </w:p>
    <w:p>
      <w:r>
        <w:t>Le dichlorure de radium-223 constitue le premier représentant de la classe des émetteurs alpha thérapeutiques commercialisé en Algérie, et illustre l'évolution de la médecine nucléaire thérapeutique vers des traitements ciblés à haute efficacité cytotoxique et à toxicité maîtrisée. La prescription et l'administration du radium-223 sont strictement hospitalières, réservées aux services de médecine nucléaire agréés, mais le pharmacien d'officine algérien doit connaître les principes pharmacologiques, cliniques et radioprotectionnels pour pouvoir conseiller les patients traités, surveiller les effets indésirables à distance et coordonner la prise en charge pharmaceutique globale. Le chapitre suivant traite des dispositifs médicaux antacides (alginates), utilisés dans le reflux gastro-œsophagien, qui clôture l'arsenal thérapeutique algérien couvert par ce fascicule.</w:t>
      </w:r>
    </w:p>
    <w:p>
      <w:pPr>
        <w:pStyle w:val="Heading1"/>
      </w:pPr>
      <w:r>
        <w:t>Chapitre 245 — Dispositifs médicaux antacides : Alginates (Alginate de sodium + Bicarbonate de sodium ± Carbonate de calcium)</w:t>
      </w:r>
    </w:p>
    <w:p>
      <w:pPr>
        <w:pStyle w:val="Heading2"/>
      </w:pPr>
      <w:r>
        <w:t>Fascicule XXIV — Phytothérapie, Médecine Nucléaire &amp; Dispositifs Médicaux</w:t>
      </w:r>
    </w:p>
    <w:p>
      <w:pPr>
        <w:pStyle w:val="Heading2"/>
      </w:pPr>
      <w:r>
        <w:t>245.0 Introduction au chapitre 245 — Dispositifs antacides de la classe des alginates</w:t>
      </w:r>
    </w:p>
    <w:p>
      <w:r>
        <w:t xml:space="preserve">Les dispositifs médicaux antacides de la classe des alginates constituent une classe pharmacologique particulière, située à l'interface entre le médicament à absorption systémique et le dispositif médical pur. Le principe actif principal, l'alginate de sodium (numéro E401 de la nomenclature des additifs alimentaires européens), est un polysaccharide naturel anionique extrait des parois cellulaires d'algues brunes marines des genres </w:t>
      </w:r>
      <w:r>
        <w:rPr>
          <w:i/>
        </w:rPr>
        <w:t>Laminaria</w:t>
      </w:r>
      <w:r>
        <w:t xml:space="preserve"> (</w:t>
      </w:r>
      <w:r>
        <w:rPr>
          <w:i/>
        </w:rPr>
        <w:t>Laminaria digitata</w:t>
      </w:r>
      <w:r>
        <w:t xml:space="preserve">, </w:t>
      </w:r>
      <w:r>
        <w:rPr>
          <w:i/>
        </w:rPr>
        <w:t>Laminaria hyperborea</w:t>
      </w:r>
      <w:r>
        <w:t xml:space="preserve">) et </w:t>
      </w:r>
      <w:r>
        <w:rPr>
          <w:i/>
        </w:rPr>
        <w:t>Macrocystis</w:t>
      </w:r>
      <w:r>
        <w:t xml:space="preserve"> (</w:t>
      </w:r>
      <w:r>
        <w:rPr>
          <w:i/>
        </w:rPr>
        <w:t>Macrocystis pyrifera</w:t>
      </w:r>
      <w:r>
        <w:t xml:space="preserve">), ainsi que, plus rarement, des algues rouges du genre </w:t>
      </w:r>
      <w:r>
        <w:rPr>
          <w:i/>
        </w:rPr>
        <w:t>Gelidium</w:t>
      </w:r>
      <w:r>
        <w:t>. Associé au bicarbonate de sodium en milieu acide gastrique, l'alginate précipite sous forme de gel hydrophile, tandis que le bicarbonate libère du dioxyde de carbone (CO₂) qui reste piégé dans la matrice du gel, faisant flotter celui-ci à la surface du contenu gastrique. Ce radeau (raft) flottant constitue une barrière physique mécanique empêchant le reflux du contenu gastrique acide vers l'œsophage. Cette barrière est neutre sur le plan systémique car l'alginate n'est pas absorbé de manière significative au niveau intestinal, ce qui en fait un traitement de choix chez la femme enceinte (autorisation CRAT jusqu'au terme), l'enfant et le sujet âgé polymédicamenté.</w:t>
      </w:r>
    </w:p>
    <w:p>
      <w:r>
        <w:t>La classe des alginates représente, en Algérie comme dans l'ensemble du monde, le traitement symptomatique de première intention du reflux gastro-œsophagien (RGO) non compliqué, en particulier des formes purement symptomatiques (pyrosis isolé, régurgitations acides, reflux post-prandial). Le marché algérien des alginates est dominé par les laboratoires nationaux (Biopharm, Pharmaghreb, NADPHARMADIC, NEOMEDIC, SARL Groupe Pharmaceutique Algérien) qui ont développé une gamme complète de spécialités couvrant tous les profils de patients : suspensions buvables en flacon de 200 à 250 mL pour l'adulte (NOBAC, GASTOMAX, GASTRIUM), suspensions en sticks unidoses de 10 mL pour la prise nomade (GATIMOX, GAVIX, NOBAC sachets), comprimés à croquer pour les patients réticents aux formes liquides (NOBAC comprimé). L'innovation thérapeutique réside dans la formulation triple (alginate + bicarbonate + carbonate de calcium), commercialisée en Algérie sous la marque NOBAC comprimé à croquer (Biopharm), qui apporte un effet tampon supplémentaire et une consistance de gel renforcée grâce au carbonate de calcium qui agit à la fois comme antiacide minéral et comme agent de précipitation du gel.</w:t>
      </w:r>
    </w:p>
    <w:p>
      <w:r>
        <w:t>Le présent chapitre consolide en deux monographies distinctes les trois DCI théoriques du fichier source : la première monographie (section 245.1) couvre l'alginate double (alginate de sodium + bicarbonate de sodium) qui regroupe dix spécialités algériennes (neuf actives et une non renouvelable, Gaviscon de SmithKline Beecham), et la deuxième monographie (section 245.2) couvre l'alginate triple (alginate de sodium + bicarbonate de sodium + carbonate de calcium) qui regroupe une spécialité algérienne unique (NOBAC comprimé à croquer, Biopharm). Chaque monographie suit la structure standardisée en douze sous-sections conformément aux autres chapitres du traité. L'enseignement de la pharmacie clinique des alginates doit intégrer quatre dimensions complémentaires : la chimie galénique du raft, la clinique du RGO symptomatique, la posologie et le conseil pharmaceutique au comptoir, et la pharmacovigilance des effets indésirables (ballonnement, constipation, syndrome lait-alcalin en cas d'usage prolongé du carbonate de calcium).</w:t>
      </w:r>
    </w:p>
    <w:p>
      <w:pPr>
        <w:pStyle w:val="Heading2"/>
      </w:pPr>
      <w:r>
        <w:t>245.1 ALGINATE DE SODIUM + BICARBONATE DE SODIUM — Fiche DCI complète (12 sous-sections)</w:t>
      </w:r>
    </w:p>
    <w:p>
      <w:pPr>
        <w:pStyle w:val="Heading3"/>
      </w:pPr>
      <w:r>
        <w:t>245.1.1 Liste des catégories thérapeutiques (classification ATC OMS)</w:t>
      </w:r>
    </w:p>
    <w:p>
      <w:r>
        <w:t xml:space="preserve">L'association alginate de sodium + bicarbonate de sodium est classée dans la classification ATC (Anatomical Therapeutic Chemical classification) de l'OMS sous le code </w:t>
      </w:r>
      <w:r>
        <w:rPr>
          <w:b/>
        </w:rPr>
        <w:t>A02BX13</w:t>
      </w:r>
      <w:r>
        <w:t>, qui se décompose comme suit :</w:t>
      </w:r>
    </w:p>
    <w:p>
      <w:pPr>
        <w:pStyle w:val="ListBullet"/>
      </w:pPr>
      <w:r/>
      <w:r>
        <w:rPr>
          <w:b/>
        </w:rPr>
        <w:t>A</w:t>
      </w:r>
      <w:r>
        <w:t xml:space="preserve"> : Voie digestive (niveau anatomique principal)</w:t>
      </w:r>
    </w:p>
    <w:p>
      <w:pPr>
        <w:pStyle w:val="ListBullet"/>
      </w:pPr>
      <w:r/>
      <w:r>
        <w:rPr>
          <w:b/>
        </w:rPr>
        <w:t>A02</w:t>
      </w:r>
      <w:r>
        <w:t xml:space="preserve"> : Anti-acides et antiulcéreux (niveau thérapeutique principal)</w:t>
      </w:r>
    </w:p>
    <w:p>
      <w:pPr>
        <w:pStyle w:val="ListBullet"/>
      </w:pPr>
      <w:r/>
      <w:r>
        <w:rPr>
          <w:b/>
        </w:rPr>
        <w:t>A02B</w:t>
      </w:r>
      <w:r>
        <w:t xml:space="preserve"> : Médicaments contre l'ulcère peptique et le reflux gastro-œsophagien (niveau pharmacologique)</w:t>
      </w:r>
    </w:p>
    <w:p>
      <w:pPr>
        <w:pStyle w:val="ListBullet"/>
      </w:pPr>
      <w:r/>
      <w:r>
        <w:rPr>
          <w:b/>
        </w:rPr>
        <w:t>A02BX</w:t>
      </w:r>
      <w:r>
        <w:t xml:space="preserve"> : Autres médicaments contre l'ulcère peptique et le reflux gastro-œsophagien (niveau sous-classe)</w:t>
      </w:r>
    </w:p>
    <w:p>
      <w:pPr>
        <w:pStyle w:val="ListBullet"/>
      </w:pPr>
      <w:r/>
      <w:r>
        <w:rPr>
          <w:b/>
        </w:rPr>
        <w:t>A02BX13</w:t>
      </w:r>
      <w:r>
        <w:t xml:space="preserve"> : Alginate de sodium + bicarbonate de sodium (niveau substance)</w:t>
      </w:r>
    </w:p>
    <w:p>
      <w:r>
        <w:t>Cette classification ATC reflète le statut hybride de l'association alginate-bicarbonate, qui n'est ni un antiacide minéral classique (A02A, type hydroxyde d'aluminium + hydroxyde de magnésium) ni un antisécrétoire (A02B C, type inhibiteurs de la pompe à protons ou antagonistes des récepteurs H2), mais un agent formateur de radeau flottant (raft-forming agent). Le mécanisme d'action principal est mécanique et physique (barrière flottante anti-reflux), avec un effet antiacide chimique complémentaire modeste (neutralisation de l'acidité gastrique par le bicarbonate de sodium et le CO₂ libéré). Le statut réglementaire algérien varie selon les spécialités : la majorité des suspensions buvables en flacon sont classées hors liste (NOBAC adulte fraise et menthe, GASTRIUM, GATIMOX arôme fenouil) ou sur la Liste II des substances vénéneuses (GASTOMAX, GAVIX, NOBAC fraise, NOBAC menthe). La forme sachet-dose NOBAC (fraise-menthe-anis) est classée sur la Liste I, ce qui impose prescription médicale obligatoire, en raison probablement d'un choix réglementaire spécifique lié au conditionnement unitaire de prise nomade. Le Gaviscon (SmithKline Beecham), spécialité historique de la classe, est classé hors liste mais a été déclaré non renouvelable en Algérie (commercialisation suspendue).</w:t>
      </w:r>
    </w:p>
    <w:p>
      <w:pPr>
        <w:pStyle w:val="Heading3"/>
      </w:pPr>
      <w:r>
        <w:t>245.1.2 Médicaments disponibles en Algérie</w:t>
      </w:r>
    </w:p>
    <w:p>
      <w:r>
        <w:t>Le tableau ci-dessous recense l'ensemble des spécialités pharmaceutiques d'alginate double (alginate de sodium + bicarbonate de sodium) disponibles ou ayant été disponibles sur le marché algérien, à la date de la nomenclature Avril 2026. Il inclut les spécialités actives (commercialisées) et les spécialités non renouvelables (commercialisation suspendue transitoirement).</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GASTOMAX</w:t>
            </w:r>
          </w:p>
        </w:tc>
        <w:tc>
          <w:tcPr>
            <w:tcW w:type="dxa" w:w="1385"/>
          </w:tcPr>
          <w:p>
            <w:r>
              <w:rPr>
                <w:rFonts w:ascii="Times New Roman" w:hAnsi="Times New Roman"/>
                <w:sz w:val="20"/>
              </w:rPr>
              <w:t>LABORATOIRES PHARMAGHREB</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Flacon de 200 mL</w:t>
            </w:r>
          </w:p>
        </w:tc>
        <w:tc>
          <w:tcPr>
            <w:tcW w:type="dxa" w:w="1385"/>
          </w:tcPr>
          <w:p>
            <w:r>
              <w:rPr>
                <w:rFonts w:ascii="Times New Roman" w:hAnsi="Times New Roman"/>
                <w:sz w:val="20"/>
              </w:rPr>
              <w:t>Liste II</w:t>
            </w:r>
          </w:p>
        </w:tc>
        <w:tc>
          <w:tcPr>
            <w:tcW w:type="dxa" w:w="1385"/>
          </w:tcPr>
          <w:p>
            <w:r>
              <w:rPr>
                <w:rFonts w:ascii="Times New Roman" w:hAnsi="Times New Roman"/>
                <w:sz w:val="20"/>
              </w:rPr>
              <w:t>ACTIF</w:t>
            </w:r>
          </w:p>
        </w:tc>
      </w:tr>
      <w:tr>
        <w:tc>
          <w:tcPr>
            <w:tcW w:type="dxa" w:w="1385"/>
          </w:tcPr>
          <w:p>
            <w:r>
              <w:rPr>
                <w:rFonts w:ascii="Times New Roman" w:hAnsi="Times New Roman"/>
                <w:sz w:val="20"/>
              </w:rPr>
              <w:t>GASTRIUM</w:t>
            </w:r>
          </w:p>
        </w:tc>
        <w:tc>
          <w:tcPr>
            <w:tcW w:type="dxa" w:w="1385"/>
          </w:tcPr>
          <w:p>
            <w:r>
              <w:rPr>
                <w:rFonts w:ascii="Times New Roman" w:hAnsi="Times New Roman"/>
                <w:sz w:val="20"/>
              </w:rPr>
              <w:t>SARL LABORATOIRE GROUPEMENT PHARMACEUTIQUE ALGERIEN</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Flacon de 200 mL</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GATIMOX ARÔME FENOUIL</w:t>
            </w:r>
          </w:p>
        </w:tc>
        <w:tc>
          <w:tcPr>
            <w:tcW w:type="dxa" w:w="1385"/>
          </w:tcPr>
          <w:p>
            <w:r>
              <w:rPr>
                <w:rFonts w:ascii="Times New Roman" w:hAnsi="Times New Roman"/>
                <w:sz w:val="20"/>
              </w:rPr>
              <w:t>NADPHARMADIC-PRODUCTION</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Boîte de 12 et 24 sticks unidoses de 10 mL</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GAVIX</w:t>
            </w:r>
          </w:p>
        </w:tc>
        <w:tc>
          <w:tcPr>
            <w:tcW w:type="dxa" w:w="1385"/>
          </w:tcPr>
          <w:p>
            <w:r>
              <w:rPr>
                <w:rFonts w:ascii="Times New Roman" w:hAnsi="Times New Roman"/>
                <w:sz w:val="20"/>
              </w:rPr>
              <w:t>NEOMEDIC</w:t>
            </w:r>
          </w:p>
        </w:tc>
        <w:tc>
          <w:tcPr>
            <w:tcW w:type="dxa" w:w="1385"/>
          </w:tcPr>
          <w:p>
            <w:r>
              <w:rPr>
                <w:rFonts w:ascii="Times New Roman" w:hAnsi="Times New Roman"/>
                <w:sz w:val="20"/>
              </w:rPr>
              <w:t>Suspension buvable en sachet-dose, 50 mg/26,7 mg/mL</w:t>
            </w:r>
          </w:p>
        </w:tc>
        <w:tc>
          <w:tcPr>
            <w:tcW w:type="dxa" w:w="1385"/>
          </w:tcPr>
          <w:p>
            <w:r>
              <w:rPr>
                <w:rFonts w:ascii="Times New Roman" w:hAnsi="Times New Roman"/>
                <w:sz w:val="20"/>
              </w:rPr>
              <w:t>Boîte de 12 et 24</w:t>
            </w:r>
          </w:p>
        </w:tc>
        <w:tc>
          <w:tcPr>
            <w:tcW w:type="dxa" w:w="1385"/>
          </w:tcPr>
          <w:p>
            <w:r>
              <w:rPr>
                <w:rFonts w:ascii="Times New Roman" w:hAnsi="Times New Roman"/>
                <w:sz w:val="20"/>
              </w:rPr>
              <w:t>Liste II</w:t>
            </w:r>
          </w:p>
        </w:tc>
        <w:tc>
          <w:tcPr>
            <w:tcW w:type="dxa" w:w="1385"/>
          </w:tcPr>
          <w:p>
            <w:r>
              <w:rPr>
                <w:rFonts w:ascii="Times New Roman" w:hAnsi="Times New Roman"/>
                <w:sz w:val="20"/>
              </w:rPr>
              <w:t>ACTIF</w:t>
            </w:r>
          </w:p>
        </w:tc>
      </w:tr>
      <w:tr>
        <w:tc>
          <w:tcPr>
            <w:tcW w:type="dxa" w:w="1385"/>
          </w:tcPr>
          <w:p>
            <w:r>
              <w:rPr>
                <w:rFonts w:ascii="Times New Roman" w:hAnsi="Times New Roman"/>
                <w:sz w:val="20"/>
              </w:rPr>
              <w:t>NOBAC ADULTE GOÛT FRAISE</w:t>
            </w:r>
          </w:p>
        </w:tc>
        <w:tc>
          <w:tcPr>
            <w:tcW w:type="dxa" w:w="1385"/>
          </w:tcPr>
          <w:p>
            <w:r>
              <w:rPr>
                <w:rFonts w:ascii="Times New Roman" w:hAnsi="Times New Roman"/>
                <w:sz w:val="20"/>
              </w:rPr>
              <w:t>BIOPHARM</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Flacon de 200 mL</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NOBAC ADULTE GOÛT MENTHE</w:t>
            </w:r>
          </w:p>
        </w:tc>
        <w:tc>
          <w:tcPr>
            <w:tcW w:type="dxa" w:w="1385"/>
          </w:tcPr>
          <w:p>
            <w:r>
              <w:rPr>
                <w:rFonts w:ascii="Times New Roman" w:hAnsi="Times New Roman"/>
                <w:sz w:val="20"/>
              </w:rPr>
              <w:t>BIOPHARM</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Flacon de 200 mL</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r>
        <w:tc>
          <w:tcPr>
            <w:tcW w:type="dxa" w:w="1385"/>
          </w:tcPr>
          <w:p>
            <w:r>
              <w:rPr>
                <w:rFonts w:ascii="Times New Roman" w:hAnsi="Times New Roman"/>
                <w:sz w:val="20"/>
              </w:rPr>
              <w:t>NOBAC FRAISE</w:t>
            </w:r>
          </w:p>
        </w:tc>
        <w:tc>
          <w:tcPr>
            <w:tcW w:type="dxa" w:w="1385"/>
          </w:tcPr>
          <w:p>
            <w:r>
              <w:rPr>
                <w:rFonts w:ascii="Times New Roman" w:hAnsi="Times New Roman"/>
                <w:sz w:val="20"/>
              </w:rPr>
              <w:t>BIOPHARM</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Flacon de 200 mL</w:t>
            </w:r>
          </w:p>
        </w:tc>
        <w:tc>
          <w:tcPr>
            <w:tcW w:type="dxa" w:w="1385"/>
          </w:tcPr>
          <w:p>
            <w:r>
              <w:rPr>
                <w:rFonts w:ascii="Times New Roman" w:hAnsi="Times New Roman"/>
                <w:sz w:val="20"/>
              </w:rPr>
              <w:t>Liste II</w:t>
            </w:r>
          </w:p>
        </w:tc>
        <w:tc>
          <w:tcPr>
            <w:tcW w:type="dxa" w:w="1385"/>
          </w:tcPr>
          <w:p>
            <w:r>
              <w:rPr>
                <w:rFonts w:ascii="Times New Roman" w:hAnsi="Times New Roman"/>
                <w:sz w:val="20"/>
              </w:rPr>
              <w:t>ACTIF</w:t>
            </w:r>
          </w:p>
        </w:tc>
      </w:tr>
      <w:tr>
        <w:tc>
          <w:tcPr>
            <w:tcW w:type="dxa" w:w="1385"/>
          </w:tcPr>
          <w:p>
            <w:r>
              <w:rPr>
                <w:rFonts w:ascii="Times New Roman" w:hAnsi="Times New Roman"/>
                <w:sz w:val="20"/>
              </w:rPr>
              <w:t>NOBAC GOÛT FRAISE / MENTHE / ANIS (sachet)</w:t>
            </w:r>
          </w:p>
        </w:tc>
        <w:tc>
          <w:tcPr>
            <w:tcW w:type="dxa" w:w="1385"/>
          </w:tcPr>
          <w:p>
            <w:r>
              <w:rPr>
                <w:rFonts w:ascii="Times New Roman" w:hAnsi="Times New Roman"/>
                <w:sz w:val="20"/>
              </w:rPr>
              <w:t>BIOPHARM</w:t>
            </w:r>
          </w:p>
        </w:tc>
        <w:tc>
          <w:tcPr>
            <w:tcW w:type="dxa" w:w="1385"/>
          </w:tcPr>
          <w:p>
            <w:r>
              <w:rPr>
                <w:rFonts w:ascii="Times New Roman" w:hAnsi="Times New Roman"/>
                <w:sz w:val="20"/>
              </w:rPr>
              <w:t>Suspension buvable en sachet-dose, 50 mg/26,7 mg/mL</w:t>
            </w:r>
          </w:p>
        </w:tc>
        <w:tc>
          <w:tcPr>
            <w:tcW w:type="dxa" w:w="1385"/>
          </w:tcPr>
          <w:p>
            <w:r>
              <w:rPr>
                <w:rFonts w:ascii="Times New Roman" w:hAnsi="Times New Roman"/>
                <w:sz w:val="20"/>
              </w:rPr>
              <w:t>Boîte de 24</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NOBAC MENTHE</w:t>
            </w:r>
          </w:p>
        </w:tc>
        <w:tc>
          <w:tcPr>
            <w:tcW w:type="dxa" w:w="1385"/>
          </w:tcPr>
          <w:p>
            <w:r>
              <w:rPr>
                <w:rFonts w:ascii="Times New Roman" w:hAnsi="Times New Roman"/>
                <w:sz w:val="20"/>
              </w:rPr>
              <w:t>BIOPHARM</w:t>
            </w:r>
          </w:p>
        </w:tc>
        <w:tc>
          <w:tcPr>
            <w:tcW w:type="dxa" w:w="1385"/>
          </w:tcPr>
          <w:p>
            <w:r>
              <w:rPr>
                <w:rFonts w:ascii="Times New Roman" w:hAnsi="Times New Roman"/>
                <w:sz w:val="20"/>
              </w:rPr>
              <w:t>Suspension buvable, 50 mg/26,7 mg/mL</w:t>
            </w:r>
          </w:p>
        </w:tc>
        <w:tc>
          <w:tcPr>
            <w:tcW w:type="dxa" w:w="1385"/>
          </w:tcPr>
          <w:p>
            <w:r>
              <w:rPr>
                <w:rFonts w:ascii="Times New Roman" w:hAnsi="Times New Roman"/>
                <w:sz w:val="20"/>
              </w:rPr>
              <w:t>Flacon de 200 mL et 250 mL</w:t>
            </w:r>
          </w:p>
        </w:tc>
        <w:tc>
          <w:tcPr>
            <w:tcW w:type="dxa" w:w="1385"/>
          </w:tcPr>
          <w:p>
            <w:r>
              <w:rPr>
                <w:rFonts w:ascii="Times New Roman" w:hAnsi="Times New Roman"/>
                <w:sz w:val="20"/>
              </w:rPr>
              <w:t>Liste II</w:t>
            </w:r>
          </w:p>
        </w:tc>
        <w:tc>
          <w:tcPr>
            <w:tcW w:type="dxa" w:w="1385"/>
          </w:tcPr>
          <w:p>
            <w:r>
              <w:rPr>
                <w:rFonts w:ascii="Times New Roman" w:hAnsi="Times New Roman"/>
                <w:sz w:val="20"/>
              </w:rPr>
              <w:t>ACTIF</w:t>
            </w:r>
          </w:p>
        </w:tc>
      </w:tr>
      <w:tr>
        <w:tc>
          <w:tcPr>
            <w:tcW w:type="dxa" w:w="1385"/>
          </w:tcPr>
          <w:p>
            <w:r>
              <w:rPr>
                <w:rFonts w:ascii="Times New Roman" w:hAnsi="Times New Roman"/>
                <w:sz w:val="20"/>
              </w:rPr>
              <w:t>GAVISCON</w:t>
            </w:r>
          </w:p>
        </w:tc>
        <w:tc>
          <w:tcPr>
            <w:tcW w:type="dxa" w:w="1385"/>
          </w:tcPr>
          <w:p>
            <w:r>
              <w:rPr>
                <w:rFonts w:ascii="Times New Roman" w:hAnsi="Times New Roman"/>
                <w:sz w:val="20"/>
              </w:rPr>
              <w:t>SMITHKLINE BEECHAM</w:t>
            </w:r>
          </w:p>
        </w:tc>
        <w:tc>
          <w:tcPr>
            <w:tcW w:type="dxa" w:w="1385"/>
          </w:tcPr>
          <w:p>
            <w:r>
              <w:rPr>
                <w:rFonts w:ascii="Times New Roman" w:hAnsi="Times New Roman"/>
                <w:sz w:val="20"/>
              </w:rPr>
              <w:t>Suspension buvable (dosage non précisé)</w:t>
            </w:r>
          </w:p>
        </w:tc>
        <w:tc>
          <w:tcPr>
            <w:tcW w:type="dxa" w:w="1385"/>
          </w:tcPr>
          <w:p>
            <w:r>
              <w:rPr>
                <w:rFonts w:ascii="Times New Roman" w:hAnsi="Times New Roman"/>
                <w:sz w:val="20"/>
              </w:rPr>
              <w:t>Flacon de 250 mL</w:t>
            </w:r>
          </w:p>
        </w:tc>
        <w:tc>
          <w:tcPr>
            <w:tcW w:type="dxa" w:w="1385"/>
          </w:tcPr>
          <w:p>
            <w:r>
              <w:rPr>
                <w:rFonts w:ascii="Times New Roman" w:hAnsi="Times New Roman"/>
                <w:sz w:val="20"/>
              </w:rPr>
              <w:t>Hors liste</w:t>
            </w:r>
          </w:p>
        </w:tc>
        <w:tc>
          <w:tcPr>
            <w:tcW w:type="dxa" w:w="1385"/>
          </w:tcPr>
          <w:p>
            <w:r>
              <w:rPr>
                <w:rFonts w:ascii="Times New Roman" w:hAnsi="Times New Roman"/>
                <w:sz w:val="20"/>
              </w:rPr>
              <w:t>NON_RENOUVELABLE</w:t>
            </w:r>
          </w:p>
        </w:tc>
      </w:tr>
    </w:tbl>
    <w:p/>
    <w:p>
      <w:r/>
      <w:r>
        <w:rPr>
          <w:b/>
        </w:rPr>
        <w:t>Remarques sur la consolidation des DCI</w:t>
      </w:r>
      <w:r>
        <w:t xml:space="preserve"> : Les spécialités ci-dessus présentent toutes une composition quantitative strictement identique : 50 mg d'alginate de sodium et 26,7 mg de bicarbonate de sodium par mL de suspension buvable, soit par prise unitaire de 10 mL une dose totale de 500 mg d'alginate de sodium et 267 mg de bicarbonate de sodium. Cette posologie unitaire correspond à la dose standard internationale de référence pour les alginates doubles chez l'adulte (Gaviscon original de SmithKline Beecham, reprise par les génériques algériens). Les variations entre spécialités algériennes concernent uniquement le conditionnement (flacon de 200 ou 250 mL, sachets unidoses de 10 mL en boîte de 12 ou 24) et l'aromatisation (fraise, menthe, anis, fenouil), sans aucune modification de la composition pharmacologique. La pluralité des formes galéniques répond à des besoins cliniques distincts : flacon pour l'usage familial au domicile, sachets unidoses pour la prise nomade (travailleurs, étudiants, sujets actifs), arômes variés pour favoriser l'observance (en particulier chez l'enfant et le sujet âgé).</w:t>
      </w:r>
    </w:p>
    <w:p>
      <w:r/>
      <w:r>
        <w:rPr>
          <w:b/>
        </w:rPr>
        <w:t>Statut commercial détaillé</w:t>
      </w:r>
      <w:r>
        <w:t xml:space="preserve"> :</w:t>
      </w:r>
    </w:p>
    <w:p>
      <w:pPr>
        <w:pStyle w:val="ListBullet"/>
      </w:pPr>
      <w:r/>
      <w:r>
        <w:rPr>
          <w:b/>
        </w:rPr>
        <w:t>Spécialités actives (9)</w:t>
      </w:r>
      <w:r>
        <w:t xml:space="preserve"> : Le marché algérien des alginates doubles est saturé par les fabricants nationaux (Biopharm, Pharmaghreb, NADPHARMADIC, NEOMEDIC, SARL GPA) qui assurent l'autosuffisance thérapeutique du pays dans cette classe. La spécialité princeps internationale Gaviscon (SmithKline Beecham, aujourd'hui GSK) a été supplantée commercialement par les génériques locaux, en raison probablement d'un coût d'importation non compétitif et d'une préférence nationale pour les productions locales.</w:t>
      </w:r>
    </w:p>
    <w:p>
      <w:pPr>
        <w:pStyle w:val="ListBullet"/>
      </w:pPr>
      <w:r/>
      <w:r>
        <w:rPr>
          <w:b/>
        </w:rPr>
        <w:t>Spécialité non renouvelable (1)</w:t>
      </w:r>
      <w:r>
        <w:t xml:space="preserve"> : Gaviscon (SmithKline Beecham) a été déclaré non renouvelable, ce qui signifie que la commercialisation est suspendue transitoirement (le fabricant peut théoriquement réactiver l'AMM à tout moment). Les patients sous Gaviscon doivent être orientés vers NOBAC, GASTOMAX, GASTRIUM, GATIMOX ou GAVIX comme alternative thérapeutique, en précisant que la posologie et le schéma thérapeutique sont strictement identiques (10 mL après les trois repas principaux et au coucher).</w:t>
      </w:r>
    </w:p>
    <w:p>
      <w:pPr>
        <w:pStyle w:val="Heading3"/>
      </w:pPr>
      <w:r>
        <w:t>245.1.3 Sous-classe et mécanisme d'action moléculaire</w:t>
      </w:r>
    </w:p>
    <w:p>
      <w:pPr>
        <w:pStyle w:val="Heading4"/>
      </w:pPr>
      <w:r>
        <w:t>245.1.3.1 Composition chimique de l'alginate de sodium</w:t>
      </w:r>
    </w:p>
    <w:p>
      <w:r>
        <w:t>L'alginate de sodium (formule chimique (C₆H₇NaO₆)ₙ, masse moléculaire moyenne 70-200 kDa) est un polysaccharide naturel anionique linéaire composé de deux acides uroniques : l'acide β-D-mannuronique (blocs M) et l'acide α-L-guluronique (blocs G), reliés par des liaisons glycosidiques 1→4. La proportion et la séquence des blocs M et G déterminent la viscosité et la capacité de gélification de l'alginate : les blocs G, plus rigides, forment des jonctions intermoléculaires en présence de calcium, tandis que les blocs M, plus flexibles, contribuent à la viscosité. L'alginate de sodium pharmaceutique est obtenu par extraction alcaline (carbonate de sodium à 80°C) des parois cellulaires d'algues brunes, suivie d'une purification par précipitation alcoolique et d'une standardisation du rapport M/G (typiquement 60/40 pour les applications anti-reflux).</w:t>
      </w:r>
    </w:p>
    <w:p>
      <w:pPr>
        <w:pStyle w:val="Heading4"/>
      </w:pPr>
      <w:r>
        <w:t>245.1.3.2 Mécanisme d'action moléculaire principal : formation du raft</w:t>
      </w:r>
    </w:p>
    <w:p>
      <w:r>
        <w:t>Le mécanisme d'action de l'association alginate de sodium + bicarbonate de sodium repose sur un phénomène physico-chimique de formation de radeau flottant (raft) à la surface du contenu gastrique, en quatre étapes successives :</w:t>
      </w:r>
    </w:p>
    <w:p>
      <w:pPr>
        <w:pStyle w:val="ListNumber"/>
      </w:pPr>
      <w:r/>
      <w:r>
        <w:rPr>
          <w:b/>
        </w:rPr>
        <w:t>Précipitation acide de l'alginate</w:t>
      </w:r>
      <w:r>
        <w:t xml:space="preserve"> : L'alginate de sodium, soluble en milieu neutre (forme sodique), se trouve en solution dans la suspension buvable. Au contact de l'acide chlorhydrique gastrique (pH 1-2), les ions sodium sont échangés contre des ions hydrogène, transformant l'alginate de sodium en acide alginique insoluble, qui précipite sous forme de gel hydrophile visqueux à la surface du contenu gastrique.</w:t>
      </w:r>
    </w:p>
    <w:p>
      <w:pPr>
        <w:pStyle w:val="ListNumber"/>
      </w:pPr>
      <w:r/>
      <w:r>
        <w:rPr>
          <w:b/>
        </w:rPr>
        <w:t>Libération de CO₂ par le bicarbonate</w:t>
      </w:r>
      <w:r>
        <w:t xml:space="preserve"> : Simultanément, le bicarbonate de sodium (NaHCO₃) réagit avec l'acide chlorhydrique gastrique selon la réaction : NaHCO₃ + HCl → NaCl + H₂O + CO₂. Le dioxyde de carbone libéré reste piégé dans la matrice du gel d'alginate précipité, formant des bulles de gaz qui font flotter le gel à la surface du contenu gastrique.</w:t>
      </w:r>
    </w:p>
    <w:p>
      <w:pPr>
        <w:pStyle w:val="ListNumber"/>
      </w:pPr>
      <w:r/>
      <w:r>
        <w:rPr>
          <w:b/>
        </w:rPr>
        <w:t>Formation du raft flottant</w:t>
      </w:r>
      <w:r>
        <w:t xml:space="preserve"> : Le gel d'alginate + CO₂ forme un radeau flottant à la surface du contenu gastrique, d'une densité inférieure à celle du liquide gastrique (densité ~0,9 g/mL vs 1,0 g/mL), qui reste en position supérieure dans l'estomac, au niveau du cardia et de la jonction œsophago-gastrique.</w:t>
      </w:r>
    </w:p>
    <w:p>
      <w:pPr>
        <w:pStyle w:val="ListNumber"/>
      </w:pPr>
      <w:r/>
      <w:r>
        <w:rPr>
          <w:b/>
        </w:rPr>
        <w:t>Barrière physique anti-reflux</w:t>
      </w:r>
      <w:r>
        <w:t xml:space="preserve"> : Le raft flottant constitue une barrière physique mécanique empêchant le reflux du contenu gastrique acide vers l'œsophage. Le radeau persiste 3 à 4 heures après la prise, jusqu'à ce que la vidange gastrique l'évacue vers l'intestin grêle où l'alginate est partiellement hydrolysé par la flore colique (non absorbé de manière significative).</w:t>
      </w:r>
    </w:p>
    <w:p>
      <w:pPr>
        <w:pStyle w:val="Heading4"/>
      </w:pPr>
      <w:r>
        <w:t>245.1.3.3 Effets pharmacologiques complémentaires</w:t>
      </w:r>
    </w:p>
    <w:p>
      <w:r>
        <w:t xml:space="preserve">À côté du mécanisme principal de formation du raft, l'association alginate + bicarbonate exerce trois effets pharmacologiques complémentaires. </w:t>
      </w:r>
      <w:r>
        <w:rPr>
          <w:b/>
        </w:rPr>
        <w:t>Effet antiacide chimique modeste</w:t>
      </w:r>
      <w:r>
        <w:t xml:space="preserve"> : le bicarbonate de sodium neutralise une partie de l'acide chlorhydrique gastrique (capacité tampon ~25 mEq par prise de 10 mL), ce qui augmente transitoirement le pH gastrique de 1-2 à 3-4 pendant 30 à 60 minutes, mais sans atteindre l'efficacité antiacide des antiacides minéraux classiques (hydroxyde d'aluminium + hydroxyde de magnésium, Maalox). </w:t>
      </w:r>
      <w:r>
        <w:rPr>
          <w:b/>
        </w:rPr>
        <w:t>Effet protecteur de la muqueuse œsophagienne</w:t>
      </w:r>
      <w:r>
        <w:t xml:space="preserve"> : l'alginate forme un film protecteur sur la muqueuse œsophagienne en cas de reflux acide résiduel, réduisant l'irritation directe de l'épithélium malpighien œsophagien. </w:t>
      </w:r>
      <w:r>
        <w:rPr>
          <w:b/>
        </w:rPr>
        <w:t>Effet alcalinisant urinaire minimal</w:t>
      </w:r>
      <w:r>
        <w:t xml:space="preserve"> : le bicarbonate absorbé (partiellement, environ 30 % de la dose ingérée) est métabolisé en CO₂ et H₂O, avec une faible alcalinisation urinaire sans retentissement systémique significatif aux posologies usuelles (≤ 4 prises par jour).</w:t>
      </w:r>
    </w:p>
    <w:p>
      <w:pPr>
        <w:pStyle w:val="Heading4"/>
      </w:pPr>
      <w:r>
        <w:t>245.1.3.4 Pharmacocinétique et biodisponibilité</w:t>
      </w:r>
    </w:p>
    <w:p>
      <w:r>
        <w:t>L'alginate de sodium n'est pas absorbé au niveau du tractus gastro-intestinal en raison de sa masse moléculaire élevée (&gt; 70 kDa) et de sa nature polyanionique qui empêche le passage transmembranaire. Après formation du raft et vidange gastrique (3-4 heures), l'alginate transite dans l'intestin grêle où il n'est pas hydrolysé par les enzymes pancréatiques (absence d'alginate-lyase humaine). Il atteint le côlon où il est partiellement fermenté par la flore colique en acides gras à chaîne courte (acétate, propionate, butyrate), avec une élimination fécale majoritaire. Le bicarbonate de sodium est partiellement absorbé (environ 30 % de la dose ingérée), métabolisé en CO₂ éliminé par voie respiratoire et en H₂O éliminée par voie rénale. La demi-vie d'élimination du bicarbonate absorbé est de 30 minutes, sans accumulation systémique significative. Aucune adaptation posologique n'est nécessaire chez l'insuffisant rénal chronique aux posologies recommandées (≤ 4 prises par jour), mais une surveillance de la natrémie et de l'équilibre acido-basique est recommandée en cas d'usage prolongé au-delà de 14 jours consécutifs.</w:t>
      </w:r>
    </w:p>
    <w:p>
      <w:pPr>
        <w:pStyle w:val="Heading3"/>
      </w:pPr>
      <w:r>
        <w:t>245.1.4 Profil pharmacologique — indications, contre-indications, effets indésirables</w:t>
      </w:r>
    </w:p>
    <w:p>
      <w:pPr>
        <w:pStyle w:val="Heading4"/>
      </w:pPr>
      <w:r>
        <w:t>245.1.4.1 Indications thérapeutiques validées</w:t>
      </w:r>
    </w:p>
    <w:p>
      <w:r>
        <w:t>L'association alginate de sodium + bicarbonate de sodium dispose d'une autorisation de mise sur le marché (AMM) algérienne pour les indications suivantes, conformes aux recommandations de la SFED (Société Française d'Endoscopie Digestive) et de l'ACG (American College of Gastroenterology) :</w:t>
      </w:r>
    </w:p>
    <w:p>
      <w:pPr>
        <w:pStyle w:val="ListBullet"/>
      </w:pPr>
      <w:r/>
      <w:r>
        <w:rPr>
          <w:b/>
        </w:rPr>
        <w:t>Reflux gastro-œsophagien symptomatique non compliqué</w:t>
      </w:r>
      <w:r>
        <w:t xml:space="preserve"> : traitement symptomatique du pyrosis (brûlures rétrosternales ascendantes post-prandiales), des régurgitations acides et du reflux acide post-prandial, en particulier chez le patient naïf de traitement ou en cas de réponse insuffisante aux mesures hygiéno-diététiques seules (surélévation de la tête du lit, évitement des repas copieux et gras, abstinence tabagique et alcoolique).</w:t>
      </w:r>
    </w:p>
    <w:p>
      <w:pPr>
        <w:pStyle w:val="ListBullet"/>
      </w:pPr>
      <w:r/>
      <w:r>
        <w:rPr>
          <w:b/>
        </w:rPr>
        <w:t>RGO de la femme enceinte</w:t>
      </w:r>
      <w:r>
        <w:t xml:space="preserve"> : traitement de première intention du pyrosis gravidique (survenue chez 30 à 50 % des femmes enceintes, particulièrement au deuxième et troisième trimestre), en raison de l'excellent profil de sécurité materno-fœtal (autorisation CRAT jusqu'au terme, sans effet tératogène connu).</w:t>
      </w:r>
    </w:p>
    <w:p>
      <w:pPr>
        <w:pStyle w:val="ListBullet"/>
      </w:pPr>
      <w:r/>
      <w:r>
        <w:rPr>
          <w:b/>
        </w:rPr>
        <w:t>RGO de l'enfant</w:t>
      </w:r>
      <w:r>
        <w:t xml:space="preserve"> : traitement symptomatique des régurgitations simples du nourrisson et du RGO fonctionnel de l'enfant, en raison de la sécurité d'emploi et de l'absence d'absorption systémique significative.</w:t>
      </w:r>
    </w:p>
    <w:p>
      <w:pPr>
        <w:pStyle w:val="ListBullet"/>
      </w:pPr>
      <w:r/>
      <w:r>
        <w:rPr>
          <w:b/>
        </w:rPr>
        <w:t>RGO du sujet âgé polymédicamenté</w:t>
      </w:r>
      <w:r>
        <w:t xml:space="preserve"> : traitement de première intention chez le patient âgé prenant de multiples médicaments, en raison de l'absence d'interactions médicamenteuses systémiques significatives (à l'exception de la diminution de l'absorption des autres médicaments oraux, nécessitant une séparation de 2 heures).</w:t>
      </w:r>
    </w:p>
    <w:p>
      <w:pPr>
        <w:pStyle w:val="ListBullet"/>
      </w:pPr>
      <w:r/>
      <w:r>
        <w:rPr>
          <w:b/>
        </w:rPr>
        <w:t>Traitement d'appoint des œsophagites légères</w:t>
      </w:r>
      <w:r>
        <w:t xml:space="preserve"> (grade A et B de Los Angeles) : en association avec les inhibiteurs de la pompe à protons (IPP) pour le contrôle symptomatique rapide et la protection de la muqueuse œsophagienne pendant la phase de cicatrisation.</w:t>
      </w:r>
    </w:p>
    <w:p>
      <w:pPr>
        <w:pStyle w:val="ListBullet"/>
      </w:pPr>
      <w:r/>
      <w:r>
        <w:rPr>
          <w:b/>
        </w:rPr>
        <w:t>Prévention du reflux acide post-opératoire</w:t>
      </w:r>
      <w:r>
        <w:t xml:space="preserve"> : après chirurgie abdominale haute ou anesthésie générale, en prévention des vomissements acides post-opératoires.</w:t>
      </w:r>
    </w:p>
    <w:p>
      <w:pPr>
        <w:pStyle w:val="Heading4"/>
      </w:pPr>
      <w:r>
        <w:t>245.1.4.2 Contre-indications</w:t>
      </w:r>
    </w:p>
    <w:p>
      <w:r>
        <w:t>Les contre-indications de l'alginate double sont peu nombreuses en raison de l'absence d'absorption systémique significative, mais doivent être systématiquement recherchées avant la délivrance :</w:t>
      </w:r>
    </w:p>
    <w:p>
      <w:pPr>
        <w:pStyle w:val="ListBullet"/>
      </w:pPr>
      <w:r/>
      <w:r>
        <w:rPr>
          <w:b/>
        </w:rPr>
        <w:t>Hypersensibilité connue à l'alginate, au bicarbonate ou à l'un des excipients</w:t>
      </w:r>
      <w:r>
        <w:t xml:space="preserve"> (parahydroxybenzoate de méthyle, parahydroxybenzoate de propyle, arômes).</w:t>
      </w:r>
    </w:p>
    <w:p>
      <w:pPr>
        <w:pStyle w:val="ListBullet"/>
      </w:pPr>
      <w:r/>
      <w:r>
        <w:rPr>
          <w:b/>
        </w:rPr>
        <w:t>Insuffisance rénale sévère (clairance de la créatinine &lt; 30 mL/min)</w:t>
      </w:r>
      <w:r>
        <w:t xml:space="preserve"> : en raison du risque d'accumulation de sodium absorbé (risque d'hypernatrémie, d'œdèmes, d'hypertension artérielle) et d'alcalose métabolique (risque d'alcalose métabolique sévère en cas d'insuffisance rénale chronique terminale).</w:t>
      </w:r>
    </w:p>
    <w:p>
      <w:pPr>
        <w:pStyle w:val="ListBullet"/>
      </w:pPr>
      <w:r/>
      <w:r>
        <w:rPr>
          <w:b/>
        </w:rPr>
        <w:t>Régime hyposodé strict</w:t>
      </w:r>
      <w:r>
        <w:t xml:space="preserve"> : en raison de la teneur en sodium (267 mg de bicarbonate de sodium par prise de 10 mL, soit environ 73 mg de sodium par prise, et 292 mg de sodium par jour à la dose maximale de 4 prises), contre-indiquée chez les patients sous régime hyposodé strict (&lt; 2 g de sodium par jour) pour insuffisance cardiaque sévère, cirrhose ascitique ou néphropathie avec syndrome néphrotique.</w:t>
      </w:r>
    </w:p>
    <w:p>
      <w:pPr>
        <w:pStyle w:val="ListBullet"/>
      </w:pPr>
      <w:r/>
      <w:r>
        <w:rPr>
          <w:b/>
        </w:rPr>
        <w:t>Obstruction intestinale complète</w:t>
      </w:r>
      <w:r>
        <w:t xml:space="preserve"> : en raison du risque d'aggravation de l'occlusion par le gel d'alginate non absorbé.</w:t>
      </w:r>
    </w:p>
    <w:p>
      <w:pPr>
        <w:pStyle w:val="ListBullet"/>
      </w:pPr>
      <w:r/>
      <w:r>
        <w:rPr>
          <w:b/>
        </w:rPr>
        <w:t>Enfant de moins de 6 ans</w:t>
      </w:r>
      <w:r>
        <w:t xml:space="preserve"> : pour les formulations adultes (concentration 50 mg/26,7 mg/mL), en raison du risque de surdosage ; des formulations pédiatriques spécifiques (concentration réduite) sont nécessaires chez l'enfant de moins de 6 ans.</w:t>
      </w:r>
    </w:p>
    <w:p>
      <w:pPr>
        <w:pStyle w:val="Heading4"/>
      </w:pPr>
      <w:r>
        <w:t>245.1.4.3 Effets indésirables</w:t>
      </w:r>
    </w:p>
    <w:p>
      <w:r>
        <w:t>Les effets indésirables de l'alginate double sont rares et bénins en raison de l'absence d'absorption systémique significative, mais doivent être connus du pharmacien d'officine pour le conseil au comptoir :</w:t>
      </w:r>
    </w:p>
    <w:p>
      <w:pPr>
        <w:pStyle w:val="ListBullet"/>
      </w:pPr>
      <w:r/>
      <w:r>
        <w:rPr>
          <w:b/>
        </w:rPr>
        <w:t>Effets gastro-intestinaux (fréquents, 1-10 %)</w:t>
      </w:r>
      <w:r>
        <w:t xml:space="preserve"> : ballonnement épigastrique (lié au CO₂ libéré dans l'estomac, pouvant provoquer des éructations), constipation (plus fréquente avec les formulations contenant du calcium, exceptionnelle avec l'alginate double pur), diarrhée (exceptionnelle).</w:t>
      </w:r>
    </w:p>
    <w:p>
      <w:pPr>
        <w:pStyle w:val="ListBullet"/>
      </w:pPr>
      <w:r/>
      <w:r>
        <w:rPr>
          <w:b/>
        </w:rPr>
        <w:t>Effets métaboliques (rares, &lt; 0,1 %)</w:t>
      </w:r>
      <w:r>
        <w:t xml:space="preserve"> : alcalose métabolique en cas d'usage prolongé à forte dose (&gt; 4 prises par jour pendant plus de 14 jours) ou d'insuffisance rénale associée, hypernatrémie en cas de régime hyposodé strict non respecté.</w:t>
      </w:r>
    </w:p>
    <w:p>
      <w:pPr>
        <w:pStyle w:val="ListBullet"/>
      </w:pPr>
      <w:r/>
      <w:r>
        <w:rPr>
          <w:b/>
        </w:rPr>
        <w:t>Réactions allergiques (très rares, &lt; 0,01 %)</w:t>
      </w:r>
      <w:r>
        <w:t xml:space="preserve"> : urticaire, rash cutané, prurit, exceptionnellement choc anaphylactique (réaction croisée possible avec les algues marines et les fruits de mer).</w:t>
      </w:r>
    </w:p>
    <w:p>
      <w:pPr>
        <w:pStyle w:val="ListBullet"/>
      </w:pPr>
      <w:r/>
      <w:r>
        <w:rPr>
          <w:b/>
        </w:rPr>
        <w:t>Effets paradoxaux (rares)</w:t>
      </w:r>
      <w:r>
        <w:t xml:space="preserve"> : augmentation paradoxale du reflux acide en cas de prise en decubitus dorsal immédiat après l'ingestion (le raft ne se forme pas correctement en position allongée plate), justifiant la prise en position assise ou debout et le maintien en position érigée pendant au moins 30 minutes après l'ingestion.</w:t>
      </w:r>
    </w:p>
    <w:p>
      <w:pPr>
        <w:pStyle w:val="Heading3"/>
      </w:pPr>
      <w:r>
        <w:t>245.1.5 Prévention et gestion des effets indésirables</w:t>
      </w:r>
    </w:p>
    <w:p>
      <w:r>
        <w:t>La prévention des effets indésirables des alginates doubles repose sur quatre piliers fondamentaux qui doivent être systématiquement expliqués au patient au comptoir. Premièrement, le respect strict de la posologie maximale quotidienne (4 prises par jour, soit 40 mL de suspension en 24 heures) permet d'éviter le risque d'alcalose métabolique et d'hypernatrémie. Le pharmacien doit expliquer au patient que la prise de plus de 4 doses par jour n'améliore pas l'efficacité thérapeutique et expose à des effets indésirables métaboliques. Deuxièmement, le respect de la séparation temporelle d'au moins 2 heures avec les autres médicaments oraux (antibiotiques, antifongiques azolés, lévothyroxine, bisphosphonates, fer, anti-vitamines K, antiagrégants plaquettaires) permet d'éviter la diminution de leur absorption digestive par le gel d'alginate. Troisièmement, le respect de la position érigée (assise ou debout) pendant au moins 30 minutes après la prise permet une formation correcte du raft et évite la survenue d'un reflux acide paradoxal. Quatrièmement, la limitation de la durée de traitement d'automédication à 14 jours consécutifs permet d'éviter le masquage d'une pathologie sous-jacente (œsophagite sévère, ulcère gastro-duodénal, cancer gastrique) et impose une consultation médicale en cas de persistance des symptômes au-delà.</w:t>
      </w:r>
    </w:p>
    <w:p>
      <w:r>
        <w:t xml:space="preserve">La gestion pratique des effets indésirables repose sur des mesures symptomatiques simples. </w:t>
      </w:r>
      <w:r>
        <w:rPr>
          <w:b/>
        </w:rPr>
        <w:t>Ballonnement et éructations</w:t>
      </w:r>
      <w:r>
        <w:t xml:space="preserve"> : expliquer au patient qu'il s'agit d'un effet attendu et bénin lié au CO₂ libéré, qui disparaît spontanément en 30 à 60 minutes, et qu'une éructation post-ingestion est même un signe d'efficacité thérapeutique (preuve de la formation du raft). </w:t>
      </w:r>
      <w:r>
        <w:rPr>
          <w:b/>
        </w:rPr>
        <w:t>Constipation</w:t>
      </w:r>
      <w:r>
        <w:t xml:space="preserve"> : conseiller une hydratation orale abondante (au moins 1,5 litre d'eau par jour), une alimentation riche en fibres (fruits, légumes, céréales complètes), et le cas échéant la prise d'un laxatif osmotique (macrogol) en cas de constipation persistante. </w:t>
      </w:r>
      <w:r>
        <w:rPr>
          <w:b/>
        </w:rPr>
        <w:t>Réactions allergiques</w:t>
      </w:r>
      <w:r>
        <w:t xml:space="preserve"> : arrêt immédiat du traitement, antihistaminique oral de deuxième génération (cétirizine 10 mg), consultation médicale urgente en cas de signes de gravité (dyspnée, œdème de Quincke, choc anaphylactique). </w:t>
      </w:r>
      <w:r>
        <w:rPr>
          <w:b/>
        </w:rPr>
        <w:t>Persistance des symptômes au-delà de 14 jours</w:t>
      </w:r>
      <w:r>
        <w:t xml:space="preserve"> : orientation systématique vers le médecin traitant pour exploration complémentaire (fibroscopie œso-gastrique duodénale à la recherche d'une œsophagite, d'un ulcère ou d'une néoplasie).</w:t>
      </w:r>
    </w:p>
    <w:p>
      <w:r>
        <w:t>La surveillance biologique est justifiée uniquement dans des contextes particuliers : insuffisance rénale chronique associée (surveillance de l'équilibre acido-basique et de la natrémie), insuffisance cardiaque sévère (surveillance du poids et de l'apparition d'œdèmes des membres inférieurs), cirrhose ascitique (surveillance de l'ascite et de l'encéphalopathie hépatique), usage prolongé au-delà de 14 jours consécutifs (surveillance de la natrémie et du pH artériel). Dans ces contextes, l'orientation médicale systématique pour prescription et surveillance spécialisée est justifiée, et l'alginate double ne doit pas être délivré en automédication au comptoir.</w:t>
      </w:r>
    </w:p>
    <w:p>
      <w:pPr>
        <w:pStyle w:val="Heading3"/>
      </w:pPr>
      <w:r>
        <w:t>245.1.6 Interactions médicamenteuses</w:t>
      </w:r>
    </w:p>
    <w:p>
      <w:r>
        <w:t>Les interactions médicamenteuses de l'alginate double sont dominées par l'effet de barrière physique que le gel d'alginate exerce au niveau gastrique et intestinal, qui diminue l'absorption des autres médicaments oraux pris simultanément. Cette interaction pharmacocinétique, non spécifique mais quantitative, justifie la règle d'or de la séparation temporelle d'au moins 2 heures entre la prise d'alginate et celle des autres médicaments oraux. Les principales classes médicamenteuses concernées par cette interaction, classées par ordre de gravité clinique, sont les suivantes :</w:t>
      </w:r>
    </w:p>
    <w:p>
      <w:pPr>
        <w:pStyle w:val="ListBullet"/>
      </w:pPr>
      <w:r/>
      <w:r>
        <w:rPr>
          <w:b/>
        </w:rPr>
        <w:t>Inhibiteurs de la pompe à protons (IPP, oméprazole, ésoméprazole, pantoprazole, lansoprazole, rabéprazole)</w:t>
      </w:r>
      <w:r>
        <w:t xml:space="preserve"> : la prise concomitante d'alginate diminue l'absorption de l'IPP, ce qui peut réduire son efficacité antisécrétoire et exposer à un échec thérapeutique de l'IPP. La règle pratique est de prendre l'IPP 30 minutes avant le petit-déjeuner à jeun, et l'alginate après les repas et au coucher (donc au moins 2 heures après l'IPP), ce qui évite toute interaction significative.</w:t>
      </w:r>
    </w:p>
    <w:p>
      <w:pPr>
        <w:pStyle w:val="ListBullet"/>
      </w:pPr>
      <w:r/>
      <w:r>
        <w:rPr>
          <w:b/>
        </w:rPr>
        <w:t>Antibiotiques</w:t>
      </w:r>
      <w:r>
        <w:t xml:space="preserve"> (fluoroquinolones, tétracyclines, macrolides, pénicillines, céphalosporines) : la diminution de l'absorption antibiotique peut compromettre l'efficacité anti-infectieuse, en particulier pour les antibiotiques à marge thérapeutique étroite (fluoroquinolones). Séparation stricte de 2 heures.</w:t>
      </w:r>
    </w:p>
    <w:p>
      <w:pPr>
        <w:pStyle w:val="ListBullet"/>
      </w:pPr>
      <w:r/>
      <w:r>
        <w:rPr>
          <w:b/>
        </w:rPr>
        <w:t>Antifongiques azolés</w:t>
      </w:r>
      <w:r>
        <w:t xml:space="preserve"> (kétoconazole, itraconazole, fluconazole, voriconazole) : la diminution de l'absorption azolée peut entraîner un échec thérapeutique antifongique. Séparation stricte de 2 heures.</w:t>
      </w:r>
    </w:p>
    <w:p>
      <w:pPr>
        <w:pStyle w:val="ListBullet"/>
      </w:pPr>
      <w:r/>
      <w:r>
        <w:rPr>
          <w:b/>
        </w:rPr>
        <w:t>Lévothyroxine</w:t>
      </w:r>
      <w:r>
        <w:t xml:space="preserve"> : la diminution de l'absorption de la lévothyroxine peut entraîner une hypothyroïdie biologique et clinique, en particulier chez les patients thyroïdectomisés. Séparation stricte de 4 heures (recommandation HAS).</w:t>
      </w:r>
    </w:p>
    <w:p>
      <w:pPr>
        <w:pStyle w:val="ListBullet"/>
      </w:pPr>
      <w:r/>
      <w:r>
        <w:rPr>
          <w:b/>
        </w:rPr>
        <w:t>Bisphosphonates</w:t>
      </w:r>
      <w:r>
        <w:t xml:space="preserve"> (alendronate, risédronate, ibandronate, zolédronate oral) : la diminution de l'absorption du bisphosphonate peut compromettre l'efficacité anti-ostéoporotique. Séparation stricte d'au moins 2 heures (le bisphosphonate doit être pris à jeun au lever avec un grand verre d'eau, et le patient doit rester à jeun pendant au moins 30 minutes).</w:t>
      </w:r>
    </w:p>
    <w:p>
      <w:pPr>
        <w:pStyle w:val="ListBullet"/>
      </w:pPr>
      <w:r/>
      <w:r>
        <w:rPr>
          <w:b/>
        </w:rPr>
        <w:t>Fer oral</w:t>
      </w:r>
      <w:r>
        <w:t xml:space="preserve"> (sulfate ferreux, fumarate ferreux, gluconate ferreux) : la diminution de l'absorption du fer peut compromettre l'efficacité anti-anémique. Séparation stricte de 2 heures.</w:t>
      </w:r>
    </w:p>
    <w:p>
      <w:pPr>
        <w:pStyle w:val="ListBullet"/>
      </w:pPr>
      <w:r/>
      <w:r>
        <w:rPr>
          <w:b/>
        </w:rPr>
        <w:t>Anti-vitamines K (AVK, warfarine, acénocoumarol, fluindione)</w:t>
      </w:r>
      <w:r>
        <w:t xml:space="preserve"> : la diminution de l'absorption de l'AVK peut déséquilibrer l'INR et exposer à un risque thrombotique ou hémorragique. Surveillance rapprochée de l'INR, séparation stricte de 2 heures.</w:t>
      </w:r>
    </w:p>
    <w:p>
      <w:pPr>
        <w:pStyle w:val="ListBullet"/>
      </w:pPr>
      <w:r/>
      <w:r>
        <w:rPr>
          <w:b/>
        </w:rPr>
        <w:t>Antiagrégants plaquettaires oraux</w:t>
      </w:r>
      <w:r>
        <w:t xml:space="preserve"> (aspirine à faible dose, clopidogrel, prasugrel, ticagrelor) : la diminution de l'absorption de l'antiagrégant peut compromettre l'efficacité anti-thrombotique. Séparation stricte de 2 heures.</w:t>
      </w:r>
    </w:p>
    <w:p>
      <w:pPr>
        <w:pStyle w:val="ListBullet"/>
      </w:pPr>
      <w:r/>
      <w:r>
        <w:rPr>
          <w:b/>
        </w:rPr>
        <w:t>Digoxine</w:t>
      </w:r>
      <w:r>
        <w:t xml:space="preserve"> : la diminution de l'absorption de la digoxine peut déséquilibrer le traitement de l'insuffisance cardiaque et de la fibrillation auriculaire. Surveillance de la digoxinémie, séparation stricte de 2 heures.</w:t>
      </w:r>
    </w:p>
    <w:p>
      <w:pPr>
        <w:pStyle w:val="ListBullet"/>
      </w:pPr>
      <w:r/>
      <w:r>
        <w:rPr>
          <w:b/>
        </w:rPr>
        <w:t>Mycophénolate mofétil</w:t>
      </w:r>
      <w:r>
        <w:t xml:space="preserve"> : la diminution de l'absorption peut compromettre l'efficacité immunosuppressive et exposer au risque de rejet de greffe. Séparation stricte de 2 heures, surveillance de la mycophénolémie.</w:t>
      </w:r>
    </w:p>
    <w:p>
      <w:r>
        <w:t>À côté de cette interaction pharmacocinétique majeure par effet de barrière physique, il convient de signaler les interactions pharmacodynamiques suivantes : potentialisation de l'effet antiacide avec les autres antiacides minéraux (hydroxyde d'aluminium + hydroxyde de magnésium), potentialisation de l'alcalose métabolique avec les diurétiques épargneurs de potassium (amiloride, spironolactone, éplérénone) et les inhibiteurs de l'enzyme de conversion (IEC, ramipril, périndopril) qui augmentent le risque d'hyperkaliémie associée à l'alcalose.</w:t>
      </w:r>
    </w:p>
    <w:p>
      <w:pPr>
        <w:pStyle w:val="Heading3"/>
      </w:pPr>
      <w:r>
        <w:t>245.1.7 Grossesse et allaitement (CRAT)</w:t>
      </w:r>
    </w:p>
    <w:p>
      <w:r>
        <w:t>Le profil de sécurité materno-fœtal de l'alginate double est exceptionnellement favorable, ce qui en fait le traitement de première intention du pyrosis gravidique et du RGO de la femme enceinte, recommandé par le CRAT (Centre de Renseignements sur les Agents Tératogènes, Hôpital Armand-Trousseau, Paris) et par l'EMA HMPC. L'alginate de sodium n'est pas absorbé de manière significative au niveau du tractus gastro-intestinal en raison de sa masse moléculaire élevée (&gt; 70 kDa) et de sa nature polyanionique, et ne traverse donc pas le placenta. Le bicarbonate de sodium est partiellement absorbé (environ 30 %) mais son métabolisme en CO₂ et H₂O est physiologique et sans risque pour le fœtus aux posologies recommandées (≤ 4 prises par jour, soit ≤ 1 068 mg de bicarbonate par jour). Aucun effet tératogène, fœtotoxique ou néonatal n'a été rapporté dans la littérature pharmacovigilance internationale, et le CRAT classe l'alginate double en catégorie « autorisé pendant toute la grossesse » (premier, deuxième et troisième trimestre).</w:t>
      </w:r>
    </w:p>
    <w:p>
      <w:r>
        <w:t>L'allaitement est également autorisé sous alginate double, en raison de l'absence d'absorption systémique significative de l'alginate (la concentration d'alginate dans le lait maternel est négligeable, en dessous des seuils de détection analytique) et de la sécurité du bicarbonate (composé physiologique endogène). Le CRAT recommande toutefois de privilégier la prise post-prandiale postérieure à la tétée (environ 30 minutes après la fin de la tétée), afin de minimiser la concentration maximale de bicarbonate absorbé pendant la tétée suivante. Aucune surveillance pédiatrique particulière n'est recommandée chez le nouveau-né allaité par une mère prenant de l'alginate double.</w:t>
      </w:r>
    </w:p>
    <w:p>
      <w:r>
        <w:t>Les précautions pratiques au comptoir pour la femme enceinte ou allaitante sont les suivantes : respect strict de la posologie maximale de 4 prises par jour (10 mL après les trois repas principaux et au coucher), respect de la séparation de 2 heures avec les autres médicaments oraux (en particulier les suppléments de fer et de calcium prescrits pendant la grossesse), maintien en position érigée pendant 30 minutes après la prise (pour favoriser la formation correcte du raft), prévention de la constipation gravidique associée (hydratation abondante, alimentation riche en fibres, activité physique régulière). La durée d'utilisation en automédication pendant la grossesse ne doit pas dépasser 14 jours consécutifs, après quoi une consultation médicale est nécessaire pour évaluer la nécessité d'un traitement prolongé ou d'un relais par un inhibiteur de la pompe à protons autorisé pendant la grossesse (oméprazole 20 mg, CRAT compatible).</w:t>
      </w:r>
    </w:p>
    <w:p>
      <w:pPr>
        <w:pStyle w:val="Heading3"/>
      </w:pPr>
      <w:r>
        <w:t>245.1.8 Posologie et mode d'administration</w:t>
      </w:r>
    </w:p>
    <w:p>
      <w:pPr>
        <w:pStyle w:val="Heading4"/>
      </w:pPr>
      <w:r>
        <w:t>245.1.8.1 Posologie standard chez l'adulte et l'enfant de plus de 12 ans</w:t>
      </w:r>
    </w:p>
    <w:p>
      <w:r>
        <w:t>La posologie standard de l'alginate double chez l'adulte et l'enfant de plus de 12 ans est de 10 mL de suspension buvable (500 mg d'alginate de sodium + 267 mg de bicarbonate de sodium) après chaque repas principal (petit-déjeuner, déjeuner, dîner) et au coucher, soit 4 prises par jour maximum, à ne pas dépasser. La posologie maximale quotidienne est donc de 40 mL de suspension (2 000 mg d'alginate + 1 068 mg de bicarbonate), répartie en 4 prises espacées d'au moins 3 heures. La durée d'utilisation en automédication est limitée à 14 jours consécutifs, après quoi une consultation médicale est nécessaire pour évaluation diagnostique (fibroscopie œso-gastrique duodénale à la recherche d'une œsophagite, d'un ulcère ou d'une néoplasie) et éventuel relais par un traitement antisécrétoire (IPP).</w:t>
      </w:r>
    </w:p>
    <w:p>
      <w:pPr>
        <w:pStyle w:val="Heading4"/>
      </w:pPr>
      <w:r>
        <w:t>245.1.8.2 Posologie chez l'enfant de 6 à 12 ans</w:t>
      </w:r>
    </w:p>
    <w:p>
      <w:r>
        <w:t>La posologie chez l'enfant de 6 à 12 ans est de 5 à 10 mL de suspension buvable après chaque repas principal et au coucher, soit 4 prises par jour maximum, à ne pas dépasser. La posologie maximale quotidienne chez l'enfant de 6 à 12 ans est donc de 20 à 40 mL de suspension, à adapter en fonction du poids et de la sévérité des symptômes. Les formulations adultes (concentration 50 mg/26,7 mg/mL) peuvent être utilisées chez l'enfant de plus de 6 ans avec une adaptation posologique (demi-dose à dose pleine selon la sévérité). Pour les enfants de moins de 6 ans, des formulations pédiatriques spécifiques (concentration réduite) sont nécessaires, et la prescription médicale est obligatoire.</w:t>
      </w:r>
    </w:p>
    <w:p>
      <w:pPr>
        <w:pStyle w:val="Heading4"/>
      </w:pPr>
      <w:r>
        <w:t>245.1.8.3 Posologie chez le sujet âgé</w:t>
      </w:r>
    </w:p>
    <w:p>
      <w:r>
        <w:t>La posologie chez le sujet âgé (plus de 75 ans) est identique à celle de l'adulte jeune (10 mL après chaque repas et au coucher, 4 prises par jour maximum), mais une surveillance particulière est nécessaire en raison de la fréquence de l'insuffisance rénale chronique associée (surveillance de l'équilibre acido-basique et de la natrémie en cas d'usage prolongé au-delà de 14 jours), de la polymédication (surveillance des interactions par séparation de 2 heures avec les autres médicaments oraux), et du risque de constipation (prévention par hydratation et alimentation riche en fibres).</w:t>
      </w:r>
    </w:p>
    <w:p>
      <w:pPr>
        <w:pStyle w:val="Heading4"/>
      </w:pPr>
      <w:r>
        <w:t>245.1.8.4 Mode d'administration</w:t>
      </w:r>
    </w:p>
    <w:p>
      <w:r>
        <w:t xml:space="preserve">L'administration de la suspension buvable d'alginate double doit respecter les règles pratiques suivantes, qui conditionnent l'efficacité thérapeutique du produit : </w:t>
      </w:r>
      <w:r>
        <w:rPr>
          <w:b/>
        </w:rPr>
        <w:t>agitation préalable du flacon</w:t>
      </w:r>
      <w:r>
        <w:t xml:space="preserve"> avant chaque prise (la suspension peut décanter à la station debout), </w:t>
      </w:r>
      <w:r>
        <w:rPr>
          <w:b/>
        </w:rPr>
        <w:t>prise après les repas principaux et au coucher</w:t>
      </w:r>
      <w:r>
        <w:t xml:space="preserve"> (et non à jeun, car le raft flottant nécessite la présence de contenu gastrique pour se former correctement), </w:t>
      </w:r>
      <w:r>
        <w:rPr>
          <w:b/>
        </w:rPr>
        <w:t>prise en position assise ou debout</w:t>
      </w:r>
      <w:r>
        <w:t xml:space="preserve"> (et non en decubitus dorsal, qui empêcherait la formation correcte du raft), </w:t>
      </w:r>
      <w:r>
        <w:rPr>
          <w:b/>
        </w:rPr>
        <w:t>maintien en position érigée pendant au moins 30 minutes après la prise</w:t>
      </w:r>
      <w:r>
        <w:t xml:space="preserve"> (pour favoriser la formation et le maintien du raft flottant à la surface du contenu gastrique), </w:t>
      </w:r>
      <w:r>
        <w:rPr>
          <w:b/>
        </w:rPr>
        <w:t>séparation d'au moins 2 heures avec les autres médicaments oraux</w:t>
      </w:r>
      <w:r>
        <w:t xml:space="preserve"> (pour éviter la diminution de leur absorption), </w:t>
      </w:r>
      <w:r>
        <w:rPr>
          <w:b/>
        </w:rPr>
        <w:t>ne pas dépasser 4 prises par jour</w:t>
      </w:r>
      <w:r>
        <w:t xml:space="preserve"> (pour éviter le risque d'alcalose métabolique et d'hypernatrémie).</w:t>
      </w:r>
    </w:p>
    <w:p>
      <w:pPr>
        <w:pStyle w:val="Heading3"/>
      </w:pPr>
      <w:r>
        <w:t>245.1.9 Arbitrage et bénéfices des formes galéniques</w:t>
      </w:r>
    </w:p>
    <w:p>
      <w:r>
        <w:t xml:space="preserve">L'arbitrage entre les différentes formes galéniques d'alginate double disponibles en Algérie repose sur quatre critères principaux : le profil du patient (âge, mode de vie, observance), le contexte d'utilisation (domicile, nomade, professionnel), les préférences organoleptiques (arôme, texture), et le statut réglementaire (liste I, liste II, hors liste). </w:t>
      </w:r>
      <w:r>
        <w:rPr>
          <w:b/>
        </w:rPr>
        <w:t>Suspension buvable en flacon de 200 à 250 mL</w:t>
      </w:r>
      <w:r>
        <w:t xml:space="preserve"> (NOBAC adulte fraise et menthe, NOBAC fraise et menthe, GASTOMAX, GASTRIUM) : forme de référence pour l'usage familial au domicile, permet une administration aisée avec un gobelet doseur ou une cuillère-mesure, coût par prise le plus bas (économies d'échelle), mais nécessite une agitation préalable et un stockage au réfrigérateur après ouverture (conservation 30 jours après ouverture). </w:t>
      </w:r>
      <w:r>
        <w:rPr>
          <w:b/>
        </w:rPr>
        <w:t>Suspension buvable en sticks unidoses de 10 mL</w:t>
      </w:r>
      <w:r>
        <w:t xml:space="preserve"> (GATIMOX arôme fenouil, GAVIX, NOBAC sachet fraise-menthe-anis) : forme de choix pour la prise nomade (travailleurs, étudiants, sujets actifs), permet une administration rapide sans gobelet doseur, conservation longue durée (3 ans) sans réfrigération, mais coût par prise plus élevé et conditionnement unitaire moins économique. </w:t>
      </w:r>
      <w:r>
        <w:rPr>
          <w:b/>
        </w:rPr>
        <w:t>Comprimé à croquer</w:t>
      </w:r>
      <w:r>
        <w:t xml:space="preserve"> (réservé à l'alginate triple NOBAC comprimé à croquer, voir section 245.2) : forme de choix pour les patients réticents aux formes liquides (goût, texture, encombrement), permet une administration rapide sans eau, mais nécessite une mastication complète avant déglutition pour assurer l'efficacité thérapeutique.</w:t>
      </w:r>
    </w:p>
    <w:p>
      <w:r>
        <w:t>L'arbitrage entre les arômes disponibles (fraise, menthe, anis, fenouil) est principalement guidé par les préférences organoleptiques du patient, mais peut avoir une justification pharmacologique : l'arôme menthe peut être contre-indiqué chez les patients présentant un RGO sévère (la menthe relaxe le sphincter inférieur de l'œsophage et peut aggraver le reflux), l'arôme fenouil peut être préféré chez les patients présentant une dyspepsie associée (effet carminatif du fenouil), l'arôme fraise est le plus neutre et le mieux toléré chez l'enfant, l'arôme anis peut être préféré chez les patients âgés (goût traditionnellement apprécié en Algérie et dans le bassin méditerranéen). L'arbitrage entre les statuts réglementaires (Liste I, Liste II, hors liste) est principalement guidé par le contexte de délivrance : délivrance sans ordonnance possible pour les spécialités hors liste et Liste II (la majorité des suspensions en flacon), prescription médicale obligatoire pour les spécialités Liste I (NOBAC sachet fraise-menthe-anis), en raison du choix réglementaire spécifique lié au conditionnement unitaire.</w:t>
      </w:r>
    </w:p>
    <w:p>
      <w:pPr>
        <w:pStyle w:val="Heading3"/>
      </w:pPr>
      <w:r>
        <w:t>245.1.10 Instructions et conseils au patient</w:t>
      </w:r>
    </w:p>
    <w:p>
      <w:r>
        <w:t>Les instructions et conseils au patient lors de la délivrance d'un alginate double au comptoir doivent être systématiques, structurés et personnalisés, en intégrant les éléments suivants dans un ordre pédagogique logique :</w:t>
      </w:r>
    </w:p>
    <w:p>
      <w:pPr>
        <w:pStyle w:val="ListNumber"/>
      </w:pPr>
      <w:r/>
      <w:r>
        <w:rPr>
          <w:b/>
        </w:rPr>
        <w:t>Expliquer le mécanisme d'action</w:t>
      </w:r>
      <w:r>
        <w:t xml:space="preserve"> : « Ce médicament forme une sorte de gel flottant (radeau) à la surface du contenu de votre estomac, qui agit comme une barrière physique empêchant le liquide gastrique acide de remonter vers l'œsophage. Il ne s'agit pas d'un antiacide classique qui neutralise l'acidité, mais d'un protecteur mécanique. »</w:t>
      </w:r>
    </w:p>
    <w:p>
      <w:pPr>
        <w:pStyle w:val="ListNumber"/>
      </w:pPr>
      <w:r/>
      <w:r>
        <w:rPr>
          <w:b/>
        </w:rPr>
        <w:t>Respecter les horaires de prise</w:t>
      </w:r>
      <w:r>
        <w:t xml:space="preserve"> : « Prenez 10 mL (une cuillère à soupe ou un gobelet doseur) après chaque repas principal (petit-déjeuner, déjeuner, dîner) et au coucher, soit 4 prises par jour maximum. Ne dépassez jamais 4 prises par jour. »</w:t>
      </w:r>
    </w:p>
    <w:p>
      <w:pPr>
        <w:pStyle w:val="ListNumber"/>
      </w:pPr>
      <w:r/>
      <w:r>
        <w:rPr>
          <w:b/>
        </w:rPr>
        <w:t>Respecter la position lors de la prise</w:t>
      </w:r>
      <w:r>
        <w:t xml:space="preserve"> : « Prenez le médicament en position assise ou debout, et restez en position érigée (ne vous allongez pas) pendant au moins 30 minutes après la prise. Si vous prenez le médicament puis vous allongez immédiatement, le gel ne se formera pas correctement et le médicament sera inefficace. »</w:t>
      </w:r>
    </w:p>
    <w:p>
      <w:pPr>
        <w:pStyle w:val="ListNumber"/>
      </w:pPr>
      <w:r/>
      <w:r>
        <w:rPr>
          <w:b/>
        </w:rPr>
        <w:t>Respecter la séparation avec les autres médicaments</w:t>
      </w:r>
      <w:r>
        <w:t xml:space="preserve"> : « Si vous prenez d'autres médicaments (antibiotiques, anticoagulants, médicaments pour la thyroïde, fer, etc.), prenez-les au moins 2 heures avant ou après l'alginate, sinon l'alginate diminuera leur absorption et ils seront moins efficaces. »</w:t>
      </w:r>
    </w:p>
    <w:p>
      <w:pPr>
        <w:pStyle w:val="ListNumber"/>
      </w:pPr>
      <w:r/>
      <w:r>
        <w:rPr>
          <w:b/>
        </w:rPr>
        <w:t>Prévenir les effets indésirables</w:t>
      </w:r>
      <w:r>
        <w:t xml:space="preserve"> : « Vous pouvez ressentir des ballonnements et des éructations après la prise, c'est normal et cela prouve que le gel se forme correctement. Si vous êtes constipé, buvez plus d'eau et mangez des fibres. Si vous avez une réaction allergique (rash, démangeaisons), arrêtez le traitement et consultez votre médecin. »</w:t>
      </w:r>
    </w:p>
    <w:p>
      <w:pPr>
        <w:pStyle w:val="ListNumber"/>
      </w:pPr>
      <w:r/>
      <w:r>
        <w:rPr>
          <w:b/>
        </w:rPr>
        <w:t>Limite d'automédication</w:t>
      </w:r>
      <w:r>
        <w:t xml:space="preserve"> : « Ce traitement ne doit pas dépasser 14 jours consécutifs sans avis médical. Si vos symptômes persistent au-delà, ou si vous avez des signes d'alarme (perte de poids, dysphagie, vomissements sanglants, anémie), consultez immédiatement votre médecin. »</w:t>
      </w:r>
    </w:p>
    <w:p>
      <w:pPr>
        <w:pStyle w:val="ListNumber"/>
      </w:pPr>
      <w:r/>
      <w:r>
        <w:rPr>
          <w:b/>
        </w:rPr>
        <w:t>Conservation</w:t>
      </w:r>
      <w:r>
        <w:t xml:space="preserve"> : « Agitez bien le flacon avant chaque prise. Conservez le flacon au réfrigérateur après ouverture (conservation 30 jours). Pour les sachets unidoses, conservation à température ambiante (3 ans). »</w:t>
      </w:r>
    </w:p>
    <w:p>
      <w:pPr>
        <w:pStyle w:val="ListNumber"/>
      </w:pPr>
      <w:r/>
      <w:r>
        <w:rPr>
          <w:b/>
        </w:rPr>
        <w:t>Femme enceinte et allaitante</w:t>
      </w:r>
      <w:r>
        <w:t xml:space="preserve"> : « Ce médicament est autorisé pendant la grossesse et l'allaitement, c'est même le traitement de première intention des brûlures d'estomac de la femme enceinte. Respectez toutefois la posologie de 4 prises par jour maximum. »</w:t>
      </w:r>
    </w:p>
    <w:p>
      <w:pPr>
        <w:pStyle w:val="Heading3"/>
      </w:pPr>
      <w:r>
        <w:t>245.1.11 Notes, règles d'or et pièges au comptoir</w:t>
      </w:r>
    </w:p>
    <w:p>
      <w:r/>
      <w:r>
        <w:rPr>
          <w:b/>
        </w:rPr>
        <w:t>Règles d'or du conseil pharmaceutique en alginate double</w:t>
      </w:r>
      <w:r>
        <w:t xml:space="preserve"> :</w:t>
      </w:r>
    </w:p>
    <w:p>
      <w:pPr>
        <w:pStyle w:val="ListBullet"/>
      </w:pPr>
      <w:r/>
      <w:r>
        <w:rPr>
          <w:b/>
        </w:rPr>
        <w:t>Règle n°1</w:t>
      </w:r>
      <w:r>
        <w:t xml:space="preserve"> : Toujours demander l'âge du patient (contre-indication avant 6 ans pour les formulations adultes) et rechercher une insuffisance rénale, une insuffisance cardiaque sévère ou un régime hyposodé strict avant la délivrance.</w:t>
      </w:r>
    </w:p>
    <w:p>
      <w:pPr>
        <w:pStyle w:val="ListBullet"/>
      </w:pPr>
      <w:r/>
      <w:r>
        <w:rPr>
          <w:b/>
        </w:rPr>
        <w:t>Règle n°2</w:t>
      </w:r>
      <w:r>
        <w:t xml:space="preserve"> : Toujours demander la liste des médicaments associés (recherche d'interactions par diminution d'absorption, nécessitant une séparation de 2 heures).</w:t>
      </w:r>
    </w:p>
    <w:p>
      <w:pPr>
        <w:pStyle w:val="ListBullet"/>
      </w:pPr>
      <w:r/>
      <w:r>
        <w:rPr>
          <w:b/>
        </w:rPr>
        <w:t>Règle n°3</w:t>
      </w:r>
      <w:r>
        <w:t xml:space="preserve"> : Toujours expliquer la règle des 4 prises par jour maximum et la règle des 14 jours maximum d'automédication.</w:t>
      </w:r>
    </w:p>
    <w:p>
      <w:pPr>
        <w:pStyle w:val="ListBullet"/>
      </w:pPr>
      <w:r/>
      <w:r>
        <w:rPr>
          <w:b/>
        </w:rPr>
        <w:t>Règle n°4</w:t>
      </w:r>
      <w:r>
        <w:t xml:space="preserve"> : Toujours expliquer la nécessité de rester en position érigée pendant 30 minutes après la prise.</w:t>
      </w:r>
    </w:p>
    <w:p>
      <w:pPr>
        <w:pStyle w:val="ListBullet"/>
      </w:pPr>
      <w:r/>
      <w:r>
        <w:rPr>
          <w:b/>
        </w:rPr>
        <w:t>Règle n°5</w:t>
      </w:r>
      <w:r>
        <w:t xml:space="preserve"> : Chez la femme enceinte, toujours vérifier l'absence de signes d'alarme (perte de poids, dysphagie, vomissements sanglants) qui justifieraient une orientation médicale immédiate.</w:t>
      </w:r>
    </w:p>
    <w:p>
      <w:r/>
      <w:r>
        <w:rPr>
          <w:b/>
        </w:rPr>
        <w:t>Pièges et écueils au comptoir</w:t>
      </w:r>
      <w:r>
        <w:t xml:space="preserve"> :</w:t>
      </w:r>
    </w:p>
    <w:p>
      <w:pPr>
        <w:pStyle w:val="ListBullet"/>
      </w:pPr>
      <w:r/>
      <w:r>
        <w:rPr>
          <w:b/>
        </w:rPr>
        <w:t>Piège n°1</w:t>
      </w:r>
      <w:r>
        <w:t xml:space="preserve"> : Le patient qui prend l'alginate à jeun au lieu d'après les repas : le raft ne se forme pas correctement, le médicament est inefficace, le patient conclut faussement à l'inefficacité du traitement. Toujours insister sur la prise post-prandiale.</w:t>
      </w:r>
    </w:p>
    <w:p>
      <w:pPr>
        <w:pStyle w:val="ListBullet"/>
      </w:pPr>
      <w:r/>
      <w:r>
        <w:rPr>
          <w:b/>
        </w:rPr>
        <w:t>Piège n°2</w:t>
      </w:r>
      <w:r>
        <w:t xml:space="preserve"> : Le patient qui se couche immédiatement après la prise : le raft ne se forme pas correctement en decubitus dorsal, le reflux acide est paradoxal. Toujours insister sur le maintien en position érigée pendant 30 minutes.</w:t>
      </w:r>
    </w:p>
    <w:p>
      <w:pPr>
        <w:pStyle w:val="ListBullet"/>
      </w:pPr>
      <w:r/>
      <w:r>
        <w:rPr>
          <w:b/>
        </w:rPr>
        <w:t>Piège n°3</w:t>
      </w:r>
      <w:r>
        <w:t xml:space="preserve"> : Le patient qui dépasse la dose maximale de 4 prises par jour en pensant améliorer l'efficacité : risque d'alcalose métabolique et d'hypernatrémie. Toujours insister sur la limite de 4 prises par jour.</w:t>
      </w:r>
    </w:p>
    <w:p>
      <w:pPr>
        <w:pStyle w:val="ListBullet"/>
      </w:pPr>
      <w:r/>
      <w:r>
        <w:rPr>
          <w:b/>
        </w:rPr>
        <w:t>Piège n°4</w:t>
      </w:r>
      <w:r>
        <w:t xml:space="preserve"> : Le patient qui prend l'alginate en même temps que ses autres médicaments oraux (notamment IPP, lévothyroxine, AVK, fer) : risque d'échec thérapeutique des autres médicaments. Toujours insister sur la séparation de 2 heures.</w:t>
      </w:r>
    </w:p>
    <w:p>
      <w:pPr>
        <w:pStyle w:val="ListBullet"/>
      </w:pPr>
      <w:r/>
      <w:r>
        <w:rPr>
          <w:b/>
        </w:rPr>
        <w:t>Piège n°5</w:t>
      </w:r>
      <w:r>
        <w:t xml:space="preserve"> : Le patient qui poursuit l'automédication au-delà de 14 jours sans consultation médicale : risque de masquer une pathologie sous-jacente (œsophagite sévère, ulcère, néoplasie). Toujours insister sur la limite de 14 jours.</w:t>
      </w:r>
    </w:p>
    <w:p>
      <w:pPr>
        <w:pStyle w:val="ListBullet"/>
      </w:pPr>
      <w:r/>
      <w:r>
        <w:rPr>
          <w:b/>
        </w:rPr>
        <w:t>Piège n°6</w:t>
      </w:r>
      <w:r>
        <w:t xml:space="preserve"> : Le patient âgé insuffisant rénal chronique à qui l'on délivre de l'alginate double en automatique sans surveillance : risque d'alcalose métabolique sévère et d'hypernatrémie. Toujours demander la fonction rénale chez le sujet âgé.</w:t>
      </w:r>
    </w:p>
    <w:p>
      <w:pPr>
        <w:pStyle w:val="ListBullet"/>
      </w:pPr>
      <w:r/>
      <w:r>
        <w:rPr>
          <w:b/>
        </w:rPr>
        <w:t>Piège n°7</w:t>
      </w:r>
      <w:r>
        <w:t xml:space="preserve"> : Confondre l'alginate double (suspension buvable en flacon ou sachet) avec l'alginate triple (comprimé à croquer contenant du carbonate de calcium) : le profil pharmacologique est légèrement différent (effet calcium supplémentaire, risque de syndrome lait-alcalin en cas d'usage prolongé). Toujours vérifier la formulation exacte délivrée.</w:t>
      </w:r>
    </w:p>
    <w:p>
      <w:pPr>
        <w:pStyle w:val="Heading3"/>
      </w:pPr>
      <w:r>
        <w:t>245.1.12 Tableau comparatif de sous-classe : Alginates vs IPP vs Anti-H2 vs Antiacides minéraux</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Critère</w:t>
            </w:r>
          </w:p>
        </w:tc>
        <w:tc>
          <w:tcPr>
            <w:tcW w:type="dxa" w:w="1662"/>
            <w:shd w:val="clear" w:color="auto" w:fill="F2F2F2"/>
          </w:tcPr>
          <w:p>
            <w:r>
              <w:rPr>
                <w:rFonts w:ascii="Times New Roman" w:hAnsi="Times New Roman"/>
                <w:b/>
                <w:sz w:val="20"/>
              </w:rPr>
              <w:t>Alginate double</w:t>
            </w:r>
          </w:p>
        </w:tc>
        <w:tc>
          <w:tcPr>
            <w:tcW w:type="dxa" w:w="1662"/>
            <w:shd w:val="clear" w:color="auto" w:fill="F2F2F2"/>
          </w:tcPr>
          <w:p>
            <w:r>
              <w:rPr>
                <w:rFonts w:ascii="Times New Roman" w:hAnsi="Times New Roman"/>
                <w:b/>
                <w:sz w:val="20"/>
              </w:rPr>
              <w:t>IPP (oméprazole)</w:t>
            </w:r>
          </w:p>
        </w:tc>
        <w:tc>
          <w:tcPr>
            <w:tcW w:type="dxa" w:w="1662"/>
            <w:shd w:val="clear" w:color="auto" w:fill="F2F2F2"/>
          </w:tcPr>
          <w:p>
            <w:r>
              <w:rPr>
                <w:rFonts w:ascii="Times New Roman" w:hAnsi="Times New Roman"/>
                <w:b/>
                <w:sz w:val="20"/>
              </w:rPr>
              <w:t>Anti-H2 (famotidine)</w:t>
            </w:r>
          </w:p>
        </w:tc>
        <w:tc>
          <w:tcPr>
            <w:tcW w:type="dxa" w:w="1662"/>
            <w:shd w:val="clear" w:color="auto" w:fill="F2F2F2"/>
          </w:tcPr>
          <w:p>
            <w:r>
              <w:rPr>
                <w:rFonts w:ascii="Times New Roman" w:hAnsi="Times New Roman"/>
                <w:b/>
                <w:sz w:val="20"/>
              </w:rPr>
              <w:t>Antiacide minéral (Maalox)</w:t>
            </w:r>
          </w:p>
        </w:tc>
      </w:tr>
      <w:tr>
        <w:tc>
          <w:tcPr>
            <w:tcW w:type="dxa" w:w="1662"/>
          </w:tcPr>
          <w:p>
            <w:r>
              <w:rPr>
                <w:rFonts w:ascii="Times New Roman" w:hAnsi="Times New Roman"/>
                <w:sz w:val="20"/>
              </w:rPr>
              <w:t>**DCI**</w:t>
            </w:r>
          </w:p>
        </w:tc>
        <w:tc>
          <w:tcPr>
            <w:tcW w:type="dxa" w:w="1662"/>
          </w:tcPr>
          <w:p>
            <w:r>
              <w:rPr>
                <w:rFonts w:ascii="Times New Roman" w:hAnsi="Times New Roman"/>
                <w:sz w:val="20"/>
              </w:rPr>
              <w:t>Alginate Na + NaHCO₃</w:t>
            </w:r>
          </w:p>
        </w:tc>
        <w:tc>
          <w:tcPr>
            <w:tcW w:type="dxa" w:w="1662"/>
          </w:tcPr>
          <w:p>
            <w:r>
              <w:rPr>
                <w:rFonts w:ascii="Times New Roman" w:hAnsi="Times New Roman"/>
                <w:sz w:val="20"/>
              </w:rPr>
              <w:t>Oméprazole, ésoméprazole, pantoprazole</w:t>
            </w:r>
          </w:p>
        </w:tc>
        <w:tc>
          <w:tcPr>
            <w:tcW w:type="dxa" w:w="1662"/>
          </w:tcPr>
          <w:p>
            <w:r>
              <w:rPr>
                <w:rFonts w:ascii="Times New Roman" w:hAnsi="Times New Roman"/>
                <w:sz w:val="20"/>
              </w:rPr>
              <w:t>Famotidine, nizatidine</w:t>
            </w:r>
          </w:p>
        </w:tc>
        <w:tc>
          <w:tcPr>
            <w:tcW w:type="dxa" w:w="1662"/>
          </w:tcPr>
          <w:p>
            <w:r>
              <w:rPr>
                <w:rFonts w:ascii="Times New Roman" w:hAnsi="Times New Roman"/>
                <w:sz w:val="20"/>
              </w:rPr>
              <w:t>Hydroxyde Al + Hydroxyde Mg</w:t>
            </w:r>
          </w:p>
        </w:tc>
      </w:tr>
      <w:tr>
        <w:tc>
          <w:tcPr>
            <w:tcW w:type="dxa" w:w="1662"/>
          </w:tcPr>
          <w:p>
            <w:r>
              <w:rPr>
                <w:rFonts w:ascii="Times New Roman" w:hAnsi="Times New Roman"/>
                <w:sz w:val="20"/>
              </w:rPr>
              <w:t>**Code ATC**</w:t>
            </w:r>
          </w:p>
        </w:tc>
        <w:tc>
          <w:tcPr>
            <w:tcW w:type="dxa" w:w="1662"/>
          </w:tcPr>
          <w:p>
            <w:r>
              <w:rPr>
                <w:rFonts w:ascii="Times New Roman" w:hAnsi="Times New Roman"/>
                <w:sz w:val="20"/>
              </w:rPr>
              <w:t>A02BX13</w:t>
            </w:r>
          </w:p>
        </w:tc>
        <w:tc>
          <w:tcPr>
            <w:tcW w:type="dxa" w:w="1662"/>
          </w:tcPr>
          <w:p>
            <w:r>
              <w:rPr>
                <w:rFonts w:ascii="Times New Roman" w:hAnsi="Times New Roman"/>
                <w:sz w:val="20"/>
              </w:rPr>
              <w:t>A02BC</w:t>
            </w:r>
          </w:p>
        </w:tc>
        <w:tc>
          <w:tcPr>
            <w:tcW w:type="dxa" w:w="1662"/>
          </w:tcPr>
          <w:p>
            <w:r>
              <w:rPr>
                <w:rFonts w:ascii="Times New Roman" w:hAnsi="Times New Roman"/>
                <w:sz w:val="20"/>
              </w:rPr>
              <w:t>A02BA</w:t>
            </w:r>
          </w:p>
        </w:tc>
        <w:tc>
          <w:tcPr>
            <w:tcW w:type="dxa" w:w="1662"/>
          </w:tcPr>
          <w:p>
            <w:r>
              <w:rPr>
                <w:rFonts w:ascii="Times New Roman" w:hAnsi="Times New Roman"/>
                <w:sz w:val="20"/>
              </w:rPr>
              <w:t>A02AA / A02AD</w:t>
            </w:r>
          </w:p>
        </w:tc>
      </w:tr>
      <w:tr>
        <w:tc>
          <w:tcPr>
            <w:tcW w:type="dxa" w:w="1662"/>
          </w:tcPr>
          <w:p>
            <w:r>
              <w:rPr>
                <w:rFonts w:ascii="Times New Roman" w:hAnsi="Times New Roman"/>
                <w:sz w:val="20"/>
              </w:rPr>
              <w:t>**Mécanisme**</w:t>
            </w:r>
          </w:p>
        </w:tc>
        <w:tc>
          <w:tcPr>
            <w:tcW w:type="dxa" w:w="1662"/>
          </w:tcPr>
          <w:p>
            <w:r>
              <w:rPr>
                <w:rFonts w:ascii="Times New Roman" w:hAnsi="Times New Roman"/>
                <w:sz w:val="20"/>
              </w:rPr>
              <w:t>Formation de raft flottant barrière physique</w:t>
            </w:r>
          </w:p>
        </w:tc>
        <w:tc>
          <w:tcPr>
            <w:tcW w:type="dxa" w:w="1662"/>
          </w:tcPr>
          <w:p>
            <w:r>
              <w:rPr>
                <w:rFonts w:ascii="Times New Roman" w:hAnsi="Times New Roman"/>
                <w:sz w:val="20"/>
              </w:rPr>
              <w:t>Inhibition irréversible H⁺/K⁺-ATPase pariétale</w:t>
            </w:r>
          </w:p>
        </w:tc>
        <w:tc>
          <w:tcPr>
            <w:tcW w:type="dxa" w:w="1662"/>
          </w:tcPr>
          <w:p>
            <w:r>
              <w:rPr>
                <w:rFonts w:ascii="Times New Roman" w:hAnsi="Times New Roman"/>
                <w:sz w:val="20"/>
              </w:rPr>
              <w:t>Antagonisme compétitif récepteur H2 pariétal</w:t>
            </w:r>
          </w:p>
        </w:tc>
        <w:tc>
          <w:tcPr>
            <w:tcW w:type="dxa" w:w="1662"/>
          </w:tcPr>
          <w:p>
            <w:r>
              <w:rPr>
                <w:rFonts w:ascii="Times New Roman" w:hAnsi="Times New Roman"/>
                <w:sz w:val="20"/>
              </w:rPr>
              <w:t>Neutralisation acide HCl par réaction chimique</w:t>
            </w:r>
          </w:p>
        </w:tc>
      </w:tr>
      <w:tr>
        <w:tc>
          <w:tcPr>
            <w:tcW w:type="dxa" w:w="1662"/>
          </w:tcPr>
          <w:p>
            <w:r>
              <w:rPr>
                <w:rFonts w:ascii="Times New Roman" w:hAnsi="Times New Roman"/>
                <w:sz w:val="20"/>
              </w:rPr>
              <w:t>**Délai d'action**</w:t>
            </w:r>
          </w:p>
        </w:tc>
        <w:tc>
          <w:tcPr>
            <w:tcW w:type="dxa" w:w="1662"/>
          </w:tcPr>
          <w:p>
            <w:r>
              <w:rPr>
                <w:rFonts w:ascii="Times New Roman" w:hAnsi="Times New Roman"/>
                <w:sz w:val="20"/>
              </w:rPr>
              <w:t>1-2 minutes (effet immédiat)</w:t>
            </w:r>
          </w:p>
        </w:tc>
        <w:tc>
          <w:tcPr>
            <w:tcW w:type="dxa" w:w="1662"/>
          </w:tcPr>
          <w:p>
            <w:r>
              <w:rPr>
                <w:rFonts w:ascii="Times New Roman" w:hAnsi="Times New Roman"/>
                <w:sz w:val="20"/>
              </w:rPr>
              <w:t>1-3 heures (effet différé)</w:t>
            </w:r>
          </w:p>
        </w:tc>
        <w:tc>
          <w:tcPr>
            <w:tcW w:type="dxa" w:w="1662"/>
          </w:tcPr>
          <w:p>
            <w:r>
              <w:rPr>
                <w:rFonts w:ascii="Times New Roman" w:hAnsi="Times New Roman"/>
                <w:sz w:val="20"/>
              </w:rPr>
              <w:t>1-2 heures (effet différé)</w:t>
            </w:r>
          </w:p>
        </w:tc>
        <w:tc>
          <w:tcPr>
            <w:tcW w:type="dxa" w:w="1662"/>
          </w:tcPr>
          <w:p>
            <w:r>
              <w:rPr>
                <w:rFonts w:ascii="Times New Roman" w:hAnsi="Times New Roman"/>
                <w:sz w:val="20"/>
              </w:rPr>
              <w:t>1-5 minutes (effet immédiat)</w:t>
            </w:r>
          </w:p>
        </w:tc>
      </w:tr>
      <w:tr>
        <w:tc>
          <w:tcPr>
            <w:tcW w:type="dxa" w:w="1662"/>
          </w:tcPr>
          <w:p>
            <w:r>
              <w:rPr>
                <w:rFonts w:ascii="Times New Roman" w:hAnsi="Times New Roman"/>
                <w:sz w:val="20"/>
              </w:rPr>
              <w:t>**Durée d'action**</w:t>
            </w:r>
          </w:p>
        </w:tc>
        <w:tc>
          <w:tcPr>
            <w:tcW w:type="dxa" w:w="1662"/>
          </w:tcPr>
          <w:p>
            <w:r>
              <w:rPr>
                <w:rFonts w:ascii="Times New Roman" w:hAnsi="Times New Roman"/>
                <w:sz w:val="20"/>
              </w:rPr>
              <w:t>3-4 heures (durée du raft)</w:t>
            </w:r>
          </w:p>
        </w:tc>
        <w:tc>
          <w:tcPr>
            <w:tcW w:type="dxa" w:w="1662"/>
          </w:tcPr>
          <w:p>
            <w:r>
              <w:rPr>
                <w:rFonts w:ascii="Times New Roman" w:hAnsi="Times New Roman"/>
                <w:sz w:val="20"/>
              </w:rPr>
              <w:t>24 heures (inhibition irréversible)</w:t>
            </w:r>
          </w:p>
        </w:tc>
        <w:tc>
          <w:tcPr>
            <w:tcW w:type="dxa" w:w="1662"/>
          </w:tcPr>
          <w:p>
            <w:r>
              <w:rPr>
                <w:rFonts w:ascii="Times New Roman" w:hAnsi="Times New Roman"/>
                <w:sz w:val="20"/>
              </w:rPr>
              <w:t>10-12 heures</w:t>
            </w:r>
          </w:p>
        </w:tc>
        <w:tc>
          <w:tcPr>
            <w:tcW w:type="dxa" w:w="1662"/>
          </w:tcPr>
          <w:p>
            <w:r>
              <w:rPr>
                <w:rFonts w:ascii="Times New Roman" w:hAnsi="Times New Roman"/>
                <w:sz w:val="20"/>
              </w:rPr>
              <w:t>1-2 heures</w:t>
            </w:r>
          </w:p>
        </w:tc>
      </w:tr>
      <w:tr>
        <w:tc>
          <w:tcPr>
            <w:tcW w:type="dxa" w:w="1662"/>
          </w:tcPr>
          <w:p>
            <w:r>
              <w:rPr>
                <w:rFonts w:ascii="Times New Roman" w:hAnsi="Times New Roman"/>
                <w:sz w:val="20"/>
              </w:rPr>
              <w:t>**Efficacité symptomatique**</w:t>
            </w:r>
          </w:p>
        </w:tc>
        <w:tc>
          <w:tcPr>
            <w:tcW w:type="dxa" w:w="1662"/>
          </w:tcPr>
          <w:p>
            <w:r>
              <w:rPr>
                <w:rFonts w:ascii="Times New Roman" w:hAnsi="Times New Roman"/>
                <w:sz w:val="20"/>
              </w:rPr>
              <w:t>Bonne sur pyrosis isolé et RGO léger</w:t>
            </w:r>
          </w:p>
        </w:tc>
        <w:tc>
          <w:tcPr>
            <w:tcW w:type="dxa" w:w="1662"/>
          </w:tcPr>
          <w:p>
            <w:r>
              <w:rPr>
                <w:rFonts w:ascii="Times New Roman" w:hAnsi="Times New Roman"/>
                <w:sz w:val="20"/>
              </w:rPr>
              <w:t>Excellente sur RGO modéré à sévère et œsophagite</w:t>
            </w:r>
          </w:p>
        </w:tc>
        <w:tc>
          <w:tcPr>
            <w:tcW w:type="dxa" w:w="1662"/>
          </w:tcPr>
          <w:p>
            <w:r>
              <w:rPr>
                <w:rFonts w:ascii="Times New Roman" w:hAnsi="Times New Roman"/>
                <w:sz w:val="20"/>
              </w:rPr>
              <w:t>Modérée, tachyphylaxie à 14 jours</w:t>
            </w:r>
          </w:p>
        </w:tc>
        <w:tc>
          <w:tcPr>
            <w:tcW w:type="dxa" w:w="1662"/>
          </w:tcPr>
          <w:p>
            <w:r>
              <w:rPr>
                <w:rFonts w:ascii="Times New Roman" w:hAnsi="Times New Roman"/>
                <w:sz w:val="20"/>
              </w:rPr>
              <w:t>Bonne mais brève</w:t>
            </w:r>
          </w:p>
        </w:tc>
      </w:tr>
      <w:tr>
        <w:tc>
          <w:tcPr>
            <w:tcW w:type="dxa" w:w="1662"/>
          </w:tcPr>
          <w:p>
            <w:r>
              <w:rPr>
                <w:rFonts w:ascii="Times New Roman" w:hAnsi="Times New Roman"/>
                <w:sz w:val="20"/>
              </w:rPr>
              <w:t>**Efficacité sur œsophagite**</w:t>
            </w:r>
          </w:p>
        </w:tc>
        <w:tc>
          <w:tcPr>
            <w:tcW w:type="dxa" w:w="1662"/>
          </w:tcPr>
          <w:p>
            <w:r>
              <w:rPr>
                <w:rFonts w:ascii="Times New Roman" w:hAnsi="Times New Roman"/>
                <w:sz w:val="20"/>
              </w:rPr>
              <w:t>Faible (traitement d'appoint)</w:t>
            </w:r>
          </w:p>
        </w:tc>
        <w:tc>
          <w:tcPr>
            <w:tcW w:type="dxa" w:w="1662"/>
          </w:tcPr>
          <w:p>
            <w:r>
              <w:rPr>
                <w:rFonts w:ascii="Times New Roman" w:hAnsi="Times New Roman"/>
                <w:sz w:val="20"/>
              </w:rPr>
              <w:t>Excellente (cicatrisation 80-90 % à 8 semaines)</w:t>
            </w:r>
          </w:p>
        </w:tc>
        <w:tc>
          <w:tcPr>
            <w:tcW w:type="dxa" w:w="1662"/>
          </w:tcPr>
          <w:p>
            <w:r>
              <w:rPr>
                <w:rFonts w:ascii="Times New Roman" w:hAnsi="Times New Roman"/>
                <w:sz w:val="20"/>
              </w:rPr>
              <w:t>Modérée (cicatrisation 50-60 % à 8 semaines)</w:t>
            </w:r>
          </w:p>
        </w:tc>
        <w:tc>
          <w:tcPr>
            <w:tcW w:type="dxa" w:w="1662"/>
          </w:tcPr>
          <w:p>
            <w:r>
              <w:rPr>
                <w:rFonts w:ascii="Times New Roman" w:hAnsi="Times New Roman"/>
                <w:sz w:val="20"/>
              </w:rPr>
              <w:t>Nulle</w:t>
            </w:r>
          </w:p>
        </w:tc>
      </w:tr>
      <w:tr>
        <w:tc>
          <w:tcPr>
            <w:tcW w:type="dxa" w:w="1662"/>
          </w:tcPr>
          <w:p>
            <w:r>
              <w:rPr>
                <w:rFonts w:ascii="Times New Roman" w:hAnsi="Times New Roman"/>
                <w:sz w:val="20"/>
              </w:rPr>
              <w:t>**Absorption systémique**</w:t>
            </w:r>
          </w:p>
        </w:tc>
        <w:tc>
          <w:tcPr>
            <w:tcW w:type="dxa" w:w="1662"/>
          </w:tcPr>
          <w:p>
            <w:r>
              <w:rPr>
                <w:rFonts w:ascii="Times New Roman" w:hAnsi="Times New Roman"/>
                <w:sz w:val="20"/>
              </w:rPr>
              <w:t>Négligeable (alginate)</w:t>
            </w:r>
          </w:p>
        </w:tc>
        <w:tc>
          <w:tcPr>
            <w:tcW w:type="dxa" w:w="1662"/>
          </w:tcPr>
          <w:p>
            <w:r>
              <w:rPr>
                <w:rFonts w:ascii="Times New Roman" w:hAnsi="Times New Roman"/>
                <w:sz w:val="20"/>
              </w:rPr>
              <w:t>Totale (métabolisme hépatique CYP2C19)</w:t>
            </w:r>
          </w:p>
        </w:tc>
        <w:tc>
          <w:tcPr>
            <w:tcW w:type="dxa" w:w="1662"/>
          </w:tcPr>
          <w:p>
            <w:r>
              <w:rPr>
                <w:rFonts w:ascii="Times New Roman" w:hAnsi="Times New Roman"/>
                <w:sz w:val="20"/>
              </w:rPr>
              <w:t>Totale (élimination rénale)</w:t>
            </w:r>
          </w:p>
        </w:tc>
        <w:tc>
          <w:tcPr>
            <w:tcW w:type="dxa" w:w="1662"/>
          </w:tcPr>
          <w:p>
            <w:r>
              <w:rPr>
                <w:rFonts w:ascii="Times New Roman" w:hAnsi="Times New Roman"/>
                <w:sz w:val="20"/>
              </w:rPr>
              <w:t>Minime (Al et Mg partiellement absorbés)</w:t>
            </w:r>
          </w:p>
        </w:tc>
      </w:tr>
      <w:tr>
        <w:tc>
          <w:tcPr>
            <w:tcW w:type="dxa" w:w="1662"/>
          </w:tcPr>
          <w:p>
            <w:r>
              <w:rPr>
                <w:rFonts w:ascii="Times New Roman" w:hAnsi="Times New Roman"/>
                <w:sz w:val="20"/>
              </w:rPr>
              <w:t>**Grossesse (CRAT)**</w:t>
            </w:r>
          </w:p>
        </w:tc>
        <w:tc>
          <w:tcPr>
            <w:tcW w:type="dxa" w:w="1662"/>
          </w:tcPr>
          <w:p>
            <w:r>
              <w:rPr>
                <w:rFonts w:ascii="Times New Roman" w:hAnsi="Times New Roman"/>
                <w:sz w:val="20"/>
              </w:rPr>
              <w:t>Autorisé (1ère intention)</w:t>
            </w:r>
          </w:p>
        </w:tc>
        <w:tc>
          <w:tcPr>
            <w:tcW w:type="dxa" w:w="1662"/>
          </w:tcPr>
          <w:p>
            <w:r>
              <w:rPr>
                <w:rFonts w:ascii="Times New Roman" w:hAnsi="Times New Roman"/>
                <w:sz w:val="20"/>
              </w:rPr>
              <w:t>Autorisé (oméprazole, 2ème intention)</w:t>
            </w:r>
          </w:p>
        </w:tc>
        <w:tc>
          <w:tcPr>
            <w:tcW w:type="dxa" w:w="1662"/>
          </w:tcPr>
          <w:p>
            <w:r>
              <w:rPr>
                <w:rFonts w:ascii="Times New Roman" w:hAnsi="Times New Roman"/>
                <w:sz w:val="20"/>
              </w:rPr>
              <w:t>Autorisé (famotidine, 3ème intention)</w:t>
            </w:r>
          </w:p>
        </w:tc>
        <w:tc>
          <w:tcPr>
            <w:tcW w:type="dxa" w:w="1662"/>
          </w:tcPr>
          <w:p>
            <w:r>
              <w:rPr>
                <w:rFonts w:ascii="Times New Roman" w:hAnsi="Times New Roman"/>
                <w:sz w:val="20"/>
              </w:rPr>
              <w:t>Déconseillé 1er trimestre (Al neurotoxique)</w:t>
            </w:r>
          </w:p>
        </w:tc>
      </w:tr>
      <w:tr>
        <w:tc>
          <w:tcPr>
            <w:tcW w:type="dxa" w:w="1662"/>
          </w:tcPr>
          <w:p>
            <w:r>
              <w:rPr>
                <w:rFonts w:ascii="Times New Roman" w:hAnsi="Times New Roman"/>
                <w:sz w:val="20"/>
              </w:rPr>
              <w:t>**Allaitement**</w:t>
            </w:r>
          </w:p>
        </w:tc>
        <w:tc>
          <w:tcPr>
            <w:tcW w:type="dxa" w:w="1662"/>
          </w:tcPr>
          <w:p>
            <w:r>
              <w:rPr>
                <w:rFonts w:ascii="Times New Roman" w:hAnsi="Times New Roman"/>
                <w:sz w:val="20"/>
              </w:rPr>
              <w:t>Autorisé</w:t>
            </w:r>
          </w:p>
        </w:tc>
        <w:tc>
          <w:tcPr>
            <w:tcW w:type="dxa" w:w="1662"/>
          </w:tcPr>
          <w:p>
            <w:r>
              <w:rPr>
                <w:rFonts w:ascii="Times New Roman" w:hAnsi="Times New Roman"/>
                <w:sz w:val="20"/>
              </w:rPr>
              <w:t>Autorisé (oméprazole, ésoméprazole)</w:t>
            </w:r>
          </w:p>
        </w:tc>
        <w:tc>
          <w:tcPr>
            <w:tcW w:type="dxa" w:w="1662"/>
          </w:tcPr>
          <w:p>
            <w:r>
              <w:rPr>
                <w:rFonts w:ascii="Times New Roman" w:hAnsi="Times New Roman"/>
                <w:sz w:val="20"/>
              </w:rPr>
              <w:t>Autorisé (famotidine)</w:t>
            </w:r>
          </w:p>
        </w:tc>
        <w:tc>
          <w:tcPr>
            <w:tcW w:type="dxa" w:w="1662"/>
          </w:tcPr>
          <w:p>
            <w:r>
              <w:rPr>
                <w:rFonts w:ascii="Times New Roman" w:hAnsi="Times New Roman"/>
                <w:sz w:val="20"/>
              </w:rPr>
              <w:t>Autorisé (Mg préférentiel)</w:t>
            </w:r>
          </w:p>
        </w:tc>
      </w:tr>
      <w:tr>
        <w:tc>
          <w:tcPr>
            <w:tcW w:type="dxa" w:w="1662"/>
          </w:tcPr>
          <w:p>
            <w:r>
              <w:rPr>
                <w:rFonts w:ascii="Times New Roman" w:hAnsi="Times New Roman"/>
                <w:sz w:val="20"/>
              </w:rPr>
              <w:t>**Interactions**</w:t>
            </w:r>
          </w:p>
        </w:tc>
        <w:tc>
          <w:tcPr>
            <w:tcW w:type="dxa" w:w="1662"/>
          </w:tcPr>
          <w:p>
            <w:r>
              <w:rPr>
                <w:rFonts w:ascii="Times New Roman" w:hAnsi="Times New Roman"/>
                <w:sz w:val="20"/>
              </w:rPr>
              <w:t>Diminution absorption autres médicaments (séparation 2h)</w:t>
            </w:r>
          </w:p>
        </w:tc>
        <w:tc>
          <w:tcPr>
            <w:tcW w:type="dxa" w:w="1662"/>
          </w:tcPr>
          <w:p>
            <w:r>
              <w:rPr>
                <w:rFonts w:ascii="Times New Roman" w:hAnsi="Times New Roman"/>
                <w:sz w:val="20"/>
              </w:rPr>
              <w:t>Nombreuses (CYP2C19 : clopidogrel, voriconazole)</w:t>
            </w:r>
          </w:p>
        </w:tc>
        <w:tc>
          <w:tcPr>
            <w:tcW w:type="dxa" w:w="1662"/>
          </w:tcPr>
          <w:p>
            <w:r>
              <w:rPr>
                <w:rFonts w:ascii="Times New Roman" w:hAnsi="Times New Roman"/>
                <w:sz w:val="20"/>
              </w:rPr>
              <w:t>Peu nombreuses</w:t>
            </w:r>
          </w:p>
        </w:tc>
        <w:tc>
          <w:tcPr>
            <w:tcW w:type="dxa" w:w="1662"/>
          </w:tcPr>
          <w:p>
            <w:r>
              <w:rPr>
                <w:rFonts w:ascii="Times New Roman" w:hAnsi="Times New Roman"/>
                <w:sz w:val="20"/>
              </w:rPr>
              <w:t>Diminution absorption (quinolones, tétracyclines)</w:t>
            </w:r>
          </w:p>
        </w:tc>
      </w:tr>
      <w:tr>
        <w:tc>
          <w:tcPr>
            <w:tcW w:type="dxa" w:w="1662"/>
          </w:tcPr>
          <w:p>
            <w:r>
              <w:rPr>
                <w:rFonts w:ascii="Times New Roman" w:hAnsi="Times New Roman"/>
                <w:sz w:val="20"/>
              </w:rPr>
              <w:t>**Posologie**</w:t>
            </w:r>
          </w:p>
        </w:tc>
        <w:tc>
          <w:tcPr>
            <w:tcW w:type="dxa" w:w="1662"/>
          </w:tcPr>
          <w:p>
            <w:r>
              <w:rPr>
                <w:rFonts w:ascii="Times New Roman" w:hAnsi="Times New Roman"/>
                <w:sz w:val="20"/>
              </w:rPr>
              <w:t>10 mL × 4/jour maximum</w:t>
            </w:r>
          </w:p>
        </w:tc>
        <w:tc>
          <w:tcPr>
            <w:tcW w:type="dxa" w:w="1662"/>
          </w:tcPr>
          <w:p>
            <w:r>
              <w:rPr>
                <w:rFonts w:ascii="Times New Roman" w:hAnsi="Times New Roman"/>
                <w:sz w:val="20"/>
              </w:rPr>
              <w:t>20-40 mg/jour le matin à jeun</w:t>
            </w:r>
          </w:p>
        </w:tc>
        <w:tc>
          <w:tcPr>
            <w:tcW w:type="dxa" w:w="1662"/>
          </w:tcPr>
          <w:p>
            <w:r>
              <w:rPr>
                <w:rFonts w:ascii="Times New Roman" w:hAnsi="Times New Roman"/>
                <w:sz w:val="20"/>
              </w:rPr>
              <w:t>20-40 mg × 2/jour</w:t>
            </w:r>
          </w:p>
        </w:tc>
        <w:tc>
          <w:tcPr>
            <w:tcW w:type="dxa" w:w="1662"/>
          </w:tcPr>
          <w:p>
            <w:r>
              <w:rPr>
                <w:rFonts w:ascii="Times New Roman" w:hAnsi="Times New Roman"/>
                <w:sz w:val="20"/>
              </w:rPr>
              <w:t>1 comprimé à croquer × 4/jour maximum</w:t>
            </w:r>
          </w:p>
        </w:tc>
      </w:tr>
      <w:tr>
        <w:tc>
          <w:tcPr>
            <w:tcW w:type="dxa" w:w="1662"/>
          </w:tcPr>
          <w:p>
            <w:r>
              <w:rPr>
                <w:rFonts w:ascii="Times New Roman" w:hAnsi="Times New Roman"/>
                <w:sz w:val="20"/>
              </w:rPr>
              <w:t>**Effets indésirables majeurs**</w:t>
            </w:r>
          </w:p>
        </w:tc>
        <w:tc>
          <w:tcPr>
            <w:tcW w:type="dxa" w:w="1662"/>
          </w:tcPr>
          <w:p>
            <w:r>
              <w:rPr>
                <w:rFonts w:ascii="Times New Roman" w:hAnsi="Times New Roman"/>
                <w:sz w:val="20"/>
              </w:rPr>
              <w:t>Ballonnement, constipation, hypernatrémie (IR)</w:t>
            </w:r>
          </w:p>
        </w:tc>
        <w:tc>
          <w:tcPr>
            <w:tcW w:type="dxa" w:w="1662"/>
          </w:tcPr>
          <w:p>
            <w:r>
              <w:rPr>
                <w:rFonts w:ascii="Times New Roman" w:hAnsi="Times New Roman"/>
                <w:sz w:val="20"/>
              </w:rPr>
              <w:t>Céphalées, diarrhée, hypomagnésémie prolongée</w:t>
            </w:r>
          </w:p>
        </w:tc>
        <w:tc>
          <w:tcPr>
            <w:tcW w:type="dxa" w:w="1662"/>
          </w:tcPr>
          <w:p>
            <w:r>
              <w:rPr>
                <w:rFonts w:ascii="Times New Roman" w:hAnsi="Times New Roman"/>
                <w:sz w:val="20"/>
              </w:rPr>
              <w:t>Céphalées, tachyphylaxie</w:t>
            </w:r>
          </w:p>
        </w:tc>
        <w:tc>
          <w:tcPr>
            <w:tcW w:type="dxa" w:w="1662"/>
          </w:tcPr>
          <w:p>
            <w:r>
              <w:rPr>
                <w:rFonts w:ascii="Times New Roman" w:hAnsi="Times New Roman"/>
                <w:sz w:val="20"/>
              </w:rPr>
              <w:t>Constipation (Al), diarrhée (Mg)</w:t>
            </w:r>
          </w:p>
        </w:tc>
      </w:tr>
      <w:tr>
        <w:tc>
          <w:tcPr>
            <w:tcW w:type="dxa" w:w="1662"/>
          </w:tcPr>
          <w:p>
            <w:r>
              <w:rPr>
                <w:rFonts w:ascii="Times New Roman" w:hAnsi="Times New Roman"/>
                <w:sz w:val="20"/>
              </w:rPr>
              <w:t>**Coût mensuel en Algérie**</w:t>
            </w:r>
          </w:p>
        </w:tc>
        <w:tc>
          <w:tcPr>
            <w:tcW w:type="dxa" w:w="1662"/>
          </w:tcPr>
          <w:p>
            <w:r>
              <w:rPr>
                <w:rFonts w:ascii="Times New Roman" w:hAnsi="Times New Roman"/>
                <w:sz w:val="20"/>
              </w:rPr>
              <w:t>Faible (50-150 DA/flacon 200 mL)</w:t>
            </w:r>
          </w:p>
        </w:tc>
        <w:tc>
          <w:tcPr>
            <w:tcW w:type="dxa" w:w="1662"/>
          </w:tcPr>
          <w:p>
            <w:r>
              <w:rPr>
                <w:rFonts w:ascii="Times New Roman" w:hAnsi="Times New Roman"/>
                <w:sz w:val="20"/>
              </w:rPr>
              <w:t>Modéré (300-600 DA/boîte 14)</w:t>
            </w:r>
          </w:p>
        </w:tc>
        <w:tc>
          <w:tcPr>
            <w:tcW w:type="dxa" w:w="1662"/>
          </w:tcPr>
          <w:p>
            <w:r>
              <w:rPr>
                <w:rFonts w:ascii="Times New Roman" w:hAnsi="Times New Roman"/>
                <w:sz w:val="20"/>
              </w:rPr>
              <w:t>Modéré (200-400 DA/boîte 14)</w:t>
            </w:r>
          </w:p>
        </w:tc>
        <w:tc>
          <w:tcPr>
            <w:tcW w:type="dxa" w:w="1662"/>
          </w:tcPr>
          <w:p>
            <w:r>
              <w:rPr>
                <w:rFonts w:ascii="Times New Roman" w:hAnsi="Times New Roman"/>
                <w:sz w:val="20"/>
              </w:rPr>
              <w:t>Faible (80-150 DA/boîte)</w:t>
            </w:r>
          </w:p>
        </w:tc>
      </w:tr>
      <w:tr>
        <w:tc>
          <w:tcPr>
            <w:tcW w:type="dxa" w:w="1662"/>
          </w:tcPr>
          <w:p>
            <w:r>
              <w:rPr>
                <w:rFonts w:ascii="Times New Roman" w:hAnsi="Times New Roman"/>
                <w:sz w:val="20"/>
              </w:rPr>
              <w:t>**Place dans la stratégie**</w:t>
            </w:r>
          </w:p>
        </w:tc>
        <w:tc>
          <w:tcPr>
            <w:tcW w:type="dxa" w:w="1662"/>
          </w:tcPr>
          <w:p>
            <w:r>
              <w:rPr>
                <w:rFonts w:ascii="Times New Roman" w:hAnsi="Times New Roman"/>
                <w:sz w:val="20"/>
              </w:rPr>
              <w:t>1ère intention RGO léger, grossesse, sujet âgé</w:t>
            </w:r>
          </w:p>
        </w:tc>
        <w:tc>
          <w:tcPr>
            <w:tcW w:type="dxa" w:w="1662"/>
          </w:tcPr>
          <w:p>
            <w:r>
              <w:rPr>
                <w:rFonts w:ascii="Times New Roman" w:hAnsi="Times New Roman"/>
                <w:sz w:val="20"/>
              </w:rPr>
              <w:t>1ère intention RGO modéré à sévère, œsophagite</w:t>
            </w:r>
          </w:p>
        </w:tc>
        <w:tc>
          <w:tcPr>
            <w:tcW w:type="dxa" w:w="1662"/>
          </w:tcPr>
          <w:p>
            <w:r>
              <w:rPr>
                <w:rFonts w:ascii="Times New Roman" w:hAnsi="Times New Roman"/>
                <w:sz w:val="20"/>
              </w:rPr>
              <w:t>2ème intention (relais IPP)</w:t>
            </w:r>
          </w:p>
        </w:tc>
        <w:tc>
          <w:tcPr>
            <w:tcW w:type="dxa" w:w="1662"/>
          </w:tcPr>
          <w:p>
            <w:r>
              <w:rPr>
                <w:rFonts w:ascii="Times New Roman" w:hAnsi="Times New Roman"/>
                <w:sz w:val="20"/>
              </w:rPr>
              <w:t>Traitement symptomatique ponctuel</w:t>
            </w:r>
          </w:p>
        </w:tc>
      </w:tr>
    </w:tbl>
    <w:p/>
    <w:p>
      <w:pPr>
        <w:pStyle w:val="Heading2"/>
      </w:pPr>
      <w:r>
        <w:t>245.2 ALGINATE DE SODIUM + BICARBONATE DE SODIUM + CARBONATE DE CALCIUM — Fiche DCI complète (12 sous-sections)</w:t>
      </w:r>
    </w:p>
    <w:p>
      <w:pPr>
        <w:pStyle w:val="Heading3"/>
      </w:pPr>
      <w:r>
        <w:t>245.2.1 Liste des catégories thérapeutiques (classification ATC OMS)</w:t>
      </w:r>
    </w:p>
    <w:p>
      <w:r>
        <w:t xml:space="preserve">L'association alginate de sodium + bicarbonate de sodium + carbonate de calcium est classée dans la classification ATC (Anatomical Therapeutic Chemical classification) de l'OMS sous le code </w:t>
      </w:r>
      <w:r>
        <w:rPr>
          <w:b/>
        </w:rPr>
        <w:t>A02BX13</w:t>
      </w:r>
      <w:r>
        <w:t xml:space="preserve"> (associations d'alginates et d'antiacides), en association avec le code </w:t>
      </w:r>
      <w:r>
        <w:rPr>
          <w:b/>
        </w:rPr>
        <w:t>A02AC</w:t>
      </w:r>
      <w:r>
        <w:t xml:space="preserve"> (carbonate de calcium). La triple association alginate-bicarbonate-carbonate de calcium ne dispose pas d'un code ATC spécifique distinct de l'alginate double, car elle est considérée comme une variante galénique de la même classe pharmacologique. Le carbonate de calcium, antiacide minéral de la classe A02AC, apporte un effet tampon supplémentaire à la formulation, augmentant la durée d'action du raft et renforçant la viscosité du gel par libération d'ions calcium qui pontent les chaînes d'alginate (effet de gélification renforcée).</w:t>
      </w:r>
    </w:p>
    <w:p>
      <w:r>
        <w:t>Le statut réglementaire algérien de la triple association (NOBAC comprimé à croquer, Biopharm) est classé hors liste, ce qui en autorise la délivrance sans ordonnance au comptoir. Toutefois, en pratique clinique courante, la prescription médicale est systématiquement recommandée pour les patients présentant une calcémie anormale (hypercalcémie néoplasique, hyperparathyroïdie), une insuffisance rénale chronique (risque d'hypercalcémie et de syndrome lait-alcalin), ou un traitement concomitant par les digitaliques (risque d'arythmie digitalique favorisée par l'hypercalcémie). La prescription médicale est également recommandée pour les patients sous régime hyposodé strict (en raison de la teneur en sodium du bicarbonate) et pour les femmes enceintes au-delà du premier trimestre (en raison du risque théorique de calcification placentaire par le calcium, bien que ce risque soit non documenté aux posologies usuelles).</w:t>
      </w:r>
    </w:p>
    <w:p>
      <w:pPr>
        <w:pStyle w:val="Heading3"/>
      </w:pPr>
      <w:r>
        <w:t>245.2.2 Médicaments disponibles en Algérie</w:t>
      </w:r>
    </w:p>
    <w:p>
      <w:r>
        <w:t>Le tableau ci-dessous recense l'ensemble des spécialités pharmaceutiques d'alginate triple (alginate de sodium + bicarbonate de sodium + carbonate de calcium) disponibles sur le marché algérien, à la date de la nomenclature Avril 2026.</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NOBAC</w:t>
            </w:r>
          </w:p>
        </w:tc>
        <w:tc>
          <w:tcPr>
            <w:tcW w:type="dxa" w:w="1385"/>
          </w:tcPr>
          <w:p>
            <w:r>
              <w:rPr>
                <w:rFonts w:ascii="Times New Roman" w:hAnsi="Times New Roman"/>
                <w:sz w:val="20"/>
              </w:rPr>
              <w:t>BIOPHARM</w:t>
            </w:r>
          </w:p>
        </w:tc>
        <w:tc>
          <w:tcPr>
            <w:tcW w:type="dxa" w:w="1385"/>
          </w:tcPr>
          <w:p>
            <w:r>
              <w:rPr>
                <w:rFonts w:ascii="Times New Roman" w:hAnsi="Times New Roman"/>
                <w:sz w:val="20"/>
              </w:rPr>
              <w:t>Comprimé à croquer, 500 mg/267 mg/160 mg (alginate Na/bicarbonate Na/carbonate Ca)</w:t>
            </w:r>
          </w:p>
        </w:tc>
        <w:tc>
          <w:tcPr>
            <w:tcW w:type="dxa" w:w="1385"/>
          </w:tcPr>
          <w:p>
            <w:r>
              <w:rPr>
                <w:rFonts w:ascii="Times New Roman" w:hAnsi="Times New Roman"/>
                <w:sz w:val="20"/>
              </w:rPr>
              <w:t>Boîte de 16 comprimés</w:t>
            </w:r>
          </w:p>
        </w:tc>
        <w:tc>
          <w:tcPr>
            <w:tcW w:type="dxa" w:w="1385"/>
          </w:tcPr>
          <w:p>
            <w:r>
              <w:rPr>
                <w:rFonts w:ascii="Times New Roman" w:hAnsi="Times New Roman"/>
                <w:sz w:val="20"/>
              </w:rPr>
              <w:t>Hors liste</w:t>
            </w:r>
          </w:p>
        </w:tc>
        <w:tc>
          <w:tcPr>
            <w:tcW w:type="dxa" w:w="1385"/>
          </w:tcPr>
          <w:p>
            <w:r>
              <w:rPr>
                <w:rFonts w:ascii="Times New Roman" w:hAnsi="Times New Roman"/>
                <w:sz w:val="20"/>
              </w:rPr>
              <w:t>ACTIF</w:t>
            </w:r>
          </w:p>
        </w:tc>
      </w:tr>
    </w:tbl>
    <w:p/>
    <w:p>
      <w:r/>
      <w:r>
        <w:rPr>
          <w:b/>
        </w:rPr>
        <w:t>Remarques sur la consolidation des DCI</w:t>
      </w:r>
      <w:r>
        <w:t xml:space="preserve"> : La spécialité NOBAC comprimé à croquer (Biopharm) est, à la date de la nomenclature Avril 2026, la seule spécialité algérienne commercialisant l'association triple alginate-bicarbonate-carbonate de calcium. La composition quantitative par comprimé à croquer est de 500 mg d'alginate de sodium, 267 mg de bicarbonate de sodium et 160 mg de carbonate de calcium, soit une dose totale de 927 mg de principes actifs par prise unitaire. Cette formulation est équivalente en posologie unitaire d'alginate et de bicarbonate à 10 mL de suspension buvable d'alginate double (500 mg d'alginate + 267 mg de bicarbonate par 10 mL), mais apporte en supplément 160 mg de carbonate de calcium (soit environ 64 mg de calcium élémentaire, ce qui correspond à 6,4 % de l'apport quotidien recommandé chez l'adulte de 1 000 mg/jour).</w:t>
      </w:r>
    </w:p>
    <w:p>
      <w:r/>
      <w:r>
        <w:rPr>
          <w:b/>
        </w:rPr>
        <w:t>Statut commercial détaillé</w:t>
      </w:r>
      <w:r>
        <w:t xml:space="preserve"> : NOBAC comprimé à croquer (Biopharm) est la seule spécialité algérienne disponible dans la classe des alginates triples. La formulation en comprimé à croquer répond à un besoin clinique spécifique : les patients réticents aux formes liquides (goût, texture, encombrement), les patients nomades (praticité du comprimé vs flacon), les patients âgés ayant des difficultés à mesurer une dose liquide. La mastication complète du comprimé avant déglutition est essentielle pour assurer la dispersion correcte de l'alginate dans le contenu gastrique et la formation efficace du raft flottant. Les patients ne respectant pas cette règle d'administration s'exposent à une inefficacité thérapeutique et à un risque de bezoard gastrique (concression du comprimé non dispersé).</w:t>
      </w:r>
    </w:p>
    <w:p>
      <w:pPr>
        <w:pStyle w:val="Heading3"/>
      </w:pPr>
      <w:r>
        <w:t>245.2.3 Sous-classe et mécanisme d'action moléculaire</w:t>
      </w:r>
    </w:p>
    <w:p>
      <w:pPr>
        <w:pStyle w:val="Heading4"/>
      </w:pPr>
      <w:r>
        <w:t>245.2.3.1 Composition chimique de l'alginate triple</w:t>
      </w:r>
    </w:p>
    <w:p>
      <w:r>
        <w:t>L'association alginate de sodium + bicarbonate de sodium + carbonate de calcium ajoute à la formulation double de l'alginate un troisième composant, le carbonate de calcium (CaCO₃, masse moléculaire 100,1 g/mol), qui exerce trois rôles pharmacologiques distincts au sein de la formulation :</w:t>
      </w:r>
    </w:p>
    <w:p>
      <w:pPr>
        <w:pStyle w:val="ListBullet"/>
      </w:pPr>
      <w:r/>
      <w:r>
        <w:rPr>
          <w:b/>
        </w:rPr>
        <w:t>Agent de gélification renforcé</w:t>
      </w:r>
      <w:r>
        <w:t xml:space="preserve"> : les ions calcium (Ca²⁺) libérés par le carbonate de calcium en milieu acide pontent les chaînes d'alginate au niveau des blocs G (guluroniques), formant un réseau tridimensionnel plus dense et plus visqueux que le gel d'alginate double seul. Ce phénomène de gélification par les ions calcium est exploité industriellement en cuisine moléculaire (sphérification) et renforce la cohésion mécanique du raft flottant.</w:t>
      </w:r>
    </w:p>
    <w:p>
      <w:pPr>
        <w:pStyle w:val="ListBullet"/>
      </w:pPr>
      <w:r/>
      <w:r>
        <w:rPr>
          <w:b/>
        </w:rPr>
        <w:t>Antiacide minéral tampon</w:t>
      </w:r>
      <w:r>
        <w:t xml:space="preserve"> : le carbonate de calcium réagit avec l'acide chlorhydrique gastrique selon la réaction : CaCO₃ + 2 HCl → CaCl₂ + H₂O + CO₂. Cette réaction libère du CO₂ supplémentaire (qui participe à la flottabilité du raft) et neutralise une partie de l'acidité gastrique (capacité tampon de l'ordre de 20 mEq par prise de 160 mg de CaCO₃).</w:t>
      </w:r>
    </w:p>
    <w:p>
      <w:pPr>
        <w:pStyle w:val="ListBullet"/>
      </w:pPr>
      <w:r/>
      <w:r>
        <w:rPr>
          <w:b/>
        </w:rPr>
        <w:t>Source de calcium élémentaire</w:t>
      </w:r>
      <w:r>
        <w:t xml:space="preserve"> : 160 mg de carbonate de calcium apportent 64 mg de calcium élémentaire, soit environ 6,4 % de l'apport quotidien recommandé chez l'adulte. Cet apport calcique est négligeable sur le plan nutritionnel mais doit être pris en compte en cas d'usage prolongé (risque d'hypercalcémie et de syndrome lait-alcalin en cas de doses massives).</w:t>
      </w:r>
    </w:p>
    <w:p>
      <w:pPr>
        <w:pStyle w:val="Heading4"/>
      </w:pPr>
      <w:r>
        <w:t>245.2.3.2 Mécanisme d'action moléculaire principal : formation du raft renforcé</w:t>
      </w:r>
    </w:p>
    <w:p>
      <w:r>
        <w:t>Le mécanisme d'action de l'association triple alginate-bicarbonate-carbonate de calcium repose sur le même phénomène physico-chimique de formation de radeau flottant (raft) que l'alginate double, mais avec une variante qualitative liée à la présence des ions calcium. Les étapes de formation du raft sont les suivantes :</w:t>
      </w:r>
    </w:p>
    <w:p>
      <w:pPr>
        <w:pStyle w:val="ListNumber"/>
      </w:pPr>
      <w:r/>
      <w:r>
        <w:rPr>
          <w:b/>
        </w:rPr>
        <w:t>Dispersion et précipitation acide de l'alginate</w:t>
      </w:r>
      <w:r>
        <w:t xml:space="preserve"> : après mastication du comprimé et déglutition, l'alginate de sodium se trouve dispersé dans le contenu gastrique et précipite sous forme de gel d'acide alginique au contact de l'acide chlorhydrique gastrique.</w:t>
      </w:r>
    </w:p>
    <w:p>
      <w:pPr>
        <w:pStyle w:val="ListNumber"/>
      </w:pPr>
      <w:r/>
      <w:r>
        <w:rPr>
          <w:b/>
        </w:rPr>
        <w:t>Libération de CO₂ par le bicarbonate et le carbonate de calcium</w:t>
      </w:r>
      <w:r>
        <w:t xml:space="preserve"> : le bicarbonate de sodium et le carbonate de calcium libèrent tous deux du CO₂ au contact de l'acide gastrique, formant des bulles de gaz qui font flotter le gel d'alginate à la surface du contenu gastrique.</w:t>
      </w:r>
    </w:p>
    <w:p>
      <w:pPr>
        <w:pStyle w:val="ListNumber"/>
      </w:pPr>
      <w:r/>
      <w:r>
        <w:rPr>
          <w:b/>
        </w:rPr>
        <w:t>Gélification renforcée par le calcium</w:t>
      </w:r>
      <w:r>
        <w:t xml:space="preserve"> : les ions Ca²⁺ libérés par le carbonate de calcium pontent les chaînes d'alginate au niveau des blocs G, formant un réseau tridimensionnel plus dense et plus visqueux que le gel d'alginate double seul. Le raft est ainsi plus résistant mécaniquement et persiste plus longtemps (4 à 6 heures vs 3 à 4 heures pour l'alginate double).</w:t>
      </w:r>
    </w:p>
    <w:p>
      <w:pPr>
        <w:pStyle w:val="ListNumber"/>
      </w:pPr>
      <w:r/>
      <w:r>
        <w:rPr>
          <w:b/>
        </w:rPr>
        <w:t>Barrière physique renforcée</w:t>
      </w:r>
      <w:r>
        <w:t xml:space="preserve"> : le raft flottant renforcé par le calcium constitue une barrière physique plus cohésive et plus durable que le raft simple, ce qui se traduit cliniquement par une efficacité symptomatique prolongée.</w:t>
      </w:r>
    </w:p>
    <w:p>
      <w:pPr>
        <w:pStyle w:val="Heading4"/>
      </w:pPr>
      <w:r>
        <w:t>245.2.3.3 Pharmacocinétique et biodisponibilité</w:t>
      </w:r>
    </w:p>
    <w:p>
      <w:r>
        <w:t>L'alginate de sodium n'est pas absorbé (mass moléculaire élevée, nature polyanionique), comme pour l'alginate double. Le bicarbonate de sodium est partiellement absorbé (environ 30 % de la dose ingérée) et métabolisé en CO₂ et H₂O. Le carbonate de calcium est partiellement absorbé : environ 10 à 30 % du calcium ingéré est absorbé au niveau duodénal sous forme ionique Ca²⁺, régulé par la vitamine D et la parathormone (PTH). Le calcium non absorbé (70 à 90 % de la dose ingérée) est éliminé dans les selles sous forme de phosphate de calcium et de sels biliaires calciques. Aux posologies usuelles (1 comprimé à croquer × 4/jour maximum, soit 640 mg de carbonate de calcium et 256 mg de calcium élémentaire par jour), l'apport calcique absorbé est négligeable sur le plan nutritionnel mais doit être pris en compte en cas d'insuffisance rénale chronique associée (risque d'hypercalcémie et de calcifications tissulaires).</w:t>
      </w:r>
    </w:p>
    <w:p>
      <w:pPr>
        <w:pStyle w:val="Heading3"/>
      </w:pPr>
      <w:r>
        <w:t>245.2.4 Profil pharmacologique — indications, contre-indications, effets indésirables</w:t>
      </w:r>
    </w:p>
    <w:p>
      <w:pPr>
        <w:pStyle w:val="Heading4"/>
      </w:pPr>
      <w:r>
        <w:t>245.2.4.1 Indications thérapeutiques validées</w:t>
      </w:r>
    </w:p>
    <w:p>
      <w:r>
        <w:t>L'association alginate-bicarbonate-carbonate de calcium dispose des mêmes indications thérapeutiques que l'alginate double, avec une efficacité symptomatique légèrement supérieure en raison de l'effet antiacide additionnel du carbonate de calcium et de la durée d'action prolongée du raft renforcé par le calcium :</w:t>
      </w:r>
    </w:p>
    <w:p>
      <w:pPr>
        <w:pStyle w:val="ListBullet"/>
      </w:pPr>
      <w:r/>
      <w:r>
        <w:rPr>
          <w:b/>
        </w:rPr>
        <w:t>Reflux gastro-œsophagien symptomatique non compliqué</w:t>
      </w:r>
      <w:r>
        <w:t xml:space="preserve"> : traitement symptomatique du pyrosis, des régurgitations acides et du reflux acide post-prandial, en particulier chez le patient pour lequel la forme comprimé à croquer est plus pratique que la suspension buvable.</w:t>
      </w:r>
    </w:p>
    <w:p>
      <w:pPr>
        <w:pStyle w:val="ListBullet"/>
      </w:pPr>
      <w:r/>
      <w:r>
        <w:rPr>
          <w:b/>
        </w:rPr>
        <w:t>RGO nocturne</w:t>
      </w:r>
      <w:r>
        <w:t xml:space="preserve"> : la durée d'action prolongée du raft renforcé par le calcium (4 à 6 heures vs 3 à 4 heures pour l'alginate double) en fait une formulation de choix pour la prise au coucher, en prévention du reflux acide nocturne.</w:t>
      </w:r>
    </w:p>
    <w:p>
      <w:pPr>
        <w:pStyle w:val="ListBullet"/>
      </w:pPr>
      <w:r/>
      <w:r>
        <w:rPr>
          <w:b/>
        </w:rPr>
        <w:t>Traitement d'appoint des œsophagites légères</w:t>
      </w:r>
      <w:r>
        <w:t xml:space="preserve"> (grade A et B de Los Angeles) : en association avec les IPP pour le contrôle symptomatique rapide.</w:t>
      </w:r>
    </w:p>
    <w:p>
      <w:pPr>
        <w:pStyle w:val="ListBullet"/>
      </w:pPr>
      <w:r/>
      <w:r>
        <w:rPr>
          <w:b/>
        </w:rPr>
        <w:t>Patients réticents aux formes liquides</w:t>
      </w:r>
      <w:r>
        <w:t xml:space="preserve"> : alternative galénique pour les patients présentant une intolérance organoleptique aux suspensions buvables d'alginate double.</w:t>
      </w:r>
    </w:p>
    <w:p>
      <w:pPr>
        <w:pStyle w:val="Heading4"/>
      </w:pPr>
      <w:r>
        <w:t>245.2.4.2 Contre-indications</w:t>
      </w:r>
    </w:p>
    <w:p>
      <w:r>
        <w:t>Les contre-indications de l'alginate triple incluent celles de l'alginate double (hypersensibilité, insuffisance rénale sévère, régime hyposodé strict, obstruction intestinale complète, enfant de moins de 12 ans pour la forme comprimé à croquer), auxquelles s'ajoutent les contre-indications spécifiques liées au carbonate de calcium :</w:t>
      </w:r>
    </w:p>
    <w:p>
      <w:pPr>
        <w:pStyle w:val="ListBullet"/>
      </w:pPr>
      <w:r/>
      <w:r>
        <w:rPr>
          <w:b/>
        </w:rPr>
        <w:t>Hypercalcémie</w:t>
      </w:r>
      <w:r>
        <w:t xml:space="preserve"> (calcémie &gt; 2,6 mmol/L) : en raison du risque d'aggravation de l'hypercalcémie par l'apport de calcium élémentaire (160 mg de carbonate de calcium par comprimé).</w:t>
      </w:r>
    </w:p>
    <w:p>
      <w:pPr>
        <w:pStyle w:val="ListBullet"/>
      </w:pPr>
      <w:r/>
      <w:r>
        <w:rPr>
          <w:b/>
        </w:rPr>
        <w:t>Hypercalciurie</w:t>
      </w:r>
      <w:r>
        <w:t xml:space="preserve"> (calciurie des 24 heures &gt; 8 mmol/jour chez la femme, &gt; 10 mmol/jour chez l'homme) : en raison du risque de lithiase calcique rénale.</w:t>
      </w:r>
    </w:p>
    <w:p>
      <w:pPr>
        <w:pStyle w:val="ListBullet"/>
      </w:pPr>
      <w:r/>
      <w:r>
        <w:rPr>
          <w:b/>
        </w:rPr>
        <w:t>Lithiase calcique rénale récurrente</w:t>
      </w:r>
      <w:r>
        <w:t xml:space="preserve"> : en raison du risque de récidive lithiasique par l'apport de calcium.</w:t>
      </w:r>
    </w:p>
    <w:p>
      <w:pPr>
        <w:pStyle w:val="ListBullet"/>
      </w:pPr>
      <w:r/>
      <w:r>
        <w:rPr>
          <w:b/>
        </w:rPr>
        <w:t>Traitement par digitaliques</w:t>
      </w:r>
      <w:r>
        <w:t xml:space="preserve"> (digoxine, digitoxine) : en raison du risque d'arythmie digitalique favorisée par l'hypercalcémie (le calcium potentialise l'effet des digitaliques sur le myocarde).</w:t>
      </w:r>
    </w:p>
    <w:p>
      <w:pPr>
        <w:pStyle w:val="ListBullet"/>
      </w:pPr>
      <w:r/>
      <w:r>
        <w:rPr>
          <w:b/>
        </w:rPr>
        <w:t>Néphrocalcinose</w:t>
      </w:r>
      <w:r>
        <w:t xml:space="preserve"> : en raison du risque d'aggravation des calcifications rénales.</w:t>
      </w:r>
    </w:p>
    <w:p>
      <w:pPr>
        <w:pStyle w:val="ListBullet"/>
      </w:pPr>
      <w:r/>
      <w:r>
        <w:rPr>
          <w:b/>
        </w:rPr>
        <w:t>Syndrome lait-alcalin</w:t>
      </w:r>
      <w:r>
        <w:t xml:space="preserve"> (antécédent personnel ou familial) : en raison du risque de récidive de ce syndrome rare mais grave (hypercalcémie, alcalose métabolique, insuffisance rénale aiguë).</w:t>
      </w:r>
    </w:p>
    <w:p>
      <w:pPr>
        <w:pStyle w:val="Heading4"/>
      </w:pPr>
      <w:r>
        <w:t>245.2.4.3 Effets indésirables</w:t>
      </w:r>
    </w:p>
    <w:p>
      <w:r>
        <w:t>Les effets indésirables de l'alginate triple incluent ceux de l'alginate double (ballonnement, constipation, hypernatrémie, alcalose métabolique), auxquels s'ajoutent les effets spécifiques liés au carbonate de calcium :</w:t>
      </w:r>
    </w:p>
    <w:p>
      <w:pPr>
        <w:pStyle w:val="ListBullet"/>
      </w:pPr>
      <w:r/>
      <w:r>
        <w:rPr>
          <w:b/>
        </w:rPr>
        <w:t>Constipation accrue</w:t>
      </w:r>
      <w:r>
        <w:t xml:space="preserve"> : le carbonate de calcium exerce un effet constipant plus marqué que le bicarbonate de sodium seul, en raison de la formation de sels calciques insolubles dans la lumière intestinale (phosphate de calcium, sels biliaires calciques). La constipation sous alginate triple est plus fréquente que sous alginate double et peut nécessiter un traitement laxatif associé (macrogol).</w:t>
      </w:r>
    </w:p>
    <w:p>
      <w:pPr>
        <w:pStyle w:val="ListBullet"/>
      </w:pPr>
      <w:r/>
      <w:r>
        <w:rPr>
          <w:b/>
        </w:rPr>
        <w:t>Hypercalcémie</w:t>
      </w:r>
      <w:r>
        <w:t xml:space="preserve"> : en cas d'usage prolongé (&gt; 14 jours) à forte dose (≥ 4 comprimés par jour) ou d'insuffisance rénale chronique associée, risque d'hypercalcémie (calcémie &gt; 2,6 mmol/L) avec ses complications cliniques (nausées, vomissements, constipation, polyurie, polydipsie, troubles neuropsychiatriques).</w:t>
      </w:r>
    </w:p>
    <w:p>
      <w:pPr>
        <w:pStyle w:val="ListBullet"/>
      </w:pPr>
      <w:r/>
      <w:r>
        <w:rPr>
          <w:b/>
        </w:rPr>
        <w:t>Syndrome lait-alcalin</w:t>
      </w:r>
      <w:r>
        <w:t xml:space="preserve"> (rare mais grave) : triade hypercalcémie + alcalose métabolique + insuffisance rénale aiguë, observée historiquement chez les patients consommant de grandes quantités de calcium et de bicarbonate (traitement anti-ulcéreux historique par lait et bicarbonate de Sippy). Ce syndrome est exceptionnel aux posologies recommandées mais peut survenir en cas de surdosage massif ou d'insuffisance rénale chronique associée.</w:t>
      </w:r>
    </w:p>
    <w:p>
      <w:pPr>
        <w:pStyle w:val="ListBullet"/>
      </w:pPr>
      <w:r/>
      <w:r>
        <w:rPr>
          <w:b/>
        </w:rPr>
        <w:t>Calcifications tissulaires</w:t>
      </w:r>
      <w:r>
        <w:t xml:space="preserve"> : en cas d'usage prolongé à forte dose chez l'insuffisant rénal chronique, risque de calcifications ectopiques (vasculaires, rénales, cardiaques).</w:t>
      </w:r>
    </w:p>
    <w:p>
      <w:pPr>
        <w:pStyle w:val="Heading3"/>
      </w:pPr>
      <w:r>
        <w:t>245.2.5 Prévention et gestion des effets indésirables</w:t>
      </w:r>
    </w:p>
    <w:p>
      <w:r>
        <w:t>La prévention des effets indésirables de l'alginate triple repose sur les mêmes piliers que ceux de l'alginate double (respect de la posologie maximale, séparation de 2 heures avec les autres médicaments, maintien en position érigée après la prise, limitation à 14 jours d'automédication), auxquels s'ajoutent des mesures spécifiques liées au carbonate de calcium. Premièrement, la recherche systématique d'une hypercalcémie, d'une hypercalciurie, d'une lithiase calcique rénale récurrente et d'un traitement par digitaliques avant la délivrance est essentielle pour prévenir les effets indésirables calciques. Deuxièmement, la surveillance de la calcémie et de la calciurie est justifiée en cas d'usage prolongé au-delà de 14 jours, en particulier chez le sujet âgé et l'insuffisant rénal chronique. Troisièmement, la prévention de la constipation accrue repose sur une hydratation orale abondante (au moins 1,5 litre d'eau par jour), une alimentation riche en fibres (fruits, légumes, céréales complètes), et le cas échéant la prise d'un laxatif osmotique (macrogol 10 g/jour) en cas de constipation persistante.</w:t>
      </w:r>
    </w:p>
    <w:p>
      <w:r>
        <w:t xml:space="preserve">La gestion pratique des effets indésirables spécifiques au carbonate de calcium repose sur les mesures suivantes. </w:t>
      </w:r>
      <w:r>
        <w:rPr>
          <w:b/>
        </w:rPr>
        <w:t>Hypercalcémie asymptomatique modérée (calcémie 2,6-3,0 mmol/L)</w:t>
      </w:r>
      <w:r>
        <w:t xml:space="preserve"> : arrêt du traitement, hydratation orale abondante, surveillance biologique de la calcémie jusqu'à normalisation (généralement 3 à 7 jours après arrêt). </w:t>
      </w:r>
      <w:r>
        <w:rPr>
          <w:b/>
        </w:rPr>
        <w:t>Hypercalcémie symptomatique ou sévère (calcémie &gt; 3,0 mmol/L)</w:t>
      </w:r>
      <w:r>
        <w:t xml:space="preserve"> : hospitalisation en service de néphrologie pour hyperhydratation intraveineuse (sérum physiologique 3 L/jour), administration de bisphosphonates IV (zolédronate 4 mg) ou de calcitonine (200 UI SC) en cas d'urgence, surveillance de la fonction rénale et de l'ECG (risque de raccourcissement du segment QT). </w:t>
      </w:r>
      <w:r>
        <w:rPr>
          <w:b/>
        </w:rPr>
        <w:t>Syndrome lait-alcalin</w:t>
      </w:r>
      <w:r>
        <w:t xml:space="preserve"> : hospitalisation en réanimation néphrologique pour hyperhydratation intraveineuse, arrêt de tous les apports calciques et alcalins, correction de l'alcalose métabolique par acétazolamide (250 mg × 2/jour), dialyse rénale en cas d'insuffisance rénale aiguë oligo-anurique.</w:t>
      </w:r>
    </w:p>
    <w:p>
      <w:r>
        <w:t>La surveillance biologique systématique sous alginate triple est justifiée dans les contextes suivants : insuffisance rénale chronique (surveillance de la calcémie, de la phosphorémie et de la fonction rénale tous les 3 mois en cas d'usage prolongé), traitement par digitaliques (surveillance de la digoxinémie et de l'ECG), sujet âgé de plus de 75 ans (surveillance de la calcémie tous les 6 mois en cas d'usage prolongé), ostéoporose traitée par bisphosphonates ou denosumab (réservation de l'apport calcique aux suppléments spécifiques et non à l'alginate triple), hyperparathyroïdie primitive ou secondaire (contre-indication relative).</w:t>
      </w:r>
    </w:p>
    <w:p>
      <w:pPr>
        <w:pStyle w:val="Heading3"/>
      </w:pPr>
      <w:r>
        <w:t>245.2.6 Interactions médicamenteuses</w:t>
      </w:r>
    </w:p>
    <w:p>
      <w:r>
        <w:t>Les interactions médicamenteuses de l'alginate triple incluent toutes les interactions de l'alginate double (diminution de l'absorption des autres médicaments oraux par le gel d'alginate, nécessitant une séparation de 2 heures), auxquelles s'ajoutent les interactions spécifiques liées au carbonate de calcium :</w:t>
      </w:r>
    </w:p>
    <w:p>
      <w:pPr>
        <w:pStyle w:val="ListBullet"/>
      </w:pPr>
      <w:r/>
      <w:r>
        <w:rPr>
          <w:b/>
        </w:rPr>
        <w:t>Digitaliques (digoxine, digitoxine)</w:t>
      </w:r>
      <w:r>
        <w:t xml:space="preserve"> : l'hypercalcémie induite par le carbonate de calcium potentialise l'effet des digitaliques sur le myocarde, augmentant le risque d'arythmie digitalique (tachycardie ventriculaire, fibrillation ventriculaire). Contre-indication relative, surveillance ECG et digoxinémie obligatoire si l'association ne peut être évitée.</w:t>
      </w:r>
    </w:p>
    <w:p>
      <w:pPr>
        <w:pStyle w:val="ListBullet"/>
      </w:pPr>
      <w:r/>
      <w:r>
        <w:rPr>
          <w:b/>
        </w:rPr>
        <w:t>Diurétiques thiazidiques (hydrochlorothiazide, indapamide)</w:t>
      </w:r>
      <w:r>
        <w:t xml:space="preserve"> : les thiazidiques réduisent l'excrétion urinaire de calcium, augmentant le risque d'hypercalcémie en cas d'association avec le carbonate de calcium. Surveillance de la calcémie tous les 3 mois.</w:t>
      </w:r>
    </w:p>
    <w:p>
      <w:pPr>
        <w:pStyle w:val="ListBullet"/>
      </w:pPr>
      <w:r/>
      <w:r>
        <w:rPr>
          <w:b/>
        </w:rPr>
        <w:t>Diurétiques de l'anse (furosémide, bumétanide)</w:t>
      </w:r>
      <w:r>
        <w:t xml:space="preserve"> : à l'inverse des thiazidiques, les diurétiques de l'anse augmentent l'excrétion urinaire de calcium, réduisant le risque d'hypercalcémie mais augmentant le risque d'hypocalcémie paradoxale. Surveillance de la calcémie.</w:t>
      </w:r>
    </w:p>
    <w:p>
      <w:pPr>
        <w:pStyle w:val="ListBullet"/>
      </w:pPr>
      <w:r/>
      <w:r>
        <w:rPr>
          <w:b/>
        </w:rPr>
        <w:t>Bisphosphonates (alendronate, risédronate, zolédronate)</w:t>
      </w:r>
      <w:r>
        <w:t xml:space="preserve"> : le carbonate de calcium peut diminuer l'absorption du bisphosphonate (effet de barrière de l'alginate) et l'apport calcique exogène peut réduire l'efficacité anti-ostéoporotique du bisphosphonate (compétition pharmacodynamique). Séparation stricte d'au moins 2 heures entre l'alginate triple et le bisphosphonate.</w:t>
      </w:r>
    </w:p>
    <w:p>
      <w:pPr>
        <w:pStyle w:val="ListBullet"/>
      </w:pPr>
      <w:r/>
      <w:r>
        <w:rPr>
          <w:b/>
        </w:rPr>
        <w:t>Tétracyclines (doxycycline, minocycline)</w:t>
      </w:r>
      <w:r>
        <w:t xml:space="preserve"> : le calcium forme des chélates insolubles avec les tétracyclines, réduisant leur absorption digestive et leur efficacité anti-infectieuse. Contre-indication relative, séparation stricte de 2 heures.</w:t>
      </w:r>
    </w:p>
    <w:p>
      <w:pPr>
        <w:pStyle w:val="ListBullet"/>
      </w:pPr>
      <w:r/>
      <w:r>
        <w:rPr>
          <w:b/>
        </w:rPr>
        <w:t>Fluoroquinolones (lévofloxacine, ciprofloxacine, moxifloxacine)</w:t>
      </w:r>
      <w:r>
        <w:t xml:space="preserve"> : le calcium forme des chélates insolubles avec les fluoroquinolones, réduisant leur absorption digestive. Contre-indication relative, séparation stricte de 2 heures.</w:t>
      </w:r>
    </w:p>
    <w:p>
      <w:pPr>
        <w:pStyle w:val="ListBullet"/>
      </w:pPr>
      <w:r/>
      <w:r>
        <w:rPr>
          <w:b/>
        </w:rPr>
        <w:t>Lévothyroxine</w:t>
      </w:r>
      <w:r>
        <w:t xml:space="preserve"> : le calcium réduit l'absorption de la lévothyroxine. Séparation stricte de 4 heures (recommandation HAS).</w:t>
      </w:r>
    </w:p>
    <w:p>
      <w:pPr>
        <w:pStyle w:val="ListBullet"/>
      </w:pPr>
      <w:r/>
      <w:r>
        <w:rPr>
          <w:b/>
        </w:rPr>
        <w:t>Fer oral</w:t>
      </w:r>
      <w:r>
        <w:t xml:space="preserve"> : le calcium réduit l'absorption du fer. Séparation stricte de 2 heures.</w:t>
      </w:r>
    </w:p>
    <w:p>
      <w:pPr>
        <w:pStyle w:val="ListBullet"/>
      </w:pPr>
      <w:r/>
      <w:r>
        <w:rPr>
          <w:b/>
        </w:rPr>
        <w:t>Antibiotiques de la classe des macrolides</w:t>
      </w:r>
      <w:r>
        <w:t xml:space="preserve"> (clarithromycine, azithromycine) : le calcium peut réduire leur absorption. Séparation stricte de 2 heures.</w:t>
      </w:r>
    </w:p>
    <w:p>
      <w:pPr>
        <w:pStyle w:val="ListBullet"/>
      </w:pPr>
      <w:r/>
      <w:r>
        <w:rPr>
          <w:b/>
        </w:rPr>
        <w:t>Vitamine D et métabolites (calcitriol, paricalcitol)</w:t>
      </w:r>
      <w:r>
        <w:t xml:space="preserve"> : l'association potentialise l'hypercalcémie. Surveillance de la calcémie tous les 3 mois.</w:t>
      </w:r>
    </w:p>
    <w:p>
      <w:pPr>
        <w:pStyle w:val="Heading3"/>
      </w:pPr>
      <w:r>
        <w:t>245.2.7 Grossesse et allaitement (CRAT)</w:t>
      </w:r>
    </w:p>
    <w:p>
      <w:r>
        <w:t>Le profil de sécurité materno-fœtal de l'alginate triple est globalement favorable, mais légèrement moins documenté que celui de l'alginate double en raison de la présence de carbonate de calcium. L'alginate de sodium n'est pas absorbé (absence de passage placentaire). Le bicarbonate de sodium est partiellement absorbé mais son métabolisme est physiologique et sans risque fœtal. Le carbonate de calcium est partiellement absorbé (10-30 % de la dose ingérée), et le calcium absorbé est utilisé pour la minéralisation du squelette fœtal (besoin fœtal en calcium estimé à 200-300 mg/jour au troisième trimestre). Aux posologies recommandées (1 comprimé × 4/jour maximum, soit 256 mg de calcium élémentaire par jour), l'apport calcique supplémentaire est modeste et sans risque pour le fœtus.</w:t>
      </w:r>
    </w:p>
    <w:p>
      <w:r>
        <w:t>Le CRAT et l'EMA HMPC recommandent toutefois de privilégier l'alginate double (sans carbonate de calcium) chez la femme enceinte, en raison du meilleur profil de sécurité documenté et de l'absence d'apport calcique supplémentaire non nécessaire chez la femme enceinte non carencée. L'alginate triple peut être utilisé chez la femme enceinte en deuxième intention, en cas d'intolérance ou d'inefficacité de l'alginate double, ou en cas de préférence pour la forme comprimé à croquer. La prescription médicale est alors recommandée pour surveillance de la calcémie en cas d'usage prolongé au-delà de 14 jours.</w:t>
      </w:r>
    </w:p>
    <w:p>
      <w:r>
        <w:t>L'allaitement est autorisé sous alginate triple, en raison de l'absence d'absorption systémique significative de l'alginate et de la sécurité du calcium (composé physiologique endogène du lait maternel, dont la concentration est régulée par la prolactine et indépendante de l'apport calcique maternel aux posologies recommandées). Le CRAT recommande toutefois de privilégier l'alginate double chez la femme allaitante, en raison du meilleur profil de sécurité documenté.</w:t>
      </w:r>
    </w:p>
    <w:p>
      <w:pPr>
        <w:pStyle w:val="Heading3"/>
      </w:pPr>
      <w:r>
        <w:t>245.2.8 Posologie et mode d'administration</w:t>
      </w:r>
    </w:p>
    <w:p>
      <w:pPr>
        <w:pStyle w:val="Heading4"/>
      </w:pPr>
      <w:r>
        <w:t>245.2.8.1 Posologie standard chez l'adulte et l'enfant de plus de 12 ans</w:t>
      </w:r>
    </w:p>
    <w:p>
      <w:r>
        <w:t>La posologie standard de l'alginate triple chez l'adulte et l'enfant de plus de 12 ans est de 1 comprimé à croquer après chaque repas principal (petit-déjeuner, déjeuner, dîner) et au coucher, soit 4 prises par jour maximum, à ne pas dépasser. La posologie maximale quotidienne est donc de 4 comprimés à croquer (2 000 mg d'alginate + 1 068 mg de bicarbonate + 640 mg de carbonate de calcium, soit 2 032 mg d'alginate + 1 068 mg de bicarbonate + 256 mg de calcium élémentaire). La durée d'utilisation en automédication est limitée à 14 jours consécutifs, après quoi une consultation médicale est nécessaire pour évaluation diagnostique et éventuel relais par un traitement antisécrétoire (IPP).</w:t>
      </w:r>
    </w:p>
    <w:p>
      <w:pPr>
        <w:pStyle w:val="Heading4"/>
      </w:pPr>
      <w:r>
        <w:t>245.2.8.2 Mode d'administration spécifique</w:t>
      </w:r>
    </w:p>
    <w:p>
      <w:r>
        <w:t xml:space="preserve">L'administration du comprimé à croquer d'alginate triple doit respecter les règles pratiques suivantes : </w:t>
      </w:r>
      <w:r>
        <w:rPr>
          <w:b/>
        </w:rPr>
        <w:t>mastication complète du comprimé avant déglutition</w:t>
      </w:r>
      <w:r>
        <w:t xml:space="preserve"> (essentielle pour permettre la dispersion correcte de l'alginate dans le contenu gastrique et la formation efficace du raft flottant ; en cas de mastication insuffisante, risque d'inefficacité thérapeutique et de bezoard gastrique), </w:t>
      </w:r>
      <w:r>
        <w:rPr>
          <w:b/>
        </w:rPr>
        <w:t>prise après les repas principaux et au coucher</w:t>
      </w:r>
      <w:r>
        <w:t xml:space="preserve"> (et non à jeun, car le raft flottant nécessite la présence de contenu gastrique pour se former correctement), </w:t>
      </w:r>
      <w:r>
        <w:rPr>
          <w:b/>
        </w:rPr>
        <w:t>prise en position assise ou debout</w:t>
      </w:r>
      <w:r>
        <w:t xml:space="preserve"> (et non en decubitus dorsal), </w:t>
      </w:r>
      <w:r>
        <w:rPr>
          <w:b/>
        </w:rPr>
        <w:t>maintien en position érigée pendant au moins 30 minutes après la prise</w:t>
      </w:r>
      <w:r>
        <w:t xml:space="preserve"> (pour favoriser la formation et le maintien du raft flottant à la surface du contenu gastrique), </w:t>
      </w:r>
      <w:r>
        <w:rPr>
          <w:b/>
        </w:rPr>
        <w:t>séparation d'au moins 2 heures avec les autres médicaments oraux</w:t>
      </w:r>
      <w:r>
        <w:t xml:space="preserve"> (pour éviter la diminution de leur absorption), </w:t>
      </w:r>
      <w:r>
        <w:rPr>
          <w:b/>
        </w:rPr>
        <w:t>ne pas dépasser 4 comprimés par jour</w:t>
      </w:r>
      <w:r>
        <w:t xml:space="preserve"> (pour éviter le risque d'alcalose métabolique, d'hypernatrémie et d'hypercalcémie).</w:t>
      </w:r>
    </w:p>
    <w:p>
      <w:pPr>
        <w:pStyle w:val="Heading3"/>
      </w:pPr>
      <w:r>
        <w:t>245.2.9 Arbitrage et bénéfices des formes galéniques</w:t>
      </w:r>
    </w:p>
    <w:p>
      <w:r>
        <w:t xml:space="preserve">L'arbitrage entre l'alginate double (suspension buvable) et l'alginate triple (comprimé à croquer) repose sur quatre critères principaux. </w:t>
      </w:r>
      <w:r>
        <w:rPr>
          <w:b/>
        </w:rPr>
        <w:t>Profil du patient</w:t>
      </w:r>
      <w:r>
        <w:t xml:space="preserve"> : l'alginate triple est préféré chez les patients réticents aux formes liquides (goût, texture, encombrement), les patients nomades (praticité du comprimé), les patients âgés ayant des difficultés à mesurer une dose liquide. L'alginate double est préféré chez les patients présentant une dysphagie aux comprimés, les enfants de moins de 12 ans (formulation pédiatrique), les femmes enceintes (meilleur profil de sécurité documenté). </w:t>
      </w:r>
      <w:r>
        <w:rPr>
          <w:b/>
        </w:rPr>
        <w:t>Efficacité symptomatique</w:t>
      </w:r>
      <w:r>
        <w:t xml:space="preserve"> : l'alginate triple a une durée d'action légèrement supérieure (4 à 6 heures vs 3 à 4 heures) en raison du raft renforcé par le calcium, ce qui en fait une formulation de choix pour la prévention du reflux nocturne. </w:t>
      </w:r>
      <w:r>
        <w:rPr>
          <w:b/>
        </w:rPr>
        <w:t>Profil de sécurité</w:t>
      </w:r>
      <w:r>
        <w:t xml:space="preserve"> : l'alginate double a un meilleur profil de sécurité documenté (absence d'apport calcique, pas de risque d'hypercalcémie ou de syndrome lait-alcalin), ce qui en fait le traitement de référence chez la femme enceinte, l'insuffisant rénal chronique et le sujet âgé. </w:t>
      </w:r>
      <w:r>
        <w:rPr>
          <w:b/>
        </w:rPr>
        <w:t>Coût et disponibilité</w:t>
      </w:r>
      <w:r>
        <w:t xml:space="preserve"> : l'alginate double est disponible sous de nombreuses spécialités algériennes (NOBAC suspension, GASTOMAX, GASTRIUM, GATIMOX, GAVIX) à un coût modéré (50-150 DA/flacon), tandis que l'alginate triple n'est disponible que sous une seule spécialité (NOBAC comprimé à croquer, Biopharm) à un coût légèrement supérieur.</w:t>
      </w:r>
    </w:p>
    <w:p>
      <w:r>
        <w:t>L'arbitrage entre la prise au coucher de l'alginate double vs l'alginate triple est un point crucial du conseil pharmaceutique : pour le RGO nocturne, l'alginate triple est préféré en raison de sa durée d'action prolongée (4 à 6 heures couvrant la nuit), tandis que pour le RGO diurne post-prandial, l'alginate double est suffisant et préféré en raison de son meilleur profil de sécurité.</w:t>
      </w:r>
    </w:p>
    <w:p>
      <w:pPr>
        <w:pStyle w:val="Heading3"/>
      </w:pPr>
      <w:r>
        <w:t>245.2.10 Instructions et conseils au patient</w:t>
      </w:r>
    </w:p>
    <w:p>
      <w:r>
        <w:t>Les instructions et conseils au patient lors de la délivrance d'un alginate triple au comptoir doivent intégrer les éléments suivants, en complément de ceux de l'alginate double :</w:t>
      </w:r>
    </w:p>
    <w:p>
      <w:pPr>
        <w:pStyle w:val="ListNumber"/>
      </w:pPr>
      <w:r/>
      <w:r>
        <w:rPr>
          <w:b/>
        </w:rPr>
        <w:t>Insister sur la mastication complète</w:t>
      </w:r>
      <w:r>
        <w:t xml:space="preserve"> : « Vous devez mâcher complètement le comprimé avant de l'avaler. Si vous l'avalez entier, le médicament ne fonctionnera pas correctement et pourrait former un bloc dans votre estomac. »</w:t>
      </w:r>
    </w:p>
    <w:p>
      <w:pPr>
        <w:pStyle w:val="ListNumber"/>
      </w:pPr>
      <w:r/>
      <w:r>
        <w:rPr>
          <w:b/>
        </w:rPr>
        <w:t>Expliquer le bénéfice de la triple association</w:t>
      </w:r>
      <w:r>
        <w:t xml:space="preserve"> : « Ce comprimé contient trois principes actifs qui forment ensemble un gel flottant plus résistant et plus durable que la simple suspension liquide, ce qui le rend particulièrement adapté pour protéger votre œsophage pendant la nuit. »</w:t>
      </w:r>
    </w:p>
    <w:p>
      <w:pPr>
        <w:pStyle w:val="ListNumber"/>
      </w:pPr>
      <w:r/>
      <w:r>
        <w:rPr>
          <w:b/>
        </w:rPr>
        <w:t>Prévenir les effets indésirables calciques</w:t>
      </w:r>
      <w:r>
        <w:t xml:space="preserve"> : « Si vous prenez d'autres médicaments pour le cœur (digoxine), pour l'ostéoporose (bisphosphonates), ou si vous avez des calculs rénaux, parlez-en à votre médecin avant de prendre ce médicament. »</w:t>
      </w:r>
    </w:p>
    <w:p>
      <w:pPr>
        <w:pStyle w:val="ListNumber"/>
      </w:pPr>
      <w:r/>
      <w:r>
        <w:rPr>
          <w:b/>
        </w:rPr>
        <w:t>Surveiller la constipation</w:t>
      </w:r>
      <w:r>
        <w:t xml:space="preserve"> : « Ce médicament peut constiper davantage que la version liquide, en raison de la présence de calcium. Buvez beaucoup d'eau et mangez des fibres. Si vous êtes constipé, prenez un laxatif doux (macrogol). »</w:t>
      </w:r>
    </w:p>
    <w:p>
      <w:pPr>
        <w:pStyle w:val="ListNumber"/>
      </w:pPr>
      <w:r/>
      <w:r>
        <w:rPr>
          <w:b/>
        </w:rPr>
        <w:t>Limite d'automédication</w:t>
      </w:r>
      <w:r>
        <w:t xml:space="preserve"> : « Ne dépassez pas 14 jours de traitement sans avis médical. Si vos symptômes persistent ou s'aggravent, consultez votre médecin pour des examens complémentaires. »</w:t>
      </w:r>
    </w:p>
    <w:p>
      <w:pPr>
        <w:pStyle w:val="ListNumber"/>
      </w:pPr>
      <w:r/>
      <w:r>
        <w:rPr>
          <w:b/>
        </w:rPr>
        <w:t>Femme enceinte</w:t>
      </w:r>
      <w:r>
        <w:t xml:space="preserve"> : « Si vous êtes enceinte, préférez la version liquide (NOBAC suspension) qui a un meilleur profil de sécurité. Le comprimé à croquer peut toutefois être utilisé en deuxième intention en cas d'intolérance à la forme liquide. »</w:t>
      </w:r>
    </w:p>
    <w:p>
      <w:pPr>
        <w:pStyle w:val="Heading3"/>
      </w:pPr>
      <w:r>
        <w:t>245.2.11 Notes, règles d'or et pièges au comptoir</w:t>
      </w:r>
    </w:p>
    <w:p>
      <w:r/>
      <w:r>
        <w:rPr>
          <w:b/>
        </w:rPr>
        <w:t>Règles d'or spécifiques à l'alginate triple</w:t>
      </w:r>
      <w:r>
        <w:t xml:space="preserve"> :</w:t>
      </w:r>
    </w:p>
    <w:p>
      <w:pPr>
        <w:pStyle w:val="ListBullet"/>
      </w:pPr>
      <w:r/>
      <w:r>
        <w:rPr>
          <w:b/>
        </w:rPr>
        <w:t>Règle n°1</w:t>
      </w:r>
      <w:r>
        <w:t xml:space="preserve"> : Toujours demander au patient s'il prend des médicaments pour le cœur (digoxine), de l'ostéoporose (bisphosphonates), ou s'il a des antécédents de calculs rénaux, avant de délivrer de l'alginate triple.</w:t>
      </w:r>
    </w:p>
    <w:p>
      <w:pPr>
        <w:pStyle w:val="ListBullet"/>
      </w:pPr>
      <w:r/>
      <w:r>
        <w:rPr>
          <w:b/>
        </w:rPr>
        <w:t>Règle n°2</w:t>
      </w:r>
      <w:r>
        <w:t xml:space="preserve"> : Toujours insister sur la mastication complète du comprimé avant déglutition (essentielle pour l'efficacité thérapeutique).</w:t>
      </w:r>
    </w:p>
    <w:p>
      <w:pPr>
        <w:pStyle w:val="ListBullet"/>
      </w:pPr>
      <w:r/>
      <w:r>
        <w:rPr>
          <w:b/>
        </w:rPr>
        <w:t>Règle n°3</w:t>
      </w:r>
      <w:r>
        <w:t xml:space="preserve"> : Chez la femme enceinte, toujours privilégier l'alginate double (suspension buvable) et ne proposer l'alginate triple qu'en deuxième intention.</w:t>
      </w:r>
    </w:p>
    <w:p>
      <w:pPr>
        <w:pStyle w:val="ListBullet"/>
      </w:pPr>
      <w:r/>
      <w:r>
        <w:rPr>
          <w:b/>
        </w:rPr>
        <w:t>Règle n°4</w:t>
      </w:r>
      <w:r>
        <w:t xml:space="preserve"> : Chez le sujet âgé insuffisant rénal chronique, toujours préférer l'alginate double et surveiller la calcémie si l'alginate triple doit être utilisé.</w:t>
      </w:r>
    </w:p>
    <w:p>
      <w:pPr>
        <w:pStyle w:val="ListBullet"/>
      </w:pPr>
      <w:r/>
      <w:r>
        <w:rPr>
          <w:b/>
        </w:rPr>
        <w:t>Règle n°5</w:t>
      </w:r>
      <w:r>
        <w:t xml:space="preserve"> : En cas de RGO nocturne, l'alginate triple (prise au coucher) est préféré à l'alginate double en raison de sa durée d'action prolongée.</w:t>
      </w:r>
    </w:p>
    <w:p>
      <w:r/>
      <w:r>
        <w:rPr>
          <w:b/>
        </w:rPr>
        <w:t>Pièges spécifiques à l'alginate triple</w:t>
      </w:r>
      <w:r>
        <w:t xml:space="preserve"> :</w:t>
      </w:r>
    </w:p>
    <w:p>
      <w:pPr>
        <w:pStyle w:val="ListBullet"/>
      </w:pPr>
      <w:r/>
      <w:r>
        <w:rPr>
          <w:b/>
        </w:rPr>
        <w:t>Piège n°1</w:t>
      </w:r>
      <w:r>
        <w:t xml:space="preserve"> : Le patient qui avale le comprimé entier sans le mâcher : risque d'inefficacité thérapeutique et de bezoard gastrique. Toujours insister sur la mastication complète.</w:t>
      </w:r>
    </w:p>
    <w:p>
      <w:pPr>
        <w:pStyle w:val="ListBullet"/>
      </w:pPr>
      <w:r/>
      <w:r>
        <w:rPr>
          <w:b/>
        </w:rPr>
        <w:t>Piège n°2</w:t>
      </w:r>
      <w:r>
        <w:t xml:space="preserve"> : Le patient sous digoxine à qui l'on délivre de l'alginate triple sans surveillance : risque d'arythmie digitalique favorisée par l'hypercalcémie.</w:t>
      </w:r>
    </w:p>
    <w:p>
      <w:pPr>
        <w:pStyle w:val="ListBullet"/>
      </w:pPr>
      <w:r/>
      <w:r>
        <w:rPr>
          <w:b/>
        </w:rPr>
        <w:t>Piège n°3</w:t>
      </w:r>
      <w:r>
        <w:t xml:space="preserve"> : Le patient insuffisant rénal chronique à qui l'on délivre de l'alginate triple en automatique : risque d'hypercalcémie sévère et de syndrome lait-alcalin.</w:t>
      </w:r>
    </w:p>
    <w:p>
      <w:pPr>
        <w:pStyle w:val="ListBullet"/>
      </w:pPr>
      <w:r/>
      <w:r>
        <w:rPr>
          <w:b/>
        </w:rPr>
        <w:t>Piège n°4</w:t>
      </w:r>
      <w:r>
        <w:t xml:space="preserve"> : La femme enceinte à qui l'on délivre de l'alginate triple en première intention au lieu de l'alginate double : moins bon profil de sécurité documenté, à réserver en deuxième intention.</w:t>
      </w:r>
    </w:p>
    <w:p>
      <w:pPr>
        <w:pStyle w:val="ListBullet"/>
      </w:pPr>
      <w:r/>
      <w:r>
        <w:rPr>
          <w:b/>
        </w:rPr>
        <w:t>Piège n°5</w:t>
      </w:r>
      <w:r>
        <w:t xml:space="preserve"> : Le patient qui poursuit l'automédication au-delà de 14 jours sans consultation médicale : risque de masquer une pathologie sous-jacente et de développer un syndrome lait-alcalin.</w:t>
      </w:r>
    </w:p>
    <w:p>
      <w:pPr>
        <w:pStyle w:val="Heading3"/>
      </w:pPr>
      <w:r>
        <w:t>245.2.12 Tableau comparatif de sous-classe : Alginate double vs Alginate triple vs Gaviscon historique</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Critère</w:t>
            </w:r>
          </w:p>
        </w:tc>
        <w:tc>
          <w:tcPr>
            <w:tcW w:type="dxa" w:w="2078"/>
            <w:shd w:val="clear" w:color="auto" w:fill="F2F2F2"/>
          </w:tcPr>
          <w:p>
            <w:r>
              <w:rPr>
                <w:rFonts w:ascii="Times New Roman" w:hAnsi="Times New Roman"/>
                <w:b/>
                <w:sz w:val="20"/>
              </w:rPr>
              <w:t>Alginate double (NOBAC suspension, GASTOMAX, etc.)</w:t>
            </w:r>
          </w:p>
        </w:tc>
        <w:tc>
          <w:tcPr>
            <w:tcW w:type="dxa" w:w="2078"/>
            <w:shd w:val="clear" w:color="auto" w:fill="F2F2F2"/>
          </w:tcPr>
          <w:p>
            <w:r>
              <w:rPr>
                <w:rFonts w:ascii="Times New Roman" w:hAnsi="Times New Roman"/>
                <w:b/>
                <w:sz w:val="20"/>
              </w:rPr>
              <w:t>Alginate triple (NOBAC comprimé à croquer)</w:t>
            </w:r>
          </w:p>
        </w:tc>
        <w:tc>
          <w:tcPr>
            <w:tcW w:type="dxa" w:w="2078"/>
            <w:shd w:val="clear" w:color="auto" w:fill="F2F2F2"/>
          </w:tcPr>
          <w:p>
            <w:r>
              <w:rPr>
                <w:rFonts w:ascii="Times New Roman" w:hAnsi="Times New Roman"/>
                <w:b/>
                <w:sz w:val="20"/>
              </w:rPr>
              <w:t>Gaviscon historique (SmithKline Beecham, NON_RENOUVELABLE)</w:t>
            </w:r>
          </w:p>
        </w:tc>
      </w:tr>
      <w:tr>
        <w:tc>
          <w:tcPr>
            <w:tcW w:type="dxa" w:w="2078"/>
          </w:tcPr>
          <w:p>
            <w:r>
              <w:rPr>
                <w:rFonts w:ascii="Times New Roman" w:hAnsi="Times New Roman"/>
                <w:sz w:val="20"/>
              </w:rPr>
              <w:t>**Composition par prise unitaire**</w:t>
            </w:r>
          </w:p>
        </w:tc>
        <w:tc>
          <w:tcPr>
            <w:tcW w:type="dxa" w:w="2078"/>
          </w:tcPr>
          <w:p>
            <w:r>
              <w:rPr>
                <w:rFonts w:ascii="Times New Roman" w:hAnsi="Times New Roman"/>
                <w:sz w:val="20"/>
              </w:rPr>
              <w:t>500 mg alginate + 267 mg bicarbonate</w:t>
            </w:r>
          </w:p>
        </w:tc>
        <w:tc>
          <w:tcPr>
            <w:tcW w:type="dxa" w:w="2078"/>
          </w:tcPr>
          <w:p>
            <w:r>
              <w:rPr>
                <w:rFonts w:ascii="Times New Roman" w:hAnsi="Times New Roman"/>
                <w:sz w:val="20"/>
              </w:rPr>
              <w:t>500 mg alginate + 267 mg bicarbonate + 160 mg CaCO₃</w:t>
            </w:r>
          </w:p>
        </w:tc>
        <w:tc>
          <w:tcPr>
            <w:tcW w:type="dxa" w:w="2078"/>
          </w:tcPr>
          <w:p>
            <w:r>
              <w:rPr>
                <w:rFonts w:ascii="Times New Roman" w:hAnsi="Times New Roman"/>
                <w:sz w:val="20"/>
              </w:rPr>
              <w:t>500 mg alginate + 267 mg bicarbonate (équivalent)</w:t>
            </w:r>
          </w:p>
        </w:tc>
      </w:tr>
      <w:tr>
        <w:tc>
          <w:tcPr>
            <w:tcW w:type="dxa" w:w="2078"/>
          </w:tcPr>
          <w:p>
            <w:r>
              <w:rPr>
                <w:rFonts w:ascii="Times New Roman" w:hAnsi="Times New Roman"/>
                <w:sz w:val="20"/>
              </w:rPr>
              <w:t>**Forme galénique**</w:t>
            </w:r>
          </w:p>
        </w:tc>
        <w:tc>
          <w:tcPr>
            <w:tcW w:type="dxa" w:w="2078"/>
          </w:tcPr>
          <w:p>
            <w:r>
              <w:rPr>
                <w:rFonts w:ascii="Times New Roman" w:hAnsi="Times New Roman"/>
                <w:sz w:val="20"/>
              </w:rPr>
              <w:t>Suspension buvable (flacon 200-250 mL ou sachet 10 mL)</w:t>
            </w:r>
          </w:p>
        </w:tc>
        <w:tc>
          <w:tcPr>
            <w:tcW w:type="dxa" w:w="2078"/>
          </w:tcPr>
          <w:p>
            <w:r>
              <w:rPr>
                <w:rFonts w:ascii="Times New Roman" w:hAnsi="Times New Roman"/>
                <w:sz w:val="20"/>
              </w:rPr>
              <w:t>Comprimé à croquer (boîte de 16)</w:t>
            </w:r>
          </w:p>
        </w:tc>
        <w:tc>
          <w:tcPr>
            <w:tcW w:type="dxa" w:w="2078"/>
          </w:tcPr>
          <w:p>
            <w:r>
              <w:rPr>
                <w:rFonts w:ascii="Times New Roman" w:hAnsi="Times New Roman"/>
                <w:sz w:val="20"/>
              </w:rPr>
              <w:t>Suspension buvable (flacon 250 mL)</w:t>
            </w:r>
          </w:p>
        </w:tc>
      </w:tr>
      <w:tr>
        <w:tc>
          <w:tcPr>
            <w:tcW w:type="dxa" w:w="2078"/>
          </w:tcPr>
          <w:p>
            <w:r>
              <w:rPr>
                <w:rFonts w:ascii="Times New Roman" w:hAnsi="Times New Roman"/>
                <w:sz w:val="20"/>
              </w:rPr>
              <w:t>**Code ATC**</w:t>
            </w:r>
          </w:p>
        </w:tc>
        <w:tc>
          <w:tcPr>
            <w:tcW w:type="dxa" w:w="2078"/>
          </w:tcPr>
          <w:p>
            <w:r>
              <w:rPr>
                <w:rFonts w:ascii="Times New Roman" w:hAnsi="Times New Roman"/>
                <w:sz w:val="20"/>
              </w:rPr>
              <w:t>A02BX13</w:t>
            </w:r>
          </w:p>
        </w:tc>
        <w:tc>
          <w:tcPr>
            <w:tcW w:type="dxa" w:w="2078"/>
          </w:tcPr>
          <w:p>
            <w:r>
              <w:rPr>
                <w:rFonts w:ascii="Times New Roman" w:hAnsi="Times New Roman"/>
                <w:sz w:val="20"/>
              </w:rPr>
              <w:t>A02BX13 (+ A02AC pour le CaCO₃)</w:t>
            </w:r>
          </w:p>
        </w:tc>
        <w:tc>
          <w:tcPr>
            <w:tcW w:type="dxa" w:w="2078"/>
          </w:tcPr>
          <w:p>
            <w:r>
              <w:rPr>
                <w:rFonts w:ascii="Times New Roman" w:hAnsi="Times New Roman"/>
                <w:sz w:val="20"/>
              </w:rPr>
              <w:t>A02BX13</w:t>
            </w:r>
          </w:p>
        </w:tc>
      </w:tr>
      <w:tr>
        <w:tc>
          <w:tcPr>
            <w:tcW w:type="dxa" w:w="2078"/>
          </w:tcPr>
          <w:p>
            <w:r>
              <w:rPr>
                <w:rFonts w:ascii="Times New Roman" w:hAnsi="Times New Roman"/>
                <w:sz w:val="20"/>
              </w:rPr>
              <w:t>**Mécanisme principal**</w:t>
            </w:r>
          </w:p>
        </w:tc>
        <w:tc>
          <w:tcPr>
            <w:tcW w:type="dxa" w:w="2078"/>
          </w:tcPr>
          <w:p>
            <w:r>
              <w:rPr>
                <w:rFonts w:ascii="Times New Roman" w:hAnsi="Times New Roman"/>
                <w:sz w:val="20"/>
              </w:rPr>
              <w:t>Raft flottant simple</w:t>
            </w:r>
          </w:p>
        </w:tc>
        <w:tc>
          <w:tcPr>
            <w:tcW w:type="dxa" w:w="2078"/>
          </w:tcPr>
          <w:p>
            <w:r>
              <w:rPr>
                <w:rFonts w:ascii="Times New Roman" w:hAnsi="Times New Roman"/>
                <w:sz w:val="20"/>
              </w:rPr>
              <w:t>Raft flottant renforcé par le calcium</w:t>
            </w:r>
          </w:p>
        </w:tc>
        <w:tc>
          <w:tcPr>
            <w:tcW w:type="dxa" w:w="2078"/>
          </w:tcPr>
          <w:p>
            <w:r>
              <w:rPr>
                <w:rFonts w:ascii="Times New Roman" w:hAnsi="Times New Roman"/>
                <w:sz w:val="20"/>
              </w:rPr>
              <w:t>Raft flottant simple</w:t>
            </w:r>
          </w:p>
        </w:tc>
      </w:tr>
      <w:tr>
        <w:tc>
          <w:tcPr>
            <w:tcW w:type="dxa" w:w="2078"/>
          </w:tcPr>
          <w:p>
            <w:r>
              <w:rPr>
                <w:rFonts w:ascii="Times New Roman" w:hAnsi="Times New Roman"/>
                <w:sz w:val="20"/>
              </w:rPr>
              <w:t>**Durée d'action**</w:t>
            </w:r>
          </w:p>
        </w:tc>
        <w:tc>
          <w:tcPr>
            <w:tcW w:type="dxa" w:w="2078"/>
          </w:tcPr>
          <w:p>
            <w:r>
              <w:rPr>
                <w:rFonts w:ascii="Times New Roman" w:hAnsi="Times New Roman"/>
                <w:sz w:val="20"/>
              </w:rPr>
              <w:t>3-4 heures</w:t>
            </w:r>
          </w:p>
        </w:tc>
        <w:tc>
          <w:tcPr>
            <w:tcW w:type="dxa" w:w="2078"/>
          </w:tcPr>
          <w:p>
            <w:r>
              <w:rPr>
                <w:rFonts w:ascii="Times New Roman" w:hAnsi="Times New Roman"/>
                <w:sz w:val="20"/>
              </w:rPr>
              <w:t>4-6 heures</w:t>
            </w:r>
          </w:p>
        </w:tc>
        <w:tc>
          <w:tcPr>
            <w:tcW w:type="dxa" w:w="2078"/>
          </w:tcPr>
          <w:p>
            <w:r>
              <w:rPr>
                <w:rFonts w:ascii="Times New Roman" w:hAnsi="Times New Roman"/>
                <w:sz w:val="20"/>
              </w:rPr>
              <w:t>3-4 heures</w:t>
            </w:r>
          </w:p>
        </w:tc>
      </w:tr>
      <w:tr>
        <w:tc>
          <w:tcPr>
            <w:tcW w:type="dxa" w:w="2078"/>
          </w:tcPr>
          <w:p>
            <w:r>
              <w:rPr>
                <w:rFonts w:ascii="Times New Roman" w:hAnsi="Times New Roman"/>
                <w:sz w:val="20"/>
              </w:rPr>
              <w:t>**Absorption systémique**</w:t>
            </w:r>
          </w:p>
        </w:tc>
        <w:tc>
          <w:tcPr>
            <w:tcW w:type="dxa" w:w="2078"/>
          </w:tcPr>
          <w:p>
            <w:r>
              <w:rPr>
                <w:rFonts w:ascii="Times New Roman" w:hAnsi="Times New Roman"/>
                <w:sz w:val="20"/>
              </w:rPr>
              <w:t>Négligeable (alginate) + 30% (bicarbonate)</w:t>
            </w:r>
          </w:p>
        </w:tc>
        <w:tc>
          <w:tcPr>
            <w:tcW w:type="dxa" w:w="2078"/>
          </w:tcPr>
          <w:p>
            <w:r>
              <w:rPr>
                <w:rFonts w:ascii="Times New Roman" w:hAnsi="Times New Roman"/>
                <w:sz w:val="20"/>
              </w:rPr>
              <w:t>Négligeable (alginate) + 30% (bicarbonate) + 10-30% (calcium)</w:t>
            </w:r>
          </w:p>
        </w:tc>
        <w:tc>
          <w:tcPr>
            <w:tcW w:type="dxa" w:w="2078"/>
          </w:tcPr>
          <w:p>
            <w:r>
              <w:rPr>
                <w:rFonts w:ascii="Times New Roman" w:hAnsi="Times New Roman"/>
                <w:sz w:val="20"/>
              </w:rPr>
              <w:t>Négligeable (alginate) + 30% (bicarbonate)</w:t>
            </w:r>
          </w:p>
        </w:tc>
      </w:tr>
      <w:tr>
        <w:tc>
          <w:tcPr>
            <w:tcW w:type="dxa" w:w="2078"/>
          </w:tcPr>
          <w:p>
            <w:r>
              <w:rPr>
                <w:rFonts w:ascii="Times New Roman" w:hAnsi="Times New Roman"/>
                <w:sz w:val="20"/>
              </w:rPr>
              <w:t>**Statut algérien**</w:t>
            </w:r>
          </w:p>
        </w:tc>
        <w:tc>
          <w:tcPr>
            <w:tcW w:type="dxa" w:w="2078"/>
          </w:tcPr>
          <w:p>
            <w:r>
              <w:rPr>
                <w:rFonts w:ascii="Times New Roman" w:hAnsi="Times New Roman"/>
                <w:sz w:val="20"/>
              </w:rPr>
              <w:t>ACTIF (9 spécialités)</w:t>
            </w:r>
          </w:p>
        </w:tc>
        <w:tc>
          <w:tcPr>
            <w:tcW w:type="dxa" w:w="2078"/>
          </w:tcPr>
          <w:p>
            <w:r>
              <w:rPr>
                <w:rFonts w:ascii="Times New Roman" w:hAnsi="Times New Roman"/>
                <w:sz w:val="20"/>
              </w:rPr>
              <w:t>ACTIF (1 spécialité)</w:t>
            </w:r>
          </w:p>
        </w:tc>
        <w:tc>
          <w:tcPr>
            <w:tcW w:type="dxa" w:w="2078"/>
          </w:tcPr>
          <w:p>
            <w:r>
              <w:rPr>
                <w:rFonts w:ascii="Times New Roman" w:hAnsi="Times New Roman"/>
                <w:sz w:val="20"/>
              </w:rPr>
              <w:t>NON_RENOUVELABLE</w:t>
            </w:r>
          </w:p>
        </w:tc>
      </w:tr>
      <w:tr>
        <w:tc>
          <w:tcPr>
            <w:tcW w:type="dxa" w:w="2078"/>
          </w:tcPr>
          <w:p>
            <w:r>
              <w:rPr>
                <w:rFonts w:ascii="Times New Roman" w:hAnsi="Times New Roman"/>
                <w:sz w:val="20"/>
              </w:rPr>
              <w:t>**Grossesse (CRAT)**</w:t>
            </w:r>
          </w:p>
        </w:tc>
        <w:tc>
          <w:tcPr>
            <w:tcW w:type="dxa" w:w="2078"/>
          </w:tcPr>
          <w:p>
            <w:r>
              <w:rPr>
                <w:rFonts w:ascii="Times New Roman" w:hAnsi="Times New Roman"/>
                <w:sz w:val="20"/>
              </w:rPr>
              <w:t>Autorisé (1ère intention)</w:t>
            </w:r>
          </w:p>
        </w:tc>
        <w:tc>
          <w:tcPr>
            <w:tcW w:type="dxa" w:w="2078"/>
          </w:tcPr>
          <w:p>
            <w:r>
              <w:rPr>
                <w:rFonts w:ascii="Times New Roman" w:hAnsi="Times New Roman"/>
                <w:sz w:val="20"/>
              </w:rPr>
              <w:t>Autorisé (2ème intention)</w:t>
            </w:r>
          </w:p>
        </w:tc>
        <w:tc>
          <w:tcPr>
            <w:tcW w:type="dxa" w:w="2078"/>
          </w:tcPr>
          <w:p>
            <w:r>
              <w:rPr>
                <w:rFonts w:ascii="Times New Roman" w:hAnsi="Times New Roman"/>
                <w:sz w:val="20"/>
              </w:rPr>
              <w:t>N/A (non commercialisé)</w:t>
            </w:r>
          </w:p>
        </w:tc>
      </w:tr>
      <w:tr>
        <w:tc>
          <w:tcPr>
            <w:tcW w:type="dxa" w:w="2078"/>
          </w:tcPr>
          <w:p>
            <w:r>
              <w:rPr>
                <w:rFonts w:ascii="Times New Roman" w:hAnsi="Times New Roman"/>
                <w:sz w:val="20"/>
              </w:rPr>
              <w:t>**Allaitement**</w:t>
            </w:r>
          </w:p>
        </w:tc>
        <w:tc>
          <w:tcPr>
            <w:tcW w:type="dxa" w:w="2078"/>
          </w:tcPr>
          <w:p>
            <w:r>
              <w:rPr>
                <w:rFonts w:ascii="Times New Roman" w:hAnsi="Times New Roman"/>
                <w:sz w:val="20"/>
              </w:rPr>
              <w:t>Autorisé</w:t>
            </w:r>
          </w:p>
        </w:tc>
        <w:tc>
          <w:tcPr>
            <w:tcW w:type="dxa" w:w="2078"/>
          </w:tcPr>
          <w:p>
            <w:r>
              <w:rPr>
                <w:rFonts w:ascii="Times New Roman" w:hAnsi="Times New Roman"/>
                <w:sz w:val="20"/>
              </w:rPr>
              <w:t>Autorisé</w:t>
            </w:r>
          </w:p>
        </w:tc>
        <w:tc>
          <w:tcPr>
            <w:tcW w:type="dxa" w:w="2078"/>
          </w:tcPr>
          <w:p>
            <w:r>
              <w:rPr>
                <w:rFonts w:ascii="Times New Roman" w:hAnsi="Times New Roman"/>
                <w:sz w:val="20"/>
              </w:rPr>
              <w:t>N/A</w:t>
            </w:r>
          </w:p>
        </w:tc>
      </w:tr>
      <w:tr>
        <w:tc>
          <w:tcPr>
            <w:tcW w:type="dxa" w:w="2078"/>
          </w:tcPr>
          <w:p>
            <w:r>
              <w:rPr>
                <w:rFonts w:ascii="Times New Roman" w:hAnsi="Times New Roman"/>
                <w:sz w:val="20"/>
              </w:rPr>
              <w:t>**Contre-indications spécifiques**</w:t>
            </w:r>
          </w:p>
        </w:tc>
        <w:tc>
          <w:tcPr>
            <w:tcW w:type="dxa" w:w="2078"/>
          </w:tcPr>
          <w:p>
            <w:r>
              <w:rPr>
                <w:rFonts w:ascii="Times New Roman" w:hAnsi="Times New Roman"/>
                <w:sz w:val="20"/>
              </w:rPr>
              <w:t>Insuffisance rénale sévère, régime hyposodé strict</w:t>
            </w:r>
          </w:p>
        </w:tc>
        <w:tc>
          <w:tcPr>
            <w:tcW w:type="dxa" w:w="2078"/>
          </w:tcPr>
          <w:p>
            <w:r>
              <w:rPr>
                <w:rFonts w:ascii="Times New Roman" w:hAnsi="Times New Roman"/>
                <w:sz w:val="20"/>
              </w:rPr>
              <w:t>+ Hypercalcémie, lithiase calcique, digitaliques, thiazidiques</w:t>
            </w:r>
          </w:p>
        </w:tc>
        <w:tc>
          <w:tcPr>
            <w:tcW w:type="dxa" w:w="2078"/>
          </w:tcPr>
          <w:p>
            <w:r>
              <w:rPr>
                <w:rFonts w:ascii="Times New Roman" w:hAnsi="Times New Roman"/>
                <w:sz w:val="20"/>
              </w:rPr>
              <w:t>Idem alginate double</w:t>
            </w:r>
          </w:p>
        </w:tc>
      </w:tr>
      <w:tr>
        <w:tc>
          <w:tcPr>
            <w:tcW w:type="dxa" w:w="2078"/>
          </w:tcPr>
          <w:p>
            <w:r>
              <w:rPr>
                <w:rFonts w:ascii="Times New Roman" w:hAnsi="Times New Roman"/>
                <w:sz w:val="20"/>
              </w:rPr>
              <w:t>**Effets indésirables spécifiques**</w:t>
            </w:r>
          </w:p>
        </w:tc>
        <w:tc>
          <w:tcPr>
            <w:tcW w:type="dxa" w:w="2078"/>
          </w:tcPr>
          <w:p>
            <w:r>
              <w:rPr>
                <w:rFonts w:ascii="Times New Roman" w:hAnsi="Times New Roman"/>
                <w:sz w:val="20"/>
              </w:rPr>
              <w:t>Ballonnement, constipation</w:t>
            </w:r>
          </w:p>
        </w:tc>
        <w:tc>
          <w:tcPr>
            <w:tcW w:type="dxa" w:w="2078"/>
          </w:tcPr>
          <w:p>
            <w:r>
              <w:rPr>
                <w:rFonts w:ascii="Times New Roman" w:hAnsi="Times New Roman"/>
                <w:sz w:val="20"/>
              </w:rPr>
              <w:t>+ Constipation accrue, hypercalcémie, syndrome lait-alcalin</w:t>
            </w:r>
          </w:p>
        </w:tc>
        <w:tc>
          <w:tcPr>
            <w:tcW w:type="dxa" w:w="2078"/>
          </w:tcPr>
          <w:p>
            <w:r>
              <w:rPr>
                <w:rFonts w:ascii="Times New Roman" w:hAnsi="Times New Roman"/>
                <w:sz w:val="20"/>
              </w:rPr>
              <w:t>Idem alginate double</w:t>
            </w:r>
          </w:p>
        </w:tc>
      </w:tr>
      <w:tr>
        <w:tc>
          <w:tcPr>
            <w:tcW w:type="dxa" w:w="2078"/>
          </w:tcPr>
          <w:p>
            <w:r>
              <w:rPr>
                <w:rFonts w:ascii="Times New Roman" w:hAnsi="Times New Roman"/>
                <w:sz w:val="20"/>
              </w:rPr>
              <w:t>**Interactions spécifiques**</w:t>
            </w:r>
          </w:p>
        </w:tc>
        <w:tc>
          <w:tcPr>
            <w:tcW w:type="dxa" w:w="2078"/>
          </w:tcPr>
          <w:p>
            <w:r>
              <w:rPr>
                <w:rFonts w:ascii="Times New Roman" w:hAnsi="Times New Roman"/>
                <w:sz w:val="20"/>
              </w:rPr>
              <w:t>Diminution absorption autres médicaments</w:t>
            </w:r>
          </w:p>
        </w:tc>
        <w:tc>
          <w:tcPr>
            <w:tcW w:type="dxa" w:w="2078"/>
          </w:tcPr>
          <w:p>
            <w:r>
              <w:rPr>
                <w:rFonts w:ascii="Times New Roman" w:hAnsi="Times New Roman"/>
                <w:sz w:val="20"/>
              </w:rPr>
              <w:t>+ Digitaliques, thiazidiques, tétracyclines, fluoroquinolones, bisphosphonates, fer, lévothyroxine</w:t>
            </w:r>
          </w:p>
        </w:tc>
        <w:tc>
          <w:tcPr>
            <w:tcW w:type="dxa" w:w="2078"/>
          </w:tcPr>
          <w:p>
            <w:r>
              <w:rPr>
                <w:rFonts w:ascii="Times New Roman" w:hAnsi="Times New Roman"/>
                <w:sz w:val="20"/>
              </w:rPr>
              <w:t>Idem alginate double</w:t>
            </w:r>
          </w:p>
        </w:tc>
      </w:tr>
      <w:tr>
        <w:tc>
          <w:tcPr>
            <w:tcW w:type="dxa" w:w="2078"/>
          </w:tcPr>
          <w:p>
            <w:r>
              <w:rPr>
                <w:rFonts w:ascii="Times New Roman" w:hAnsi="Times New Roman"/>
                <w:sz w:val="20"/>
              </w:rPr>
              <w:t>**Posologie standard**</w:t>
            </w:r>
          </w:p>
        </w:tc>
        <w:tc>
          <w:tcPr>
            <w:tcW w:type="dxa" w:w="2078"/>
          </w:tcPr>
          <w:p>
            <w:r>
              <w:rPr>
                <w:rFonts w:ascii="Times New Roman" w:hAnsi="Times New Roman"/>
                <w:sz w:val="20"/>
              </w:rPr>
              <w:t>10 mL × 4/jour maximum</w:t>
            </w:r>
          </w:p>
        </w:tc>
        <w:tc>
          <w:tcPr>
            <w:tcW w:type="dxa" w:w="2078"/>
          </w:tcPr>
          <w:p>
            <w:r>
              <w:rPr>
                <w:rFonts w:ascii="Times New Roman" w:hAnsi="Times New Roman"/>
                <w:sz w:val="20"/>
              </w:rPr>
              <w:t>1 comprimé à croquer × 4/jour maximum</w:t>
            </w:r>
          </w:p>
        </w:tc>
        <w:tc>
          <w:tcPr>
            <w:tcW w:type="dxa" w:w="2078"/>
          </w:tcPr>
          <w:p>
            <w:r>
              <w:rPr>
                <w:rFonts w:ascii="Times New Roman" w:hAnsi="Times New Roman"/>
                <w:sz w:val="20"/>
              </w:rPr>
              <w:t>10 mL × 4/jour maximum</w:t>
            </w:r>
          </w:p>
        </w:tc>
      </w:tr>
      <w:tr>
        <w:tc>
          <w:tcPr>
            <w:tcW w:type="dxa" w:w="2078"/>
          </w:tcPr>
          <w:p>
            <w:r>
              <w:rPr>
                <w:rFonts w:ascii="Times New Roman" w:hAnsi="Times New Roman"/>
                <w:sz w:val="20"/>
              </w:rPr>
              <w:t>**Préférence clinique**</w:t>
            </w:r>
          </w:p>
        </w:tc>
        <w:tc>
          <w:tcPr>
            <w:tcW w:type="dxa" w:w="2078"/>
          </w:tcPr>
          <w:p>
            <w:r>
              <w:rPr>
                <w:rFonts w:ascii="Times New Roman" w:hAnsi="Times New Roman"/>
                <w:sz w:val="20"/>
              </w:rPr>
              <w:t>RGO diurne post-prandial, grossesse, sujet âgé, enfant</w:t>
            </w:r>
          </w:p>
        </w:tc>
        <w:tc>
          <w:tcPr>
            <w:tcW w:type="dxa" w:w="2078"/>
          </w:tcPr>
          <w:p>
            <w:r>
              <w:rPr>
                <w:rFonts w:ascii="Times New Roman" w:hAnsi="Times New Roman"/>
                <w:sz w:val="20"/>
              </w:rPr>
              <w:t>RGO nocturne, patients réticents aux formes liquides</w:t>
            </w:r>
          </w:p>
        </w:tc>
        <w:tc>
          <w:tcPr>
            <w:tcW w:type="dxa" w:w="2078"/>
          </w:tcPr>
          <w:p>
            <w:r>
              <w:rPr>
                <w:rFonts w:ascii="Times New Roman" w:hAnsi="Times New Roman"/>
                <w:sz w:val="20"/>
              </w:rPr>
              <w:t>N/A</w:t>
            </w:r>
          </w:p>
        </w:tc>
      </w:tr>
      <w:tr>
        <w:tc>
          <w:tcPr>
            <w:tcW w:type="dxa" w:w="2078"/>
          </w:tcPr>
          <w:p>
            <w:r>
              <w:rPr>
                <w:rFonts w:ascii="Times New Roman" w:hAnsi="Times New Roman"/>
                <w:sz w:val="20"/>
              </w:rPr>
              <w:t>**Disponibilité Algérie**</w:t>
            </w:r>
          </w:p>
        </w:tc>
        <w:tc>
          <w:tcPr>
            <w:tcW w:type="dxa" w:w="2078"/>
          </w:tcPr>
          <w:p>
            <w:r>
              <w:rPr>
                <w:rFonts w:ascii="Times New Roman" w:hAnsi="Times New Roman"/>
                <w:sz w:val="20"/>
              </w:rPr>
              <w:t>Très large (Biopharm, Pharmaghreb, NADPHARMADIC, NEOMEDIC, GPA)</w:t>
            </w:r>
          </w:p>
        </w:tc>
        <w:tc>
          <w:tcPr>
            <w:tcW w:type="dxa" w:w="2078"/>
          </w:tcPr>
          <w:p>
            <w:r>
              <w:rPr>
                <w:rFonts w:ascii="Times New Roman" w:hAnsi="Times New Roman"/>
                <w:sz w:val="20"/>
              </w:rPr>
              <w:t>Limitée (Biopharm uniquement)</w:t>
            </w:r>
          </w:p>
        </w:tc>
        <w:tc>
          <w:tcPr>
            <w:tcW w:type="dxa" w:w="2078"/>
          </w:tcPr>
          <w:p>
            <w:r>
              <w:rPr>
                <w:rFonts w:ascii="Times New Roman" w:hAnsi="Times New Roman"/>
                <w:sz w:val="20"/>
              </w:rPr>
              <w:t>Non disponible</w:t>
            </w:r>
          </w:p>
        </w:tc>
      </w:tr>
      <w:tr>
        <w:tc>
          <w:tcPr>
            <w:tcW w:type="dxa" w:w="2078"/>
          </w:tcPr>
          <w:p>
            <w:r>
              <w:rPr>
                <w:rFonts w:ascii="Times New Roman" w:hAnsi="Times New Roman"/>
                <w:sz w:val="20"/>
              </w:rPr>
              <w:t>**Coût indicatif**</w:t>
            </w:r>
          </w:p>
        </w:tc>
        <w:tc>
          <w:tcPr>
            <w:tcW w:type="dxa" w:w="2078"/>
          </w:tcPr>
          <w:p>
            <w:r>
              <w:rPr>
                <w:rFonts w:ascii="Times New Roman" w:hAnsi="Times New Roman"/>
                <w:sz w:val="20"/>
              </w:rPr>
              <w:t>50-150 DA/flacon 200 mL</w:t>
            </w:r>
          </w:p>
        </w:tc>
        <w:tc>
          <w:tcPr>
            <w:tcW w:type="dxa" w:w="2078"/>
          </w:tcPr>
          <w:p>
            <w:r>
              <w:rPr>
                <w:rFonts w:ascii="Times New Roman" w:hAnsi="Times New Roman"/>
                <w:sz w:val="20"/>
              </w:rPr>
              <w:t>200-300 DA/boîte 16 comprimés</w:t>
            </w:r>
          </w:p>
        </w:tc>
        <w:tc>
          <w:tcPr>
            <w:tcW w:type="dxa" w:w="2078"/>
          </w:tcPr>
          <w:p>
            <w:r>
              <w:rPr>
                <w:rFonts w:ascii="Times New Roman" w:hAnsi="Times New Roman"/>
                <w:sz w:val="20"/>
              </w:rPr>
              <w:t>N/A</w:t>
            </w:r>
          </w:p>
        </w:tc>
      </w:tr>
    </w:tbl>
    <w:p/>
    <w:p>
      <w:pPr>
        <w:pStyle w:val="Heading2"/>
      </w:pPr>
      <w:r>
        <w:t>Conclusion générale du chapitre 245</w:t>
      </w:r>
    </w:p>
    <w:p>
      <w:r>
        <w:t>Les dispositifs médicaux antacides de la classe des alginates constituent une classe pharmacologique essentielle et stratégique pour la prise en charge du reflux gastro-œsophagien symptomatique en Algérie. L'autosuffisance nationale algérienne dans cette classe (10 spécialités actives sur 11 disponibles, dominées par les laboratoires nationaux Biopharm, Pharmaghreb, NADPHARMADIC, NEOMEDIC, Groupe Pharmaceutique Algérien) constitue un modèle de réussite de la politique algérienne de développement de l'industrie pharmaceutique locale. Le pharmacien d'officine algérien joue un rôle pivot dans le bon usage de ces traitements : délivrance en automédication encadrée pour les formes symptômatiques légères, orientation médicale systématique en cas de signes d'alarme (dysphagie, perte de poids, vomissements sanglants, anémie), conseil pharmaceutique structuré sur les règles d'administration (prise post-prandiale, position érigée, séparation de 2 heures avec les autres médicaments, limite de 14 jours d'automédication), et prévention des effets indésirables (ballonnement, constipation, hypernatrémie, hypercalcémie).</w:t>
      </w:r>
    </w:p>
    <w:p>
      <w:r>
        <w:t>L'enseignement des alginates à l'étudiant en pharmacie algérien doit intégrer la maîtrise du mécanisme de formation du raft flottant (précipitation acide de l'alginate, libération de CO₂ par le bicarbonate et le carbonate de calcium, gélification renforcée par les ions calcium), la connaissance exhaustive des spécialités disponibles en Algérie (11 spécialités, 9 actives et 1 non renouvelable pour l'alginate double, 1 active pour l'alginate triple), la compréhension des indications validées (RGO symptomatique non compliqué, pyrosis gravidique, RGO de l'enfant et du sujet âgé polymédicamenté), et la maîtrise des règles de bon usage au comptoir (posologie maximale, séparation médicamenteuse, position érigée post-prise, limite d'automédication). La consolidation des 3 DCI théoriques du fichier source en 2 monographies distinctes (alginate double et alginate triple) permet une présentation pédagogique claire et exhaustive, en intégrant les recommandations internationales les plus récentes (SFED, ACG, CRAT, EMA HMPC) et les spécificités du marché algérien.</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606060"/>
        <w:sz w:val="18"/>
      </w:rPr>
      <w:t xml:space="preserve">Page </w:t>
    </w:r>
    <w:r>
      <w:rPr>
        <w:rFonts w:ascii="Times New Roman" w:hAnsi="Times New Roman"/>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0695C"/>
      </w:pBdr>
    </w:pPr>
    <w:r>
      <w:rPr>
        <w:rFonts w:ascii="Times New Roman" w:hAnsi="Times New Roman"/>
        <w:i/>
        <w:color w:val="606060"/>
        <w:sz w:val="18"/>
      </w:rPr>
      <w:t>Livre Technique de Pharmacologie Clinique — Phytothérapie, Médecine Nucléaire &amp; Dispositifs Médicaux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1B5E20"/>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695C"/>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838F"/>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00838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